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0" w:after="0"/>
        <w:jc w:val="left"/>
        <w:rPr>
          <w:rFonts w:hint="cs"/>
          <w:b/>
          <w:bCs/>
          <w:sz w:val="36"/>
          <w:szCs w:val="36"/>
          <w:rtl/>
          <w:lang w:eastAsia="en-US"/>
        </w:rPr>
      </w:pPr>
      <w:r>
        <w:rPr>
          <w:noProof/>
          <w:sz w:val="20"/>
          <w:szCs w:val="28"/>
          <w:rtl/>
          <w:lang w:val="ar-SA"/>
        </w:rPr>
        <w:pict>
          <v:shapetype id="_x0000_t202" coordsize="21600,21600" o:spt="202" path="m,l,21600r21600,l21600,xe">
            <v:stroke joinstyle="miter"/>
            <v:path gradientshapeok="t" o:connecttype="rect"/>
          </v:shapetype>
          <v:shape id="_x0000_s2050" type="#_x0000_t202" style="position:absolute;left:0;text-align:left;margin-left:42.55pt;margin-top:-119.95pt;width:201.25pt;height:103.7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HRI/CORE/1/Add.124</w:t>
                  </w:r>
                  <w:r>
                    <w:rPr>
                      <w:szCs w:val="22"/>
                      <w:lang w:eastAsia="en-US"/>
                    </w:rPr>
                    <w:br/>
                    <w:t>18 July 2003</w:t>
                  </w:r>
                  <w:r>
                    <w:fldChar w:fldCharType="end"/>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ENGLISH</w:t>
                  </w:r>
                </w:p>
              </w:txbxContent>
            </v:textbox>
            <w10:wrap anchorx="page"/>
            <w10:anchorlock/>
          </v:shape>
        </w:pict>
      </w:r>
    </w:p>
    <w:p w:rsidR="00000000" w:rsidRDefault="00000000">
      <w:pPr>
        <w:spacing w:before="120" w:after="120"/>
        <w:jc w:val="both"/>
        <w:rPr>
          <w:rFonts w:hint="cs"/>
          <w:rtl/>
          <w:lang w:eastAsia="en-US"/>
        </w:rPr>
      </w:pPr>
    </w:p>
    <w:p w:rsidR="00000000" w:rsidRDefault="00000000">
      <w:pPr>
        <w:spacing w:before="120" w:after="120"/>
        <w:jc w:val="both"/>
        <w:rPr>
          <w:rFonts w:hint="cs"/>
          <w:rtl/>
          <w:lang w:eastAsia="en-US"/>
        </w:rPr>
      </w:pPr>
    </w:p>
    <w:p w:rsidR="00000000" w:rsidRDefault="00000000">
      <w:pPr>
        <w:spacing w:before="120" w:after="120"/>
        <w:jc w:val="both"/>
        <w:rPr>
          <w:rFonts w:hint="cs"/>
          <w:rtl/>
          <w:lang w:eastAsia="en-US"/>
        </w:rPr>
      </w:pPr>
    </w:p>
    <w:p w:rsidR="00000000" w:rsidRDefault="00000000">
      <w:pPr>
        <w:spacing w:before="120" w:after="120"/>
        <w:jc w:val="both"/>
        <w:rPr>
          <w:rFonts w:hint="cs"/>
          <w:rtl/>
          <w:lang w:eastAsia="en-US"/>
        </w:rPr>
      </w:pPr>
    </w:p>
    <w:p w:rsidR="00000000" w:rsidRDefault="00000000">
      <w:pPr>
        <w:spacing w:before="120" w:after="120"/>
        <w:jc w:val="both"/>
        <w:rPr>
          <w:rFonts w:hint="cs"/>
          <w:rtl/>
          <w:lang w:eastAsia="en-US"/>
        </w:rPr>
      </w:pPr>
    </w:p>
    <w:p w:rsidR="00000000" w:rsidRDefault="00000000">
      <w:pPr>
        <w:jc w:val="center"/>
        <w:rPr>
          <w:b/>
          <w:bCs/>
          <w:sz w:val="36"/>
          <w:szCs w:val="36"/>
          <w:rtl/>
        </w:rPr>
      </w:pPr>
      <w:r>
        <w:rPr>
          <w:rFonts w:hint="cs"/>
          <w:b/>
          <w:bCs/>
          <w:sz w:val="36"/>
          <w:szCs w:val="36"/>
          <w:rtl/>
        </w:rPr>
        <w:t>وثيقة أساسية تشكل جزءاً من تقارير الدول الأطراف</w:t>
      </w:r>
    </w:p>
    <w:p w:rsidR="00000000" w:rsidRDefault="00000000">
      <w:pPr>
        <w:jc w:val="center"/>
        <w:rPr>
          <w:rFonts w:hint="cs"/>
          <w:b/>
          <w:bCs/>
          <w:sz w:val="36"/>
          <w:szCs w:val="36"/>
          <w:rtl/>
        </w:rPr>
      </w:pPr>
      <w:r>
        <w:rPr>
          <w:rFonts w:hint="cs"/>
          <w:b/>
          <w:bCs/>
          <w:sz w:val="36"/>
          <w:szCs w:val="36"/>
          <w:rtl/>
        </w:rPr>
        <w:t>ألبانيا</w:t>
      </w:r>
    </w:p>
    <w:p w:rsidR="00000000" w:rsidRDefault="00000000">
      <w:pPr>
        <w:jc w:val="right"/>
        <w:rPr>
          <w:rStyle w:val="FootnoteReference"/>
          <w:rFonts w:hint="cs"/>
          <w:b/>
          <w:bCs w:val="0"/>
          <w:vertAlign w:val="baseline"/>
          <w:rtl/>
        </w:rPr>
      </w:pPr>
      <w:r>
        <w:rPr>
          <w:rFonts w:hint="cs"/>
          <w:b/>
          <w:rtl/>
        </w:rPr>
        <w:t>[4 حزيران/يونيه 2003]</w:t>
      </w:r>
    </w:p>
    <w:p w:rsidR="00000000" w:rsidRDefault="00000000">
      <w:pPr>
        <w:jc w:val="both"/>
      </w:pPr>
    </w:p>
    <w:p w:rsidR="00000000" w:rsidRDefault="00000000">
      <w:pPr>
        <w:spacing w:before="120" w:after="120"/>
        <w:jc w:val="center"/>
        <w:rPr>
          <w:b/>
          <w:bCs/>
          <w:szCs w:val="28"/>
          <w:rtl/>
          <w:lang w:eastAsia="en-US"/>
        </w:rPr>
      </w:pPr>
      <w:r>
        <w:rPr>
          <w:b/>
          <w:bCs/>
        </w:rPr>
        <w:br w:type="page"/>
      </w:r>
      <w:r>
        <w:rPr>
          <w:b/>
          <w:bCs/>
          <w:sz w:val="36"/>
          <w:szCs w:val="36"/>
          <w:rtl/>
          <w:lang w:eastAsia="en-US"/>
        </w:rPr>
        <w:t>المحتويات</w:t>
      </w:r>
    </w:p>
    <w:p w:rsidR="00000000" w:rsidRDefault="00000000">
      <w:pPr>
        <w:tabs>
          <w:tab w:val="left" w:pos="7194"/>
          <w:tab w:val="right" w:pos="9354"/>
        </w:tabs>
        <w:spacing w:before="120" w:after="120"/>
        <w:jc w:val="both"/>
        <w:rPr>
          <w:i/>
          <w:iCs/>
          <w:rtl/>
          <w:lang w:eastAsia="en-US"/>
        </w:rPr>
      </w:pPr>
      <w:r>
        <w:rPr>
          <w:rtl/>
          <w:lang w:eastAsia="en-US"/>
        </w:rPr>
        <w:tab/>
      </w:r>
      <w:r>
        <w:rPr>
          <w:i/>
          <w:iCs/>
          <w:rtl/>
          <w:lang w:eastAsia="en-US"/>
        </w:rPr>
        <w:t>الفقـرات</w:t>
      </w:r>
      <w:r>
        <w:rPr>
          <w:i/>
          <w:iCs/>
          <w:rtl/>
          <w:lang w:eastAsia="en-US"/>
        </w:rPr>
        <w:tab/>
        <w:t>الصفحة</w:t>
      </w:r>
    </w:p>
    <w:p w:rsidR="00000000" w:rsidRDefault="00000000">
      <w:pPr>
        <w:tabs>
          <w:tab w:val="left" w:pos="822"/>
          <w:tab w:val="left" w:leader="dot" w:pos="7014"/>
          <w:tab w:val="left" w:pos="7371"/>
          <w:tab w:val="center" w:pos="9043"/>
        </w:tabs>
        <w:spacing w:before="120" w:after="120"/>
        <w:jc w:val="both"/>
        <w:rPr>
          <w:rFonts w:hint="cs"/>
          <w:rtl/>
          <w:lang w:eastAsia="en-US"/>
        </w:rPr>
      </w:pPr>
      <w:r>
        <w:rPr>
          <w:rFonts w:hint="cs"/>
          <w:rtl/>
          <w:lang w:eastAsia="en-US"/>
        </w:rPr>
        <w:t>أولاً-</w:t>
      </w:r>
      <w:r>
        <w:rPr>
          <w:rFonts w:hint="cs"/>
          <w:rtl/>
          <w:lang w:eastAsia="en-US"/>
        </w:rPr>
        <w:tab/>
        <w:t>الأرض والسكان</w:t>
      </w:r>
      <w:r>
        <w:rPr>
          <w:rFonts w:hint="cs"/>
          <w:rtl/>
          <w:lang w:eastAsia="en-US"/>
        </w:rPr>
        <w:tab/>
      </w:r>
      <w:r>
        <w:rPr>
          <w:rFonts w:hint="cs"/>
          <w:rtl/>
          <w:lang w:eastAsia="en-US"/>
        </w:rPr>
        <w:tab/>
        <w:t>1 -49</w:t>
      </w:r>
      <w:r>
        <w:rPr>
          <w:rFonts w:hint="cs"/>
          <w:rtl/>
          <w:lang w:eastAsia="en-US"/>
        </w:rPr>
        <w:tab/>
        <w:t>4</w:t>
      </w:r>
    </w:p>
    <w:p w:rsidR="00000000" w:rsidRDefault="00000000">
      <w:pPr>
        <w:tabs>
          <w:tab w:val="left" w:pos="822"/>
          <w:tab w:val="left" w:pos="1488"/>
          <w:tab w:val="left" w:leader="dot" w:pos="7014"/>
          <w:tab w:val="left" w:pos="7371"/>
          <w:tab w:val="center" w:pos="9043"/>
        </w:tabs>
        <w:spacing w:before="120" w:after="120"/>
        <w:jc w:val="both"/>
        <w:rPr>
          <w:rFonts w:hint="cs"/>
          <w:rtl/>
          <w:lang w:eastAsia="en-US"/>
        </w:rPr>
      </w:pPr>
      <w:r>
        <w:rPr>
          <w:rFonts w:hint="cs"/>
          <w:rtl/>
          <w:lang w:eastAsia="en-US"/>
        </w:rPr>
        <w:tab/>
        <w:t>ألف-</w:t>
      </w:r>
      <w:r>
        <w:rPr>
          <w:rFonts w:hint="cs"/>
          <w:rtl/>
          <w:lang w:eastAsia="en-US"/>
        </w:rPr>
        <w:tab/>
        <w:t>الموقع الجغرافي</w:t>
      </w:r>
      <w:r>
        <w:rPr>
          <w:rFonts w:hint="cs"/>
          <w:rtl/>
          <w:lang w:eastAsia="en-US"/>
        </w:rPr>
        <w:tab/>
      </w:r>
      <w:r>
        <w:rPr>
          <w:rFonts w:hint="cs"/>
          <w:rtl/>
          <w:lang w:eastAsia="en-US"/>
        </w:rPr>
        <w:tab/>
        <w:t>1 -3</w:t>
      </w:r>
      <w:r>
        <w:rPr>
          <w:rFonts w:hint="cs"/>
          <w:rtl/>
          <w:lang w:eastAsia="en-US"/>
        </w:rPr>
        <w:tab/>
        <w:t>4</w:t>
      </w:r>
    </w:p>
    <w:p w:rsidR="00000000" w:rsidRDefault="00000000">
      <w:pPr>
        <w:tabs>
          <w:tab w:val="left" w:pos="822"/>
          <w:tab w:val="left" w:pos="1488"/>
          <w:tab w:val="left" w:leader="dot" w:pos="7014"/>
          <w:tab w:val="left" w:pos="7371"/>
          <w:tab w:val="center" w:pos="9043"/>
        </w:tabs>
        <w:spacing w:before="120" w:after="120"/>
        <w:jc w:val="both"/>
        <w:rPr>
          <w:rFonts w:hint="cs"/>
          <w:rtl/>
          <w:lang w:eastAsia="en-US"/>
        </w:rPr>
      </w:pPr>
      <w:r>
        <w:rPr>
          <w:rFonts w:hint="cs"/>
          <w:rtl/>
          <w:lang w:eastAsia="en-US"/>
        </w:rPr>
        <w:tab/>
        <w:t>باء-</w:t>
      </w:r>
      <w:r>
        <w:rPr>
          <w:rFonts w:hint="cs"/>
          <w:rtl/>
          <w:lang w:eastAsia="en-US"/>
        </w:rPr>
        <w:tab/>
        <w:t>السكان</w:t>
      </w:r>
      <w:r>
        <w:rPr>
          <w:rFonts w:hint="cs"/>
          <w:rtl/>
          <w:lang w:eastAsia="en-US"/>
        </w:rPr>
        <w:tab/>
      </w:r>
      <w:r>
        <w:rPr>
          <w:rFonts w:hint="cs"/>
          <w:rtl/>
          <w:lang w:eastAsia="en-US"/>
        </w:rPr>
        <w:tab/>
        <w:t>4 -17</w:t>
      </w:r>
      <w:r>
        <w:rPr>
          <w:rFonts w:hint="cs"/>
          <w:rtl/>
          <w:lang w:eastAsia="en-US"/>
        </w:rPr>
        <w:tab/>
        <w:t>4</w:t>
      </w:r>
    </w:p>
    <w:p w:rsidR="00000000" w:rsidRDefault="00000000">
      <w:pPr>
        <w:tabs>
          <w:tab w:val="left" w:pos="822"/>
          <w:tab w:val="left" w:pos="1488"/>
          <w:tab w:val="left" w:leader="dot" w:pos="7014"/>
          <w:tab w:val="left" w:pos="7371"/>
          <w:tab w:val="center" w:pos="9043"/>
        </w:tabs>
        <w:spacing w:before="120" w:after="120"/>
        <w:jc w:val="both"/>
        <w:rPr>
          <w:rFonts w:hint="cs"/>
          <w:rtl/>
          <w:lang w:eastAsia="en-US"/>
        </w:rPr>
      </w:pPr>
      <w:r>
        <w:rPr>
          <w:rFonts w:hint="cs"/>
          <w:rtl/>
          <w:lang w:eastAsia="en-US"/>
        </w:rPr>
        <w:tab/>
        <w:t>جيم-</w:t>
      </w:r>
      <w:r>
        <w:rPr>
          <w:rFonts w:hint="cs"/>
          <w:rtl/>
          <w:lang w:eastAsia="en-US"/>
        </w:rPr>
        <w:tab/>
        <w:t>بيانات اجتماعية</w:t>
      </w:r>
      <w:r>
        <w:rPr>
          <w:rFonts w:hint="cs"/>
          <w:rtl/>
          <w:lang w:eastAsia="en-US"/>
        </w:rPr>
        <w:tab/>
      </w:r>
      <w:r>
        <w:rPr>
          <w:rFonts w:hint="cs"/>
          <w:rtl/>
          <w:lang w:eastAsia="en-US"/>
        </w:rPr>
        <w:tab/>
        <w:t>18-49</w:t>
      </w:r>
      <w:r>
        <w:rPr>
          <w:rFonts w:hint="cs"/>
          <w:rtl/>
          <w:lang w:eastAsia="en-US"/>
        </w:rPr>
        <w:tab/>
        <w:t>7</w:t>
      </w:r>
    </w:p>
    <w:p w:rsidR="00000000" w:rsidRDefault="00000000">
      <w:pPr>
        <w:tabs>
          <w:tab w:val="left" w:pos="822"/>
          <w:tab w:val="left" w:pos="1488"/>
          <w:tab w:val="left" w:pos="2001"/>
          <w:tab w:val="left" w:leader="dot" w:pos="7014"/>
          <w:tab w:val="left" w:pos="7371"/>
          <w:tab w:val="center" w:pos="9043"/>
        </w:tabs>
        <w:spacing w:before="120" w:after="120"/>
        <w:jc w:val="both"/>
        <w:rPr>
          <w:rFonts w:hint="cs"/>
          <w:rtl/>
          <w:lang w:eastAsia="en-US"/>
        </w:rPr>
      </w:pPr>
      <w:r>
        <w:rPr>
          <w:rFonts w:hint="cs"/>
          <w:rtl/>
          <w:lang w:eastAsia="en-US"/>
        </w:rPr>
        <w:tab/>
      </w:r>
      <w:r>
        <w:rPr>
          <w:rFonts w:hint="cs"/>
          <w:rtl/>
          <w:lang w:eastAsia="en-US"/>
        </w:rPr>
        <w:tab/>
        <w:t>1-</w:t>
      </w:r>
      <w:r>
        <w:rPr>
          <w:rFonts w:hint="cs"/>
          <w:rtl/>
          <w:lang w:eastAsia="en-US"/>
        </w:rPr>
        <w:tab/>
        <w:t>الاقتصاد</w:t>
      </w:r>
      <w:r>
        <w:rPr>
          <w:rFonts w:hint="cs"/>
          <w:rtl/>
          <w:lang w:eastAsia="en-US"/>
        </w:rPr>
        <w:tab/>
      </w:r>
      <w:r>
        <w:rPr>
          <w:rFonts w:hint="cs"/>
          <w:rtl/>
          <w:lang w:eastAsia="en-US"/>
        </w:rPr>
        <w:tab/>
        <w:t>18-25</w:t>
      </w:r>
      <w:r>
        <w:rPr>
          <w:rFonts w:hint="cs"/>
          <w:rtl/>
          <w:lang w:eastAsia="en-US"/>
        </w:rPr>
        <w:tab/>
        <w:t>7</w:t>
      </w:r>
    </w:p>
    <w:p w:rsidR="00000000" w:rsidRDefault="00000000">
      <w:pPr>
        <w:tabs>
          <w:tab w:val="left" w:pos="822"/>
          <w:tab w:val="left" w:pos="1488"/>
          <w:tab w:val="left" w:pos="2001"/>
          <w:tab w:val="left" w:leader="dot" w:pos="7014"/>
          <w:tab w:val="left" w:pos="7371"/>
          <w:tab w:val="center" w:pos="9043"/>
        </w:tabs>
        <w:spacing w:before="120" w:after="120"/>
        <w:jc w:val="both"/>
        <w:rPr>
          <w:rFonts w:hint="cs"/>
          <w:rtl/>
          <w:lang w:eastAsia="en-US"/>
        </w:rPr>
      </w:pPr>
      <w:r>
        <w:rPr>
          <w:rFonts w:hint="cs"/>
          <w:rtl/>
          <w:lang w:eastAsia="en-US"/>
        </w:rPr>
        <w:tab/>
      </w:r>
      <w:r>
        <w:rPr>
          <w:rFonts w:hint="cs"/>
          <w:rtl/>
          <w:lang w:eastAsia="en-US"/>
        </w:rPr>
        <w:tab/>
        <w:t>2-</w:t>
      </w:r>
      <w:r>
        <w:rPr>
          <w:rFonts w:hint="cs"/>
          <w:rtl/>
          <w:lang w:eastAsia="en-US"/>
        </w:rPr>
        <w:tab/>
        <w:t>البيانات الاجتماعية</w:t>
      </w:r>
      <w:r>
        <w:rPr>
          <w:rFonts w:hint="cs"/>
          <w:rtl/>
          <w:lang w:eastAsia="en-US"/>
        </w:rPr>
        <w:tab/>
      </w:r>
      <w:r>
        <w:rPr>
          <w:rFonts w:hint="cs"/>
          <w:rtl/>
          <w:lang w:eastAsia="en-US"/>
        </w:rPr>
        <w:tab/>
        <w:t>26-49</w:t>
      </w:r>
      <w:r>
        <w:rPr>
          <w:rFonts w:hint="cs"/>
          <w:rtl/>
          <w:lang w:eastAsia="en-US"/>
        </w:rPr>
        <w:tab/>
        <w:t>10</w:t>
      </w:r>
    </w:p>
    <w:p w:rsidR="00000000" w:rsidRDefault="00000000">
      <w:pPr>
        <w:tabs>
          <w:tab w:val="left" w:pos="822"/>
          <w:tab w:val="left" w:pos="1488"/>
          <w:tab w:val="left" w:pos="2001"/>
          <w:tab w:val="left" w:leader="dot" w:pos="7014"/>
          <w:tab w:val="left" w:pos="7371"/>
          <w:tab w:val="center" w:pos="9043"/>
        </w:tabs>
        <w:spacing w:before="120" w:after="120"/>
        <w:jc w:val="both"/>
        <w:rPr>
          <w:rFonts w:hint="cs"/>
          <w:rtl/>
          <w:lang w:eastAsia="en-US"/>
        </w:rPr>
      </w:pPr>
      <w:r>
        <w:rPr>
          <w:rFonts w:hint="cs"/>
          <w:rtl/>
          <w:lang w:eastAsia="en-US"/>
        </w:rPr>
        <w:t>ثانياً-</w:t>
      </w:r>
      <w:r>
        <w:rPr>
          <w:rFonts w:hint="cs"/>
          <w:rtl/>
          <w:lang w:eastAsia="en-US"/>
        </w:rPr>
        <w:tab/>
        <w:t>البنية السياسية العامة</w:t>
      </w:r>
      <w:r>
        <w:rPr>
          <w:rFonts w:hint="cs"/>
          <w:rtl/>
          <w:lang w:eastAsia="en-US"/>
        </w:rPr>
        <w:tab/>
      </w:r>
      <w:r>
        <w:rPr>
          <w:rFonts w:hint="cs"/>
          <w:rtl/>
          <w:lang w:eastAsia="en-US"/>
        </w:rPr>
        <w:tab/>
        <w:t>50-78</w:t>
      </w:r>
      <w:r>
        <w:rPr>
          <w:rFonts w:hint="cs"/>
          <w:rtl/>
          <w:lang w:eastAsia="en-US"/>
        </w:rPr>
        <w:tab/>
        <w:t>15</w:t>
      </w:r>
    </w:p>
    <w:p w:rsidR="00000000" w:rsidRDefault="00000000">
      <w:pPr>
        <w:tabs>
          <w:tab w:val="left" w:pos="822"/>
          <w:tab w:val="left" w:pos="1488"/>
          <w:tab w:val="left" w:pos="2001"/>
          <w:tab w:val="left" w:leader="dot" w:pos="7014"/>
          <w:tab w:val="left" w:pos="7371"/>
          <w:tab w:val="center" w:pos="9043"/>
        </w:tabs>
        <w:spacing w:before="120" w:after="120"/>
        <w:jc w:val="both"/>
        <w:rPr>
          <w:rFonts w:hint="cs"/>
          <w:rtl/>
          <w:lang w:eastAsia="en-US"/>
        </w:rPr>
      </w:pPr>
      <w:r>
        <w:rPr>
          <w:rFonts w:hint="cs"/>
          <w:rtl/>
          <w:lang w:eastAsia="en-US"/>
        </w:rPr>
        <w:tab/>
        <w:t>ألف-</w:t>
      </w:r>
      <w:r>
        <w:rPr>
          <w:rFonts w:hint="cs"/>
          <w:rtl/>
          <w:lang w:eastAsia="en-US"/>
        </w:rPr>
        <w:tab/>
        <w:t>لمحة تاريخية موجزة</w:t>
      </w:r>
      <w:r>
        <w:rPr>
          <w:rFonts w:hint="cs"/>
          <w:rtl/>
          <w:lang w:eastAsia="en-US"/>
        </w:rPr>
        <w:tab/>
      </w:r>
      <w:r>
        <w:rPr>
          <w:rFonts w:hint="cs"/>
          <w:rtl/>
          <w:lang w:eastAsia="en-US"/>
        </w:rPr>
        <w:tab/>
        <w:t>50-54</w:t>
      </w:r>
      <w:r>
        <w:rPr>
          <w:rFonts w:hint="cs"/>
          <w:rtl/>
          <w:lang w:eastAsia="en-US"/>
        </w:rPr>
        <w:tab/>
        <w:t>15</w:t>
      </w:r>
    </w:p>
    <w:p w:rsidR="00000000" w:rsidRDefault="00000000">
      <w:pPr>
        <w:tabs>
          <w:tab w:val="left" w:pos="822"/>
          <w:tab w:val="left" w:pos="1488"/>
          <w:tab w:val="left" w:pos="2001"/>
          <w:tab w:val="left" w:leader="dot" w:pos="7014"/>
          <w:tab w:val="left" w:pos="7371"/>
          <w:tab w:val="center" w:pos="9043"/>
        </w:tabs>
        <w:spacing w:before="120" w:after="120"/>
        <w:jc w:val="both"/>
        <w:rPr>
          <w:rFonts w:hint="cs"/>
          <w:rtl/>
          <w:lang w:eastAsia="en-US"/>
        </w:rPr>
      </w:pPr>
      <w:r>
        <w:rPr>
          <w:rFonts w:hint="cs"/>
          <w:rtl/>
          <w:lang w:eastAsia="en-US"/>
        </w:rPr>
        <w:tab/>
        <w:t>باء-</w:t>
      </w:r>
      <w:r>
        <w:rPr>
          <w:rFonts w:hint="cs"/>
          <w:rtl/>
          <w:lang w:eastAsia="en-US"/>
        </w:rPr>
        <w:tab/>
        <w:t>معلومات عن بنيان الدولة</w:t>
      </w:r>
      <w:r>
        <w:rPr>
          <w:rFonts w:hint="cs"/>
          <w:rtl/>
          <w:lang w:eastAsia="en-US"/>
        </w:rPr>
        <w:tab/>
      </w:r>
      <w:r>
        <w:rPr>
          <w:rFonts w:hint="cs"/>
          <w:rtl/>
          <w:lang w:eastAsia="en-US"/>
        </w:rPr>
        <w:tab/>
        <w:t>55-78</w:t>
      </w:r>
      <w:r>
        <w:rPr>
          <w:rFonts w:hint="cs"/>
          <w:rtl/>
          <w:lang w:eastAsia="en-US"/>
        </w:rPr>
        <w:tab/>
        <w:t>16</w:t>
      </w:r>
    </w:p>
    <w:p w:rsidR="00000000" w:rsidRDefault="00000000">
      <w:pPr>
        <w:tabs>
          <w:tab w:val="left" w:pos="822"/>
          <w:tab w:val="left" w:pos="1488"/>
          <w:tab w:val="left" w:pos="2001"/>
          <w:tab w:val="left" w:leader="dot" w:pos="7014"/>
          <w:tab w:val="left" w:pos="7371"/>
          <w:tab w:val="center" w:pos="9043"/>
        </w:tabs>
        <w:spacing w:before="120" w:after="120"/>
        <w:jc w:val="both"/>
        <w:rPr>
          <w:rFonts w:hint="cs"/>
          <w:rtl/>
          <w:lang w:eastAsia="en-US"/>
        </w:rPr>
      </w:pPr>
      <w:r>
        <w:rPr>
          <w:rFonts w:hint="cs"/>
          <w:rtl/>
          <w:lang w:eastAsia="en-US"/>
        </w:rPr>
        <w:tab/>
      </w:r>
      <w:r>
        <w:rPr>
          <w:rFonts w:hint="cs"/>
          <w:rtl/>
          <w:lang w:eastAsia="en-US"/>
        </w:rPr>
        <w:tab/>
        <w:t>1-</w:t>
      </w:r>
      <w:r>
        <w:rPr>
          <w:rFonts w:hint="cs"/>
          <w:rtl/>
          <w:lang w:eastAsia="en-US"/>
        </w:rPr>
        <w:tab/>
        <w:t>السلطة التشريعية</w:t>
      </w:r>
      <w:r>
        <w:rPr>
          <w:rFonts w:hint="cs"/>
          <w:rtl/>
          <w:lang w:eastAsia="en-US"/>
        </w:rPr>
        <w:tab/>
      </w:r>
      <w:r>
        <w:rPr>
          <w:rFonts w:hint="cs"/>
          <w:rtl/>
          <w:lang w:eastAsia="en-US"/>
        </w:rPr>
        <w:tab/>
        <w:t>56-62</w:t>
      </w:r>
      <w:r>
        <w:rPr>
          <w:rFonts w:hint="cs"/>
          <w:rtl/>
          <w:lang w:eastAsia="en-US"/>
        </w:rPr>
        <w:tab/>
        <w:t>16</w:t>
      </w:r>
    </w:p>
    <w:p w:rsidR="00000000" w:rsidRDefault="00000000">
      <w:pPr>
        <w:tabs>
          <w:tab w:val="left" w:pos="822"/>
          <w:tab w:val="left" w:pos="1488"/>
          <w:tab w:val="left" w:pos="2001"/>
          <w:tab w:val="left" w:leader="dot" w:pos="7014"/>
          <w:tab w:val="left" w:pos="7371"/>
          <w:tab w:val="center" w:pos="9043"/>
        </w:tabs>
        <w:spacing w:before="120" w:after="120"/>
        <w:jc w:val="both"/>
        <w:rPr>
          <w:rFonts w:hint="cs"/>
          <w:rtl/>
          <w:lang w:eastAsia="en-US"/>
        </w:rPr>
      </w:pPr>
      <w:r>
        <w:rPr>
          <w:rFonts w:hint="cs"/>
          <w:rtl/>
          <w:lang w:eastAsia="en-US"/>
        </w:rPr>
        <w:tab/>
      </w:r>
      <w:r>
        <w:rPr>
          <w:rFonts w:hint="cs"/>
          <w:rtl/>
          <w:lang w:eastAsia="en-US"/>
        </w:rPr>
        <w:tab/>
        <w:t>2-</w:t>
      </w:r>
      <w:r>
        <w:rPr>
          <w:rFonts w:hint="cs"/>
          <w:rtl/>
          <w:lang w:eastAsia="en-US"/>
        </w:rPr>
        <w:tab/>
        <w:t>السلطة التنفيذية</w:t>
      </w:r>
      <w:r>
        <w:rPr>
          <w:rFonts w:hint="cs"/>
          <w:rtl/>
          <w:lang w:eastAsia="en-US"/>
        </w:rPr>
        <w:tab/>
      </w:r>
      <w:r>
        <w:rPr>
          <w:rFonts w:hint="cs"/>
          <w:rtl/>
          <w:lang w:eastAsia="en-US"/>
        </w:rPr>
        <w:tab/>
        <w:t>63-65</w:t>
      </w:r>
      <w:r>
        <w:rPr>
          <w:rFonts w:hint="cs"/>
          <w:rtl/>
          <w:lang w:eastAsia="en-US"/>
        </w:rPr>
        <w:tab/>
        <w:t>18</w:t>
      </w:r>
    </w:p>
    <w:p w:rsidR="00000000" w:rsidRDefault="00000000">
      <w:pPr>
        <w:tabs>
          <w:tab w:val="left" w:pos="822"/>
          <w:tab w:val="left" w:pos="1488"/>
          <w:tab w:val="left" w:pos="2001"/>
          <w:tab w:val="left" w:leader="dot" w:pos="7014"/>
          <w:tab w:val="left" w:pos="7371"/>
          <w:tab w:val="center" w:pos="9043"/>
        </w:tabs>
        <w:spacing w:before="120" w:after="120"/>
        <w:jc w:val="both"/>
        <w:rPr>
          <w:rFonts w:hint="cs"/>
          <w:rtl/>
          <w:lang w:eastAsia="en-US"/>
        </w:rPr>
      </w:pPr>
      <w:r>
        <w:rPr>
          <w:rFonts w:hint="cs"/>
          <w:rtl/>
          <w:lang w:eastAsia="en-US"/>
        </w:rPr>
        <w:tab/>
      </w:r>
      <w:r>
        <w:rPr>
          <w:rFonts w:hint="cs"/>
          <w:rtl/>
          <w:lang w:eastAsia="en-US"/>
        </w:rPr>
        <w:tab/>
        <w:t>3-</w:t>
      </w:r>
      <w:r>
        <w:rPr>
          <w:rFonts w:hint="cs"/>
          <w:rtl/>
          <w:lang w:eastAsia="en-US"/>
        </w:rPr>
        <w:tab/>
        <w:t>السلطة القضائية</w:t>
      </w:r>
      <w:r>
        <w:rPr>
          <w:rFonts w:hint="cs"/>
          <w:rtl/>
          <w:lang w:eastAsia="en-US"/>
        </w:rPr>
        <w:tab/>
      </w:r>
      <w:r>
        <w:rPr>
          <w:rFonts w:hint="cs"/>
          <w:rtl/>
          <w:lang w:eastAsia="en-US"/>
        </w:rPr>
        <w:tab/>
        <w:t>66-75</w:t>
      </w:r>
      <w:r>
        <w:rPr>
          <w:rFonts w:hint="cs"/>
          <w:rtl/>
          <w:lang w:eastAsia="en-US"/>
        </w:rPr>
        <w:tab/>
        <w:t>18</w:t>
      </w:r>
    </w:p>
    <w:p w:rsidR="00000000" w:rsidRDefault="00000000">
      <w:pPr>
        <w:tabs>
          <w:tab w:val="left" w:pos="822"/>
          <w:tab w:val="left" w:pos="1488"/>
          <w:tab w:val="left" w:pos="2001"/>
          <w:tab w:val="left" w:leader="dot" w:pos="7014"/>
          <w:tab w:val="left" w:pos="7371"/>
          <w:tab w:val="center" w:pos="9043"/>
        </w:tabs>
        <w:spacing w:before="120" w:after="120"/>
        <w:jc w:val="both"/>
        <w:rPr>
          <w:rFonts w:hint="cs"/>
          <w:rtl/>
          <w:lang w:eastAsia="en-US"/>
        </w:rPr>
      </w:pPr>
      <w:r>
        <w:rPr>
          <w:rFonts w:hint="cs"/>
          <w:rtl/>
          <w:lang w:eastAsia="en-US"/>
        </w:rPr>
        <w:tab/>
      </w:r>
      <w:r>
        <w:rPr>
          <w:rFonts w:hint="cs"/>
          <w:rtl/>
          <w:lang w:eastAsia="en-US"/>
        </w:rPr>
        <w:tab/>
        <w:t>4-</w:t>
      </w:r>
      <w:r>
        <w:rPr>
          <w:rFonts w:hint="cs"/>
          <w:rtl/>
          <w:lang w:eastAsia="en-US"/>
        </w:rPr>
        <w:tab/>
        <w:t>المحكمة الدستورية</w:t>
      </w:r>
      <w:r>
        <w:rPr>
          <w:rFonts w:hint="cs"/>
          <w:rtl/>
          <w:lang w:eastAsia="en-US"/>
        </w:rPr>
        <w:tab/>
      </w:r>
      <w:r>
        <w:rPr>
          <w:rFonts w:hint="cs"/>
          <w:rtl/>
          <w:lang w:eastAsia="en-US"/>
        </w:rPr>
        <w:tab/>
        <w:t>76-78</w:t>
      </w:r>
      <w:r>
        <w:rPr>
          <w:rFonts w:hint="cs"/>
          <w:rtl/>
          <w:lang w:eastAsia="en-US"/>
        </w:rPr>
        <w:tab/>
        <w:t>20</w:t>
      </w:r>
    </w:p>
    <w:p w:rsidR="00000000" w:rsidRDefault="00000000">
      <w:pPr>
        <w:tabs>
          <w:tab w:val="left" w:pos="822"/>
          <w:tab w:val="left" w:pos="1488"/>
          <w:tab w:val="left" w:pos="2001"/>
          <w:tab w:val="left" w:leader="dot" w:pos="7014"/>
          <w:tab w:val="left" w:pos="7371"/>
          <w:tab w:val="center" w:pos="9043"/>
        </w:tabs>
        <w:spacing w:before="120" w:after="120"/>
        <w:jc w:val="both"/>
        <w:rPr>
          <w:rFonts w:hint="cs"/>
          <w:rtl/>
          <w:lang w:eastAsia="en-US"/>
        </w:rPr>
      </w:pPr>
      <w:r>
        <w:rPr>
          <w:rFonts w:hint="cs"/>
          <w:rtl/>
          <w:lang w:eastAsia="en-US"/>
        </w:rPr>
        <w:t>ثالثاً-</w:t>
      </w:r>
      <w:r>
        <w:rPr>
          <w:rFonts w:hint="cs"/>
          <w:rtl/>
          <w:lang w:eastAsia="en-US"/>
        </w:rPr>
        <w:tab/>
        <w:t>الإطار القانوني العام لحماية حقوق الإنسان</w:t>
      </w:r>
      <w:r>
        <w:rPr>
          <w:rFonts w:hint="cs"/>
          <w:rtl/>
          <w:lang w:eastAsia="en-US"/>
        </w:rPr>
        <w:tab/>
      </w:r>
      <w:r>
        <w:rPr>
          <w:rFonts w:hint="cs"/>
          <w:rtl/>
          <w:lang w:eastAsia="en-US"/>
        </w:rPr>
        <w:tab/>
        <w:t>79-109</w:t>
      </w:r>
      <w:r>
        <w:rPr>
          <w:rFonts w:hint="cs"/>
          <w:rtl/>
          <w:lang w:eastAsia="en-US"/>
        </w:rPr>
        <w:tab/>
        <w:t>20</w:t>
      </w:r>
    </w:p>
    <w:p w:rsidR="00000000" w:rsidRDefault="00000000">
      <w:pPr>
        <w:tabs>
          <w:tab w:val="left" w:pos="822"/>
          <w:tab w:val="left" w:pos="1488"/>
          <w:tab w:val="left" w:pos="2001"/>
          <w:tab w:val="left" w:leader="dot" w:pos="7014"/>
          <w:tab w:val="left" w:pos="7371"/>
          <w:tab w:val="center" w:pos="9043"/>
        </w:tabs>
        <w:spacing w:before="120" w:after="120"/>
        <w:jc w:val="both"/>
        <w:rPr>
          <w:rFonts w:hint="cs"/>
          <w:rtl/>
          <w:lang w:eastAsia="en-US"/>
        </w:rPr>
      </w:pPr>
      <w:r>
        <w:rPr>
          <w:rFonts w:hint="cs"/>
          <w:rtl/>
          <w:lang w:eastAsia="en-US"/>
        </w:rPr>
        <w:tab/>
        <w:t>ألف-</w:t>
      </w:r>
      <w:r>
        <w:rPr>
          <w:rFonts w:hint="cs"/>
          <w:rtl/>
          <w:lang w:eastAsia="en-US"/>
        </w:rPr>
        <w:tab/>
        <w:t>السلطات التي يتصل اختصاصها بحقوق الإنسان</w:t>
      </w:r>
      <w:r>
        <w:rPr>
          <w:rFonts w:hint="cs"/>
          <w:rtl/>
          <w:lang w:eastAsia="en-US"/>
        </w:rPr>
        <w:tab/>
      </w:r>
      <w:r>
        <w:rPr>
          <w:rFonts w:hint="cs"/>
          <w:rtl/>
          <w:lang w:eastAsia="en-US"/>
        </w:rPr>
        <w:tab/>
        <w:t>79-87</w:t>
      </w:r>
      <w:r>
        <w:rPr>
          <w:rFonts w:hint="cs"/>
          <w:rtl/>
          <w:lang w:eastAsia="en-US"/>
        </w:rPr>
        <w:tab/>
        <w:t>20</w:t>
      </w:r>
    </w:p>
    <w:p w:rsidR="00000000" w:rsidRDefault="00000000">
      <w:pPr>
        <w:tabs>
          <w:tab w:val="left" w:pos="822"/>
          <w:tab w:val="left" w:pos="1488"/>
          <w:tab w:val="left" w:pos="2001"/>
          <w:tab w:val="left" w:leader="dot" w:pos="7014"/>
          <w:tab w:val="left" w:pos="7371"/>
          <w:tab w:val="center" w:pos="9043"/>
        </w:tabs>
        <w:spacing w:before="120" w:after="120"/>
        <w:jc w:val="both"/>
        <w:rPr>
          <w:rFonts w:hint="cs"/>
          <w:rtl/>
          <w:lang w:eastAsia="en-US"/>
        </w:rPr>
      </w:pPr>
      <w:r>
        <w:rPr>
          <w:rFonts w:hint="cs"/>
          <w:rtl/>
          <w:lang w:eastAsia="en-US"/>
        </w:rPr>
        <w:tab/>
      </w:r>
      <w:r>
        <w:rPr>
          <w:rFonts w:hint="cs"/>
          <w:rtl/>
          <w:lang w:eastAsia="en-US"/>
        </w:rPr>
        <w:tab/>
        <w:t>1-</w:t>
      </w:r>
      <w:r>
        <w:rPr>
          <w:rFonts w:hint="cs"/>
          <w:rtl/>
          <w:lang w:eastAsia="en-US"/>
        </w:rPr>
        <w:tab/>
        <w:t>السلطات التشريعية</w:t>
      </w:r>
      <w:r>
        <w:rPr>
          <w:rFonts w:hint="cs"/>
          <w:rtl/>
          <w:lang w:eastAsia="en-US"/>
        </w:rPr>
        <w:tab/>
      </w:r>
      <w:r>
        <w:rPr>
          <w:rFonts w:hint="cs"/>
          <w:rtl/>
          <w:lang w:eastAsia="en-US"/>
        </w:rPr>
        <w:tab/>
        <w:t>79-80</w:t>
      </w:r>
      <w:r>
        <w:rPr>
          <w:rFonts w:hint="cs"/>
          <w:rtl/>
          <w:lang w:eastAsia="en-US"/>
        </w:rPr>
        <w:tab/>
        <w:t>20</w:t>
      </w:r>
    </w:p>
    <w:p w:rsidR="00000000" w:rsidRDefault="00000000">
      <w:pPr>
        <w:tabs>
          <w:tab w:val="left" w:pos="822"/>
          <w:tab w:val="left" w:pos="1488"/>
          <w:tab w:val="left" w:pos="2001"/>
          <w:tab w:val="left" w:leader="dot" w:pos="7014"/>
          <w:tab w:val="left" w:pos="7371"/>
          <w:tab w:val="center" w:pos="9043"/>
        </w:tabs>
        <w:spacing w:before="120" w:after="120"/>
        <w:jc w:val="both"/>
        <w:rPr>
          <w:rFonts w:hint="cs"/>
          <w:rtl/>
          <w:lang w:eastAsia="en-US"/>
        </w:rPr>
      </w:pPr>
      <w:r>
        <w:rPr>
          <w:rFonts w:hint="cs"/>
          <w:rtl/>
          <w:lang w:eastAsia="en-US"/>
        </w:rPr>
        <w:tab/>
      </w:r>
      <w:r>
        <w:rPr>
          <w:rFonts w:hint="cs"/>
          <w:rtl/>
          <w:lang w:eastAsia="en-US"/>
        </w:rPr>
        <w:tab/>
        <w:t>2-</w:t>
      </w:r>
      <w:r>
        <w:rPr>
          <w:rFonts w:hint="cs"/>
          <w:rtl/>
          <w:lang w:eastAsia="en-US"/>
        </w:rPr>
        <w:tab/>
        <w:t>السلطات التنفيذية (مجلس الوزراء والحكم المحلي)</w:t>
      </w:r>
      <w:r>
        <w:rPr>
          <w:rFonts w:hint="cs"/>
          <w:rtl/>
          <w:lang w:eastAsia="en-US"/>
        </w:rPr>
        <w:tab/>
      </w:r>
      <w:r>
        <w:rPr>
          <w:rFonts w:hint="cs"/>
          <w:rtl/>
          <w:lang w:eastAsia="en-US"/>
        </w:rPr>
        <w:tab/>
        <w:t xml:space="preserve">  81</w:t>
      </w:r>
      <w:r>
        <w:rPr>
          <w:rFonts w:hint="cs"/>
          <w:rtl/>
          <w:lang w:eastAsia="en-US"/>
        </w:rPr>
        <w:tab/>
        <w:t>21</w:t>
      </w:r>
    </w:p>
    <w:p w:rsidR="00000000" w:rsidRDefault="00000000">
      <w:pPr>
        <w:tabs>
          <w:tab w:val="left" w:pos="822"/>
          <w:tab w:val="left" w:pos="1488"/>
          <w:tab w:val="left" w:pos="2001"/>
          <w:tab w:val="left" w:leader="dot" w:pos="7014"/>
          <w:tab w:val="left" w:pos="7371"/>
          <w:tab w:val="center" w:pos="9043"/>
        </w:tabs>
        <w:spacing w:before="120" w:after="120"/>
        <w:jc w:val="both"/>
        <w:rPr>
          <w:rFonts w:hint="cs"/>
          <w:rtl/>
          <w:lang w:eastAsia="en-US"/>
        </w:rPr>
      </w:pPr>
      <w:r>
        <w:rPr>
          <w:rFonts w:hint="cs"/>
          <w:rtl/>
          <w:lang w:eastAsia="en-US"/>
        </w:rPr>
        <w:tab/>
      </w:r>
      <w:r>
        <w:rPr>
          <w:rFonts w:hint="cs"/>
          <w:rtl/>
          <w:lang w:eastAsia="en-US"/>
        </w:rPr>
        <w:tab/>
        <w:t>3-</w:t>
      </w:r>
      <w:r>
        <w:rPr>
          <w:rFonts w:hint="cs"/>
          <w:rtl/>
          <w:lang w:eastAsia="en-US"/>
        </w:rPr>
        <w:tab/>
        <w:t>السلطات القضائية</w:t>
      </w:r>
      <w:r>
        <w:rPr>
          <w:rFonts w:hint="cs"/>
          <w:rtl/>
          <w:lang w:eastAsia="en-US"/>
        </w:rPr>
        <w:tab/>
      </w:r>
      <w:r>
        <w:rPr>
          <w:rFonts w:hint="cs"/>
          <w:rtl/>
          <w:lang w:eastAsia="en-US"/>
        </w:rPr>
        <w:tab/>
        <w:t>82-83</w:t>
      </w:r>
      <w:r>
        <w:rPr>
          <w:rFonts w:hint="cs"/>
          <w:rtl/>
          <w:lang w:eastAsia="en-US"/>
        </w:rPr>
        <w:tab/>
        <w:t>21</w:t>
      </w:r>
    </w:p>
    <w:p w:rsidR="00000000" w:rsidRDefault="00000000">
      <w:pPr>
        <w:tabs>
          <w:tab w:val="left" w:pos="822"/>
          <w:tab w:val="left" w:pos="1488"/>
          <w:tab w:val="left" w:pos="2001"/>
          <w:tab w:val="left" w:leader="dot" w:pos="7014"/>
          <w:tab w:val="left" w:pos="7371"/>
          <w:tab w:val="center" w:pos="9043"/>
        </w:tabs>
        <w:spacing w:before="120" w:after="120"/>
        <w:jc w:val="both"/>
        <w:rPr>
          <w:rFonts w:hint="cs"/>
          <w:rtl/>
          <w:lang w:eastAsia="en-US"/>
        </w:rPr>
      </w:pPr>
      <w:r>
        <w:rPr>
          <w:rFonts w:hint="cs"/>
          <w:rtl/>
          <w:lang w:eastAsia="en-US"/>
        </w:rPr>
        <w:tab/>
      </w:r>
      <w:r>
        <w:rPr>
          <w:rFonts w:hint="cs"/>
          <w:rtl/>
          <w:lang w:eastAsia="en-US"/>
        </w:rPr>
        <w:tab/>
        <w:t>4-</w:t>
      </w:r>
      <w:r>
        <w:rPr>
          <w:rFonts w:hint="cs"/>
          <w:rtl/>
          <w:lang w:eastAsia="en-US"/>
        </w:rPr>
        <w:tab/>
        <w:t>أمين المظالم</w:t>
      </w:r>
      <w:r>
        <w:rPr>
          <w:rFonts w:hint="cs"/>
          <w:rtl/>
          <w:lang w:eastAsia="en-US"/>
        </w:rPr>
        <w:tab/>
      </w:r>
      <w:r>
        <w:rPr>
          <w:rFonts w:hint="cs"/>
          <w:rtl/>
          <w:lang w:eastAsia="en-US"/>
        </w:rPr>
        <w:tab/>
        <w:t>84-87</w:t>
      </w:r>
      <w:r>
        <w:rPr>
          <w:rFonts w:hint="cs"/>
          <w:rtl/>
          <w:lang w:eastAsia="en-US"/>
        </w:rPr>
        <w:tab/>
        <w:t>22</w:t>
      </w:r>
    </w:p>
    <w:p w:rsidR="00000000" w:rsidRDefault="00000000">
      <w:pPr>
        <w:tabs>
          <w:tab w:val="left" w:pos="822"/>
          <w:tab w:val="left" w:pos="1488"/>
          <w:tab w:val="left" w:pos="2001"/>
          <w:tab w:val="left" w:leader="dot" w:pos="7014"/>
          <w:tab w:val="left" w:pos="7371"/>
          <w:tab w:val="center" w:pos="9043"/>
        </w:tabs>
        <w:spacing w:before="120" w:after="120"/>
        <w:jc w:val="both"/>
        <w:rPr>
          <w:rFonts w:hint="cs"/>
          <w:rtl/>
          <w:lang w:eastAsia="en-US"/>
        </w:rPr>
      </w:pPr>
      <w:r>
        <w:rPr>
          <w:rFonts w:hint="cs"/>
          <w:rtl/>
          <w:lang w:eastAsia="en-US"/>
        </w:rPr>
        <w:tab/>
        <w:t>باء-</w:t>
      </w:r>
      <w:r>
        <w:rPr>
          <w:rFonts w:hint="cs"/>
          <w:rtl/>
          <w:lang w:eastAsia="en-US"/>
        </w:rPr>
        <w:tab/>
        <w:t>سبل الانتصاف المتاحة للفرد الذي يدعي انتهاكاً لحقوقه</w:t>
      </w:r>
      <w:r>
        <w:rPr>
          <w:rFonts w:hint="cs"/>
          <w:rtl/>
          <w:lang w:eastAsia="en-US"/>
        </w:rPr>
        <w:tab/>
      </w:r>
      <w:r>
        <w:rPr>
          <w:rFonts w:hint="cs"/>
          <w:rtl/>
          <w:lang w:eastAsia="en-US"/>
        </w:rPr>
        <w:tab/>
        <w:t>88-93</w:t>
      </w:r>
      <w:r>
        <w:rPr>
          <w:rFonts w:hint="cs"/>
          <w:rtl/>
          <w:lang w:eastAsia="en-US"/>
        </w:rPr>
        <w:tab/>
        <w:t>22</w:t>
      </w:r>
    </w:p>
    <w:p w:rsidR="00000000" w:rsidRDefault="00000000">
      <w:pPr>
        <w:spacing w:before="120" w:after="120"/>
        <w:jc w:val="center"/>
        <w:rPr>
          <w:rFonts w:hint="cs"/>
          <w:b/>
          <w:bCs/>
          <w:i/>
          <w:iCs/>
          <w:szCs w:val="28"/>
          <w:rtl/>
          <w:lang w:eastAsia="en-US"/>
        </w:rPr>
      </w:pPr>
      <w:r>
        <w:rPr>
          <w:rtl/>
          <w:lang w:eastAsia="en-US"/>
        </w:rPr>
        <w:br w:type="page"/>
      </w:r>
      <w:r>
        <w:rPr>
          <w:b/>
          <w:bCs/>
          <w:sz w:val="36"/>
          <w:szCs w:val="36"/>
          <w:rtl/>
          <w:lang w:eastAsia="en-US"/>
        </w:rPr>
        <w:t>المحتويات</w:t>
      </w:r>
      <w:r>
        <w:rPr>
          <w:rFonts w:hint="cs"/>
          <w:b/>
          <w:bCs/>
          <w:sz w:val="36"/>
          <w:szCs w:val="36"/>
          <w:rtl/>
          <w:lang w:eastAsia="en-US"/>
        </w:rPr>
        <w:t xml:space="preserve"> </w:t>
      </w:r>
      <w:r>
        <w:rPr>
          <w:rFonts w:hint="cs"/>
          <w:b/>
          <w:bCs/>
          <w:i/>
          <w:iCs/>
          <w:sz w:val="36"/>
          <w:szCs w:val="36"/>
          <w:rtl/>
          <w:lang w:eastAsia="en-US"/>
        </w:rPr>
        <w:t>(تابع)</w:t>
      </w:r>
    </w:p>
    <w:p w:rsidR="00000000" w:rsidRDefault="00000000">
      <w:pPr>
        <w:tabs>
          <w:tab w:val="left" w:pos="7194"/>
          <w:tab w:val="right" w:pos="9354"/>
        </w:tabs>
        <w:spacing w:before="120" w:after="120"/>
        <w:jc w:val="both"/>
        <w:rPr>
          <w:i/>
          <w:iCs/>
          <w:rtl/>
          <w:lang w:eastAsia="en-US"/>
        </w:rPr>
      </w:pPr>
      <w:r>
        <w:rPr>
          <w:rtl/>
          <w:lang w:eastAsia="en-US"/>
        </w:rPr>
        <w:tab/>
      </w:r>
      <w:r>
        <w:rPr>
          <w:rFonts w:hint="cs"/>
          <w:i/>
          <w:iCs/>
          <w:rtl/>
          <w:lang w:eastAsia="en-US"/>
        </w:rPr>
        <w:t xml:space="preserve">  </w:t>
      </w:r>
      <w:r>
        <w:rPr>
          <w:i/>
          <w:iCs/>
          <w:rtl/>
          <w:lang w:eastAsia="en-US"/>
        </w:rPr>
        <w:t>الفق</w:t>
      </w:r>
      <w:r>
        <w:rPr>
          <w:rFonts w:hint="cs"/>
          <w:i/>
          <w:iCs/>
          <w:rtl/>
          <w:lang w:eastAsia="en-US"/>
        </w:rPr>
        <w:t>ـ</w:t>
      </w:r>
      <w:r>
        <w:rPr>
          <w:i/>
          <w:iCs/>
          <w:rtl/>
          <w:lang w:eastAsia="en-US"/>
        </w:rPr>
        <w:t>رات</w:t>
      </w:r>
      <w:r>
        <w:rPr>
          <w:i/>
          <w:iCs/>
          <w:rtl/>
          <w:lang w:eastAsia="en-US"/>
        </w:rPr>
        <w:tab/>
        <w:t>الصفحة</w:t>
      </w:r>
    </w:p>
    <w:p w:rsidR="00000000" w:rsidRDefault="00000000">
      <w:pPr>
        <w:tabs>
          <w:tab w:val="left" w:pos="822"/>
          <w:tab w:val="left" w:pos="1488"/>
          <w:tab w:val="left" w:pos="2001"/>
          <w:tab w:val="left" w:leader="dot" w:pos="7014"/>
          <w:tab w:val="left" w:pos="7371"/>
          <w:tab w:val="center" w:pos="9043"/>
        </w:tabs>
        <w:spacing w:before="120" w:after="120"/>
        <w:jc w:val="both"/>
        <w:rPr>
          <w:rFonts w:hint="cs"/>
          <w:rtl/>
          <w:lang w:eastAsia="en-US"/>
        </w:rPr>
      </w:pPr>
      <w:r>
        <w:rPr>
          <w:rFonts w:hint="cs"/>
          <w:rtl/>
          <w:lang w:eastAsia="en-US"/>
        </w:rPr>
        <w:tab/>
        <w:t>جيم</w:t>
      </w:r>
      <w:r>
        <w:rPr>
          <w:rFonts w:hint="cs"/>
          <w:rtl/>
          <w:lang w:eastAsia="en-US"/>
        </w:rPr>
        <w:tab/>
        <w:t>حقوق الإنسان والحريات الأساسية والدستور</w:t>
      </w:r>
      <w:r>
        <w:rPr>
          <w:rFonts w:hint="cs"/>
          <w:rtl/>
          <w:lang w:eastAsia="en-US"/>
        </w:rPr>
        <w:tab/>
      </w:r>
      <w:r>
        <w:rPr>
          <w:rFonts w:hint="cs"/>
          <w:rtl/>
          <w:lang w:eastAsia="en-US"/>
        </w:rPr>
        <w:tab/>
        <w:t xml:space="preserve">  94-99</w:t>
      </w:r>
      <w:r>
        <w:rPr>
          <w:rFonts w:hint="cs"/>
          <w:rtl/>
          <w:lang w:eastAsia="en-US"/>
        </w:rPr>
        <w:tab/>
        <w:t>23</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ab/>
      </w:r>
      <w:r>
        <w:rPr>
          <w:rFonts w:hint="cs"/>
          <w:rtl/>
          <w:lang w:eastAsia="en-US"/>
        </w:rPr>
        <w:tab/>
        <w:t>1-</w:t>
      </w:r>
      <w:r>
        <w:rPr>
          <w:rFonts w:hint="cs"/>
          <w:rtl/>
          <w:lang w:eastAsia="en-US"/>
        </w:rPr>
        <w:tab/>
        <w:t>الحقوق والحريات الفردية</w:t>
      </w:r>
      <w:r>
        <w:rPr>
          <w:rFonts w:hint="cs"/>
          <w:rtl/>
          <w:lang w:eastAsia="en-US"/>
        </w:rPr>
        <w:tab/>
      </w:r>
      <w:r>
        <w:rPr>
          <w:rFonts w:hint="cs"/>
          <w:rtl/>
          <w:lang w:eastAsia="en-US"/>
        </w:rPr>
        <w:tab/>
        <w:t xml:space="preserve">    96</w:t>
      </w:r>
      <w:r>
        <w:rPr>
          <w:rFonts w:hint="cs"/>
          <w:rtl/>
          <w:lang w:eastAsia="en-US"/>
        </w:rPr>
        <w:tab/>
        <w:t>24</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ab/>
      </w:r>
      <w:r>
        <w:rPr>
          <w:rFonts w:hint="cs"/>
          <w:rtl/>
          <w:lang w:eastAsia="en-US"/>
        </w:rPr>
        <w:tab/>
        <w:t>2-</w:t>
      </w:r>
      <w:r>
        <w:rPr>
          <w:rFonts w:hint="cs"/>
          <w:rtl/>
          <w:lang w:eastAsia="en-US"/>
        </w:rPr>
        <w:tab/>
        <w:t>الحقوق والحريات السياسية</w:t>
      </w:r>
      <w:r>
        <w:rPr>
          <w:rFonts w:hint="cs"/>
          <w:rtl/>
          <w:lang w:eastAsia="en-US"/>
        </w:rPr>
        <w:tab/>
      </w:r>
      <w:r>
        <w:rPr>
          <w:rFonts w:hint="cs"/>
          <w:rtl/>
          <w:lang w:eastAsia="en-US"/>
        </w:rPr>
        <w:tab/>
        <w:t xml:space="preserve">    97</w:t>
      </w:r>
      <w:r>
        <w:rPr>
          <w:rFonts w:hint="cs"/>
          <w:rtl/>
          <w:lang w:eastAsia="en-US"/>
        </w:rPr>
        <w:tab/>
        <w:t>25</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ab/>
      </w:r>
      <w:r>
        <w:rPr>
          <w:rFonts w:hint="cs"/>
          <w:rtl/>
          <w:lang w:eastAsia="en-US"/>
        </w:rPr>
        <w:tab/>
        <w:t>3-</w:t>
      </w:r>
      <w:r>
        <w:rPr>
          <w:rFonts w:hint="cs"/>
          <w:rtl/>
          <w:lang w:eastAsia="en-US"/>
        </w:rPr>
        <w:tab/>
        <w:t>الحقوق والحريات الاقتصادية والاجتماعية والثقافية</w:t>
      </w:r>
      <w:r>
        <w:rPr>
          <w:rFonts w:hint="cs"/>
          <w:rtl/>
          <w:lang w:eastAsia="en-US"/>
        </w:rPr>
        <w:tab/>
      </w:r>
      <w:r>
        <w:rPr>
          <w:rFonts w:hint="cs"/>
          <w:rtl/>
          <w:lang w:eastAsia="en-US"/>
        </w:rPr>
        <w:tab/>
        <w:t xml:space="preserve">  98-99</w:t>
      </w:r>
      <w:r>
        <w:rPr>
          <w:rFonts w:hint="cs"/>
          <w:rtl/>
          <w:lang w:eastAsia="en-US"/>
        </w:rPr>
        <w:tab/>
        <w:t>26</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ab/>
        <w:t>دال-</w:t>
      </w:r>
      <w:r>
        <w:rPr>
          <w:rFonts w:hint="cs"/>
          <w:rtl/>
          <w:lang w:eastAsia="en-US"/>
        </w:rPr>
        <w:tab/>
        <w:t>القوانين الخاصة بحماية واحترام حقوق الإنسان الأساسية</w:t>
      </w:r>
      <w:r>
        <w:rPr>
          <w:rFonts w:hint="cs"/>
          <w:rtl/>
          <w:lang w:eastAsia="en-US"/>
        </w:rPr>
        <w:tab/>
      </w:r>
      <w:r>
        <w:rPr>
          <w:rFonts w:hint="cs"/>
          <w:rtl/>
          <w:lang w:eastAsia="en-US"/>
        </w:rPr>
        <w:tab/>
        <w:t>100-101</w:t>
      </w:r>
      <w:r>
        <w:rPr>
          <w:rFonts w:hint="cs"/>
          <w:rtl/>
          <w:lang w:eastAsia="en-US"/>
        </w:rPr>
        <w:tab/>
        <w:t>26</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ab/>
        <w:t>هاء-</w:t>
      </w:r>
      <w:r>
        <w:rPr>
          <w:rFonts w:hint="cs"/>
          <w:rtl/>
          <w:lang w:eastAsia="en-US"/>
        </w:rPr>
        <w:tab/>
        <w:t>الاتفاقيات الدولية لحقوق الإنسان التي أصبحت ألباينا طرفاً فيها</w:t>
      </w:r>
      <w:r>
        <w:rPr>
          <w:rFonts w:hint="cs"/>
          <w:rtl/>
          <w:lang w:eastAsia="en-US"/>
        </w:rPr>
        <w:tab/>
      </w:r>
      <w:r>
        <w:rPr>
          <w:rFonts w:hint="cs"/>
          <w:rtl/>
          <w:lang w:eastAsia="en-US"/>
        </w:rPr>
        <w:tab/>
        <w:t>102-104</w:t>
      </w:r>
      <w:r>
        <w:rPr>
          <w:rFonts w:hint="cs"/>
          <w:rtl/>
          <w:lang w:eastAsia="en-US"/>
        </w:rPr>
        <w:tab/>
        <w:t>28</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ab/>
        <w:t>واو-</w:t>
      </w:r>
      <w:r>
        <w:rPr>
          <w:rFonts w:hint="cs"/>
          <w:rtl/>
          <w:lang w:eastAsia="en-US"/>
        </w:rPr>
        <w:tab/>
        <w:t>الصكوك الخاصة بحماية حقوق الإنسان، بوصفها جزءاً من النظـام</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ab/>
      </w:r>
      <w:r>
        <w:rPr>
          <w:rFonts w:hint="cs"/>
          <w:rtl/>
          <w:lang w:eastAsia="en-US"/>
        </w:rPr>
        <w:tab/>
        <w:t>القانوني الوطني</w:t>
      </w:r>
      <w:r>
        <w:rPr>
          <w:rFonts w:hint="cs"/>
          <w:rtl/>
          <w:lang w:eastAsia="en-US"/>
        </w:rPr>
        <w:tab/>
      </w:r>
      <w:r>
        <w:rPr>
          <w:rFonts w:hint="cs"/>
          <w:rtl/>
          <w:lang w:eastAsia="en-US"/>
        </w:rPr>
        <w:tab/>
        <w:t>105-109</w:t>
      </w:r>
      <w:r>
        <w:rPr>
          <w:rFonts w:hint="cs"/>
          <w:rtl/>
          <w:lang w:eastAsia="en-US"/>
        </w:rPr>
        <w:tab/>
        <w:t>31</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رابعاً-</w:t>
      </w:r>
      <w:r>
        <w:rPr>
          <w:rFonts w:hint="cs"/>
          <w:rtl/>
          <w:lang w:eastAsia="en-US"/>
        </w:rPr>
        <w:tab/>
        <w:t>الإعلام والدعاية</w:t>
      </w:r>
      <w:r>
        <w:rPr>
          <w:rFonts w:hint="cs"/>
          <w:rtl/>
          <w:lang w:eastAsia="en-US"/>
        </w:rPr>
        <w:tab/>
      </w:r>
      <w:r>
        <w:rPr>
          <w:rFonts w:hint="cs"/>
          <w:rtl/>
          <w:lang w:eastAsia="en-US"/>
        </w:rPr>
        <w:tab/>
        <w:t>110-119</w:t>
      </w:r>
      <w:r>
        <w:rPr>
          <w:rFonts w:hint="cs"/>
          <w:rtl/>
          <w:lang w:eastAsia="en-US"/>
        </w:rPr>
        <w:tab/>
        <w:t>32</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ab/>
        <w:t>ألف-</w:t>
      </w:r>
      <w:r>
        <w:rPr>
          <w:rFonts w:hint="cs"/>
          <w:rtl/>
          <w:lang w:eastAsia="en-US"/>
        </w:rPr>
        <w:tab/>
        <w:t>الارتقاء بمستوى الوعي لدى الجمهور والسلطات</w:t>
      </w:r>
      <w:r>
        <w:rPr>
          <w:rFonts w:hint="cs"/>
          <w:rtl/>
          <w:lang w:eastAsia="en-US"/>
        </w:rPr>
        <w:tab/>
      </w:r>
      <w:r>
        <w:rPr>
          <w:rFonts w:hint="cs"/>
          <w:rtl/>
          <w:lang w:eastAsia="en-US"/>
        </w:rPr>
        <w:tab/>
        <w:t>110-113</w:t>
      </w:r>
      <w:r>
        <w:rPr>
          <w:rFonts w:hint="cs"/>
          <w:rtl/>
          <w:lang w:eastAsia="en-US"/>
        </w:rPr>
        <w:tab/>
        <w:t>32</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ab/>
        <w:t>باء-</w:t>
      </w:r>
      <w:r>
        <w:rPr>
          <w:rFonts w:hint="cs"/>
          <w:rtl/>
          <w:lang w:eastAsia="en-US"/>
        </w:rPr>
        <w:tab/>
        <w:t>المؤسسات الحكومية المسؤولة عن عملية الإبلاغ</w:t>
      </w:r>
      <w:r>
        <w:rPr>
          <w:rFonts w:hint="cs"/>
          <w:rtl/>
          <w:lang w:eastAsia="en-US"/>
        </w:rPr>
        <w:tab/>
      </w:r>
      <w:r>
        <w:rPr>
          <w:rFonts w:hint="cs"/>
          <w:rtl/>
          <w:lang w:eastAsia="en-US"/>
        </w:rPr>
        <w:tab/>
        <w:t>114-119</w:t>
      </w:r>
      <w:r>
        <w:rPr>
          <w:rFonts w:hint="cs"/>
          <w:rtl/>
          <w:lang w:eastAsia="en-US"/>
        </w:rPr>
        <w:tab/>
        <w:t>32</w:t>
      </w:r>
    </w:p>
    <w:p w:rsidR="00000000" w:rsidRDefault="00000000">
      <w:pPr>
        <w:jc w:val="center"/>
        <w:rPr>
          <w:rFonts w:hint="cs"/>
          <w:sz w:val="36"/>
          <w:szCs w:val="36"/>
          <w:rtl/>
        </w:rPr>
      </w:pPr>
      <w:r>
        <w:rPr>
          <w:u w:val="single"/>
          <w:rtl/>
        </w:rPr>
        <w:br w:type="page"/>
      </w:r>
      <w:r>
        <w:rPr>
          <w:rFonts w:hint="cs"/>
          <w:sz w:val="36"/>
          <w:szCs w:val="36"/>
          <w:rtl/>
        </w:rPr>
        <w:t xml:space="preserve">أولاً- </w:t>
      </w:r>
      <w:r>
        <w:rPr>
          <w:rFonts w:hint="cs"/>
          <w:b/>
          <w:bCs/>
          <w:sz w:val="36"/>
          <w:szCs w:val="36"/>
          <w:rtl/>
        </w:rPr>
        <w:t>الأرض والسكان</w:t>
      </w:r>
    </w:p>
    <w:p w:rsidR="00000000" w:rsidRDefault="00000000">
      <w:pPr>
        <w:jc w:val="center"/>
        <w:rPr>
          <w:rFonts w:hint="cs"/>
          <w:rtl/>
        </w:rPr>
      </w:pPr>
      <w:r>
        <w:rPr>
          <w:rFonts w:hint="cs"/>
          <w:b/>
          <w:bCs/>
          <w:rtl/>
        </w:rPr>
        <w:t>ألف- الموقع الجغرافي</w:t>
      </w:r>
    </w:p>
    <w:p w:rsidR="00000000" w:rsidRDefault="00000000">
      <w:pPr>
        <w:jc w:val="both"/>
        <w:rPr>
          <w:rFonts w:hint="cs"/>
          <w:sz w:val="30"/>
          <w:rtl/>
        </w:rPr>
      </w:pPr>
      <w:r>
        <w:rPr>
          <w:rFonts w:hint="cs"/>
          <w:sz w:val="30"/>
          <w:rtl/>
        </w:rPr>
        <w:t>1-</w:t>
      </w:r>
      <w:r>
        <w:rPr>
          <w:rFonts w:hint="cs"/>
          <w:sz w:val="30"/>
          <w:rtl/>
        </w:rPr>
        <w:tab/>
        <w:t xml:space="preserve">تقع جمهورية ألبانيا في الجزء الغربي من شبه جزيرة البلقان. ويحدها من الشمال الجبل الأسود وكوسوفو، ومن الشمال الشرقي جمهورية مقدونيا اليوغوسلافية السابقة، ومن الجنوب والجنوب الشرقي اليونان. وتطل من الغرب والجنوب الغربي على البحرين الأدرياتيكي والإيوني. وتبلـغ مساحـة ألبانيا 748 28 كيلومتراً مربعاً، ويقع نحو 30 في المائة من أراضيها على ارتفاعٍ يزيد عن 000 1 متر فوق سطح البحر. وألبانيا بلد جبلي </w:t>
      </w:r>
      <w:r>
        <w:rPr>
          <w:rFonts w:hint="cs"/>
          <w:spacing w:val="4"/>
          <w:sz w:val="30"/>
          <w:rtl/>
        </w:rPr>
        <w:t>التضاريس أساساً، فالهضاب والجبال تشكل</w:t>
      </w:r>
      <w:r>
        <w:rPr>
          <w:rFonts w:hint="cs"/>
          <w:sz w:val="30"/>
          <w:rtl/>
        </w:rPr>
        <w:t xml:space="preserve"> ثلثي أراضيها بينما تشكل الحقول الباقي. ويبلغ طول حدودها 049 1 كيلومتراً، تتكون من شريط ساحلي يبلغ طوله 316 كيلومتراً، ومن حدودٍ برية يبلغ طولها 657 كيلومتراً، ومن أنهار طولها 48 كيلومتراً وبحيرات طولها 73 كيلومتراً.</w:t>
      </w:r>
    </w:p>
    <w:p w:rsidR="00000000" w:rsidRDefault="00000000">
      <w:pPr>
        <w:jc w:val="both"/>
        <w:rPr>
          <w:rFonts w:hint="cs"/>
          <w:sz w:val="30"/>
          <w:rtl/>
        </w:rPr>
      </w:pPr>
      <w:r>
        <w:rPr>
          <w:rFonts w:hint="cs"/>
          <w:sz w:val="30"/>
          <w:rtl/>
        </w:rPr>
        <w:t>2-</w:t>
      </w:r>
      <w:r>
        <w:rPr>
          <w:rFonts w:hint="cs"/>
          <w:sz w:val="30"/>
          <w:rtl/>
        </w:rPr>
        <w:tab/>
        <w:t>وتبلغ مساحة ألبانيا الإجمالية 000 875 2 هكتار، وتشكل الأراضي الصالحة للزراعة فيها نسبة 24 في المائة (000 699 هكتار)، بينما تشكل الغابات نسبة 36 في المائة (000 027 1 هكتار) والمراعي نسبة 15 في المائة وأنواع أخرى من الأراضي نسبة 25 في المائة.</w:t>
      </w:r>
    </w:p>
    <w:p w:rsidR="00000000" w:rsidRDefault="00000000">
      <w:pPr>
        <w:jc w:val="both"/>
        <w:rPr>
          <w:rFonts w:hint="cs"/>
          <w:sz w:val="30"/>
          <w:rtl/>
        </w:rPr>
      </w:pPr>
      <w:r>
        <w:rPr>
          <w:rFonts w:hint="cs"/>
          <w:sz w:val="30"/>
          <w:rtl/>
        </w:rPr>
        <w:t>3-</w:t>
      </w:r>
      <w:r>
        <w:rPr>
          <w:rFonts w:hint="cs"/>
          <w:sz w:val="30"/>
          <w:rtl/>
        </w:rPr>
        <w:tab/>
        <w:t>وتتميز السهول الساحلية بطقسٍ متوسطي، والصيف فيها حارٌّ وجاف، أما الشتاء فهو بارد ورطب. وتتراوح كمية الأمطار التي تهطل سنوياً بين 000 1 مليمتر تقريباً في السهول و000 3 مليمتر في المناطق المرتفعة. وتكاد تشكل الأمطار التي تهطل خلال الفترة الواقعة بين نيسان/أبريل وكانون الأول/ديسمبر نسبة 90 في المائة من مجملها.</w:t>
      </w:r>
    </w:p>
    <w:p w:rsidR="00000000" w:rsidRDefault="00000000">
      <w:pPr>
        <w:jc w:val="center"/>
        <w:rPr>
          <w:rFonts w:hint="cs"/>
          <w:b/>
          <w:bCs/>
          <w:sz w:val="30"/>
          <w:rtl/>
        </w:rPr>
      </w:pPr>
      <w:r>
        <w:rPr>
          <w:rFonts w:hint="cs"/>
          <w:b/>
          <w:bCs/>
          <w:sz w:val="30"/>
          <w:rtl/>
        </w:rPr>
        <w:t>باء- السكان</w:t>
      </w:r>
    </w:p>
    <w:p w:rsidR="00000000" w:rsidRDefault="00000000">
      <w:pPr>
        <w:jc w:val="both"/>
        <w:rPr>
          <w:rFonts w:hint="cs"/>
          <w:sz w:val="30"/>
          <w:rtl/>
        </w:rPr>
      </w:pPr>
      <w:r>
        <w:rPr>
          <w:rFonts w:hint="cs"/>
          <w:sz w:val="30"/>
          <w:rtl/>
        </w:rPr>
        <w:t>4-</w:t>
      </w:r>
      <w:r>
        <w:rPr>
          <w:rFonts w:hint="cs"/>
          <w:sz w:val="30"/>
          <w:rtl/>
        </w:rPr>
        <w:tab/>
        <w:t>يبلغ عدد السكان في ألبانيا 275 069 3 نسمة (وفقاً لإحصاءات عام 2001)، وتبلغ الكثافة السكانية 106.8 نسمة لكل كيلومتر مربع. وتبين هذه الإحصاءات أن 443 530 1 نسمة (49.9 في المائة) هم من الذكور وأن 832 538 1 نسمة (50.1 في المائة) هم من الإناث. ويقطن 196 294 1 نسمة أو ما نسبته 42.2 في المائة من السكان في المدن، بينما يقطن 079 775 1 نسمة أو ما نسبته 57.8 في المائة في القرى.</w:t>
      </w:r>
    </w:p>
    <w:p w:rsidR="00000000" w:rsidRDefault="00000000">
      <w:pPr>
        <w:jc w:val="both"/>
        <w:rPr>
          <w:rFonts w:hint="cs"/>
          <w:sz w:val="30"/>
          <w:rtl/>
        </w:rPr>
      </w:pPr>
      <w:r>
        <w:rPr>
          <w:rFonts w:hint="cs"/>
          <w:sz w:val="30"/>
          <w:rtl/>
        </w:rPr>
        <w:t>5-</w:t>
      </w:r>
      <w:r>
        <w:rPr>
          <w:rFonts w:hint="cs"/>
          <w:sz w:val="30"/>
          <w:rtl/>
        </w:rPr>
        <w:tab/>
        <w:t>والسكان في ألبانيا متجانسون إثنياً. فقد بينت إحصاءات عام 1989 أن نسبة 2 في المائة فقط من السكان أو 816 64 نسمة من مجموع 417 182 3 نسمة ينتمون إلى جنسياتٍ مختلفة: يونانيون أو مقدونيون أو من سكان الجبل الأسود.</w:t>
      </w:r>
    </w:p>
    <w:p w:rsidR="00000000" w:rsidRDefault="00000000">
      <w:pPr>
        <w:jc w:val="both"/>
        <w:rPr>
          <w:rFonts w:hint="cs"/>
          <w:sz w:val="30"/>
          <w:rtl/>
        </w:rPr>
      </w:pPr>
      <w:r>
        <w:rPr>
          <w:rFonts w:hint="cs"/>
          <w:sz w:val="30"/>
          <w:rtl/>
        </w:rPr>
        <w:t>6-</w:t>
      </w:r>
      <w:r>
        <w:rPr>
          <w:rFonts w:hint="cs"/>
          <w:sz w:val="30"/>
          <w:rtl/>
        </w:rPr>
        <w:tab/>
        <w:t xml:space="preserve">ويعتنق الشعب في ألبانيا ديانتين تتعايشان بسلام هما الإسلام والمسيحية، ويتفرع عنهما أربع طوائف دينية هي المسلمون والبكطاش والأورثوذكس والكاثوليك. وكان الألبان قد منعوا من ممارسة طقوسهم الدينية في الفترة من 1967 لغاية 1990. </w:t>
      </w:r>
    </w:p>
    <w:p w:rsidR="00000000" w:rsidRDefault="00000000">
      <w:pPr>
        <w:jc w:val="both"/>
        <w:rPr>
          <w:rFonts w:hint="cs"/>
          <w:sz w:val="30"/>
          <w:rtl/>
        </w:rPr>
      </w:pPr>
      <w:r>
        <w:rPr>
          <w:rFonts w:hint="cs"/>
          <w:sz w:val="30"/>
          <w:rtl/>
        </w:rPr>
        <w:t>7-</w:t>
      </w:r>
      <w:r>
        <w:rPr>
          <w:rFonts w:hint="cs"/>
          <w:sz w:val="30"/>
          <w:rtl/>
        </w:rPr>
        <w:tab/>
        <w:t xml:space="preserve">واللغة الرسمية للدولة هي الألبانية. </w:t>
      </w:r>
    </w:p>
    <w:p w:rsidR="00000000" w:rsidRDefault="00000000">
      <w:pPr>
        <w:jc w:val="both"/>
        <w:rPr>
          <w:rFonts w:hint="cs"/>
          <w:sz w:val="30"/>
          <w:rtl/>
        </w:rPr>
      </w:pPr>
      <w:r>
        <w:rPr>
          <w:rFonts w:hint="cs"/>
          <w:sz w:val="30"/>
          <w:rtl/>
        </w:rPr>
        <w:t>8-</w:t>
      </w:r>
      <w:r>
        <w:rPr>
          <w:rFonts w:hint="cs"/>
          <w:sz w:val="30"/>
          <w:rtl/>
        </w:rPr>
        <w:tab/>
        <w:t>وسجل عدد السكان، زيادة بنسبة 2.4 في المائة خلال الفترة 1950-1980. وسجل النمو السكاني في الفترة الواقعة بين إحصائي عام 1979 وعام 1989 زيادةً بلغت نسبتها 1.9 في المائة. بيد أن هذا الرقم انخفض في العقد الماضي الممتد بين عامي 1989 و1999 بنسبةٍ تناهز 1 في المائة.</w:t>
      </w:r>
    </w:p>
    <w:p w:rsidR="00000000" w:rsidRDefault="00000000">
      <w:pPr>
        <w:jc w:val="both"/>
        <w:rPr>
          <w:rFonts w:hint="cs"/>
          <w:sz w:val="30"/>
          <w:rtl/>
        </w:rPr>
      </w:pPr>
      <w:r>
        <w:rPr>
          <w:rFonts w:hint="cs"/>
          <w:sz w:val="30"/>
          <w:rtl/>
        </w:rPr>
        <w:t>9-</w:t>
      </w:r>
      <w:r>
        <w:rPr>
          <w:rFonts w:hint="cs"/>
          <w:sz w:val="30"/>
          <w:rtl/>
        </w:rPr>
        <w:tab/>
        <w:t>وفي عام 1990، شكلت الولادات في المدن نسبة 32 في المائة وفي الأرياف نسبة 68.8 في المائة من مجملها، بينما شكلت في عام 1999 نسبة 44.6 في المائة في المدن إزاء نسبة 55.4 في المائة في الأرياف. وانخفض معدل الولادات من 7 أطفال لكل امرأة في عام 1960 إلى أقل من 2.6 طفل لكل امرأة في عام 1995، وإلى 2.5 طفل في عام 1997. وفي عام 1996، بلغ عدد الولادات من الذكور نسبة 51.4 في المائة ومن الإناث نسبة 48.6 في المائة من مجملها. وانخفض معدل الولادات من 000 77 مولود في عام 1991 إلى 000 60 مولود في نهاية عام 1998. ويزيد معدل الولادات في الأرياف عنه في المدن بنسبة 25 في المائة تقريباً.</w:t>
      </w:r>
    </w:p>
    <w:p w:rsidR="00000000" w:rsidRDefault="00000000">
      <w:pPr>
        <w:jc w:val="both"/>
        <w:rPr>
          <w:rFonts w:hint="cs"/>
          <w:sz w:val="30"/>
          <w:rtl/>
        </w:rPr>
      </w:pPr>
      <w:r>
        <w:rPr>
          <w:rFonts w:hint="cs"/>
          <w:sz w:val="30"/>
          <w:rtl/>
        </w:rPr>
        <w:t>10-</w:t>
      </w:r>
      <w:r>
        <w:rPr>
          <w:rFonts w:hint="cs"/>
          <w:sz w:val="30"/>
          <w:rtl/>
        </w:rPr>
        <w:tab/>
        <w:t>وقد ظل معدل الوفيات على ما هو عليه خلال الفترة الواقعة بين عامي 1990-1999. وأثر ذلك تأثيراً مباشراً على المعدل الطبيعي للنمو السكاني. وفي عام 1999، وصل مجموع الوفيات إلى 720 16 حالة، كان منها 695 9 حالة من الذكور و025 7 حالة من الإناث. وكان خمس وستون في المائة من المتوفين قد عاشوا 60 عاماً فما فوق. وقد سجل أعلى معدل للوفيات في الأرياف. وكان من بين 720 16حالة من حالات الوفاة التي سجلت في عام 1999، 837 7 حالة وقعت في المدن أو ما نسبته 46.9 في المائة ، و883 8 حالة وقعت في الأرياف أو ما نسبته 53.1 في المائة.</w:t>
      </w:r>
    </w:p>
    <w:p w:rsidR="00000000" w:rsidRDefault="00000000">
      <w:pPr>
        <w:jc w:val="both"/>
        <w:rPr>
          <w:rFonts w:hint="cs"/>
          <w:sz w:val="30"/>
          <w:rtl/>
        </w:rPr>
      </w:pPr>
      <w:r>
        <w:rPr>
          <w:rFonts w:hint="cs"/>
          <w:sz w:val="30"/>
          <w:rtl/>
        </w:rPr>
        <w:t>11-</w:t>
      </w:r>
      <w:r>
        <w:rPr>
          <w:rFonts w:hint="cs"/>
          <w:sz w:val="30"/>
          <w:rtl/>
        </w:rPr>
        <w:tab/>
        <w:t>وقد أقر قانون الإجهاض في عام 1992. فوصل عدد حالات الإجهاض حتى نهاية عام 1996 إلى 450 حالة لكل 000 1 ولادة، بينما انخفض المعدل في عام 1997 ليسجل 358 حالة لكل 000 1 ولادة. بينما سُجلت، 315 حالة إجهاض لكل 1000 ولادة في عام 1998.</w:t>
      </w:r>
    </w:p>
    <w:p w:rsidR="00000000" w:rsidRDefault="00000000">
      <w:pPr>
        <w:jc w:val="both"/>
        <w:rPr>
          <w:rFonts w:hint="cs"/>
          <w:sz w:val="30"/>
          <w:rtl/>
        </w:rPr>
      </w:pPr>
      <w:r>
        <w:rPr>
          <w:rFonts w:hint="cs"/>
          <w:sz w:val="30"/>
          <w:rtl/>
        </w:rPr>
        <w:t>12-</w:t>
      </w:r>
      <w:r>
        <w:rPr>
          <w:rFonts w:hint="cs"/>
          <w:sz w:val="30"/>
          <w:rtl/>
        </w:rPr>
        <w:tab/>
        <w:t>وفي عام 1989، تسببت عمليات الإجهاض غير المشروعة في وفاة 55 في المائة من عدد وفيات الإناث أثناء الولادة، لكن هذا الرقم انخفض في عام 1992 إلى النصف بعدما أجاز القانون إنهاء الحمل غير المرغوب فيه. ورغم أن معدل الوفيات أثناء الولادة من الإناث قد انخفض في العقد الماضي إلى النصف، فإنه مازال مرتفعاً، وناهز 16.5 لكل 000 100 مولود حي في عام 1997.</w:t>
      </w:r>
    </w:p>
    <w:p w:rsidR="00000000" w:rsidRDefault="00000000">
      <w:pPr>
        <w:jc w:val="center"/>
        <w:rPr>
          <w:rFonts w:hint="cs"/>
          <w:b/>
          <w:bCs/>
          <w:sz w:val="30"/>
          <w:rtl/>
        </w:rPr>
      </w:pPr>
      <w:r>
        <w:rPr>
          <w:rFonts w:hint="cs"/>
          <w:b/>
          <w:bCs/>
          <w:sz w:val="30"/>
          <w:rtl/>
        </w:rPr>
        <w:t>الشكل 1</w:t>
      </w:r>
    </w:p>
    <w:p w:rsidR="00000000" w:rsidRDefault="00000000">
      <w:pPr>
        <w:jc w:val="center"/>
        <w:rPr>
          <w:rFonts w:hint="cs"/>
          <w:b/>
          <w:bCs/>
          <w:sz w:val="32"/>
          <w:szCs w:val="32"/>
          <w:rtl/>
        </w:rPr>
      </w:pPr>
      <w:r>
        <w:rPr>
          <w:rFonts w:hint="cs"/>
          <w:b/>
          <w:bCs/>
          <w:sz w:val="30"/>
          <w:rtl/>
        </w:rPr>
        <w:t>معدل وفيات الإناث لكل 000 100 مولود</w:t>
      </w:r>
    </w:p>
    <w:p w:rsidR="00000000" w:rsidRDefault="00000000">
      <w:pPr>
        <w:jc w:val="center"/>
        <w:rPr>
          <w:rFonts w:hint="cs"/>
          <w:b/>
          <w:bCs/>
          <w:sz w:val="32"/>
          <w:szCs w:val="32"/>
          <w:rt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5pt;height:130.5pt">
            <v:imagedata r:id="rId7" o:title="tabela"/>
          </v:shape>
        </w:pict>
      </w:r>
    </w:p>
    <w:p w:rsidR="00000000" w:rsidRDefault="00000000">
      <w:pPr>
        <w:spacing w:before="120" w:after="120"/>
        <w:jc w:val="both"/>
        <w:rPr>
          <w:rFonts w:hint="cs"/>
          <w:spacing w:val="2"/>
          <w:sz w:val="30"/>
          <w:rtl/>
        </w:rPr>
      </w:pPr>
      <w:r>
        <w:rPr>
          <w:rFonts w:hint="cs"/>
          <w:sz w:val="30"/>
          <w:rtl/>
        </w:rPr>
        <w:t>13-</w:t>
      </w:r>
      <w:r>
        <w:rPr>
          <w:rFonts w:hint="cs"/>
          <w:sz w:val="30"/>
          <w:rtl/>
        </w:rPr>
        <w:tab/>
        <w:t xml:space="preserve">وانخفض معدل وفيات الأطفال خلال الفترة 1990-2001 إلى النصف. وارتفع في المناطق الواقعة في جنوب شرق البلاد بنسبة 4 في المائة عن المعدل الوطني. ولوحظ من المقارنة أن عدد الذكور يفوق عدد الإناث بين الوفيات من هذه الفئة العمرية. وتبين، في عام 1999، أن عدد الوفيات من الأطفال دون السنة بلغ 408 أطفال من أصل 708 أطفال أو ما نسبته 57.6 في المائة، ومن الطفلات 300 طفلة أو ما نسبه 42.4 في المائة. وقد سجلت في المدن 331 حالة من حالات الوفاة هذه أو ما نسبته 46.8 في المائة، وفي الأرياف 377 حالة أو </w:t>
      </w:r>
      <w:r>
        <w:rPr>
          <w:rFonts w:hint="cs"/>
          <w:spacing w:val="2"/>
          <w:sz w:val="30"/>
          <w:rtl/>
        </w:rPr>
        <w:t>ما نسبته 53.2 في المائة. ويبلغ معدل وفيات الرضع حالياً 20 وفية لكل 000 1 مولود حي، علماً أن هناك اتجاهاً مستمراً نحو انخفاض معدل الوفيات. ويفوق عدد وفيات الرضع في شمال شرق البلاد المعدل الوطني بنسبة 4 في المائة.</w:t>
      </w:r>
    </w:p>
    <w:p w:rsidR="00000000" w:rsidRDefault="00000000">
      <w:pPr>
        <w:jc w:val="center"/>
        <w:rPr>
          <w:rFonts w:hint="cs"/>
          <w:b/>
          <w:bCs/>
          <w:sz w:val="30"/>
          <w:rtl/>
        </w:rPr>
      </w:pPr>
      <w:r>
        <w:rPr>
          <w:rFonts w:hint="cs"/>
          <w:b/>
          <w:bCs/>
          <w:sz w:val="30"/>
          <w:rtl/>
        </w:rPr>
        <w:t>الشكل 2</w:t>
      </w:r>
    </w:p>
    <w:p w:rsidR="00000000" w:rsidRDefault="00000000">
      <w:pPr>
        <w:jc w:val="center"/>
        <w:rPr>
          <w:b/>
          <w:bCs/>
          <w:sz w:val="30"/>
          <w:rtl/>
        </w:rPr>
      </w:pPr>
      <w:r>
        <w:rPr>
          <w:rFonts w:hint="cs"/>
          <w:b/>
          <w:bCs/>
          <w:sz w:val="30"/>
          <w:rtl/>
        </w:rPr>
        <w:t>عدد الوفيات من الرضع لكل 000 1 مولود</w:t>
      </w:r>
    </w:p>
    <w:p w:rsidR="00000000" w:rsidRDefault="00000000">
      <w:pPr>
        <w:jc w:val="center"/>
        <w:rPr>
          <w:rFonts w:hint="cs"/>
          <w:sz w:val="30"/>
          <w:rtl/>
        </w:rPr>
      </w:pPr>
      <w:r>
        <w:rPr>
          <w:rFonts w:ascii="Garamond" w:hAnsi="Garamond"/>
          <w:noProof/>
          <w:sz w:val="20"/>
          <w:lang w:val="ar-SA"/>
        </w:rPr>
        <w:pict>
          <v:rect id="_x0000_s2060" style="position:absolute;left:0;text-align:left;margin-left:163.85pt;margin-top:11.35pt;width:143.5pt;height:22.4pt;z-index:5;mso-wrap-edited:f" wrapcoords="-113 0 -113 21600 21713 21600 21713 0 -113 0" fillcolor="silver" stroked="f">
            <v:textbox style="mso-next-textbox:#_x0000_s2060" inset="0,0,0,0">
              <w:txbxContent>
                <w:p w:rsidR="00000000" w:rsidRDefault="00000000">
                  <w:pPr>
                    <w:spacing w:before="0" w:after="0" w:line="300" w:lineRule="exact"/>
                    <w:jc w:val="center"/>
                    <w:rPr>
                      <w:rFonts w:hint="cs"/>
                      <w:b/>
                      <w:bCs/>
                      <w:sz w:val="24"/>
                      <w:szCs w:val="24"/>
                      <w:rtl/>
                    </w:rPr>
                  </w:pPr>
                  <w:r>
                    <w:rPr>
                      <w:rFonts w:hint="cs"/>
                      <w:b/>
                      <w:bCs/>
                      <w:sz w:val="24"/>
                      <w:szCs w:val="24"/>
                      <w:rtl/>
                    </w:rPr>
                    <w:t>معدل وفيات الرضع</w:t>
                  </w:r>
                </w:p>
              </w:txbxContent>
            </v:textbox>
          </v:rect>
        </w:pict>
      </w:r>
      <w:r>
        <w:rPr>
          <w:rFonts w:ascii="Garamond" w:hAnsi="Garamond"/>
          <w:sz w:val="26"/>
        </w:rPr>
        <w:object w:dxaOrig="6735" w:dyaOrig="3840">
          <v:shape id="_x0000_i1026" type="#_x0000_t75" style="width:336.75pt;height:192pt" o:ole="" fillcolor="window">
            <v:imagedata r:id="rId8" o:title=""/>
          </v:shape>
          <o:OLEObject Type="Embed" ProgID="Excel.Sheet.8" ShapeID="_x0000_i1026" DrawAspect="Content" ObjectID="_1395885129" r:id="rId9"/>
        </w:object>
      </w:r>
    </w:p>
    <w:p w:rsidR="00000000" w:rsidRDefault="00000000">
      <w:pPr>
        <w:spacing w:before="140" w:after="140"/>
        <w:jc w:val="both"/>
        <w:rPr>
          <w:rFonts w:hint="cs"/>
          <w:sz w:val="30"/>
          <w:rtl/>
        </w:rPr>
      </w:pPr>
      <w:r>
        <w:rPr>
          <w:sz w:val="30"/>
          <w:rtl/>
        </w:rPr>
        <w:br w:type="page"/>
      </w:r>
      <w:r>
        <w:rPr>
          <w:rFonts w:hint="cs"/>
          <w:sz w:val="30"/>
          <w:rtl/>
        </w:rPr>
        <w:t>14-</w:t>
      </w:r>
      <w:r>
        <w:rPr>
          <w:rFonts w:hint="cs"/>
          <w:sz w:val="30"/>
          <w:rtl/>
        </w:rPr>
        <w:tab/>
        <w:t xml:space="preserve">ويبلغ متوسط عمر السكان 29 سنة. فنسبة 64 في المائة من السكان هم من الشباب الذين لم يتجاوزوا 34 سنة من العمر. وقد مثلت الفئة السكانية البالغة لسن التقاعد (وهو 55 عاماً للنساء و60 عاماً للرجال) نسبة 11 في المائة من السكان في نهاية عام 1998. </w:t>
      </w:r>
    </w:p>
    <w:p w:rsidR="00000000" w:rsidRDefault="00000000">
      <w:pPr>
        <w:spacing w:before="140" w:after="140"/>
        <w:jc w:val="both"/>
        <w:rPr>
          <w:rFonts w:hint="cs"/>
          <w:sz w:val="30"/>
          <w:rtl/>
        </w:rPr>
      </w:pPr>
      <w:r>
        <w:rPr>
          <w:rFonts w:hint="cs"/>
          <w:sz w:val="30"/>
          <w:rtl/>
        </w:rPr>
        <w:t>15-</w:t>
      </w:r>
      <w:r>
        <w:rPr>
          <w:rFonts w:hint="cs"/>
          <w:sz w:val="30"/>
          <w:rtl/>
        </w:rPr>
        <w:tab/>
        <w:t>وفي عام 1999، بلغ متوسط العمر المتوقع في ألبانيا 76.4 سنة للإناث و71.7 سنة للذكور.</w:t>
      </w:r>
    </w:p>
    <w:p w:rsidR="00000000" w:rsidRDefault="00000000">
      <w:pPr>
        <w:spacing w:before="140" w:after="140"/>
        <w:jc w:val="both"/>
        <w:rPr>
          <w:rFonts w:hint="cs"/>
          <w:sz w:val="30"/>
          <w:rtl/>
        </w:rPr>
      </w:pPr>
      <w:r>
        <w:rPr>
          <w:rFonts w:hint="cs"/>
          <w:sz w:val="30"/>
          <w:rtl/>
        </w:rPr>
        <w:t>16-</w:t>
      </w:r>
      <w:r>
        <w:rPr>
          <w:rFonts w:hint="cs"/>
          <w:sz w:val="30"/>
          <w:rtl/>
        </w:rPr>
        <w:tab/>
        <w:t>وقد أخل تنقل السكان بحرية ودون ضوابط بالتوازن السكاني بين الريف والمدينة. وتعيش غالبية السكان في الأرياف. وقد وصلت نسبتهم في عام 1989 إلى 64.5 في المائة من مجموع السكان، بينما وصلت نسبة الذين يعيشون في المدن إلى 5</w:t>
      </w:r>
      <w:r>
        <w:rPr>
          <w:sz w:val="30"/>
        </w:rPr>
        <w:t>,</w:t>
      </w:r>
      <w:r>
        <w:rPr>
          <w:rFonts w:hint="cs"/>
          <w:sz w:val="30"/>
          <w:rtl/>
        </w:rPr>
        <w:t>35 في المائة. لكن عدد سكان الأرياف انخفض في عام 1996 مسجلاً نسبة 56 في المائة. وأضحى عدد الذين يعيشون في المدن حتى نهاية عام 1999 يشكل نسبة 45.9 في المائة من السكان.</w:t>
      </w:r>
    </w:p>
    <w:p w:rsidR="00000000" w:rsidRDefault="00000000">
      <w:pPr>
        <w:spacing w:before="140" w:after="140"/>
        <w:jc w:val="both"/>
        <w:rPr>
          <w:rFonts w:hint="cs"/>
          <w:sz w:val="30"/>
          <w:rtl/>
        </w:rPr>
      </w:pPr>
      <w:r>
        <w:rPr>
          <w:rFonts w:hint="cs"/>
          <w:sz w:val="30"/>
          <w:rtl/>
        </w:rPr>
        <w:t>17-</w:t>
      </w:r>
      <w:r>
        <w:rPr>
          <w:rFonts w:hint="cs"/>
          <w:sz w:val="30"/>
          <w:rtl/>
        </w:rPr>
        <w:tab/>
        <w:t>وفي عام 1998، أصبح عدد الأسر أحادية الوالد 050 34 أسرة أو ما نسبته 6</w:t>
      </w:r>
      <w:r>
        <w:rPr>
          <w:sz w:val="30"/>
        </w:rPr>
        <w:t>,</w:t>
      </w:r>
      <w:r>
        <w:rPr>
          <w:rFonts w:hint="cs"/>
          <w:sz w:val="30"/>
          <w:rtl/>
        </w:rPr>
        <w:t>4 في المائة من مجموع عدد الأسر، ومنها 174 28 أسرة قائمة على الأم، و877 5 أسرة قائمة على الأب.</w:t>
      </w:r>
    </w:p>
    <w:p w:rsidR="00000000" w:rsidRDefault="00000000">
      <w:pPr>
        <w:spacing w:before="140" w:after="140"/>
        <w:jc w:val="center"/>
        <w:rPr>
          <w:rFonts w:hint="cs"/>
          <w:b/>
          <w:bCs/>
          <w:sz w:val="30"/>
          <w:rtl/>
        </w:rPr>
      </w:pPr>
      <w:r>
        <w:rPr>
          <w:rFonts w:hint="cs"/>
          <w:b/>
          <w:bCs/>
          <w:sz w:val="30"/>
          <w:rtl/>
        </w:rPr>
        <w:t>جيم - بيانات اجتماعية اقتصادية</w:t>
      </w:r>
    </w:p>
    <w:p w:rsidR="00000000" w:rsidRDefault="00000000">
      <w:pPr>
        <w:spacing w:before="140" w:after="140"/>
        <w:jc w:val="center"/>
        <w:rPr>
          <w:rFonts w:hint="cs"/>
          <w:sz w:val="30"/>
          <w:rtl/>
        </w:rPr>
      </w:pPr>
      <w:r>
        <w:rPr>
          <w:rFonts w:hint="cs"/>
          <w:b/>
          <w:bCs/>
          <w:sz w:val="30"/>
          <w:rtl/>
        </w:rPr>
        <w:t>1- الاقتصاد</w:t>
      </w:r>
    </w:p>
    <w:p w:rsidR="00000000" w:rsidRDefault="00000000">
      <w:pPr>
        <w:spacing w:before="140" w:after="140"/>
        <w:jc w:val="both"/>
        <w:rPr>
          <w:rFonts w:hint="cs"/>
          <w:b/>
          <w:bCs/>
          <w:sz w:val="30"/>
          <w:rtl/>
        </w:rPr>
      </w:pPr>
      <w:r>
        <w:rPr>
          <w:rFonts w:hint="cs"/>
          <w:sz w:val="30"/>
          <w:rtl/>
        </w:rPr>
        <w:t>18-</w:t>
      </w:r>
      <w:r>
        <w:rPr>
          <w:rFonts w:hint="cs"/>
          <w:sz w:val="30"/>
          <w:rtl/>
        </w:rPr>
        <w:tab/>
        <w:t>وصل معدل التضخم في نهاية عام 1992 إلى 240 في المائة. بينما سجل هذا المعدل في عام 1995 نسبة 6 في المائة. وأصبح 11 في المائة في عام 1997. ثم غدا 4.2 في المائة في عام 2000. والجدول التالي يبين حالة الناتج المحلي الإجمالي والتضخم وأوجه العجز في الميزانية خلال الفترة 1992-2001:</w:t>
      </w:r>
      <w:r>
        <w:rPr>
          <w:rFonts w:hint="cs"/>
          <w:b/>
          <w:bCs/>
          <w:sz w:val="30"/>
          <w:rtl/>
        </w:rPr>
        <w:t xml:space="preserve"> </w:t>
      </w:r>
    </w:p>
    <w:p w:rsidR="00000000" w:rsidRDefault="00000000">
      <w:pPr>
        <w:spacing w:before="140" w:after="140"/>
        <w:jc w:val="center"/>
        <w:rPr>
          <w:rFonts w:hint="cs"/>
          <w:b/>
          <w:bCs/>
          <w:sz w:val="32"/>
          <w:szCs w:val="32"/>
          <w:rtl/>
        </w:rPr>
      </w:pPr>
      <w:r>
        <w:rPr>
          <w:rFonts w:hint="cs"/>
          <w:b/>
          <w:bCs/>
          <w:sz w:val="32"/>
          <w:szCs w:val="32"/>
          <w:rtl/>
        </w:rPr>
        <w:t>الجدول 1</w:t>
      </w:r>
    </w:p>
    <w:p w:rsidR="00000000" w:rsidRDefault="00000000">
      <w:pPr>
        <w:spacing w:before="140" w:after="140"/>
        <w:jc w:val="center"/>
        <w:rPr>
          <w:rFonts w:hint="cs"/>
          <w:b/>
          <w:bCs/>
          <w:sz w:val="32"/>
          <w:szCs w:val="32"/>
          <w:rtl/>
        </w:rPr>
      </w:pPr>
      <w:r>
        <w:rPr>
          <w:rFonts w:hint="cs"/>
          <w:b/>
          <w:bCs/>
          <w:sz w:val="32"/>
          <w:szCs w:val="32"/>
          <w:rtl/>
        </w:rPr>
        <w:t>الناتج المحلي الإجمالي والتضخم وأوجه العجز في الميزانية*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gridCol w:w="984"/>
        <w:gridCol w:w="902"/>
        <w:gridCol w:w="875"/>
        <w:gridCol w:w="810"/>
        <w:gridCol w:w="810"/>
        <w:gridCol w:w="949"/>
        <w:gridCol w:w="984"/>
      </w:tblGrid>
      <w:tr w:rsidR="00AC31D5" w:rsidTr="00AC31D5">
        <w:tblPrEx>
          <w:tblCellMar>
            <w:top w:w="0" w:type="dxa"/>
            <w:bottom w:w="0" w:type="dxa"/>
          </w:tblCellMar>
        </w:tblPrEx>
        <w:tc>
          <w:tcPr>
            <w:tcW w:w="2985" w:type="dxa"/>
            <w:tcBorders>
              <w:bottom w:val="single" w:sz="4" w:space="0" w:color="auto"/>
            </w:tcBorders>
          </w:tcPr>
          <w:p w:rsidR="00AC31D5" w:rsidRDefault="00AC31D5">
            <w:pPr>
              <w:spacing w:before="60" w:after="60" w:line="260" w:lineRule="exact"/>
              <w:jc w:val="both"/>
              <w:rPr>
                <w:rFonts w:hint="cs"/>
                <w:sz w:val="24"/>
                <w:szCs w:val="24"/>
                <w:rtl/>
              </w:rPr>
            </w:pPr>
          </w:p>
          <w:p w:rsidR="00AC31D5" w:rsidRDefault="00AC31D5">
            <w:pPr>
              <w:spacing w:before="60" w:after="60" w:line="260" w:lineRule="exact"/>
              <w:jc w:val="both"/>
              <w:rPr>
                <w:rFonts w:hint="cs"/>
                <w:sz w:val="24"/>
                <w:szCs w:val="24"/>
              </w:rPr>
            </w:pPr>
            <w:r>
              <w:rPr>
                <w:rFonts w:hint="cs"/>
                <w:sz w:val="24"/>
                <w:szCs w:val="24"/>
                <w:rtl/>
              </w:rPr>
              <w:t>الإطار الزمني</w:t>
            </w:r>
          </w:p>
        </w:tc>
        <w:tc>
          <w:tcPr>
            <w:tcW w:w="984" w:type="dxa"/>
            <w:tcBorders>
              <w:bottom w:val="single" w:sz="4" w:space="0" w:color="auto"/>
            </w:tcBorders>
          </w:tcPr>
          <w:p w:rsidR="00AC31D5" w:rsidRDefault="00AC31D5">
            <w:pPr>
              <w:spacing w:before="60" w:after="60" w:line="260" w:lineRule="exact"/>
              <w:jc w:val="both"/>
              <w:rPr>
                <w:rFonts w:hint="cs"/>
                <w:sz w:val="24"/>
                <w:szCs w:val="24"/>
              </w:rPr>
            </w:pPr>
            <w:r>
              <w:rPr>
                <w:rFonts w:hint="cs"/>
                <w:sz w:val="24"/>
                <w:szCs w:val="24"/>
                <w:rtl/>
              </w:rPr>
              <w:t>1992-1996</w:t>
            </w:r>
          </w:p>
        </w:tc>
        <w:tc>
          <w:tcPr>
            <w:tcW w:w="902" w:type="dxa"/>
            <w:tcBorders>
              <w:bottom w:val="single" w:sz="4" w:space="0" w:color="auto"/>
            </w:tcBorders>
          </w:tcPr>
          <w:p w:rsidR="00AC31D5" w:rsidRDefault="00AC31D5">
            <w:pPr>
              <w:spacing w:before="60" w:after="60" w:line="260" w:lineRule="exact"/>
              <w:jc w:val="both"/>
              <w:rPr>
                <w:rFonts w:hint="cs"/>
                <w:sz w:val="24"/>
                <w:szCs w:val="24"/>
              </w:rPr>
            </w:pPr>
            <w:r>
              <w:rPr>
                <w:sz w:val="24"/>
                <w:szCs w:val="24"/>
                <w:rtl/>
              </w:rPr>
              <w:br/>
            </w:r>
            <w:r>
              <w:rPr>
                <w:rFonts w:hint="cs"/>
                <w:sz w:val="24"/>
                <w:szCs w:val="24"/>
                <w:rtl/>
              </w:rPr>
              <w:t>1997</w:t>
            </w:r>
          </w:p>
        </w:tc>
        <w:tc>
          <w:tcPr>
            <w:tcW w:w="875" w:type="dxa"/>
            <w:tcBorders>
              <w:bottom w:val="single" w:sz="4" w:space="0" w:color="auto"/>
            </w:tcBorders>
          </w:tcPr>
          <w:p w:rsidR="00AC31D5" w:rsidRDefault="00AC31D5">
            <w:pPr>
              <w:spacing w:before="60" w:after="60" w:line="260" w:lineRule="exact"/>
              <w:jc w:val="both"/>
              <w:rPr>
                <w:rFonts w:hint="cs"/>
                <w:sz w:val="24"/>
                <w:szCs w:val="24"/>
              </w:rPr>
            </w:pPr>
            <w:r>
              <w:rPr>
                <w:sz w:val="24"/>
                <w:szCs w:val="24"/>
                <w:rtl/>
              </w:rPr>
              <w:br/>
            </w:r>
            <w:r>
              <w:rPr>
                <w:rFonts w:hint="cs"/>
                <w:sz w:val="24"/>
                <w:szCs w:val="24"/>
                <w:rtl/>
              </w:rPr>
              <w:t>1998</w:t>
            </w:r>
          </w:p>
        </w:tc>
        <w:tc>
          <w:tcPr>
            <w:tcW w:w="810" w:type="dxa"/>
            <w:tcBorders>
              <w:bottom w:val="single" w:sz="4" w:space="0" w:color="auto"/>
            </w:tcBorders>
          </w:tcPr>
          <w:p w:rsidR="00AC31D5" w:rsidRDefault="00AC31D5">
            <w:pPr>
              <w:spacing w:before="60" w:after="60" w:line="260" w:lineRule="exact"/>
              <w:jc w:val="both"/>
              <w:rPr>
                <w:rFonts w:hint="cs"/>
                <w:sz w:val="24"/>
                <w:szCs w:val="24"/>
              </w:rPr>
            </w:pPr>
            <w:r>
              <w:rPr>
                <w:sz w:val="24"/>
                <w:szCs w:val="24"/>
                <w:rtl/>
              </w:rPr>
              <w:br/>
            </w:r>
            <w:r>
              <w:rPr>
                <w:rFonts w:hint="cs"/>
                <w:sz w:val="24"/>
                <w:szCs w:val="24"/>
                <w:rtl/>
              </w:rPr>
              <w:t>1999</w:t>
            </w:r>
          </w:p>
        </w:tc>
        <w:tc>
          <w:tcPr>
            <w:tcW w:w="810" w:type="dxa"/>
            <w:tcBorders>
              <w:bottom w:val="single" w:sz="4" w:space="0" w:color="auto"/>
            </w:tcBorders>
          </w:tcPr>
          <w:p w:rsidR="00AC31D5" w:rsidRDefault="00AC31D5">
            <w:pPr>
              <w:spacing w:before="60" w:after="60" w:line="260" w:lineRule="exact"/>
              <w:jc w:val="both"/>
              <w:rPr>
                <w:rFonts w:hint="cs"/>
                <w:sz w:val="24"/>
                <w:szCs w:val="24"/>
              </w:rPr>
            </w:pPr>
            <w:r>
              <w:rPr>
                <w:sz w:val="24"/>
                <w:szCs w:val="24"/>
                <w:rtl/>
              </w:rPr>
              <w:br/>
            </w:r>
            <w:r>
              <w:rPr>
                <w:rFonts w:hint="cs"/>
                <w:sz w:val="24"/>
                <w:szCs w:val="24"/>
                <w:rtl/>
              </w:rPr>
              <w:t>2000</w:t>
            </w:r>
          </w:p>
        </w:tc>
        <w:tc>
          <w:tcPr>
            <w:tcW w:w="949" w:type="dxa"/>
            <w:tcBorders>
              <w:bottom w:val="single" w:sz="4" w:space="0" w:color="auto"/>
            </w:tcBorders>
          </w:tcPr>
          <w:p w:rsidR="00AC31D5" w:rsidRDefault="00AC31D5">
            <w:pPr>
              <w:spacing w:before="60" w:after="60" w:line="260" w:lineRule="exact"/>
              <w:jc w:val="both"/>
              <w:rPr>
                <w:rFonts w:hint="cs"/>
                <w:sz w:val="24"/>
                <w:szCs w:val="24"/>
              </w:rPr>
            </w:pPr>
            <w:r>
              <w:rPr>
                <w:sz w:val="24"/>
                <w:szCs w:val="24"/>
                <w:rtl/>
              </w:rPr>
              <w:br/>
            </w:r>
            <w:r>
              <w:rPr>
                <w:rFonts w:hint="cs"/>
                <w:sz w:val="24"/>
                <w:szCs w:val="24"/>
                <w:rtl/>
              </w:rPr>
              <w:t>2001</w:t>
            </w:r>
          </w:p>
        </w:tc>
        <w:tc>
          <w:tcPr>
            <w:tcW w:w="984" w:type="dxa"/>
            <w:tcBorders>
              <w:bottom w:val="single" w:sz="4" w:space="0" w:color="auto"/>
            </w:tcBorders>
          </w:tcPr>
          <w:p w:rsidR="00AC31D5" w:rsidRDefault="00AC31D5">
            <w:pPr>
              <w:spacing w:before="60" w:after="60" w:line="260" w:lineRule="exact"/>
              <w:jc w:val="both"/>
              <w:rPr>
                <w:rFonts w:hint="cs"/>
                <w:sz w:val="24"/>
                <w:szCs w:val="24"/>
              </w:rPr>
            </w:pPr>
            <w:r>
              <w:rPr>
                <w:rFonts w:hint="cs"/>
                <w:sz w:val="24"/>
                <w:szCs w:val="24"/>
                <w:rtl/>
              </w:rPr>
              <w:t>1997-</w:t>
            </w:r>
            <w:r>
              <w:rPr>
                <w:sz w:val="24"/>
                <w:szCs w:val="24"/>
                <w:rtl/>
              </w:rPr>
              <w:br/>
            </w:r>
            <w:r>
              <w:rPr>
                <w:rFonts w:hint="cs"/>
                <w:sz w:val="24"/>
                <w:szCs w:val="24"/>
                <w:rtl/>
              </w:rPr>
              <w:t>2001</w:t>
            </w:r>
          </w:p>
        </w:tc>
      </w:tr>
      <w:tr w:rsidR="00AC31D5" w:rsidTr="00AC31D5">
        <w:tblPrEx>
          <w:tblCellMar>
            <w:top w:w="0" w:type="dxa"/>
            <w:bottom w:w="0" w:type="dxa"/>
          </w:tblCellMar>
        </w:tblPrEx>
        <w:tc>
          <w:tcPr>
            <w:tcW w:w="2985" w:type="dxa"/>
            <w:tcBorders>
              <w:bottom w:val="nil"/>
            </w:tcBorders>
          </w:tcPr>
          <w:p w:rsidR="00AC31D5" w:rsidRDefault="00AC31D5">
            <w:pPr>
              <w:spacing w:before="60" w:after="60" w:line="280" w:lineRule="exact"/>
              <w:jc w:val="both"/>
              <w:rPr>
                <w:rFonts w:hint="cs"/>
                <w:sz w:val="24"/>
                <w:szCs w:val="24"/>
              </w:rPr>
            </w:pPr>
            <w:r>
              <w:rPr>
                <w:rFonts w:hint="cs"/>
                <w:sz w:val="24"/>
                <w:szCs w:val="24"/>
                <w:rtl/>
              </w:rPr>
              <w:t>الزيادة السنوية للناتج المحلي الإجمالي (بالنسبة المئوية)</w:t>
            </w:r>
          </w:p>
        </w:tc>
        <w:tc>
          <w:tcPr>
            <w:tcW w:w="984" w:type="dxa"/>
            <w:tcBorders>
              <w:bottom w:val="nil"/>
            </w:tcBorders>
          </w:tcPr>
          <w:p w:rsidR="00AC31D5" w:rsidRDefault="00AC31D5">
            <w:pPr>
              <w:spacing w:before="60" w:after="60" w:line="280" w:lineRule="exact"/>
              <w:jc w:val="both"/>
              <w:rPr>
                <w:rFonts w:hint="cs"/>
                <w:sz w:val="24"/>
                <w:szCs w:val="24"/>
              </w:rPr>
            </w:pPr>
            <w:r>
              <w:rPr>
                <w:rFonts w:hint="cs"/>
                <w:sz w:val="24"/>
                <w:szCs w:val="24"/>
                <w:rtl/>
              </w:rPr>
              <w:t>9.33</w:t>
            </w:r>
          </w:p>
        </w:tc>
        <w:tc>
          <w:tcPr>
            <w:tcW w:w="902" w:type="dxa"/>
            <w:tcBorders>
              <w:bottom w:val="nil"/>
            </w:tcBorders>
          </w:tcPr>
          <w:p w:rsidR="00AC31D5" w:rsidRDefault="00AC31D5">
            <w:pPr>
              <w:spacing w:before="60" w:after="60" w:line="280" w:lineRule="exact"/>
              <w:jc w:val="both"/>
              <w:rPr>
                <w:rFonts w:hint="cs"/>
                <w:sz w:val="24"/>
                <w:szCs w:val="24"/>
              </w:rPr>
            </w:pPr>
            <w:r>
              <w:rPr>
                <w:rFonts w:hint="cs"/>
                <w:sz w:val="24"/>
                <w:szCs w:val="24"/>
                <w:rtl/>
              </w:rPr>
              <w:t>-7.00</w:t>
            </w:r>
          </w:p>
        </w:tc>
        <w:tc>
          <w:tcPr>
            <w:tcW w:w="875" w:type="dxa"/>
            <w:tcBorders>
              <w:bottom w:val="nil"/>
            </w:tcBorders>
          </w:tcPr>
          <w:p w:rsidR="00AC31D5" w:rsidRDefault="00AC31D5">
            <w:pPr>
              <w:spacing w:before="60" w:after="60" w:line="280" w:lineRule="exact"/>
              <w:jc w:val="both"/>
              <w:rPr>
                <w:rFonts w:hint="cs"/>
                <w:sz w:val="24"/>
                <w:szCs w:val="24"/>
              </w:rPr>
            </w:pPr>
            <w:r>
              <w:rPr>
                <w:rFonts w:hint="cs"/>
                <w:sz w:val="24"/>
                <w:szCs w:val="24"/>
                <w:rtl/>
              </w:rPr>
              <w:t>8.00</w:t>
            </w:r>
          </w:p>
        </w:tc>
        <w:tc>
          <w:tcPr>
            <w:tcW w:w="810" w:type="dxa"/>
            <w:tcBorders>
              <w:bottom w:val="nil"/>
            </w:tcBorders>
          </w:tcPr>
          <w:p w:rsidR="00AC31D5" w:rsidRDefault="00AC31D5">
            <w:pPr>
              <w:spacing w:before="60" w:after="60" w:line="280" w:lineRule="exact"/>
              <w:jc w:val="both"/>
              <w:rPr>
                <w:rFonts w:hint="cs"/>
                <w:sz w:val="24"/>
                <w:szCs w:val="24"/>
              </w:rPr>
            </w:pPr>
            <w:r>
              <w:rPr>
                <w:rFonts w:hint="cs"/>
                <w:sz w:val="24"/>
                <w:szCs w:val="24"/>
                <w:rtl/>
              </w:rPr>
              <w:t>7.26</w:t>
            </w:r>
          </w:p>
        </w:tc>
        <w:tc>
          <w:tcPr>
            <w:tcW w:w="810" w:type="dxa"/>
            <w:tcBorders>
              <w:bottom w:val="nil"/>
            </w:tcBorders>
          </w:tcPr>
          <w:p w:rsidR="00AC31D5" w:rsidRDefault="00AC31D5">
            <w:pPr>
              <w:spacing w:before="60" w:after="60" w:line="280" w:lineRule="exact"/>
              <w:jc w:val="both"/>
              <w:rPr>
                <w:rFonts w:hint="cs"/>
                <w:sz w:val="24"/>
                <w:szCs w:val="24"/>
              </w:rPr>
            </w:pPr>
            <w:r>
              <w:rPr>
                <w:rFonts w:hint="cs"/>
                <w:sz w:val="24"/>
                <w:szCs w:val="24"/>
                <w:rtl/>
              </w:rPr>
              <w:t>7.76</w:t>
            </w:r>
          </w:p>
        </w:tc>
        <w:tc>
          <w:tcPr>
            <w:tcW w:w="949" w:type="dxa"/>
            <w:tcBorders>
              <w:bottom w:val="nil"/>
            </w:tcBorders>
          </w:tcPr>
          <w:p w:rsidR="00AC31D5" w:rsidRDefault="00AC31D5">
            <w:pPr>
              <w:spacing w:before="60" w:after="60" w:line="280" w:lineRule="exact"/>
              <w:jc w:val="both"/>
              <w:rPr>
                <w:rFonts w:hint="cs"/>
                <w:sz w:val="24"/>
                <w:szCs w:val="24"/>
              </w:rPr>
            </w:pPr>
            <w:r>
              <w:rPr>
                <w:rFonts w:hint="cs"/>
                <w:sz w:val="24"/>
                <w:szCs w:val="24"/>
                <w:rtl/>
              </w:rPr>
              <w:t>7.28</w:t>
            </w:r>
          </w:p>
        </w:tc>
        <w:tc>
          <w:tcPr>
            <w:tcW w:w="984" w:type="dxa"/>
            <w:tcBorders>
              <w:bottom w:val="nil"/>
            </w:tcBorders>
          </w:tcPr>
          <w:p w:rsidR="00AC31D5" w:rsidRDefault="00AC31D5">
            <w:pPr>
              <w:spacing w:before="60" w:after="60" w:line="280" w:lineRule="exact"/>
              <w:jc w:val="both"/>
              <w:rPr>
                <w:rFonts w:hint="cs"/>
                <w:sz w:val="24"/>
                <w:szCs w:val="24"/>
              </w:rPr>
            </w:pPr>
            <w:r>
              <w:rPr>
                <w:rFonts w:hint="cs"/>
                <w:sz w:val="24"/>
                <w:szCs w:val="24"/>
                <w:rtl/>
              </w:rPr>
              <w:t>6.78</w:t>
            </w:r>
          </w:p>
        </w:tc>
      </w:tr>
      <w:tr w:rsidR="00AC31D5" w:rsidTr="00AC31D5">
        <w:tblPrEx>
          <w:tblCellMar>
            <w:top w:w="0" w:type="dxa"/>
            <w:bottom w:w="0" w:type="dxa"/>
          </w:tblCellMar>
        </w:tblPrEx>
        <w:tc>
          <w:tcPr>
            <w:tcW w:w="2985" w:type="dxa"/>
            <w:tcBorders>
              <w:top w:val="nil"/>
              <w:bottom w:val="nil"/>
            </w:tcBorders>
          </w:tcPr>
          <w:p w:rsidR="00AC31D5" w:rsidRDefault="00AC31D5">
            <w:pPr>
              <w:spacing w:before="60" w:after="60" w:line="280" w:lineRule="exact"/>
              <w:jc w:val="both"/>
              <w:rPr>
                <w:rFonts w:hint="cs"/>
                <w:sz w:val="24"/>
                <w:szCs w:val="24"/>
                <w:rtl/>
              </w:rPr>
            </w:pPr>
            <w:r>
              <w:rPr>
                <w:rFonts w:hint="cs"/>
                <w:sz w:val="24"/>
                <w:szCs w:val="24"/>
                <w:rtl/>
              </w:rPr>
              <w:t>متوسط التضخم السنوي (بالنسبة المئوية)</w:t>
            </w:r>
          </w:p>
          <w:p w:rsidR="00AC31D5" w:rsidRDefault="00AC31D5">
            <w:pPr>
              <w:spacing w:before="60" w:after="60" w:line="280" w:lineRule="exact"/>
              <w:jc w:val="both"/>
              <w:rPr>
                <w:rFonts w:hint="cs"/>
                <w:sz w:val="24"/>
                <w:szCs w:val="24"/>
                <w:rtl/>
              </w:rPr>
            </w:pPr>
            <w:r>
              <w:rPr>
                <w:rFonts w:hint="cs"/>
                <w:sz w:val="24"/>
                <w:szCs w:val="24"/>
                <w:rtl/>
              </w:rPr>
              <w:t>التضخم في نهاية الفترة (بالنسبة المئوية)</w:t>
            </w:r>
          </w:p>
        </w:tc>
        <w:tc>
          <w:tcPr>
            <w:tcW w:w="984" w:type="dxa"/>
            <w:tcBorders>
              <w:top w:val="nil"/>
              <w:bottom w:val="nil"/>
            </w:tcBorders>
          </w:tcPr>
          <w:p w:rsidR="00AC31D5" w:rsidRDefault="00AC31D5">
            <w:pPr>
              <w:spacing w:before="60" w:after="60" w:line="280" w:lineRule="exact"/>
              <w:jc w:val="both"/>
              <w:rPr>
                <w:rFonts w:hint="cs"/>
                <w:sz w:val="24"/>
                <w:szCs w:val="24"/>
                <w:rtl/>
              </w:rPr>
            </w:pPr>
            <w:r>
              <w:rPr>
                <w:rFonts w:hint="cs"/>
                <w:sz w:val="24"/>
                <w:szCs w:val="24"/>
                <w:rtl/>
              </w:rPr>
              <w:t>35.0</w:t>
            </w:r>
          </w:p>
          <w:p w:rsidR="00AC31D5" w:rsidRDefault="00AC31D5">
            <w:pPr>
              <w:spacing w:before="60" w:after="60" w:line="280" w:lineRule="exact"/>
              <w:jc w:val="both"/>
              <w:rPr>
                <w:rFonts w:hint="cs"/>
                <w:sz w:val="24"/>
                <w:szCs w:val="24"/>
              </w:rPr>
            </w:pPr>
          </w:p>
        </w:tc>
        <w:tc>
          <w:tcPr>
            <w:tcW w:w="902" w:type="dxa"/>
            <w:tcBorders>
              <w:top w:val="nil"/>
              <w:bottom w:val="nil"/>
            </w:tcBorders>
          </w:tcPr>
          <w:p w:rsidR="00AC31D5" w:rsidRDefault="00AC31D5">
            <w:pPr>
              <w:spacing w:before="60" w:after="60" w:line="280" w:lineRule="exact"/>
              <w:jc w:val="both"/>
              <w:rPr>
                <w:rFonts w:hint="cs"/>
                <w:sz w:val="24"/>
                <w:szCs w:val="24"/>
                <w:rtl/>
              </w:rPr>
            </w:pPr>
            <w:r>
              <w:rPr>
                <w:rFonts w:hint="cs"/>
                <w:sz w:val="24"/>
                <w:szCs w:val="24"/>
                <w:rtl/>
              </w:rPr>
              <w:t xml:space="preserve">  33.17</w:t>
            </w:r>
          </w:p>
          <w:p w:rsidR="00AC31D5" w:rsidRDefault="00AC31D5">
            <w:pPr>
              <w:spacing w:before="60" w:after="60" w:line="280" w:lineRule="exact"/>
              <w:jc w:val="both"/>
              <w:rPr>
                <w:rFonts w:hint="cs"/>
                <w:sz w:val="24"/>
                <w:szCs w:val="24"/>
              </w:rPr>
            </w:pPr>
            <w:r>
              <w:rPr>
                <w:rFonts w:hint="cs"/>
                <w:sz w:val="24"/>
                <w:szCs w:val="24"/>
                <w:rtl/>
              </w:rPr>
              <w:t xml:space="preserve">  42.07</w:t>
            </w:r>
          </w:p>
        </w:tc>
        <w:tc>
          <w:tcPr>
            <w:tcW w:w="875" w:type="dxa"/>
            <w:tcBorders>
              <w:top w:val="nil"/>
              <w:bottom w:val="nil"/>
            </w:tcBorders>
          </w:tcPr>
          <w:p w:rsidR="00AC31D5" w:rsidRDefault="00AC31D5">
            <w:pPr>
              <w:spacing w:before="60" w:after="60" w:line="280" w:lineRule="exact"/>
              <w:jc w:val="both"/>
              <w:rPr>
                <w:rFonts w:hint="cs"/>
                <w:sz w:val="24"/>
                <w:szCs w:val="24"/>
                <w:rtl/>
              </w:rPr>
            </w:pPr>
            <w:r>
              <w:rPr>
                <w:rFonts w:hint="cs"/>
                <w:sz w:val="24"/>
                <w:szCs w:val="24"/>
                <w:rtl/>
              </w:rPr>
              <w:t>20.65</w:t>
            </w:r>
          </w:p>
          <w:p w:rsidR="00AC31D5" w:rsidRDefault="00AC31D5">
            <w:pPr>
              <w:spacing w:before="60" w:after="60" w:line="280" w:lineRule="exact"/>
              <w:jc w:val="both"/>
              <w:rPr>
                <w:rFonts w:hint="cs"/>
                <w:sz w:val="24"/>
                <w:szCs w:val="24"/>
              </w:rPr>
            </w:pPr>
            <w:r>
              <w:rPr>
                <w:rFonts w:hint="cs"/>
                <w:sz w:val="24"/>
                <w:szCs w:val="24"/>
                <w:rtl/>
              </w:rPr>
              <w:t>8.69</w:t>
            </w:r>
          </w:p>
        </w:tc>
        <w:tc>
          <w:tcPr>
            <w:tcW w:w="810" w:type="dxa"/>
            <w:tcBorders>
              <w:top w:val="nil"/>
              <w:bottom w:val="nil"/>
            </w:tcBorders>
          </w:tcPr>
          <w:p w:rsidR="00AC31D5" w:rsidRDefault="00AC31D5">
            <w:pPr>
              <w:spacing w:before="60" w:after="60" w:line="280" w:lineRule="exact"/>
              <w:jc w:val="both"/>
              <w:rPr>
                <w:rFonts w:hint="cs"/>
                <w:sz w:val="24"/>
                <w:szCs w:val="24"/>
                <w:rtl/>
              </w:rPr>
            </w:pPr>
            <w:r>
              <w:rPr>
                <w:rFonts w:hint="cs"/>
                <w:sz w:val="24"/>
                <w:szCs w:val="24"/>
                <w:rtl/>
              </w:rPr>
              <w:t>0.39</w:t>
            </w:r>
          </w:p>
          <w:p w:rsidR="00AC31D5" w:rsidRDefault="00AC31D5">
            <w:pPr>
              <w:spacing w:before="60" w:after="60" w:line="280" w:lineRule="exact"/>
              <w:jc w:val="both"/>
              <w:rPr>
                <w:rFonts w:hint="cs"/>
                <w:sz w:val="24"/>
                <w:szCs w:val="24"/>
              </w:rPr>
            </w:pPr>
            <w:r>
              <w:rPr>
                <w:rFonts w:hint="cs"/>
                <w:sz w:val="24"/>
                <w:szCs w:val="24"/>
                <w:rtl/>
              </w:rPr>
              <w:t>1.03</w:t>
            </w:r>
          </w:p>
        </w:tc>
        <w:tc>
          <w:tcPr>
            <w:tcW w:w="810" w:type="dxa"/>
            <w:tcBorders>
              <w:top w:val="nil"/>
              <w:bottom w:val="nil"/>
            </w:tcBorders>
          </w:tcPr>
          <w:p w:rsidR="00AC31D5" w:rsidRDefault="00AC31D5">
            <w:pPr>
              <w:spacing w:before="60" w:after="60" w:line="280" w:lineRule="exact"/>
              <w:jc w:val="both"/>
              <w:rPr>
                <w:rFonts w:hint="cs"/>
                <w:sz w:val="24"/>
                <w:szCs w:val="24"/>
                <w:rtl/>
              </w:rPr>
            </w:pPr>
            <w:r>
              <w:rPr>
                <w:rFonts w:hint="cs"/>
                <w:sz w:val="24"/>
                <w:szCs w:val="24"/>
                <w:rtl/>
              </w:rPr>
              <w:t>0.04</w:t>
            </w:r>
          </w:p>
          <w:p w:rsidR="00AC31D5" w:rsidRDefault="00AC31D5">
            <w:pPr>
              <w:spacing w:before="60" w:after="60" w:line="280" w:lineRule="exact"/>
              <w:jc w:val="both"/>
              <w:rPr>
                <w:rFonts w:hint="cs"/>
                <w:sz w:val="24"/>
                <w:szCs w:val="24"/>
              </w:rPr>
            </w:pPr>
            <w:r>
              <w:rPr>
                <w:rFonts w:hint="cs"/>
                <w:sz w:val="24"/>
                <w:szCs w:val="24"/>
                <w:rtl/>
              </w:rPr>
              <w:t>4.02</w:t>
            </w:r>
          </w:p>
        </w:tc>
        <w:tc>
          <w:tcPr>
            <w:tcW w:w="949" w:type="dxa"/>
            <w:tcBorders>
              <w:top w:val="nil"/>
              <w:bottom w:val="nil"/>
            </w:tcBorders>
          </w:tcPr>
          <w:p w:rsidR="00AC31D5" w:rsidRDefault="00AC31D5">
            <w:pPr>
              <w:spacing w:before="60" w:after="60" w:line="280" w:lineRule="exact"/>
              <w:jc w:val="both"/>
              <w:rPr>
                <w:rFonts w:hint="cs"/>
                <w:sz w:val="24"/>
                <w:szCs w:val="24"/>
                <w:rtl/>
              </w:rPr>
            </w:pPr>
            <w:r>
              <w:rPr>
                <w:rFonts w:hint="cs"/>
                <w:sz w:val="24"/>
                <w:szCs w:val="24"/>
                <w:rtl/>
              </w:rPr>
              <w:t>2.18</w:t>
            </w:r>
          </w:p>
          <w:p w:rsidR="00AC31D5" w:rsidRDefault="00AC31D5">
            <w:pPr>
              <w:spacing w:before="60" w:after="60" w:line="280" w:lineRule="exact"/>
              <w:jc w:val="both"/>
              <w:rPr>
                <w:rFonts w:hint="cs"/>
                <w:sz w:val="24"/>
                <w:szCs w:val="24"/>
              </w:rPr>
            </w:pPr>
            <w:r>
              <w:rPr>
                <w:rFonts w:hint="cs"/>
                <w:sz w:val="24"/>
                <w:szCs w:val="24"/>
                <w:rtl/>
              </w:rPr>
              <w:t>2.94</w:t>
            </w:r>
          </w:p>
        </w:tc>
        <w:tc>
          <w:tcPr>
            <w:tcW w:w="984" w:type="dxa"/>
            <w:tcBorders>
              <w:top w:val="nil"/>
              <w:bottom w:val="nil"/>
            </w:tcBorders>
          </w:tcPr>
          <w:p w:rsidR="00AC31D5" w:rsidRDefault="00AC31D5">
            <w:pPr>
              <w:spacing w:before="60" w:after="60" w:line="280" w:lineRule="exact"/>
              <w:jc w:val="both"/>
              <w:rPr>
                <w:rFonts w:hint="cs"/>
                <w:sz w:val="24"/>
                <w:szCs w:val="24"/>
              </w:rPr>
            </w:pPr>
            <w:r>
              <w:rPr>
                <w:rFonts w:hint="cs"/>
                <w:sz w:val="24"/>
                <w:szCs w:val="24"/>
                <w:rtl/>
              </w:rPr>
              <w:t>8.29</w:t>
            </w:r>
          </w:p>
        </w:tc>
      </w:tr>
      <w:tr w:rsidR="00AC31D5" w:rsidTr="00AC31D5">
        <w:tblPrEx>
          <w:tblCellMar>
            <w:top w:w="0" w:type="dxa"/>
            <w:bottom w:w="0" w:type="dxa"/>
          </w:tblCellMar>
        </w:tblPrEx>
        <w:tc>
          <w:tcPr>
            <w:tcW w:w="2985" w:type="dxa"/>
            <w:tcBorders>
              <w:top w:val="nil"/>
            </w:tcBorders>
          </w:tcPr>
          <w:p w:rsidR="00AC31D5" w:rsidRDefault="00AC31D5">
            <w:pPr>
              <w:spacing w:before="60" w:after="60" w:line="280" w:lineRule="exact"/>
              <w:jc w:val="both"/>
              <w:rPr>
                <w:rFonts w:hint="cs"/>
                <w:sz w:val="24"/>
                <w:szCs w:val="24"/>
                <w:rtl/>
              </w:rPr>
            </w:pPr>
            <w:r>
              <w:rPr>
                <w:rFonts w:hint="cs"/>
                <w:sz w:val="24"/>
                <w:szCs w:val="24"/>
                <w:rtl/>
              </w:rPr>
              <w:t>عجز الميزانية (بالنسبة المئوية):</w:t>
            </w:r>
          </w:p>
          <w:p w:rsidR="00AC31D5" w:rsidRDefault="00AC31D5">
            <w:pPr>
              <w:spacing w:before="60" w:after="60" w:line="280" w:lineRule="exact"/>
              <w:jc w:val="both"/>
              <w:rPr>
                <w:rFonts w:hint="cs"/>
                <w:sz w:val="24"/>
                <w:szCs w:val="24"/>
                <w:rtl/>
              </w:rPr>
            </w:pPr>
            <w:r>
              <w:rPr>
                <w:rFonts w:hint="cs"/>
                <w:sz w:val="24"/>
                <w:szCs w:val="24"/>
                <w:rtl/>
              </w:rPr>
              <w:t>- العجز الإجمالي</w:t>
            </w:r>
          </w:p>
          <w:p w:rsidR="00AC31D5" w:rsidRDefault="00AC31D5">
            <w:pPr>
              <w:spacing w:before="60" w:after="60" w:line="280" w:lineRule="exact"/>
              <w:jc w:val="both"/>
              <w:rPr>
                <w:rFonts w:hint="cs"/>
                <w:sz w:val="24"/>
                <w:szCs w:val="24"/>
                <w:rtl/>
              </w:rPr>
            </w:pPr>
            <w:r>
              <w:rPr>
                <w:rFonts w:hint="cs"/>
                <w:sz w:val="24"/>
                <w:szCs w:val="24"/>
                <w:rtl/>
              </w:rPr>
              <w:t>- العجز الداخلي</w:t>
            </w:r>
          </w:p>
        </w:tc>
        <w:tc>
          <w:tcPr>
            <w:tcW w:w="984" w:type="dxa"/>
            <w:tcBorders>
              <w:top w:val="nil"/>
            </w:tcBorders>
          </w:tcPr>
          <w:p w:rsidR="00AC31D5" w:rsidRDefault="00AC31D5">
            <w:pPr>
              <w:spacing w:before="60" w:after="60" w:line="280" w:lineRule="exact"/>
              <w:jc w:val="both"/>
              <w:rPr>
                <w:rFonts w:hint="cs"/>
                <w:sz w:val="24"/>
                <w:szCs w:val="24"/>
              </w:rPr>
            </w:pPr>
          </w:p>
        </w:tc>
        <w:tc>
          <w:tcPr>
            <w:tcW w:w="902" w:type="dxa"/>
            <w:tcBorders>
              <w:top w:val="nil"/>
            </w:tcBorders>
          </w:tcPr>
          <w:p w:rsidR="00AC31D5" w:rsidRDefault="00AC31D5">
            <w:pPr>
              <w:spacing w:before="60" w:after="60" w:line="280" w:lineRule="exact"/>
              <w:jc w:val="both"/>
              <w:rPr>
                <w:rFonts w:hint="cs"/>
                <w:sz w:val="24"/>
                <w:szCs w:val="24"/>
                <w:rtl/>
              </w:rPr>
            </w:pPr>
          </w:p>
          <w:p w:rsidR="00AC31D5" w:rsidRDefault="00AC31D5">
            <w:pPr>
              <w:spacing w:before="60" w:after="60" w:line="280" w:lineRule="exact"/>
              <w:jc w:val="both"/>
              <w:rPr>
                <w:rFonts w:hint="cs"/>
                <w:sz w:val="24"/>
                <w:szCs w:val="24"/>
                <w:rtl/>
              </w:rPr>
            </w:pPr>
            <w:r>
              <w:rPr>
                <w:rFonts w:hint="cs"/>
                <w:sz w:val="24"/>
                <w:szCs w:val="24"/>
                <w:rtl/>
              </w:rPr>
              <w:t xml:space="preserve">  12.90</w:t>
            </w:r>
          </w:p>
          <w:p w:rsidR="00AC31D5" w:rsidRDefault="00AC31D5">
            <w:pPr>
              <w:spacing w:before="60" w:after="60" w:line="280" w:lineRule="exact"/>
              <w:jc w:val="both"/>
              <w:rPr>
                <w:rFonts w:hint="cs"/>
                <w:sz w:val="24"/>
                <w:szCs w:val="24"/>
              </w:rPr>
            </w:pPr>
            <w:r>
              <w:rPr>
                <w:rFonts w:hint="cs"/>
                <w:sz w:val="24"/>
                <w:szCs w:val="24"/>
                <w:rtl/>
              </w:rPr>
              <w:t xml:space="preserve">  10.5</w:t>
            </w:r>
          </w:p>
        </w:tc>
        <w:tc>
          <w:tcPr>
            <w:tcW w:w="875" w:type="dxa"/>
            <w:tcBorders>
              <w:top w:val="nil"/>
            </w:tcBorders>
          </w:tcPr>
          <w:p w:rsidR="00AC31D5" w:rsidRDefault="00AC31D5">
            <w:pPr>
              <w:spacing w:before="60" w:after="60" w:line="280" w:lineRule="exact"/>
              <w:jc w:val="both"/>
              <w:rPr>
                <w:rFonts w:hint="cs"/>
                <w:sz w:val="24"/>
                <w:szCs w:val="24"/>
                <w:rtl/>
              </w:rPr>
            </w:pPr>
          </w:p>
          <w:p w:rsidR="00AC31D5" w:rsidRDefault="00AC31D5">
            <w:pPr>
              <w:spacing w:before="60" w:after="60" w:line="280" w:lineRule="exact"/>
              <w:jc w:val="both"/>
              <w:rPr>
                <w:rFonts w:hint="cs"/>
                <w:sz w:val="24"/>
                <w:szCs w:val="24"/>
                <w:rtl/>
              </w:rPr>
            </w:pPr>
            <w:r>
              <w:rPr>
                <w:rFonts w:hint="cs"/>
                <w:sz w:val="24"/>
                <w:szCs w:val="24"/>
                <w:rtl/>
              </w:rPr>
              <w:t>10.44</w:t>
            </w:r>
          </w:p>
          <w:p w:rsidR="00AC31D5" w:rsidRDefault="00AC31D5">
            <w:pPr>
              <w:spacing w:before="60" w:after="60" w:line="280" w:lineRule="exact"/>
              <w:jc w:val="both"/>
              <w:rPr>
                <w:rFonts w:hint="cs"/>
                <w:sz w:val="24"/>
                <w:szCs w:val="24"/>
              </w:rPr>
            </w:pPr>
            <w:r>
              <w:rPr>
                <w:rFonts w:hint="cs"/>
                <w:sz w:val="24"/>
                <w:szCs w:val="24"/>
                <w:rtl/>
              </w:rPr>
              <w:t xml:space="preserve">  6.4</w:t>
            </w:r>
          </w:p>
        </w:tc>
        <w:tc>
          <w:tcPr>
            <w:tcW w:w="810" w:type="dxa"/>
            <w:tcBorders>
              <w:top w:val="nil"/>
            </w:tcBorders>
          </w:tcPr>
          <w:p w:rsidR="00AC31D5" w:rsidRDefault="00AC31D5">
            <w:pPr>
              <w:spacing w:before="60" w:after="60" w:line="280" w:lineRule="exact"/>
              <w:jc w:val="both"/>
              <w:rPr>
                <w:rFonts w:hint="cs"/>
                <w:sz w:val="24"/>
                <w:szCs w:val="24"/>
                <w:rtl/>
              </w:rPr>
            </w:pPr>
          </w:p>
          <w:p w:rsidR="00AC31D5" w:rsidRDefault="00AC31D5">
            <w:pPr>
              <w:spacing w:before="60" w:after="60" w:line="280" w:lineRule="exact"/>
              <w:jc w:val="both"/>
              <w:rPr>
                <w:rFonts w:hint="cs"/>
                <w:sz w:val="24"/>
                <w:szCs w:val="24"/>
                <w:rtl/>
              </w:rPr>
            </w:pPr>
            <w:r>
              <w:rPr>
                <w:rFonts w:hint="cs"/>
                <w:sz w:val="24"/>
                <w:szCs w:val="24"/>
                <w:rtl/>
              </w:rPr>
              <w:t>11.49</w:t>
            </w:r>
          </w:p>
          <w:p w:rsidR="00AC31D5" w:rsidRDefault="00AC31D5">
            <w:pPr>
              <w:spacing w:before="60" w:after="60" w:line="280" w:lineRule="exact"/>
              <w:jc w:val="both"/>
              <w:rPr>
                <w:rFonts w:hint="cs"/>
                <w:sz w:val="24"/>
                <w:szCs w:val="24"/>
              </w:rPr>
            </w:pPr>
            <w:r>
              <w:rPr>
                <w:rFonts w:hint="cs"/>
                <w:sz w:val="24"/>
                <w:szCs w:val="24"/>
                <w:rtl/>
              </w:rPr>
              <w:t>5.45</w:t>
            </w:r>
          </w:p>
        </w:tc>
        <w:tc>
          <w:tcPr>
            <w:tcW w:w="810" w:type="dxa"/>
            <w:tcBorders>
              <w:top w:val="nil"/>
            </w:tcBorders>
          </w:tcPr>
          <w:p w:rsidR="00AC31D5" w:rsidRDefault="00AC31D5">
            <w:pPr>
              <w:spacing w:before="60" w:after="60" w:line="280" w:lineRule="exact"/>
              <w:jc w:val="both"/>
              <w:rPr>
                <w:rFonts w:hint="cs"/>
                <w:sz w:val="24"/>
                <w:szCs w:val="24"/>
                <w:rtl/>
              </w:rPr>
            </w:pPr>
          </w:p>
          <w:p w:rsidR="00AC31D5" w:rsidRDefault="00AC31D5">
            <w:pPr>
              <w:spacing w:before="60" w:after="60" w:line="280" w:lineRule="exact"/>
              <w:jc w:val="both"/>
              <w:rPr>
                <w:rFonts w:hint="cs"/>
                <w:sz w:val="24"/>
                <w:szCs w:val="24"/>
                <w:rtl/>
              </w:rPr>
            </w:pPr>
            <w:r>
              <w:rPr>
                <w:rFonts w:hint="cs"/>
                <w:sz w:val="24"/>
                <w:szCs w:val="24"/>
                <w:rtl/>
              </w:rPr>
              <w:t xml:space="preserve">  9.6</w:t>
            </w:r>
          </w:p>
          <w:p w:rsidR="00AC31D5" w:rsidRDefault="00AC31D5">
            <w:pPr>
              <w:spacing w:before="60" w:after="60" w:line="280" w:lineRule="exact"/>
              <w:jc w:val="both"/>
              <w:rPr>
                <w:rFonts w:hint="cs"/>
                <w:sz w:val="24"/>
                <w:szCs w:val="24"/>
              </w:rPr>
            </w:pPr>
            <w:r>
              <w:rPr>
                <w:rFonts w:hint="cs"/>
                <w:sz w:val="24"/>
                <w:szCs w:val="24"/>
                <w:rtl/>
              </w:rPr>
              <w:t xml:space="preserve">  3.7</w:t>
            </w:r>
          </w:p>
        </w:tc>
        <w:tc>
          <w:tcPr>
            <w:tcW w:w="949" w:type="dxa"/>
            <w:tcBorders>
              <w:top w:val="nil"/>
            </w:tcBorders>
          </w:tcPr>
          <w:p w:rsidR="00AC31D5" w:rsidRDefault="00AC31D5">
            <w:pPr>
              <w:spacing w:before="60" w:after="60" w:line="280" w:lineRule="exact"/>
              <w:jc w:val="both"/>
              <w:rPr>
                <w:rFonts w:hint="cs"/>
                <w:sz w:val="24"/>
                <w:szCs w:val="24"/>
                <w:rtl/>
              </w:rPr>
            </w:pPr>
          </w:p>
          <w:p w:rsidR="00AC31D5" w:rsidRDefault="00AC31D5">
            <w:pPr>
              <w:spacing w:before="60" w:after="60" w:line="280" w:lineRule="exact"/>
              <w:jc w:val="both"/>
              <w:rPr>
                <w:rFonts w:hint="cs"/>
                <w:sz w:val="24"/>
                <w:szCs w:val="24"/>
                <w:rtl/>
              </w:rPr>
            </w:pPr>
            <w:r>
              <w:rPr>
                <w:rFonts w:hint="cs"/>
                <w:sz w:val="24"/>
                <w:szCs w:val="24"/>
                <w:rtl/>
              </w:rPr>
              <w:t>9.18</w:t>
            </w:r>
          </w:p>
          <w:p w:rsidR="00AC31D5" w:rsidRDefault="00AC31D5">
            <w:pPr>
              <w:spacing w:before="60" w:after="60" w:line="280" w:lineRule="exact"/>
              <w:jc w:val="both"/>
              <w:rPr>
                <w:rFonts w:hint="cs"/>
                <w:sz w:val="24"/>
                <w:szCs w:val="24"/>
              </w:rPr>
            </w:pPr>
            <w:r>
              <w:rPr>
                <w:rFonts w:hint="cs"/>
                <w:sz w:val="24"/>
                <w:szCs w:val="24"/>
                <w:rtl/>
              </w:rPr>
              <w:t xml:space="preserve">  3.1</w:t>
            </w:r>
          </w:p>
        </w:tc>
        <w:tc>
          <w:tcPr>
            <w:tcW w:w="984" w:type="dxa"/>
            <w:tcBorders>
              <w:top w:val="nil"/>
            </w:tcBorders>
          </w:tcPr>
          <w:p w:rsidR="00AC31D5" w:rsidRDefault="00AC31D5">
            <w:pPr>
              <w:spacing w:before="60" w:after="60" w:line="280" w:lineRule="exact"/>
              <w:jc w:val="both"/>
              <w:rPr>
                <w:rFonts w:hint="cs"/>
                <w:sz w:val="24"/>
                <w:szCs w:val="24"/>
              </w:rPr>
            </w:pPr>
          </w:p>
        </w:tc>
      </w:tr>
    </w:tbl>
    <w:p w:rsidR="00000000" w:rsidRDefault="00AC31D5">
      <w:pPr>
        <w:jc w:val="both"/>
        <w:rPr>
          <w:rFonts w:hint="cs"/>
          <w:rtl/>
        </w:rPr>
      </w:pPr>
      <w:r>
        <w:rPr>
          <w:rFonts w:hint="cs"/>
          <w:rtl/>
        </w:rPr>
        <w:tab/>
        <w:t>*</w:t>
      </w:r>
      <w:r>
        <w:rPr>
          <w:rFonts w:hint="cs"/>
          <w:rtl/>
        </w:rPr>
        <w:tab/>
        <w:t>مؤشر التضخم لغاية آذار/مارس 2001، والأرقام الأخرى هي مجرد تنبؤات.</w:t>
      </w:r>
    </w:p>
    <w:p w:rsidR="00000000" w:rsidRDefault="00AC31D5">
      <w:pPr>
        <w:jc w:val="center"/>
        <w:rPr>
          <w:rFonts w:hint="cs"/>
          <w:b/>
          <w:bCs/>
          <w:rtl/>
        </w:rPr>
      </w:pPr>
      <w:r>
        <w:rPr>
          <w:rFonts w:hint="cs"/>
          <w:b/>
          <w:bCs/>
          <w:rtl/>
        </w:rPr>
        <w:t>الجدول2</w:t>
      </w:r>
    </w:p>
    <w:p w:rsidR="00000000" w:rsidRDefault="00AC31D5">
      <w:pPr>
        <w:jc w:val="center"/>
        <w:rPr>
          <w:rFonts w:hint="cs"/>
          <w:rtl/>
        </w:rPr>
      </w:pPr>
      <w:r>
        <w:rPr>
          <w:rFonts w:hint="cs"/>
          <w:b/>
          <w:bCs/>
          <w:rtl/>
        </w:rPr>
        <w:t>النمو الاقتصادي لمختلف قطاعات الا</w:t>
      </w:r>
      <w:r>
        <w:rPr>
          <w:rFonts w:hint="cs"/>
          <w:b/>
          <w:bCs/>
          <w:rtl/>
        </w:rPr>
        <w:t>قتصاد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1914"/>
        <w:gridCol w:w="1914"/>
        <w:gridCol w:w="1948"/>
        <w:gridCol w:w="1722"/>
      </w:tblGrid>
      <w:tr w:rsidR="00AC31D5" w:rsidTr="00AC31D5">
        <w:tblPrEx>
          <w:tblCellMar>
            <w:top w:w="0" w:type="dxa"/>
            <w:bottom w:w="0" w:type="dxa"/>
          </w:tblCellMar>
        </w:tblPrEx>
        <w:tc>
          <w:tcPr>
            <w:tcW w:w="1914" w:type="dxa"/>
            <w:tcBorders>
              <w:bottom w:val="single" w:sz="4" w:space="0" w:color="auto"/>
            </w:tcBorders>
          </w:tcPr>
          <w:p w:rsidR="00AC31D5" w:rsidRDefault="00AC31D5">
            <w:pPr>
              <w:spacing w:before="0" w:after="0"/>
              <w:jc w:val="center"/>
              <w:rPr>
                <w:rFonts w:hint="cs"/>
                <w:sz w:val="24"/>
                <w:szCs w:val="24"/>
              </w:rPr>
            </w:pPr>
            <w:r>
              <w:rPr>
                <w:rFonts w:hint="cs"/>
                <w:sz w:val="24"/>
                <w:szCs w:val="24"/>
                <w:rtl/>
              </w:rPr>
              <w:t>العام</w:t>
            </w:r>
          </w:p>
        </w:tc>
        <w:tc>
          <w:tcPr>
            <w:tcW w:w="1914" w:type="dxa"/>
            <w:tcBorders>
              <w:bottom w:val="single" w:sz="4" w:space="0" w:color="auto"/>
            </w:tcBorders>
          </w:tcPr>
          <w:p w:rsidR="00AC31D5" w:rsidRDefault="00AC31D5">
            <w:pPr>
              <w:spacing w:before="0" w:after="0"/>
              <w:jc w:val="center"/>
              <w:rPr>
                <w:rFonts w:hint="cs"/>
                <w:sz w:val="24"/>
                <w:szCs w:val="24"/>
              </w:rPr>
            </w:pPr>
            <w:r>
              <w:rPr>
                <w:rFonts w:hint="cs"/>
                <w:sz w:val="24"/>
                <w:szCs w:val="24"/>
                <w:rtl/>
              </w:rPr>
              <w:t>1997</w:t>
            </w:r>
          </w:p>
        </w:tc>
        <w:tc>
          <w:tcPr>
            <w:tcW w:w="1914" w:type="dxa"/>
            <w:tcBorders>
              <w:bottom w:val="single" w:sz="4" w:space="0" w:color="auto"/>
            </w:tcBorders>
          </w:tcPr>
          <w:p w:rsidR="00AC31D5" w:rsidRDefault="00AC31D5">
            <w:pPr>
              <w:spacing w:before="0" w:after="0"/>
              <w:jc w:val="center"/>
              <w:rPr>
                <w:rFonts w:hint="cs"/>
                <w:sz w:val="24"/>
                <w:szCs w:val="24"/>
              </w:rPr>
            </w:pPr>
            <w:r>
              <w:rPr>
                <w:rFonts w:hint="cs"/>
                <w:sz w:val="24"/>
                <w:szCs w:val="24"/>
                <w:rtl/>
              </w:rPr>
              <w:t>1998</w:t>
            </w:r>
          </w:p>
        </w:tc>
        <w:tc>
          <w:tcPr>
            <w:tcW w:w="1948" w:type="dxa"/>
            <w:tcBorders>
              <w:bottom w:val="single" w:sz="4" w:space="0" w:color="auto"/>
            </w:tcBorders>
          </w:tcPr>
          <w:p w:rsidR="00AC31D5" w:rsidRDefault="00AC31D5">
            <w:pPr>
              <w:spacing w:before="0" w:after="0"/>
              <w:jc w:val="center"/>
              <w:rPr>
                <w:rFonts w:hint="cs"/>
                <w:sz w:val="24"/>
                <w:szCs w:val="24"/>
              </w:rPr>
            </w:pPr>
            <w:r>
              <w:rPr>
                <w:rFonts w:hint="cs"/>
                <w:sz w:val="24"/>
                <w:szCs w:val="24"/>
                <w:rtl/>
              </w:rPr>
              <w:t>1999</w:t>
            </w:r>
          </w:p>
        </w:tc>
        <w:tc>
          <w:tcPr>
            <w:tcW w:w="1722" w:type="dxa"/>
            <w:tcBorders>
              <w:bottom w:val="single" w:sz="4" w:space="0" w:color="auto"/>
            </w:tcBorders>
          </w:tcPr>
          <w:p w:rsidR="00AC31D5" w:rsidRDefault="00AC31D5">
            <w:pPr>
              <w:spacing w:before="0" w:after="0"/>
              <w:jc w:val="center"/>
              <w:rPr>
                <w:rFonts w:hint="cs"/>
                <w:sz w:val="24"/>
                <w:szCs w:val="24"/>
              </w:rPr>
            </w:pPr>
            <w:r>
              <w:rPr>
                <w:rFonts w:hint="cs"/>
                <w:sz w:val="24"/>
                <w:szCs w:val="24"/>
                <w:rtl/>
              </w:rPr>
              <w:t>2000</w:t>
            </w:r>
          </w:p>
        </w:tc>
      </w:tr>
      <w:tr w:rsidR="00AC31D5" w:rsidTr="00AC31D5">
        <w:tblPrEx>
          <w:tblCellMar>
            <w:top w:w="0" w:type="dxa"/>
            <w:bottom w:w="0" w:type="dxa"/>
          </w:tblCellMar>
        </w:tblPrEx>
        <w:tc>
          <w:tcPr>
            <w:tcW w:w="1914" w:type="dxa"/>
            <w:tcBorders>
              <w:bottom w:val="nil"/>
            </w:tcBorders>
          </w:tcPr>
          <w:p w:rsidR="00AC31D5" w:rsidRDefault="00AC31D5">
            <w:pPr>
              <w:spacing w:before="0" w:after="0"/>
              <w:jc w:val="left"/>
              <w:rPr>
                <w:rFonts w:hint="cs"/>
                <w:sz w:val="24"/>
                <w:szCs w:val="24"/>
              </w:rPr>
            </w:pPr>
            <w:r>
              <w:rPr>
                <w:rFonts w:hint="cs"/>
                <w:sz w:val="24"/>
                <w:szCs w:val="24"/>
                <w:rtl/>
              </w:rPr>
              <w:t>نمو الناتج المحلي الإجمالي</w:t>
            </w:r>
          </w:p>
        </w:tc>
        <w:tc>
          <w:tcPr>
            <w:tcW w:w="1914" w:type="dxa"/>
            <w:tcBorders>
              <w:bottom w:val="nil"/>
            </w:tcBorders>
          </w:tcPr>
          <w:p w:rsidR="00AC31D5" w:rsidRDefault="00AC31D5">
            <w:pPr>
              <w:spacing w:before="0" w:after="0"/>
              <w:jc w:val="center"/>
              <w:rPr>
                <w:rFonts w:hint="cs"/>
                <w:sz w:val="24"/>
                <w:szCs w:val="24"/>
              </w:rPr>
            </w:pPr>
            <w:r>
              <w:rPr>
                <w:rFonts w:hint="cs"/>
                <w:sz w:val="24"/>
                <w:szCs w:val="24"/>
                <w:rtl/>
              </w:rPr>
              <w:t>-7.00</w:t>
            </w:r>
          </w:p>
        </w:tc>
        <w:tc>
          <w:tcPr>
            <w:tcW w:w="1914" w:type="dxa"/>
            <w:tcBorders>
              <w:bottom w:val="nil"/>
            </w:tcBorders>
          </w:tcPr>
          <w:p w:rsidR="00AC31D5" w:rsidRDefault="00AC31D5">
            <w:pPr>
              <w:spacing w:before="0" w:after="0"/>
              <w:jc w:val="center"/>
              <w:rPr>
                <w:rFonts w:hint="cs"/>
              </w:rPr>
            </w:pPr>
            <w:r>
              <w:rPr>
                <w:rFonts w:hint="cs"/>
                <w:rtl/>
              </w:rPr>
              <w:t>8.00</w:t>
            </w:r>
          </w:p>
        </w:tc>
        <w:tc>
          <w:tcPr>
            <w:tcW w:w="1948" w:type="dxa"/>
            <w:tcBorders>
              <w:bottom w:val="nil"/>
            </w:tcBorders>
          </w:tcPr>
          <w:p w:rsidR="00AC31D5" w:rsidRDefault="00AC31D5">
            <w:pPr>
              <w:spacing w:before="0" w:after="0"/>
              <w:jc w:val="center"/>
              <w:rPr>
                <w:rFonts w:hint="cs"/>
              </w:rPr>
            </w:pPr>
            <w:r>
              <w:rPr>
                <w:rFonts w:hint="cs"/>
                <w:rtl/>
              </w:rPr>
              <w:t>7.26</w:t>
            </w:r>
          </w:p>
        </w:tc>
        <w:tc>
          <w:tcPr>
            <w:tcW w:w="1722" w:type="dxa"/>
            <w:tcBorders>
              <w:bottom w:val="nil"/>
            </w:tcBorders>
          </w:tcPr>
          <w:p w:rsidR="00AC31D5" w:rsidRDefault="00AC31D5">
            <w:pPr>
              <w:spacing w:before="0" w:after="0"/>
              <w:jc w:val="center"/>
              <w:rPr>
                <w:rFonts w:hint="cs"/>
              </w:rPr>
            </w:pPr>
            <w:r>
              <w:rPr>
                <w:rFonts w:hint="cs"/>
                <w:rtl/>
              </w:rPr>
              <w:t>7.76</w:t>
            </w:r>
          </w:p>
        </w:tc>
      </w:tr>
      <w:tr w:rsidR="00AC31D5" w:rsidTr="00AC31D5">
        <w:tblPrEx>
          <w:tblCellMar>
            <w:top w:w="0" w:type="dxa"/>
            <w:bottom w:w="0" w:type="dxa"/>
          </w:tblCellMar>
        </w:tblPrEx>
        <w:tc>
          <w:tcPr>
            <w:tcW w:w="1914" w:type="dxa"/>
            <w:tcBorders>
              <w:top w:val="nil"/>
              <w:bottom w:val="nil"/>
            </w:tcBorders>
          </w:tcPr>
          <w:p w:rsidR="00AC31D5" w:rsidRDefault="00AC31D5">
            <w:pPr>
              <w:spacing w:before="0" w:after="0"/>
              <w:jc w:val="left"/>
              <w:rPr>
                <w:rFonts w:hint="cs"/>
                <w:sz w:val="24"/>
                <w:szCs w:val="24"/>
                <w:rtl/>
              </w:rPr>
            </w:pPr>
            <w:r>
              <w:rPr>
                <w:rFonts w:hint="cs"/>
                <w:sz w:val="24"/>
                <w:szCs w:val="24"/>
                <w:rtl/>
              </w:rPr>
              <w:t>قطاع الصناعة</w:t>
            </w:r>
          </w:p>
        </w:tc>
        <w:tc>
          <w:tcPr>
            <w:tcW w:w="1914" w:type="dxa"/>
            <w:tcBorders>
              <w:top w:val="nil"/>
              <w:bottom w:val="nil"/>
            </w:tcBorders>
          </w:tcPr>
          <w:p w:rsidR="00AC31D5" w:rsidRDefault="00AC31D5">
            <w:pPr>
              <w:spacing w:before="0" w:after="0"/>
              <w:jc w:val="center"/>
              <w:rPr>
                <w:rFonts w:hint="cs"/>
                <w:sz w:val="24"/>
                <w:szCs w:val="24"/>
              </w:rPr>
            </w:pPr>
            <w:r>
              <w:rPr>
                <w:rFonts w:hint="cs"/>
                <w:sz w:val="24"/>
                <w:szCs w:val="24"/>
                <w:rtl/>
              </w:rPr>
              <w:t>-5.60</w:t>
            </w:r>
          </w:p>
        </w:tc>
        <w:tc>
          <w:tcPr>
            <w:tcW w:w="1914" w:type="dxa"/>
            <w:tcBorders>
              <w:top w:val="nil"/>
              <w:bottom w:val="nil"/>
            </w:tcBorders>
          </w:tcPr>
          <w:p w:rsidR="00AC31D5" w:rsidRDefault="00AC31D5">
            <w:pPr>
              <w:spacing w:before="0" w:after="0"/>
              <w:jc w:val="center"/>
              <w:rPr>
                <w:rFonts w:hint="cs"/>
              </w:rPr>
            </w:pPr>
            <w:r>
              <w:rPr>
                <w:rFonts w:hint="cs"/>
                <w:rtl/>
              </w:rPr>
              <w:t>4.10</w:t>
            </w:r>
          </w:p>
        </w:tc>
        <w:tc>
          <w:tcPr>
            <w:tcW w:w="1948" w:type="dxa"/>
            <w:tcBorders>
              <w:top w:val="nil"/>
              <w:bottom w:val="nil"/>
            </w:tcBorders>
          </w:tcPr>
          <w:p w:rsidR="00AC31D5" w:rsidRDefault="00AC31D5">
            <w:pPr>
              <w:spacing w:before="0" w:after="0"/>
              <w:jc w:val="center"/>
              <w:rPr>
                <w:rFonts w:hint="cs"/>
              </w:rPr>
            </w:pPr>
            <w:r>
              <w:rPr>
                <w:rFonts w:hint="cs"/>
                <w:rtl/>
              </w:rPr>
              <w:t>6.40</w:t>
            </w:r>
          </w:p>
        </w:tc>
        <w:tc>
          <w:tcPr>
            <w:tcW w:w="1722" w:type="dxa"/>
            <w:tcBorders>
              <w:top w:val="nil"/>
              <w:bottom w:val="nil"/>
            </w:tcBorders>
          </w:tcPr>
          <w:p w:rsidR="00AC31D5" w:rsidRDefault="00AC31D5">
            <w:pPr>
              <w:spacing w:before="0" w:after="0"/>
              <w:jc w:val="center"/>
              <w:rPr>
                <w:rFonts w:hint="cs"/>
              </w:rPr>
            </w:pPr>
            <w:r>
              <w:rPr>
                <w:rFonts w:hint="cs"/>
                <w:rtl/>
              </w:rPr>
              <w:t>5.00</w:t>
            </w:r>
          </w:p>
        </w:tc>
      </w:tr>
      <w:tr w:rsidR="00AC31D5" w:rsidTr="00AC31D5">
        <w:tblPrEx>
          <w:tblCellMar>
            <w:top w:w="0" w:type="dxa"/>
            <w:bottom w:w="0" w:type="dxa"/>
          </w:tblCellMar>
        </w:tblPrEx>
        <w:tc>
          <w:tcPr>
            <w:tcW w:w="1914" w:type="dxa"/>
            <w:tcBorders>
              <w:top w:val="nil"/>
              <w:bottom w:val="nil"/>
            </w:tcBorders>
          </w:tcPr>
          <w:p w:rsidR="00AC31D5" w:rsidRDefault="00AC31D5">
            <w:pPr>
              <w:spacing w:before="0" w:after="0"/>
              <w:jc w:val="left"/>
              <w:rPr>
                <w:rFonts w:hint="cs"/>
                <w:sz w:val="24"/>
                <w:szCs w:val="24"/>
                <w:rtl/>
              </w:rPr>
            </w:pPr>
            <w:r>
              <w:rPr>
                <w:rFonts w:hint="cs"/>
                <w:sz w:val="24"/>
                <w:szCs w:val="24"/>
                <w:rtl/>
              </w:rPr>
              <w:t>قطاع الزراعة</w:t>
            </w:r>
          </w:p>
        </w:tc>
        <w:tc>
          <w:tcPr>
            <w:tcW w:w="1914" w:type="dxa"/>
            <w:tcBorders>
              <w:top w:val="nil"/>
              <w:bottom w:val="nil"/>
            </w:tcBorders>
          </w:tcPr>
          <w:p w:rsidR="00AC31D5" w:rsidRDefault="00AC31D5">
            <w:pPr>
              <w:spacing w:before="0" w:after="0"/>
              <w:jc w:val="center"/>
              <w:rPr>
                <w:rFonts w:hint="cs"/>
                <w:sz w:val="24"/>
                <w:szCs w:val="24"/>
              </w:rPr>
            </w:pPr>
            <w:r>
              <w:rPr>
                <w:rFonts w:hint="cs"/>
                <w:sz w:val="24"/>
                <w:szCs w:val="24"/>
                <w:rtl/>
              </w:rPr>
              <w:t xml:space="preserve"> 1.00</w:t>
            </w:r>
          </w:p>
        </w:tc>
        <w:tc>
          <w:tcPr>
            <w:tcW w:w="1914" w:type="dxa"/>
            <w:tcBorders>
              <w:top w:val="nil"/>
              <w:bottom w:val="nil"/>
            </w:tcBorders>
          </w:tcPr>
          <w:p w:rsidR="00AC31D5" w:rsidRDefault="00AC31D5">
            <w:pPr>
              <w:spacing w:before="0" w:after="0"/>
              <w:jc w:val="center"/>
              <w:rPr>
                <w:rFonts w:hint="cs"/>
              </w:rPr>
            </w:pPr>
            <w:r>
              <w:rPr>
                <w:rFonts w:hint="cs"/>
                <w:rtl/>
              </w:rPr>
              <w:t>5.00</w:t>
            </w:r>
          </w:p>
        </w:tc>
        <w:tc>
          <w:tcPr>
            <w:tcW w:w="1948" w:type="dxa"/>
            <w:tcBorders>
              <w:top w:val="nil"/>
              <w:bottom w:val="nil"/>
            </w:tcBorders>
          </w:tcPr>
          <w:p w:rsidR="00AC31D5" w:rsidRDefault="00AC31D5">
            <w:pPr>
              <w:spacing w:before="0" w:after="0"/>
              <w:jc w:val="center"/>
              <w:rPr>
                <w:rFonts w:hint="cs"/>
              </w:rPr>
            </w:pPr>
            <w:r>
              <w:rPr>
                <w:rFonts w:hint="cs"/>
                <w:rtl/>
              </w:rPr>
              <w:t>3.65</w:t>
            </w:r>
          </w:p>
        </w:tc>
        <w:tc>
          <w:tcPr>
            <w:tcW w:w="1722" w:type="dxa"/>
            <w:tcBorders>
              <w:top w:val="nil"/>
              <w:bottom w:val="nil"/>
            </w:tcBorders>
          </w:tcPr>
          <w:p w:rsidR="00AC31D5" w:rsidRDefault="00AC31D5">
            <w:pPr>
              <w:spacing w:before="0" w:after="0"/>
              <w:jc w:val="center"/>
              <w:rPr>
                <w:rFonts w:hint="cs"/>
              </w:rPr>
            </w:pPr>
            <w:r>
              <w:rPr>
                <w:rFonts w:hint="cs"/>
                <w:rtl/>
              </w:rPr>
              <w:t>4.50</w:t>
            </w:r>
          </w:p>
        </w:tc>
      </w:tr>
      <w:tr w:rsidR="00AC31D5" w:rsidTr="00AC31D5">
        <w:tblPrEx>
          <w:tblCellMar>
            <w:top w:w="0" w:type="dxa"/>
            <w:bottom w:w="0" w:type="dxa"/>
          </w:tblCellMar>
        </w:tblPrEx>
        <w:tc>
          <w:tcPr>
            <w:tcW w:w="1914" w:type="dxa"/>
            <w:tcBorders>
              <w:top w:val="nil"/>
              <w:bottom w:val="nil"/>
            </w:tcBorders>
          </w:tcPr>
          <w:p w:rsidR="00AC31D5" w:rsidRDefault="00AC31D5">
            <w:pPr>
              <w:spacing w:before="0" w:after="0"/>
              <w:jc w:val="left"/>
              <w:rPr>
                <w:rFonts w:hint="cs"/>
                <w:sz w:val="24"/>
                <w:szCs w:val="24"/>
                <w:rtl/>
              </w:rPr>
            </w:pPr>
            <w:r>
              <w:rPr>
                <w:rFonts w:hint="cs"/>
                <w:sz w:val="24"/>
                <w:szCs w:val="24"/>
                <w:rtl/>
              </w:rPr>
              <w:t>قطاع البناء</w:t>
            </w:r>
          </w:p>
        </w:tc>
        <w:tc>
          <w:tcPr>
            <w:tcW w:w="1914" w:type="dxa"/>
            <w:tcBorders>
              <w:top w:val="nil"/>
              <w:bottom w:val="nil"/>
            </w:tcBorders>
          </w:tcPr>
          <w:p w:rsidR="00AC31D5" w:rsidRDefault="00AC31D5">
            <w:pPr>
              <w:spacing w:before="0" w:after="0"/>
              <w:jc w:val="center"/>
              <w:rPr>
                <w:rFonts w:hint="cs"/>
                <w:sz w:val="24"/>
                <w:szCs w:val="24"/>
              </w:rPr>
            </w:pPr>
            <w:r>
              <w:rPr>
                <w:rFonts w:hint="cs"/>
                <w:sz w:val="24"/>
                <w:szCs w:val="24"/>
                <w:rtl/>
              </w:rPr>
              <w:t xml:space="preserve"> 6.30</w:t>
            </w:r>
          </w:p>
        </w:tc>
        <w:tc>
          <w:tcPr>
            <w:tcW w:w="1914" w:type="dxa"/>
            <w:tcBorders>
              <w:top w:val="nil"/>
              <w:bottom w:val="nil"/>
            </w:tcBorders>
          </w:tcPr>
          <w:p w:rsidR="00AC31D5" w:rsidRDefault="00AC31D5">
            <w:pPr>
              <w:spacing w:before="0" w:after="0"/>
              <w:jc w:val="center"/>
              <w:rPr>
                <w:rFonts w:hint="cs"/>
              </w:rPr>
            </w:pPr>
            <w:r>
              <w:rPr>
                <w:rFonts w:hint="cs"/>
                <w:rtl/>
              </w:rPr>
              <w:t xml:space="preserve"> 21.00</w:t>
            </w:r>
          </w:p>
        </w:tc>
        <w:tc>
          <w:tcPr>
            <w:tcW w:w="1948" w:type="dxa"/>
            <w:tcBorders>
              <w:top w:val="nil"/>
              <w:bottom w:val="nil"/>
            </w:tcBorders>
          </w:tcPr>
          <w:p w:rsidR="00AC31D5" w:rsidRDefault="00AC31D5">
            <w:pPr>
              <w:spacing w:before="0" w:after="0"/>
              <w:jc w:val="center"/>
              <w:rPr>
                <w:rFonts w:hint="cs"/>
              </w:rPr>
            </w:pPr>
            <w:r>
              <w:rPr>
                <w:rFonts w:hint="cs"/>
                <w:rtl/>
              </w:rPr>
              <w:t xml:space="preserve"> 15.00</w:t>
            </w:r>
          </w:p>
        </w:tc>
        <w:tc>
          <w:tcPr>
            <w:tcW w:w="1722" w:type="dxa"/>
            <w:tcBorders>
              <w:top w:val="nil"/>
              <w:bottom w:val="nil"/>
            </w:tcBorders>
          </w:tcPr>
          <w:p w:rsidR="00AC31D5" w:rsidRDefault="00AC31D5">
            <w:pPr>
              <w:spacing w:before="0" w:after="0"/>
              <w:jc w:val="center"/>
              <w:rPr>
                <w:rFonts w:hint="cs"/>
              </w:rPr>
            </w:pPr>
            <w:r>
              <w:rPr>
                <w:rFonts w:hint="cs"/>
                <w:rtl/>
              </w:rPr>
              <w:t xml:space="preserve"> 18.00</w:t>
            </w:r>
          </w:p>
        </w:tc>
      </w:tr>
      <w:tr w:rsidR="00AC31D5" w:rsidTr="00AC31D5">
        <w:tblPrEx>
          <w:tblCellMar>
            <w:top w:w="0" w:type="dxa"/>
            <w:bottom w:w="0" w:type="dxa"/>
          </w:tblCellMar>
        </w:tblPrEx>
        <w:tc>
          <w:tcPr>
            <w:tcW w:w="1914" w:type="dxa"/>
            <w:tcBorders>
              <w:top w:val="nil"/>
              <w:bottom w:val="nil"/>
            </w:tcBorders>
          </w:tcPr>
          <w:p w:rsidR="00AC31D5" w:rsidRDefault="00AC31D5">
            <w:pPr>
              <w:spacing w:before="0" w:after="0"/>
              <w:jc w:val="left"/>
              <w:rPr>
                <w:rFonts w:hint="cs"/>
                <w:sz w:val="24"/>
                <w:szCs w:val="24"/>
                <w:rtl/>
              </w:rPr>
            </w:pPr>
            <w:r>
              <w:rPr>
                <w:rFonts w:hint="cs"/>
                <w:sz w:val="24"/>
                <w:szCs w:val="24"/>
                <w:rtl/>
              </w:rPr>
              <w:t>قطاع النقل</w:t>
            </w:r>
          </w:p>
        </w:tc>
        <w:tc>
          <w:tcPr>
            <w:tcW w:w="1914" w:type="dxa"/>
            <w:tcBorders>
              <w:top w:val="nil"/>
              <w:bottom w:val="nil"/>
            </w:tcBorders>
          </w:tcPr>
          <w:p w:rsidR="00AC31D5" w:rsidRDefault="00AC31D5">
            <w:pPr>
              <w:spacing w:before="0" w:after="0"/>
              <w:jc w:val="center"/>
              <w:rPr>
                <w:rFonts w:hint="cs"/>
                <w:sz w:val="24"/>
                <w:szCs w:val="24"/>
              </w:rPr>
            </w:pPr>
            <w:r>
              <w:rPr>
                <w:rFonts w:hint="cs"/>
                <w:sz w:val="24"/>
                <w:szCs w:val="24"/>
                <w:rtl/>
              </w:rPr>
              <w:t>-20.50</w:t>
            </w:r>
          </w:p>
        </w:tc>
        <w:tc>
          <w:tcPr>
            <w:tcW w:w="1914" w:type="dxa"/>
            <w:tcBorders>
              <w:top w:val="nil"/>
              <w:bottom w:val="nil"/>
            </w:tcBorders>
          </w:tcPr>
          <w:p w:rsidR="00AC31D5" w:rsidRDefault="00AC31D5">
            <w:pPr>
              <w:spacing w:before="0" w:after="0"/>
              <w:jc w:val="center"/>
              <w:rPr>
                <w:rFonts w:hint="cs"/>
              </w:rPr>
            </w:pPr>
            <w:r>
              <w:rPr>
                <w:rFonts w:hint="cs"/>
                <w:rtl/>
              </w:rPr>
              <w:t xml:space="preserve"> 20.00</w:t>
            </w:r>
          </w:p>
        </w:tc>
        <w:tc>
          <w:tcPr>
            <w:tcW w:w="1948" w:type="dxa"/>
            <w:tcBorders>
              <w:top w:val="nil"/>
              <w:bottom w:val="nil"/>
            </w:tcBorders>
          </w:tcPr>
          <w:p w:rsidR="00AC31D5" w:rsidRDefault="00AC31D5">
            <w:pPr>
              <w:spacing w:before="0" w:after="0"/>
              <w:jc w:val="center"/>
              <w:rPr>
                <w:rFonts w:hint="cs"/>
              </w:rPr>
            </w:pPr>
            <w:r>
              <w:rPr>
                <w:rFonts w:hint="cs"/>
                <w:rtl/>
              </w:rPr>
              <w:t xml:space="preserve"> 15.00</w:t>
            </w:r>
          </w:p>
        </w:tc>
        <w:tc>
          <w:tcPr>
            <w:tcW w:w="1722" w:type="dxa"/>
            <w:tcBorders>
              <w:top w:val="nil"/>
              <w:bottom w:val="nil"/>
            </w:tcBorders>
          </w:tcPr>
          <w:p w:rsidR="00AC31D5" w:rsidRDefault="00AC31D5">
            <w:pPr>
              <w:spacing w:before="0" w:after="0"/>
              <w:jc w:val="center"/>
              <w:rPr>
                <w:rFonts w:hint="cs"/>
              </w:rPr>
            </w:pPr>
            <w:r>
              <w:rPr>
                <w:rFonts w:hint="cs"/>
                <w:rtl/>
              </w:rPr>
              <w:t xml:space="preserve"> 15.00</w:t>
            </w:r>
          </w:p>
        </w:tc>
      </w:tr>
      <w:tr w:rsidR="00AC31D5" w:rsidTr="00AC31D5">
        <w:tblPrEx>
          <w:tblCellMar>
            <w:top w:w="0" w:type="dxa"/>
            <w:bottom w:w="0" w:type="dxa"/>
          </w:tblCellMar>
        </w:tblPrEx>
        <w:tc>
          <w:tcPr>
            <w:tcW w:w="1914" w:type="dxa"/>
            <w:tcBorders>
              <w:top w:val="nil"/>
            </w:tcBorders>
          </w:tcPr>
          <w:p w:rsidR="00AC31D5" w:rsidRDefault="00AC31D5">
            <w:pPr>
              <w:spacing w:before="0" w:after="0"/>
              <w:jc w:val="left"/>
              <w:rPr>
                <w:rFonts w:hint="cs"/>
                <w:sz w:val="24"/>
                <w:szCs w:val="24"/>
                <w:rtl/>
              </w:rPr>
            </w:pPr>
            <w:r>
              <w:rPr>
                <w:rFonts w:hint="cs"/>
                <w:sz w:val="24"/>
                <w:szCs w:val="24"/>
                <w:rtl/>
              </w:rPr>
              <w:t>قطاع الخدمات</w:t>
            </w:r>
          </w:p>
        </w:tc>
        <w:tc>
          <w:tcPr>
            <w:tcW w:w="1914" w:type="dxa"/>
            <w:tcBorders>
              <w:top w:val="nil"/>
            </w:tcBorders>
          </w:tcPr>
          <w:p w:rsidR="00AC31D5" w:rsidRDefault="00AC31D5">
            <w:pPr>
              <w:spacing w:before="0" w:after="0"/>
              <w:jc w:val="center"/>
              <w:rPr>
                <w:rFonts w:hint="cs"/>
                <w:sz w:val="24"/>
                <w:szCs w:val="24"/>
              </w:rPr>
            </w:pPr>
            <w:r>
              <w:rPr>
                <w:rFonts w:hint="cs"/>
                <w:sz w:val="24"/>
                <w:szCs w:val="24"/>
                <w:rtl/>
              </w:rPr>
              <w:t>-25.00</w:t>
            </w:r>
          </w:p>
        </w:tc>
        <w:tc>
          <w:tcPr>
            <w:tcW w:w="1914" w:type="dxa"/>
            <w:tcBorders>
              <w:top w:val="nil"/>
            </w:tcBorders>
          </w:tcPr>
          <w:p w:rsidR="00AC31D5" w:rsidRDefault="00AC31D5">
            <w:pPr>
              <w:spacing w:before="0" w:after="0"/>
              <w:jc w:val="center"/>
              <w:rPr>
                <w:rFonts w:hint="cs"/>
              </w:rPr>
            </w:pPr>
            <w:r>
              <w:rPr>
                <w:rFonts w:hint="cs"/>
                <w:rtl/>
              </w:rPr>
              <w:t xml:space="preserve"> 10.00</w:t>
            </w:r>
          </w:p>
        </w:tc>
        <w:tc>
          <w:tcPr>
            <w:tcW w:w="1948" w:type="dxa"/>
            <w:tcBorders>
              <w:top w:val="nil"/>
            </w:tcBorders>
          </w:tcPr>
          <w:p w:rsidR="00AC31D5" w:rsidRDefault="00AC31D5">
            <w:pPr>
              <w:spacing w:before="0" w:after="0"/>
              <w:jc w:val="center"/>
              <w:rPr>
                <w:rFonts w:hint="cs"/>
              </w:rPr>
            </w:pPr>
            <w:r>
              <w:rPr>
                <w:rFonts w:hint="cs"/>
                <w:rtl/>
              </w:rPr>
              <w:t xml:space="preserve"> 12.00</w:t>
            </w:r>
          </w:p>
        </w:tc>
        <w:tc>
          <w:tcPr>
            <w:tcW w:w="1722" w:type="dxa"/>
            <w:tcBorders>
              <w:top w:val="nil"/>
            </w:tcBorders>
          </w:tcPr>
          <w:p w:rsidR="00AC31D5" w:rsidRDefault="00AC31D5">
            <w:pPr>
              <w:spacing w:before="0" w:after="0"/>
              <w:jc w:val="center"/>
              <w:rPr>
                <w:rFonts w:hint="cs"/>
              </w:rPr>
            </w:pPr>
            <w:r>
              <w:rPr>
                <w:rFonts w:hint="cs"/>
                <w:rtl/>
              </w:rPr>
              <w:t xml:space="preserve"> 10.00</w:t>
            </w:r>
          </w:p>
        </w:tc>
      </w:tr>
    </w:tbl>
    <w:p w:rsidR="00000000" w:rsidRDefault="00AC31D5">
      <w:pPr>
        <w:jc w:val="both"/>
        <w:rPr>
          <w:rFonts w:hint="cs"/>
          <w:rtl/>
        </w:rPr>
      </w:pPr>
      <w:r>
        <w:rPr>
          <w:rFonts w:hint="cs"/>
          <w:rtl/>
        </w:rPr>
        <w:t>19-</w:t>
      </w:r>
      <w:r>
        <w:rPr>
          <w:rFonts w:hint="cs"/>
          <w:rtl/>
        </w:rPr>
        <w:tab/>
        <w:t>وقد بلغت نسبة مساهمة قطاع الصناعة في الناتج المحلي الإجمالي 4</w:t>
      </w:r>
      <w:r>
        <w:t>,</w:t>
      </w:r>
      <w:r>
        <w:rPr>
          <w:rFonts w:hint="cs"/>
          <w:rtl/>
        </w:rPr>
        <w:t>12 في المائة في عام 1994 بالمقارنة مع 2</w:t>
      </w:r>
      <w:r>
        <w:t>,</w:t>
      </w:r>
      <w:r>
        <w:rPr>
          <w:rFonts w:hint="cs"/>
          <w:rtl/>
        </w:rPr>
        <w:t>37 في المائة في عام 1990 عندما كان معدل الناتج المحلي الإجمالي أعلى بنسبة 25 في المائة من مستواه في عام 1994.</w:t>
      </w:r>
    </w:p>
    <w:p w:rsidR="00000000" w:rsidRDefault="00AC31D5">
      <w:pPr>
        <w:jc w:val="both"/>
        <w:rPr>
          <w:rFonts w:hint="cs"/>
          <w:rtl/>
        </w:rPr>
      </w:pPr>
      <w:r>
        <w:rPr>
          <w:rFonts w:hint="cs"/>
          <w:rtl/>
        </w:rPr>
        <w:t>20-</w:t>
      </w:r>
      <w:r>
        <w:rPr>
          <w:rFonts w:hint="cs"/>
          <w:rtl/>
        </w:rPr>
        <w:tab/>
        <w:t>وسجل النمو الاقتصا</w:t>
      </w:r>
      <w:r>
        <w:rPr>
          <w:rFonts w:hint="cs"/>
          <w:rtl/>
        </w:rPr>
        <w:t>دي نسبةً تناهز 8</w:t>
      </w:r>
      <w:r>
        <w:t>,</w:t>
      </w:r>
      <w:r>
        <w:rPr>
          <w:rFonts w:hint="cs"/>
          <w:rtl/>
        </w:rPr>
        <w:t>7 في المائة في عام 2000. وكادت المدخرات تشكل في عام 1999 نسبة 5</w:t>
      </w:r>
      <w:r>
        <w:t>,</w:t>
      </w:r>
      <w:r>
        <w:rPr>
          <w:rFonts w:hint="cs"/>
          <w:rtl/>
        </w:rPr>
        <w:t>7 في المائة من الناتج المحلي الإجمالي، في حين شكلت نسبة 12 في المائة في عام 2000. أما الاستثمارات، فقد مثلت نسبة 19 في المائة من الناتج المحلي الإجمالي في عام 2000.</w:t>
      </w:r>
    </w:p>
    <w:p w:rsidR="00000000" w:rsidRDefault="00AC31D5">
      <w:pPr>
        <w:jc w:val="left"/>
        <w:rPr>
          <w:rFonts w:hint="cs"/>
          <w:rtl/>
        </w:rPr>
      </w:pPr>
      <w:r>
        <w:rPr>
          <w:rFonts w:hint="cs"/>
          <w:rtl/>
        </w:rPr>
        <w:t>21-</w:t>
      </w:r>
      <w:r>
        <w:rPr>
          <w:rFonts w:hint="cs"/>
          <w:rtl/>
        </w:rPr>
        <w:tab/>
        <w:t xml:space="preserve">وبلغت </w:t>
      </w:r>
      <w:r>
        <w:rPr>
          <w:rFonts w:hint="cs"/>
          <w:rtl/>
        </w:rPr>
        <w:t>الميزانية الإجمالية التي خصصت في عام 2000 للمرتبات 6</w:t>
      </w:r>
      <w:r>
        <w:t>,</w:t>
      </w:r>
      <w:r>
        <w:rPr>
          <w:rFonts w:hint="cs"/>
          <w:rtl/>
        </w:rPr>
        <w:t>141 مليون دولار محققة زيادة قدرها 6</w:t>
      </w:r>
      <w:r>
        <w:t>,</w:t>
      </w:r>
      <w:r>
        <w:rPr>
          <w:rFonts w:hint="cs"/>
          <w:rtl/>
        </w:rPr>
        <w:t>14 في المائة أو 1</w:t>
      </w:r>
      <w:r>
        <w:t>,</w:t>
      </w:r>
      <w:r>
        <w:rPr>
          <w:rFonts w:hint="cs"/>
          <w:rtl/>
        </w:rPr>
        <w:t>18 مليون دولار عن ميزانية العام السابق.</w:t>
      </w:r>
    </w:p>
    <w:p w:rsidR="00000000" w:rsidRDefault="00AC31D5">
      <w:pPr>
        <w:jc w:val="left"/>
        <w:rPr>
          <w:rFonts w:hint="cs"/>
          <w:rtl/>
        </w:rPr>
      </w:pPr>
      <w:r>
        <w:rPr>
          <w:rFonts w:hint="cs"/>
          <w:rtl/>
        </w:rPr>
        <w:t>22-</w:t>
      </w:r>
      <w:r>
        <w:rPr>
          <w:rFonts w:hint="cs"/>
          <w:rtl/>
        </w:rPr>
        <w:tab/>
        <w:t>وتقدر الاستثمارات الأجنبية المباشرة للعام 2001 بمبلغ 143 مليون دولار.</w:t>
      </w:r>
    </w:p>
    <w:p w:rsidR="00000000" w:rsidRDefault="00AC31D5">
      <w:pPr>
        <w:jc w:val="both"/>
        <w:rPr>
          <w:rFonts w:hint="cs"/>
          <w:rtl/>
        </w:rPr>
      </w:pPr>
      <w:r>
        <w:rPr>
          <w:rFonts w:hint="cs"/>
          <w:rtl/>
        </w:rPr>
        <w:t>23-</w:t>
      </w:r>
      <w:r>
        <w:rPr>
          <w:rFonts w:hint="cs"/>
          <w:rtl/>
        </w:rPr>
        <w:tab/>
        <w:t>وفي عام 2000 بلغ، مجموع الدين ا</w:t>
      </w:r>
      <w:r>
        <w:rPr>
          <w:rFonts w:hint="cs"/>
          <w:rtl/>
        </w:rPr>
        <w:t>لخارجي 614 مليون دولار، كان منه مبلغ 402 مليون دولار لجهاتٍ دائنة متعددة الأطراف و194 مليون دولار لدائنين آخرين ومبلغ 18 مليون دولار دين خارجي أعاد نادي باريس جدولته.</w:t>
      </w:r>
    </w:p>
    <w:p w:rsidR="00000000" w:rsidRDefault="00AC31D5">
      <w:pPr>
        <w:jc w:val="center"/>
        <w:rPr>
          <w:rFonts w:hint="cs"/>
          <w:b/>
          <w:bCs/>
          <w:rtl/>
        </w:rPr>
      </w:pPr>
      <w:r>
        <w:rPr>
          <w:b/>
          <w:bCs/>
          <w:rtl/>
        </w:rPr>
        <w:br w:type="page"/>
      </w:r>
      <w:r>
        <w:rPr>
          <w:rFonts w:hint="cs"/>
          <w:b/>
          <w:bCs/>
          <w:rtl/>
        </w:rPr>
        <w:t>الجدول 3</w:t>
      </w:r>
    </w:p>
    <w:p w:rsidR="00000000" w:rsidRDefault="00AC31D5">
      <w:pPr>
        <w:jc w:val="center"/>
        <w:rPr>
          <w:rFonts w:hint="cs"/>
          <w:b/>
          <w:bCs/>
          <w:rtl/>
        </w:rPr>
      </w:pPr>
      <w:r>
        <w:rPr>
          <w:rFonts w:hint="cs"/>
          <w:b/>
          <w:bCs/>
          <w:rtl/>
        </w:rPr>
        <w:t>البيانات الاقتصادية المالية عن الفترة 1999-2001</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7"/>
        <w:gridCol w:w="1558"/>
        <w:gridCol w:w="1640"/>
        <w:gridCol w:w="1665"/>
      </w:tblGrid>
      <w:tr w:rsidR="00AC31D5" w:rsidTr="00AC31D5">
        <w:tblPrEx>
          <w:tblCellMar>
            <w:top w:w="0" w:type="dxa"/>
            <w:bottom w:w="0" w:type="dxa"/>
          </w:tblCellMar>
        </w:tblPrEx>
        <w:tc>
          <w:tcPr>
            <w:tcW w:w="4707" w:type="dxa"/>
            <w:tcBorders>
              <w:bottom w:val="single" w:sz="4" w:space="0" w:color="auto"/>
            </w:tcBorders>
          </w:tcPr>
          <w:p w:rsidR="00AC31D5" w:rsidRDefault="00AC31D5">
            <w:pPr>
              <w:spacing w:before="80" w:after="80"/>
              <w:jc w:val="left"/>
              <w:rPr>
                <w:b/>
                <w:bCs/>
                <w:sz w:val="24"/>
                <w:szCs w:val="24"/>
              </w:rPr>
            </w:pPr>
          </w:p>
        </w:tc>
        <w:tc>
          <w:tcPr>
            <w:tcW w:w="1558" w:type="dxa"/>
            <w:tcBorders>
              <w:bottom w:val="single" w:sz="4" w:space="0" w:color="auto"/>
            </w:tcBorders>
          </w:tcPr>
          <w:p w:rsidR="00AC31D5" w:rsidRDefault="00AC31D5">
            <w:pPr>
              <w:spacing w:before="80" w:after="80"/>
              <w:jc w:val="center"/>
              <w:rPr>
                <w:rFonts w:hint="cs"/>
                <w:sz w:val="24"/>
                <w:szCs w:val="24"/>
              </w:rPr>
            </w:pPr>
            <w:r>
              <w:rPr>
                <w:rFonts w:hint="cs"/>
                <w:sz w:val="24"/>
                <w:szCs w:val="24"/>
                <w:rtl/>
              </w:rPr>
              <w:t>1999</w:t>
            </w:r>
          </w:p>
        </w:tc>
        <w:tc>
          <w:tcPr>
            <w:tcW w:w="1640" w:type="dxa"/>
            <w:tcBorders>
              <w:bottom w:val="single" w:sz="4" w:space="0" w:color="auto"/>
            </w:tcBorders>
          </w:tcPr>
          <w:p w:rsidR="00AC31D5" w:rsidRDefault="00AC31D5">
            <w:pPr>
              <w:spacing w:before="80" w:after="80"/>
              <w:jc w:val="center"/>
              <w:rPr>
                <w:rFonts w:hint="cs"/>
                <w:sz w:val="24"/>
                <w:szCs w:val="24"/>
              </w:rPr>
            </w:pPr>
            <w:r>
              <w:rPr>
                <w:rFonts w:hint="cs"/>
                <w:sz w:val="24"/>
                <w:szCs w:val="24"/>
                <w:rtl/>
              </w:rPr>
              <w:t>2000</w:t>
            </w:r>
          </w:p>
        </w:tc>
        <w:tc>
          <w:tcPr>
            <w:tcW w:w="1665" w:type="dxa"/>
            <w:tcBorders>
              <w:bottom w:val="single" w:sz="4" w:space="0" w:color="auto"/>
            </w:tcBorders>
          </w:tcPr>
          <w:p w:rsidR="00AC31D5" w:rsidRDefault="00AC31D5">
            <w:pPr>
              <w:spacing w:before="80" w:after="80"/>
              <w:jc w:val="center"/>
              <w:rPr>
                <w:rFonts w:hint="cs"/>
                <w:sz w:val="24"/>
                <w:szCs w:val="24"/>
              </w:rPr>
            </w:pPr>
            <w:r>
              <w:rPr>
                <w:rFonts w:hint="cs"/>
                <w:sz w:val="24"/>
                <w:szCs w:val="24"/>
                <w:rtl/>
              </w:rPr>
              <w:t>2001</w:t>
            </w:r>
          </w:p>
        </w:tc>
      </w:tr>
      <w:tr w:rsidR="00AC31D5" w:rsidTr="00AC31D5">
        <w:tblPrEx>
          <w:tblCellMar>
            <w:top w:w="0" w:type="dxa"/>
            <w:bottom w:w="0" w:type="dxa"/>
          </w:tblCellMar>
        </w:tblPrEx>
        <w:tc>
          <w:tcPr>
            <w:tcW w:w="4707" w:type="dxa"/>
            <w:tcBorders>
              <w:bottom w:val="nil"/>
            </w:tcBorders>
          </w:tcPr>
          <w:p w:rsidR="00AC31D5" w:rsidRDefault="00AC31D5">
            <w:pPr>
              <w:spacing w:before="80" w:after="80"/>
              <w:jc w:val="both"/>
              <w:rPr>
                <w:rFonts w:hint="cs"/>
                <w:sz w:val="24"/>
                <w:szCs w:val="24"/>
              </w:rPr>
            </w:pPr>
            <w:r>
              <w:rPr>
                <w:rFonts w:hint="cs"/>
                <w:sz w:val="24"/>
                <w:szCs w:val="24"/>
                <w:rtl/>
              </w:rPr>
              <w:t>النمو الاقتصادي (بالنسبة المئوية)</w:t>
            </w:r>
          </w:p>
        </w:tc>
        <w:tc>
          <w:tcPr>
            <w:tcW w:w="1558" w:type="dxa"/>
            <w:tcBorders>
              <w:bottom w:val="nil"/>
            </w:tcBorders>
          </w:tcPr>
          <w:p w:rsidR="00AC31D5" w:rsidRDefault="00AC31D5">
            <w:pPr>
              <w:tabs>
                <w:tab w:val="left" w:pos="220"/>
              </w:tabs>
              <w:spacing w:before="80" w:after="80"/>
              <w:jc w:val="left"/>
              <w:rPr>
                <w:rFonts w:hint="cs"/>
                <w:sz w:val="24"/>
                <w:szCs w:val="24"/>
              </w:rPr>
            </w:pPr>
            <w:r>
              <w:rPr>
                <w:rFonts w:hint="cs"/>
                <w:sz w:val="24"/>
                <w:szCs w:val="24"/>
                <w:rtl/>
              </w:rPr>
              <w:t xml:space="preserve">  7.26</w:t>
            </w:r>
          </w:p>
        </w:tc>
        <w:tc>
          <w:tcPr>
            <w:tcW w:w="1640" w:type="dxa"/>
            <w:tcBorders>
              <w:bottom w:val="nil"/>
            </w:tcBorders>
          </w:tcPr>
          <w:p w:rsidR="00AC31D5" w:rsidRDefault="00AC31D5">
            <w:pPr>
              <w:spacing w:before="80" w:after="80"/>
              <w:jc w:val="left"/>
              <w:rPr>
                <w:rFonts w:hint="cs"/>
                <w:sz w:val="24"/>
                <w:szCs w:val="24"/>
              </w:rPr>
            </w:pPr>
            <w:r>
              <w:rPr>
                <w:rFonts w:hint="cs"/>
                <w:sz w:val="24"/>
                <w:szCs w:val="24"/>
                <w:rtl/>
              </w:rPr>
              <w:t>7.76</w:t>
            </w:r>
          </w:p>
        </w:tc>
        <w:tc>
          <w:tcPr>
            <w:tcW w:w="1665" w:type="dxa"/>
            <w:tcBorders>
              <w:bottom w:val="nil"/>
            </w:tcBorders>
          </w:tcPr>
          <w:p w:rsidR="00AC31D5" w:rsidRDefault="00AC31D5">
            <w:pPr>
              <w:spacing w:before="80" w:after="80"/>
              <w:jc w:val="left"/>
              <w:rPr>
                <w:rFonts w:hint="cs"/>
                <w:sz w:val="24"/>
                <w:szCs w:val="24"/>
              </w:rPr>
            </w:pPr>
            <w:r>
              <w:rPr>
                <w:rFonts w:hint="cs"/>
                <w:sz w:val="24"/>
                <w:szCs w:val="24"/>
                <w:rtl/>
              </w:rPr>
              <w:t>7.28</w:t>
            </w:r>
          </w:p>
        </w:tc>
      </w:tr>
      <w:tr w:rsidR="00AC31D5" w:rsidTr="00AC31D5">
        <w:tblPrEx>
          <w:tblCellMar>
            <w:top w:w="0" w:type="dxa"/>
            <w:bottom w:w="0" w:type="dxa"/>
          </w:tblCellMar>
        </w:tblPrEx>
        <w:tc>
          <w:tcPr>
            <w:tcW w:w="4707" w:type="dxa"/>
            <w:tcBorders>
              <w:top w:val="nil"/>
              <w:bottom w:val="nil"/>
            </w:tcBorders>
          </w:tcPr>
          <w:p w:rsidR="00AC31D5" w:rsidRDefault="00AC31D5">
            <w:pPr>
              <w:spacing w:before="80" w:after="80"/>
              <w:jc w:val="left"/>
              <w:rPr>
                <w:rFonts w:hint="cs"/>
                <w:sz w:val="24"/>
                <w:szCs w:val="24"/>
                <w:rtl/>
              </w:rPr>
            </w:pPr>
            <w:r>
              <w:rPr>
                <w:rFonts w:hint="cs"/>
                <w:sz w:val="24"/>
                <w:szCs w:val="24"/>
                <w:rtl/>
              </w:rPr>
              <w:t>التضخم (المتوسط السنوي بالنسبة المئوية)</w:t>
            </w:r>
          </w:p>
        </w:tc>
        <w:tc>
          <w:tcPr>
            <w:tcW w:w="1558" w:type="dxa"/>
            <w:tcBorders>
              <w:top w:val="nil"/>
              <w:bottom w:val="nil"/>
            </w:tcBorders>
          </w:tcPr>
          <w:p w:rsidR="00AC31D5" w:rsidRDefault="00AC31D5">
            <w:pPr>
              <w:tabs>
                <w:tab w:val="left" w:pos="220"/>
              </w:tabs>
              <w:spacing w:before="80" w:after="80"/>
              <w:jc w:val="left"/>
              <w:rPr>
                <w:rFonts w:hint="cs"/>
                <w:sz w:val="24"/>
                <w:szCs w:val="24"/>
              </w:rPr>
            </w:pPr>
            <w:r>
              <w:rPr>
                <w:rFonts w:hint="cs"/>
                <w:sz w:val="24"/>
                <w:szCs w:val="24"/>
                <w:rtl/>
              </w:rPr>
              <w:t xml:space="preserve">  0.39</w:t>
            </w:r>
          </w:p>
        </w:tc>
        <w:tc>
          <w:tcPr>
            <w:tcW w:w="1640" w:type="dxa"/>
            <w:tcBorders>
              <w:top w:val="nil"/>
              <w:bottom w:val="nil"/>
            </w:tcBorders>
          </w:tcPr>
          <w:p w:rsidR="00AC31D5" w:rsidRDefault="00AC31D5">
            <w:pPr>
              <w:spacing w:before="80" w:after="80"/>
              <w:jc w:val="left"/>
              <w:rPr>
                <w:rFonts w:hint="cs"/>
                <w:sz w:val="24"/>
                <w:szCs w:val="24"/>
              </w:rPr>
            </w:pPr>
            <w:r>
              <w:rPr>
                <w:rFonts w:hint="cs"/>
                <w:sz w:val="24"/>
                <w:szCs w:val="24"/>
                <w:rtl/>
              </w:rPr>
              <w:t>0.04</w:t>
            </w:r>
          </w:p>
        </w:tc>
        <w:tc>
          <w:tcPr>
            <w:tcW w:w="1665" w:type="dxa"/>
            <w:tcBorders>
              <w:top w:val="nil"/>
              <w:bottom w:val="nil"/>
            </w:tcBorders>
          </w:tcPr>
          <w:p w:rsidR="00AC31D5" w:rsidRDefault="00AC31D5">
            <w:pPr>
              <w:spacing w:before="80" w:after="80"/>
              <w:jc w:val="left"/>
              <w:rPr>
                <w:rFonts w:hint="cs"/>
                <w:sz w:val="24"/>
                <w:szCs w:val="24"/>
              </w:rPr>
            </w:pPr>
            <w:r>
              <w:rPr>
                <w:rFonts w:hint="cs"/>
                <w:sz w:val="24"/>
                <w:szCs w:val="24"/>
                <w:rtl/>
              </w:rPr>
              <w:t>2.00</w:t>
            </w:r>
          </w:p>
        </w:tc>
      </w:tr>
      <w:tr w:rsidR="00AC31D5" w:rsidTr="00AC31D5">
        <w:tblPrEx>
          <w:tblCellMar>
            <w:top w:w="0" w:type="dxa"/>
            <w:bottom w:w="0" w:type="dxa"/>
          </w:tblCellMar>
        </w:tblPrEx>
        <w:tc>
          <w:tcPr>
            <w:tcW w:w="4707" w:type="dxa"/>
            <w:tcBorders>
              <w:top w:val="nil"/>
              <w:bottom w:val="nil"/>
            </w:tcBorders>
          </w:tcPr>
          <w:p w:rsidR="00AC31D5" w:rsidRDefault="00AC31D5">
            <w:pPr>
              <w:spacing w:before="80" w:after="80"/>
              <w:jc w:val="left"/>
              <w:rPr>
                <w:rFonts w:hint="cs"/>
                <w:sz w:val="24"/>
                <w:szCs w:val="24"/>
                <w:rtl/>
              </w:rPr>
            </w:pPr>
            <w:r>
              <w:rPr>
                <w:rFonts w:hint="cs"/>
                <w:sz w:val="24"/>
                <w:szCs w:val="24"/>
                <w:rtl/>
              </w:rPr>
              <w:t>التضخم (في نهاية العام، بالنسبة المئوية)</w:t>
            </w:r>
          </w:p>
        </w:tc>
        <w:tc>
          <w:tcPr>
            <w:tcW w:w="1558" w:type="dxa"/>
            <w:tcBorders>
              <w:top w:val="nil"/>
              <w:bottom w:val="nil"/>
            </w:tcBorders>
          </w:tcPr>
          <w:p w:rsidR="00AC31D5" w:rsidRDefault="00AC31D5">
            <w:pPr>
              <w:tabs>
                <w:tab w:val="left" w:pos="302"/>
              </w:tabs>
              <w:spacing w:before="80" w:after="80"/>
              <w:jc w:val="left"/>
              <w:rPr>
                <w:sz w:val="24"/>
                <w:szCs w:val="24"/>
              </w:rPr>
            </w:pPr>
            <w:r>
              <w:rPr>
                <w:rFonts w:hint="cs"/>
                <w:sz w:val="24"/>
                <w:szCs w:val="24"/>
                <w:rtl/>
              </w:rPr>
              <w:t>-</w:t>
            </w:r>
            <w:r>
              <w:rPr>
                <w:sz w:val="24"/>
                <w:szCs w:val="24"/>
                <w:rtl/>
              </w:rPr>
              <w:t>1.03</w:t>
            </w:r>
          </w:p>
        </w:tc>
        <w:tc>
          <w:tcPr>
            <w:tcW w:w="1640" w:type="dxa"/>
            <w:tcBorders>
              <w:top w:val="nil"/>
              <w:bottom w:val="nil"/>
            </w:tcBorders>
          </w:tcPr>
          <w:p w:rsidR="00AC31D5" w:rsidRDefault="00AC31D5">
            <w:pPr>
              <w:spacing w:before="80" w:after="80"/>
              <w:jc w:val="left"/>
              <w:rPr>
                <w:rFonts w:hint="cs"/>
                <w:sz w:val="24"/>
                <w:szCs w:val="24"/>
              </w:rPr>
            </w:pPr>
            <w:r>
              <w:rPr>
                <w:rFonts w:hint="cs"/>
                <w:sz w:val="24"/>
                <w:szCs w:val="24"/>
                <w:rtl/>
              </w:rPr>
              <w:t>4.02</w:t>
            </w:r>
          </w:p>
        </w:tc>
        <w:tc>
          <w:tcPr>
            <w:tcW w:w="1665" w:type="dxa"/>
            <w:tcBorders>
              <w:top w:val="nil"/>
              <w:bottom w:val="nil"/>
            </w:tcBorders>
          </w:tcPr>
          <w:p w:rsidR="00AC31D5" w:rsidRDefault="00AC31D5">
            <w:pPr>
              <w:spacing w:before="80" w:after="80"/>
              <w:jc w:val="left"/>
              <w:rPr>
                <w:rFonts w:hint="cs"/>
                <w:sz w:val="24"/>
                <w:szCs w:val="24"/>
              </w:rPr>
            </w:pPr>
            <w:r>
              <w:rPr>
                <w:rFonts w:hint="cs"/>
                <w:sz w:val="24"/>
                <w:szCs w:val="24"/>
                <w:rtl/>
              </w:rPr>
              <w:t>4.00</w:t>
            </w:r>
          </w:p>
        </w:tc>
      </w:tr>
      <w:tr w:rsidR="00AC31D5" w:rsidTr="00AC31D5">
        <w:tblPrEx>
          <w:tblCellMar>
            <w:top w:w="0" w:type="dxa"/>
            <w:bottom w:w="0" w:type="dxa"/>
          </w:tblCellMar>
        </w:tblPrEx>
        <w:tc>
          <w:tcPr>
            <w:tcW w:w="4707" w:type="dxa"/>
            <w:tcBorders>
              <w:top w:val="nil"/>
              <w:bottom w:val="nil"/>
            </w:tcBorders>
          </w:tcPr>
          <w:p w:rsidR="00AC31D5" w:rsidRDefault="00AC31D5">
            <w:pPr>
              <w:spacing w:before="80" w:after="80"/>
              <w:jc w:val="left"/>
              <w:rPr>
                <w:rFonts w:hint="cs"/>
                <w:sz w:val="24"/>
                <w:szCs w:val="24"/>
                <w:rtl/>
              </w:rPr>
            </w:pPr>
            <w:r>
              <w:rPr>
                <w:rFonts w:hint="cs"/>
                <w:sz w:val="24"/>
                <w:szCs w:val="24"/>
                <w:rtl/>
              </w:rPr>
              <w:t xml:space="preserve">العملة الأجنبية (بملايين الدولارات </w:t>
            </w:r>
            <w:r>
              <w:rPr>
                <w:sz w:val="24"/>
                <w:szCs w:val="24"/>
                <w:rtl/>
              </w:rPr>
              <w:br/>
            </w:r>
            <w:r>
              <w:rPr>
                <w:rFonts w:hint="cs"/>
                <w:sz w:val="24"/>
                <w:szCs w:val="24"/>
                <w:rtl/>
              </w:rPr>
              <w:t xml:space="preserve">   ومن الواردات والخدمات الشهرية)</w:t>
            </w:r>
          </w:p>
        </w:tc>
        <w:tc>
          <w:tcPr>
            <w:tcW w:w="1558" w:type="dxa"/>
            <w:tcBorders>
              <w:top w:val="nil"/>
              <w:bottom w:val="nil"/>
            </w:tcBorders>
          </w:tcPr>
          <w:p w:rsidR="00AC31D5" w:rsidRDefault="00AC31D5">
            <w:pPr>
              <w:tabs>
                <w:tab w:val="left" w:pos="302"/>
              </w:tabs>
              <w:spacing w:before="80" w:after="80"/>
              <w:jc w:val="left"/>
              <w:rPr>
                <w:rFonts w:hint="cs"/>
                <w:sz w:val="24"/>
                <w:szCs w:val="24"/>
                <w:rtl/>
              </w:rPr>
            </w:pPr>
            <w:r>
              <w:rPr>
                <w:sz w:val="24"/>
                <w:szCs w:val="24"/>
                <w:rtl/>
              </w:rPr>
              <w:tab/>
            </w:r>
            <w:r>
              <w:rPr>
                <w:rFonts w:hint="cs"/>
                <w:sz w:val="24"/>
                <w:szCs w:val="24"/>
                <w:rtl/>
              </w:rPr>
              <w:t xml:space="preserve">  481</w:t>
            </w:r>
          </w:p>
          <w:p w:rsidR="00AC31D5" w:rsidRDefault="00AC31D5">
            <w:pPr>
              <w:tabs>
                <w:tab w:val="left" w:pos="302"/>
              </w:tabs>
              <w:spacing w:before="80" w:after="80"/>
              <w:jc w:val="left"/>
              <w:rPr>
                <w:sz w:val="24"/>
                <w:szCs w:val="24"/>
              </w:rPr>
            </w:pPr>
            <w:r>
              <w:rPr>
                <w:rFonts w:hint="cs"/>
                <w:sz w:val="24"/>
                <w:szCs w:val="24"/>
                <w:rtl/>
              </w:rPr>
              <w:t xml:space="preserve"> </w:t>
            </w:r>
            <w:r>
              <w:rPr>
                <w:sz w:val="24"/>
                <w:szCs w:val="24"/>
                <w:rtl/>
              </w:rPr>
              <w:t xml:space="preserve"> 4.1</w:t>
            </w:r>
          </w:p>
        </w:tc>
        <w:tc>
          <w:tcPr>
            <w:tcW w:w="1640" w:type="dxa"/>
            <w:tcBorders>
              <w:top w:val="nil"/>
              <w:bottom w:val="nil"/>
            </w:tcBorders>
          </w:tcPr>
          <w:p w:rsidR="00AC31D5" w:rsidRDefault="00AC31D5">
            <w:pPr>
              <w:tabs>
                <w:tab w:val="left" w:pos="220"/>
              </w:tabs>
              <w:spacing w:before="80" w:after="80"/>
              <w:jc w:val="left"/>
              <w:rPr>
                <w:rFonts w:hint="cs"/>
                <w:sz w:val="24"/>
                <w:szCs w:val="24"/>
                <w:rtl/>
              </w:rPr>
            </w:pPr>
            <w:r>
              <w:rPr>
                <w:sz w:val="24"/>
                <w:szCs w:val="24"/>
                <w:rtl/>
              </w:rPr>
              <w:tab/>
            </w:r>
            <w:r>
              <w:rPr>
                <w:rFonts w:hint="cs"/>
                <w:sz w:val="24"/>
                <w:szCs w:val="24"/>
                <w:rtl/>
              </w:rPr>
              <w:t xml:space="preserve"> 550</w:t>
            </w:r>
          </w:p>
          <w:p w:rsidR="00AC31D5" w:rsidRDefault="00AC31D5">
            <w:pPr>
              <w:tabs>
                <w:tab w:val="left" w:pos="220"/>
              </w:tabs>
              <w:spacing w:before="80" w:after="80"/>
              <w:jc w:val="left"/>
              <w:rPr>
                <w:sz w:val="24"/>
                <w:szCs w:val="24"/>
              </w:rPr>
            </w:pPr>
            <w:r>
              <w:rPr>
                <w:sz w:val="24"/>
                <w:szCs w:val="24"/>
                <w:rtl/>
              </w:rPr>
              <w:t>4.4</w:t>
            </w:r>
          </w:p>
        </w:tc>
        <w:tc>
          <w:tcPr>
            <w:tcW w:w="1665" w:type="dxa"/>
            <w:tcBorders>
              <w:top w:val="nil"/>
              <w:bottom w:val="nil"/>
            </w:tcBorders>
          </w:tcPr>
          <w:p w:rsidR="00AC31D5" w:rsidRDefault="00AC31D5">
            <w:pPr>
              <w:tabs>
                <w:tab w:val="left" w:pos="220"/>
              </w:tabs>
              <w:spacing w:before="80" w:after="80"/>
              <w:jc w:val="left"/>
              <w:rPr>
                <w:rFonts w:hint="cs"/>
                <w:sz w:val="24"/>
                <w:szCs w:val="24"/>
                <w:rtl/>
              </w:rPr>
            </w:pPr>
            <w:r>
              <w:rPr>
                <w:sz w:val="24"/>
                <w:szCs w:val="24"/>
                <w:rtl/>
              </w:rPr>
              <w:tab/>
              <w:t xml:space="preserve">  620</w:t>
            </w:r>
          </w:p>
          <w:p w:rsidR="00AC31D5" w:rsidRDefault="00AC31D5">
            <w:pPr>
              <w:tabs>
                <w:tab w:val="left" w:pos="220"/>
              </w:tabs>
              <w:spacing w:before="80" w:after="80"/>
              <w:jc w:val="left"/>
              <w:rPr>
                <w:rFonts w:hint="cs"/>
                <w:sz w:val="24"/>
                <w:szCs w:val="24"/>
              </w:rPr>
            </w:pPr>
            <w:r>
              <w:rPr>
                <w:rFonts w:hint="cs"/>
                <w:sz w:val="24"/>
                <w:szCs w:val="24"/>
                <w:rtl/>
              </w:rPr>
              <w:t>4.6</w:t>
            </w:r>
          </w:p>
        </w:tc>
      </w:tr>
      <w:tr w:rsidR="00AC31D5" w:rsidTr="00AC31D5">
        <w:tblPrEx>
          <w:tblCellMar>
            <w:top w:w="0" w:type="dxa"/>
            <w:bottom w:w="0" w:type="dxa"/>
          </w:tblCellMar>
        </w:tblPrEx>
        <w:tc>
          <w:tcPr>
            <w:tcW w:w="4707" w:type="dxa"/>
            <w:tcBorders>
              <w:top w:val="nil"/>
              <w:bottom w:val="nil"/>
            </w:tcBorders>
          </w:tcPr>
          <w:p w:rsidR="00AC31D5" w:rsidRDefault="00AC31D5">
            <w:pPr>
              <w:spacing w:before="80" w:after="80"/>
              <w:jc w:val="left"/>
              <w:rPr>
                <w:rFonts w:hint="cs"/>
                <w:sz w:val="24"/>
                <w:szCs w:val="24"/>
                <w:rtl/>
              </w:rPr>
            </w:pPr>
            <w:r>
              <w:rPr>
                <w:rFonts w:hint="cs"/>
                <w:sz w:val="24"/>
                <w:szCs w:val="24"/>
                <w:rtl/>
              </w:rPr>
              <w:t>العجز في الحساب الجاري (بالنسبة المئوية من الناتج المحلي الإجمالي)</w:t>
            </w:r>
          </w:p>
        </w:tc>
        <w:tc>
          <w:tcPr>
            <w:tcW w:w="1558" w:type="dxa"/>
            <w:tcBorders>
              <w:top w:val="nil"/>
              <w:bottom w:val="nil"/>
            </w:tcBorders>
          </w:tcPr>
          <w:p w:rsidR="00AC31D5" w:rsidRDefault="00AC31D5">
            <w:pPr>
              <w:tabs>
                <w:tab w:val="left" w:pos="302"/>
              </w:tabs>
              <w:spacing w:before="80" w:after="80"/>
              <w:jc w:val="left"/>
              <w:rPr>
                <w:rFonts w:hint="cs"/>
                <w:sz w:val="24"/>
                <w:szCs w:val="24"/>
              </w:rPr>
            </w:pPr>
            <w:r>
              <w:rPr>
                <w:rFonts w:hint="cs"/>
                <w:sz w:val="24"/>
                <w:szCs w:val="24"/>
                <w:rtl/>
              </w:rPr>
              <w:t xml:space="preserve">  8.0</w:t>
            </w:r>
          </w:p>
        </w:tc>
        <w:tc>
          <w:tcPr>
            <w:tcW w:w="1640" w:type="dxa"/>
            <w:tcBorders>
              <w:top w:val="nil"/>
              <w:bottom w:val="nil"/>
            </w:tcBorders>
          </w:tcPr>
          <w:p w:rsidR="00AC31D5" w:rsidRDefault="00AC31D5">
            <w:pPr>
              <w:spacing w:before="80" w:after="80"/>
              <w:jc w:val="left"/>
              <w:rPr>
                <w:rFonts w:hint="cs"/>
                <w:sz w:val="24"/>
                <w:szCs w:val="24"/>
              </w:rPr>
            </w:pPr>
            <w:r>
              <w:rPr>
                <w:rFonts w:hint="cs"/>
                <w:sz w:val="24"/>
                <w:szCs w:val="24"/>
                <w:rtl/>
              </w:rPr>
              <w:t>7.0</w:t>
            </w:r>
          </w:p>
        </w:tc>
        <w:tc>
          <w:tcPr>
            <w:tcW w:w="1665" w:type="dxa"/>
            <w:tcBorders>
              <w:top w:val="nil"/>
              <w:bottom w:val="nil"/>
            </w:tcBorders>
          </w:tcPr>
          <w:p w:rsidR="00AC31D5" w:rsidRDefault="00AC31D5">
            <w:pPr>
              <w:spacing w:before="80" w:after="80"/>
              <w:jc w:val="left"/>
              <w:rPr>
                <w:rFonts w:hint="cs"/>
                <w:sz w:val="24"/>
                <w:szCs w:val="24"/>
              </w:rPr>
            </w:pPr>
            <w:r>
              <w:rPr>
                <w:rFonts w:hint="cs"/>
                <w:sz w:val="24"/>
                <w:szCs w:val="24"/>
                <w:rtl/>
              </w:rPr>
              <w:t>7.3</w:t>
            </w:r>
          </w:p>
        </w:tc>
      </w:tr>
      <w:tr w:rsidR="00AC31D5" w:rsidTr="00AC31D5">
        <w:tblPrEx>
          <w:tblCellMar>
            <w:top w:w="0" w:type="dxa"/>
            <w:bottom w:w="0" w:type="dxa"/>
          </w:tblCellMar>
        </w:tblPrEx>
        <w:tc>
          <w:tcPr>
            <w:tcW w:w="4707" w:type="dxa"/>
            <w:tcBorders>
              <w:top w:val="nil"/>
              <w:bottom w:val="nil"/>
            </w:tcBorders>
          </w:tcPr>
          <w:p w:rsidR="00AC31D5" w:rsidRDefault="00AC31D5">
            <w:pPr>
              <w:spacing w:before="80" w:after="80"/>
              <w:jc w:val="left"/>
              <w:rPr>
                <w:rFonts w:hint="cs"/>
                <w:sz w:val="24"/>
                <w:szCs w:val="24"/>
                <w:rtl/>
              </w:rPr>
            </w:pPr>
            <w:r>
              <w:rPr>
                <w:rFonts w:hint="cs"/>
                <w:sz w:val="24"/>
                <w:szCs w:val="24"/>
                <w:rtl/>
              </w:rPr>
              <w:t>إجمالي عجز الميزانية (بالنسبة المئوية من الناتج المحلي الإجمالي)</w:t>
            </w:r>
          </w:p>
        </w:tc>
        <w:tc>
          <w:tcPr>
            <w:tcW w:w="1558" w:type="dxa"/>
            <w:tcBorders>
              <w:top w:val="nil"/>
              <w:bottom w:val="nil"/>
            </w:tcBorders>
          </w:tcPr>
          <w:p w:rsidR="00AC31D5" w:rsidRDefault="00AC31D5">
            <w:pPr>
              <w:tabs>
                <w:tab w:val="left" w:pos="302"/>
              </w:tabs>
              <w:spacing w:before="80" w:after="80"/>
              <w:jc w:val="left"/>
              <w:rPr>
                <w:rFonts w:hint="cs"/>
                <w:sz w:val="24"/>
                <w:szCs w:val="24"/>
              </w:rPr>
            </w:pPr>
            <w:r>
              <w:rPr>
                <w:rFonts w:hint="cs"/>
                <w:sz w:val="24"/>
                <w:szCs w:val="24"/>
                <w:rtl/>
              </w:rPr>
              <w:t xml:space="preserve">  11.5</w:t>
            </w:r>
          </w:p>
        </w:tc>
        <w:tc>
          <w:tcPr>
            <w:tcW w:w="1640" w:type="dxa"/>
            <w:tcBorders>
              <w:top w:val="nil"/>
              <w:bottom w:val="nil"/>
            </w:tcBorders>
          </w:tcPr>
          <w:p w:rsidR="00AC31D5" w:rsidRDefault="00AC31D5">
            <w:pPr>
              <w:spacing w:before="80" w:after="80"/>
              <w:jc w:val="left"/>
              <w:rPr>
                <w:rFonts w:hint="cs"/>
                <w:sz w:val="24"/>
                <w:szCs w:val="24"/>
              </w:rPr>
            </w:pPr>
            <w:r>
              <w:rPr>
                <w:rFonts w:hint="cs"/>
                <w:sz w:val="24"/>
                <w:szCs w:val="24"/>
                <w:rtl/>
              </w:rPr>
              <w:t>9.5</w:t>
            </w:r>
          </w:p>
        </w:tc>
        <w:tc>
          <w:tcPr>
            <w:tcW w:w="1665" w:type="dxa"/>
            <w:tcBorders>
              <w:top w:val="nil"/>
              <w:bottom w:val="nil"/>
            </w:tcBorders>
          </w:tcPr>
          <w:p w:rsidR="00AC31D5" w:rsidRDefault="00AC31D5">
            <w:pPr>
              <w:spacing w:before="80" w:after="80"/>
              <w:jc w:val="left"/>
              <w:rPr>
                <w:rFonts w:hint="cs"/>
                <w:sz w:val="24"/>
                <w:szCs w:val="24"/>
              </w:rPr>
            </w:pPr>
            <w:r>
              <w:rPr>
                <w:rFonts w:hint="cs"/>
                <w:sz w:val="24"/>
                <w:szCs w:val="24"/>
                <w:rtl/>
              </w:rPr>
              <w:t>9.2</w:t>
            </w:r>
          </w:p>
        </w:tc>
      </w:tr>
      <w:tr w:rsidR="00AC31D5" w:rsidTr="00AC31D5">
        <w:tblPrEx>
          <w:tblCellMar>
            <w:top w:w="0" w:type="dxa"/>
            <w:bottom w:w="0" w:type="dxa"/>
          </w:tblCellMar>
        </w:tblPrEx>
        <w:tc>
          <w:tcPr>
            <w:tcW w:w="4707" w:type="dxa"/>
            <w:tcBorders>
              <w:top w:val="nil"/>
              <w:bottom w:val="nil"/>
            </w:tcBorders>
          </w:tcPr>
          <w:p w:rsidR="00AC31D5" w:rsidRDefault="00AC31D5">
            <w:pPr>
              <w:spacing w:before="80" w:after="80"/>
              <w:jc w:val="left"/>
              <w:rPr>
                <w:rFonts w:hint="cs"/>
                <w:spacing w:val="2"/>
                <w:sz w:val="24"/>
                <w:szCs w:val="24"/>
                <w:rtl/>
              </w:rPr>
            </w:pPr>
            <w:r>
              <w:rPr>
                <w:rFonts w:hint="cs"/>
                <w:spacing w:val="2"/>
                <w:sz w:val="24"/>
                <w:szCs w:val="24"/>
                <w:rtl/>
              </w:rPr>
              <w:t>التمويل المحلي للعجز في الميزانية (بالنسبة المئوية للناتج المحلي الإجمالي)</w:t>
            </w:r>
          </w:p>
        </w:tc>
        <w:tc>
          <w:tcPr>
            <w:tcW w:w="1558" w:type="dxa"/>
            <w:tcBorders>
              <w:top w:val="nil"/>
              <w:bottom w:val="nil"/>
            </w:tcBorders>
          </w:tcPr>
          <w:p w:rsidR="00AC31D5" w:rsidRDefault="00AC31D5">
            <w:pPr>
              <w:tabs>
                <w:tab w:val="left" w:pos="302"/>
              </w:tabs>
              <w:spacing w:before="80" w:after="80"/>
              <w:jc w:val="left"/>
              <w:rPr>
                <w:rFonts w:hint="cs"/>
                <w:sz w:val="24"/>
                <w:szCs w:val="24"/>
              </w:rPr>
            </w:pPr>
            <w:r>
              <w:rPr>
                <w:rFonts w:hint="cs"/>
                <w:sz w:val="24"/>
                <w:szCs w:val="24"/>
                <w:rtl/>
              </w:rPr>
              <w:t xml:space="preserve">  5.2</w:t>
            </w:r>
          </w:p>
        </w:tc>
        <w:tc>
          <w:tcPr>
            <w:tcW w:w="1640" w:type="dxa"/>
            <w:tcBorders>
              <w:top w:val="nil"/>
              <w:bottom w:val="nil"/>
            </w:tcBorders>
          </w:tcPr>
          <w:p w:rsidR="00AC31D5" w:rsidRDefault="00AC31D5">
            <w:pPr>
              <w:spacing w:before="80" w:after="80"/>
              <w:jc w:val="left"/>
              <w:rPr>
                <w:rFonts w:hint="cs"/>
                <w:sz w:val="24"/>
                <w:szCs w:val="24"/>
              </w:rPr>
            </w:pPr>
            <w:r>
              <w:rPr>
                <w:rFonts w:hint="cs"/>
                <w:sz w:val="24"/>
                <w:szCs w:val="24"/>
                <w:rtl/>
              </w:rPr>
              <w:t>3.3</w:t>
            </w:r>
          </w:p>
        </w:tc>
        <w:tc>
          <w:tcPr>
            <w:tcW w:w="1665" w:type="dxa"/>
            <w:tcBorders>
              <w:top w:val="nil"/>
              <w:bottom w:val="nil"/>
            </w:tcBorders>
          </w:tcPr>
          <w:p w:rsidR="00AC31D5" w:rsidRDefault="00AC31D5">
            <w:pPr>
              <w:spacing w:before="80" w:after="80"/>
              <w:jc w:val="left"/>
              <w:rPr>
                <w:rFonts w:hint="cs"/>
                <w:sz w:val="24"/>
                <w:szCs w:val="24"/>
              </w:rPr>
            </w:pPr>
            <w:r>
              <w:rPr>
                <w:rFonts w:hint="cs"/>
                <w:sz w:val="24"/>
                <w:szCs w:val="24"/>
                <w:rtl/>
              </w:rPr>
              <w:t>2.7</w:t>
            </w:r>
          </w:p>
        </w:tc>
      </w:tr>
      <w:tr w:rsidR="00AC31D5" w:rsidTr="00AC31D5">
        <w:tblPrEx>
          <w:tblCellMar>
            <w:top w:w="0" w:type="dxa"/>
            <w:bottom w:w="0" w:type="dxa"/>
          </w:tblCellMar>
        </w:tblPrEx>
        <w:tc>
          <w:tcPr>
            <w:tcW w:w="4707" w:type="dxa"/>
            <w:tcBorders>
              <w:top w:val="nil"/>
            </w:tcBorders>
          </w:tcPr>
          <w:p w:rsidR="00AC31D5" w:rsidRDefault="00AC31D5">
            <w:pPr>
              <w:spacing w:before="80" w:after="80"/>
              <w:jc w:val="left"/>
              <w:rPr>
                <w:rFonts w:hint="cs"/>
                <w:sz w:val="24"/>
                <w:szCs w:val="24"/>
                <w:rtl/>
              </w:rPr>
            </w:pPr>
            <w:r>
              <w:rPr>
                <w:rFonts w:hint="cs"/>
                <w:sz w:val="24"/>
                <w:szCs w:val="24"/>
                <w:rtl/>
              </w:rPr>
              <w:t>الناتج المحلي الإجمالي</w:t>
            </w:r>
          </w:p>
          <w:p w:rsidR="00AC31D5" w:rsidRDefault="00AC31D5">
            <w:pPr>
              <w:spacing w:before="80" w:after="80"/>
              <w:jc w:val="left"/>
              <w:rPr>
                <w:rFonts w:hint="cs"/>
                <w:sz w:val="24"/>
                <w:szCs w:val="24"/>
                <w:rtl/>
              </w:rPr>
            </w:pPr>
            <w:r>
              <w:rPr>
                <w:rFonts w:hint="cs"/>
                <w:sz w:val="24"/>
                <w:szCs w:val="24"/>
                <w:rtl/>
              </w:rPr>
              <w:t xml:space="preserve">   الناتج المحلي الإجمالي الحقيقي (بملايين الليكات) *</w:t>
            </w:r>
          </w:p>
          <w:p w:rsidR="00AC31D5" w:rsidRDefault="00AC31D5">
            <w:pPr>
              <w:spacing w:before="80" w:after="80"/>
              <w:jc w:val="left"/>
              <w:rPr>
                <w:rFonts w:hint="cs"/>
                <w:sz w:val="24"/>
                <w:szCs w:val="24"/>
                <w:rtl/>
              </w:rPr>
            </w:pPr>
            <w:r>
              <w:rPr>
                <w:rFonts w:hint="cs"/>
                <w:sz w:val="24"/>
                <w:szCs w:val="24"/>
                <w:rtl/>
              </w:rPr>
              <w:t xml:space="preserve">   الناتج المحلي الإجمالي الإسمي (بملايين الليكات)</w:t>
            </w:r>
          </w:p>
          <w:p w:rsidR="00AC31D5" w:rsidRDefault="00AC31D5">
            <w:pPr>
              <w:spacing w:before="80" w:after="80"/>
              <w:jc w:val="left"/>
              <w:rPr>
                <w:rFonts w:hint="cs"/>
                <w:sz w:val="24"/>
                <w:szCs w:val="24"/>
                <w:rtl/>
              </w:rPr>
            </w:pPr>
            <w:r>
              <w:rPr>
                <w:rFonts w:hint="cs"/>
                <w:sz w:val="24"/>
                <w:szCs w:val="24"/>
                <w:rtl/>
              </w:rPr>
              <w:t xml:space="preserve">   حصة الفرد من الناتج المحلي الإجمالي بالدولار </w:t>
            </w:r>
          </w:p>
        </w:tc>
        <w:tc>
          <w:tcPr>
            <w:tcW w:w="1558" w:type="dxa"/>
            <w:tcBorders>
              <w:top w:val="nil"/>
            </w:tcBorders>
          </w:tcPr>
          <w:p w:rsidR="00AC31D5" w:rsidRDefault="00AC31D5">
            <w:pPr>
              <w:tabs>
                <w:tab w:val="left" w:pos="302"/>
              </w:tabs>
              <w:spacing w:before="80" w:after="80"/>
              <w:jc w:val="left"/>
              <w:rPr>
                <w:rFonts w:hint="cs"/>
                <w:sz w:val="24"/>
                <w:szCs w:val="24"/>
                <w:rtl/>
              </w:rPr>
            </w:pPr>
            <w:r>
              <w:rPr>
                <w:sz w:val="24"/>
                <w:szCs w:val="24"/>
                <w:rtl/>
              </w:rPr>
              <w:tab/>
              <w:t>748 17</w:t>
            </w:r>
          </w:p>
          <w:p w:rsidR="00AC31D5" w:rsidRDefault="00AC31D5">
            <w:pPr>
              <w:tabs>
                <w:tab w:val="left" w:pos="302"/>
              </w:tabs>
              <w:spacing w:before="80" w:after="80"/>
              <w:jc w:val="left"/>
              <w:rPr>
                <w:sz w:val="24"/>
                <w:szCs w:val="24"/>
              </w:rPr>
            </w:pPr>
            <w:r>
              <w:rPr>
                <w:sz w:val="24"/>
                <w:szCs w:val="24"/>
                <w:rtl/>
              </w:rPr>
              <w:tab/>
              <w:t>205 506</w:t>
            </w:r>
          </w:p>
        </w:tc>
        <w:tc>
          <w:tcPr>
            <w:tcW w:w="1640" w:type="dxa"/>
            <w:tcBorders>
              <w:top w:val="nil"/>
            </w:tcBorders>
          </w:tcPr>
          <w:p w:rsidR="00AC31D5" w:rsidRDefault="00AC31D5">
            <w:pPr>
              <w:tabs>
                <w:tab w:val="left" w:pos="220"/>
              </w:tabs>
              <w:spacing w:before="80" w:after="80"/>
              <w:jc w:val="left"/>
              <w:rPr>
                <w:rFonts w:hint="cs"/>
                <w:sz w:val="24"/>
                <w:szCs w:val="24"/>
                <w:rtl/>
              </w:rPr>
            </w:pPr>
            <w:r>
              <w:rPr>
                <w:sz w:val="24"/>
                <w:szCs w:val="24"/>
                <w:rtl/>
              </w:rPr>
              <w:tab/>
            </w:r>
            <w:r>
              <w:rPr>
                <w:rFonts w:hint="cs"/>
                <w:sz w:val="24"/>
                <w:szCs w:val="24"/>
                <w:rtl/>
              </w:rPr>
              <w:t xml:space="preserve"> </w:t>
            </w:r>
            <w:r>
              <w:rPr>
                <w:sz w:val="24"/>
                <w:szCs w:val="24"/>
                <w:rtl/>
              </w:rPr>
              <w:t>125 19</w:t>
            </w:r>
          </w:p>
          <w:p w:rsidR="00AC31D5" w:rsidRDefault="00AC31D5">
            <w:pPr>
              <w:tabs>
                <w:tab w:val="left" w:pos="220"/>
              </w:tabs>
              <w:spacing w:before="80" w:after="80"/>
              <w:jc w:val="left"/>
              <w:rPr>
                <w:sz w:val="24"/>
                <w:szCs w:val="24"/>
              </w:rPr>
            </w:pPr>
            <w:r>
              <w:rPr>
                <w:sz w:val="24"/>
                <w:szCs w:val="24"/>
                <w:rtl/>
              </w:rPr>
              <w:tab/>
              <w:t>210 239</w:t>
            </w:r>
          </w:p>
        </w:tc>
        <w:tc>
          <w:tcPr>
            <w:tcW w:w="1665" w:type="dxa"/>
            <w:tcBorders>
              <w:top w:val="nil"/>
            </w:tcBorders>
          </w:tcPr>
          <w:p w:rsidR="00AC31D5" w:rsidRDefault="00AC31D5">
            <w:pPr>
              <w:tabs>
                <w:tab w:val="left" w:pos="220"/>
              </w:tabs>
              <w:spacing w:before="80" w:after="80"/>
              <w:jc w:val="left"/>
              <w:rPr>
                <w:rFonts w:hint="cs"/>
                <w:sz w:val="24"/>
                <w:szCs w:val="24"/>
                <w:rtl/>
              </w:rPr>
            </w:pPr>
            <w:r>
              <w:rPr>
                <w:sz w:val="24"/>
                <w:szCs w:val="24"/>
                <w:rtl/>
              </w:rPr>
              <w:tab/>
              <w:t>516 20</w:t>
            </w:r>
          </w:p>
          <w:p w:rsidR="00AC31D5" w:rsidRDefault="00AC31D5">
            <w:pPr>
              <w:tabs>
                <w:tab w:val="left" w:pos="220"/>
              </w:tabs>
              <w:spacing w:before="80" w:after="80"/>
              <w:jc w:val="left"/>
              <w:rPr>
                <w:sz w:val="24"/>
                <w:szCs w:val="24"/>
              </w:rPr>
            </w:pPr>
            <w:r>
              <w:rPr>
                <w:sz w:val="24"/>
                <w:szCs w:val="24"/>
                <w:rtl/>
              </w:rPr>
              <w:tab/>
              <w:t>346 594</w:t>
            </w:r>
          </w:p>
        </w:tc>
      </w:tr>
    </w:tbl>
    <w:p w:rsidR="00000000" w:rsidRDefault="00AC31D5">
      <w:pPr>
        <w:jc w:val="left"/>
        <w:rPr>
          <w:rFonts w:hint="cs"/>
          <w:rtl/>
        </w:rPr>
      </w:pPr>
      <w:r>
        <w:rPr>
          <w:rFonts w:hint="cs"/>
          <w:rtl/>
        </w:rPr>
        <w:tab/>
        <w:t>*</w:t>
      </w:r>
      <w:r>
        <w:rPr>
          <w:rFonts w:hint="cs"/>
          <w:rtl/>
        </w:rPr>
        <w:tab/>
        <w:t>أسعار تحويل الليك إلى ا</w:t>
      </w:r>
      <w:r>
        <w:rPr>
          <w:rFonts w:hint="cs"/>
          <w:rtl/>
        </w:rPr>
        <w:t>لدولار في الفترة من 1992 إلى 2000</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1"/>
        <w:gridCol w:w="902"/>
        <w:gridCol w:w="902"/>
        <w:gridCol w:w="834"/>
        <w:gridCol w:w="894"/>
        <w:gridCol w:w="900"/>
        <w:gridCol w:w="900"/>
        <w:gridCol w:w="900"/>
        <w:gridCol w:w="874"/>
        <w:gridCol w:w="874"/>
      </w:tblGrid>
      <w:tr w:rsidR="00AC31D5" w:rsidTr="00AC31D5">
        <w:tblPrEx>
          <w:tblCellMar>
            <w:top w:w="0" w:type="dxa"/>
            <w:bottom w:w="0" w:type="dxa"/>
          </w:tblCellMar>
        </w:tblPrEx>
        <w:tc>
          <w:tcPr>
            <w:tcW w:w="1591" w:type="dxa"/>
          </w:tcPr>
          <w:p w:rsidR="00AC31D5" w:rsidRDefault="00AC31D5">
            <w:pPr>
              <w:spacing w:before="80" w:after="80"/>
              <w:jc w:val="left"/>
              <w:rPr>
                <w:rFonts w:hint="cs"/>
                <w:sz w:val="24"/>
                <w:szCs w:val="24"/>
              </w:rPr>
            </w:pPr>
          </w:p>
        </w:tc>
        <w:tc>
          <w:tcPr>
            <w:tcW w:w="902" w:type="dxa"/>
          </w:tcPr>
          <w:p w:rsidR="00AC31D5" w:rsidRDefault="00AC31D5">
            <w:pPr>
              <w:spacing w:before="80" w:after="80"/>
              <w:jc w:val="left"/>
              <w:rPr>
                <w:rFonts w:hint="cs"/>
                <w:sz w:val="24"/>
                <w:szCs w:val="24"/>
              </w:rPr>
            </w:pPr>
            <w:r>
              <w:rPr>
                <w:rFonts w:hint="cs"/>
                <w:sz w:val="24"/>
                <w:szCs w:val="24"/>
                <w:rtl/>
              </w:rPr>
              <w:t>1992</w:t>
            </w:r>
          </w:p>
        </w:tc>
        <w:tc>
          <w:tcPr>
            <w:tcW w:w="902" w:type="dxa"/>
          </w:tcPr>
          <w:p w:rsidR="00AC31D5" w:rsidRDefault="00AC31D5">
            <w:pPr>
              <w:spacing w:before="80" w:after="80"/>
              <w:jc w:val="left"/>
              <w:rPr>
                <w:rFonts w:hint="cs"/>
                <w:sz w:val="24"/>
                <w:szCs w:val="24"/>
              </w:rPr>
            </w:pPr>
            <w:r>
              <w:rPr>
                <w:rFonts w:hint="cs"/>
                <w:sz w:val="24"/>
                <w:szCs w:val="24"/>
                <w:rtl/>
              </w:rPr>
              <w:t>1993</w:t>
            </w:r>
          </w:p>
        </w:tc>
        <w:tc>
          <w:tcPr>
            <w:tcW w:w="834" w:type="dxa"/>
          </w:tcPr>
          <w:p w:rsidR="00AC31D5" w:rsidRDefault="00AC31D5">
            <w:pPr>
              <w:spacing w:before="80" w:after="80"/>
              <w:jc w:val="left"/>
              <w:rPr>
                <w:rFonts w:hint="cs"/>
                <w:sz w:val="24"/>
                <w:szCs w:val="24"/>
              </w:rPr>
            </w:pPr>
            <w:r>
              <w:rPr>
                <w:rFonts w:hint="cs"/>
                <w:sz w:val="24"/>
                <w:szCs w:val="24"/>
                <w:rtl/>
              </w:rPr>
              <w:t>1994</w:t>
            </w:r>
          </w:p>
        </w:tc>
        <w:tc>
          <w:tcPr>
            <w:tcW w:w="894" w:type="dxa"/>
          </w:tcPr>
          <w:p w:rsidR="00AC31D5" w:rsidRDefault="00AC31D5">
            <w:pPr>
              <w:spacing w:before="80" w:after="80"/>
              <w:jc w:val="left"/>
              <w:rPr>
                <w:rFonts w:hint="cs"/>
                <w:sz w:val="24"/>
                <w:szCs w:val="24"/>
              </w:rPr>
            </w:pPr>
            <w:r>
              <w:rPr>
                <w:rFonts w:hint="cs"/>
                <w:sz w:val="24"/>
                <w:szCs w:val="24"/>
                <w:rtl/>
              </w:rPr>
              <w:t>1995</w:t>
            </w:r>
          </w:p>
        </w:tc>
        <w:tc>
          <w:tcPr>
            <w:tcW w:w="900" w:type="dxa"/>
          </w:tcPr>
          <w:p w:rsidR="00AC31D5" w:rsidRDefault="00AC31D5">
            <w:pPr>
              <w:spacing w:before="80" w:after="80"/>
              <w:jc w:val="left"/>
              <w:rPr>
                <w:rFonts w:hint="cs"/>
                <w:sz w:val="24"/>
                <w:szCs w:val="24"/>
              </w:rPr>
            </w:pPr>
            <w:r>
              <w:rPr>
                <w:rFonts w:hint="cs"/>
                <w:sz w:val="24"/>
                <w:szCs w:val="24"/>
                <w:rtl/>
              </w:rPr>
              <w:t>1996</w:t>
            </w:r>
          </w:p>
        </w:tc>
        <w:tc>
          <w:tcPr>
            <w:tcW w:w="900" w:type="dxa"/>
          </w:tcPr>
          <w:p w:rsidR="00AC31D5" w:rsidRDefault="00AC31D5">
            <w:pPr>
              <w:spacing w:before="80" w:after="80"/>
              <w:jc w:val="left"/>
              <w:rPr>
                <w:rFonts w:hint="cs"/>
                <w:sz w:val="24"/>
                <w:szCs w:val="24"/>
              </w:rPr>
            </w:pPr>
            <w:r>
              <w:rPr>
                <w:rFonts w:hint="cs"/>
                <w:sz w:val="24"/>
                <w:szCs w:val="24"/>
                <w:rtl/>
              </w:rPr>
              <w:t>1997</w:t>
            </w:r>
          </w:p>
        </w:tc>
        <w:tc>
          <w:tcPr>
            <w:tcW w:w="900" w:type="dxa"/>
          </w:tcPr>
          <w:p w:rsidR="00AC31D5" w:rsidRDefault="00AC31D5">
            <w:pPr>
              <w:spacing w:before="80" w:after="80"/>
              <w:jc w:val="left"/>
              <w:rPr>
                <w:rFonts w:hint="cs"/>
                <w:sz w:val="24"/>
                <w:szCs w:val="24"/>
              </w:rPr>
            </w:pPr>
            <w:r>
              <w:rPr>
                <w:rFonts w:hint="cs"/>
                <w:sz w:val="24"/>
                <w:szCs w:val="24"/>
                <w:rtl/>
              </w:rPr>
              <w:t>1998</w:t>
            </w:r>
          </w:p>
        </w:tc>
        <w:tc>
          <w:tcPr>
            <w:tcW w:w="874" w:type="dxa"/>
          </w:tcPr>
          <w:p w:rsidR="00AC31D5" w:rsidRDefault="00AC31D5">
            <w:pPr>
              <w:spacing w:before="80" w:after="80"/>
              <w:jc w:val="left"/>
              <w:rPr>
                <w:rFonts w:hint="cs"/>
                <w:sz w:val="24"/>
                <w:szCs w:val="24"/>
              </w:rPr>
            </w:pPr>
            <w:r>
              <w:rPr>
                <w:rFonts w:hint="cs"/>
                <w:sz w:val="24"/>
                <w:szCs w:val="24"/>
                <w:rtl/>
              </w:rPr>
              <w:t>1999</w:t>
            </w:r>
          </w:p>
        </w:tc>
        <w:tc>
          <w:tcPr>
            <w:tcW w:w="874" w:type="dxa"/>
          </w:tcPr>
          <w:p w:rsidR="00AC31D5" w:rsidRDefault="00AC31D5">
            <w:pPr>
              <w:spacing w:before="80" w:after="80"/>
              <w:jc w:val="left"/>
              <w:rPr>
                <w:rFonts w:hint="cs"/>
                <w:sz w:val="24"/>
                <w:szCs w:val="24"/>
              </w:rPr>
            </w:pPr>
            <w:r>
              <w:rPr>
                <w:rFonts w:hint="cs"/>
                <w:sz w:val="24"/>
                <w:szCs w:val="24"/>
                <w:rtl/>
              </w:rPr>
              <w:t>2000</w:t>
            </w:r>
          </w:p>
        </w:tc>
      </w:tr>
      <w:tr w:rsidR="00AC31D5" w:rsidTr="00AC31D5">
        <w:tblPrEx>
          <w:tblCellMar>
            <w:top w:w="0" w:type="dxa"/>
            <w:bottom w:w="0" w:type="dxa"/>
          </w:tblCellMar>
        </w:tblPrEx>
        <w:tc>
          <w:tcPr>
            <w:tcW w:w="1591" w:type="dxa"/>
          </w:tcPr>
          <w:p w:rsidR="00AC31D5" w:rsidRDefault="00AC31D5">
            <w:pPr>
              <w:spacing w:before="80" w:after="80"/>
              <w:jc w:val="left"/>
              <w:rPr>
                <w:rFonts w:hint="cs"/>
                <w:sz w:val="24"/>
                <w:szCs w:val="24"/>
              </w:rPr>
            </w:pPr>
            <w:r>
              <w:rPr>
                <w:rFonts w:hint="cs"/>
                <w:sz w:val="24"/>
                <w:szCs w:val="24"/>
                <w:rtl/>
              </w:rPr>
              <w:t>قيمة الدولار إزاء الليك</w:t>
            </w:r>
          </w:p>
        </w:tc>
        <w:tc>
          <w:tcPr>
            <w:tcW w:w="902" w:type="dxa"/>
          </w:tcPr>
          <w:p w:rsidR="00AC31D5" w:rsidRDefault="00AC31D5">
            <w:pPr>
              <w:spacing w:before="80" w:after="80"/>
              <w:jc w:val="left"/>
              <w:rPr>
                <w:rFonts w:hint="cs"/>
                <w:sz w:val="24"/>
                <w:szCs w:val="24"/>
              </w:rPr>
            </w:pPr>
            <w:r>
              <w:rPr>
                <w:rFonts w:hint="cs"/>
                <w:sz w:val="24"/>
                <w:szCs w:val="24"/>
                <w:rtl/>
              </w:rPr>
              <w:t>57.03</w:t>
            </w:r>
          </w:p>
        </w:tc>
        <w:tc>
          <w:tcPr>
            <w:tcW w:w="902" w:type="dxa"/>
          </w:tcPr>
          <w:p w:rsidR="00AC31D5" w:rsidRDefault="00AC31D5">
            <w:pPr>
              <w:spacing w:before="80" w:after="80"/>
              <w:jc w:val="left"/>
              <w:rPr>
                <w:rFonts w:hint="cs"/>
                <w:sz w:val="24"/>
                <w:szCs w:val="24"/>
              </w:rPr>
            </w:pPr>
            <w:r>
              <w:rPr>
                <w:rFonts w:hint="cs"/>
                <w:sz w:val="24"/>
                <w:szCs w:val="24"/>
                <w:rtl/>
              </w:rPr>
              <w:t>102.06</w:t>
            </w:r>
          </w:p>
        </w:tc>
        <w:tc>
          <w:tcPr>
            <w:tcW w:w="834" w:type="dxa"/>
          </w:tcPr>
          <w:p w:rsidR="00AC31D5" w:rsidRDefault="00AC31D5">
            <w:pPr>
              <w:spacing w:before="80" w:after="80"/>
              <w:jc w:val="left"/>
              <w:rPr>
                <w:rFonts w:hint="cs"/>
                <w:sz w:val="24"/>
                <w:szCs w:val="24"/>
              </w:rPr>
            </w:pPr>
            <w:r>
              <w:rPr>
                <w:rFonts w:hint="cs"/>
                <w:sz w:val="24"/>
                <w:szCs w:val="24"/>
                <w:rtl/>
              </w:rPr>
              <w:t>94.66</w:t>
            </w:r>
          </w:p>
        </w:tc>
        <w:tc>
          <w:tcPr>
            <w:tcW w:w="894" w:type="dxa"/>
          </w:tcPr>
          <w:p w:rsidR="00AC31D5" w:rsidRDefault="00AC31D5">
            <w:pPr>
              <w:spacing w:before="80" w:after="80"/>
              <w:jc w:val="left"/>
              <w:rPr>
                <w:rFonts w:hint="cs"/>
                <w:sz w:val="24"/>
                <w:szCs w:val="24"/>
              </w:rPr>
            </w:pPr>
            <w:r>
              <w:rPr>
                <w:rFonts w:hint="cs"/>
                <w:sz w:val="24"/>
                <w:szCs w:val="24"/>
                <w:rtl/>
              </w:rPr>
              <w:t>92.79</w:t>
            </w:r>
          </w:p>
        </w:tc>
        <w:tc>
          <w:tcPr>
            <w:tcW w:w="900" w:type="dxa"/>
          </w:tcPr>
          <w:p w:rsidR="00AC31D5" w:rsidRDefault="00AC31D5">
            <w:pPr>
              <w:spacing w:before="80" w:after="80"/>
              <w:jc w:val="left"/>
              <w:rPr>
                <w:rFonts w:hint="cs"/>
                <w:sz w:val="24"/>
                <w:szCs w:val="24"/>
              </w:rPr>
            </w:pPr>
            <w:r>
              <w:rPr>
                <w:rFonts w:hint="cs"/>
                <w:sz w:val="24"/>
                <w:szCs w:val="24"/>
                <w:rtl/>
              </w:rPr>
              <w:t>104.50</w:t>
            </w:r>
          </w:p>
        </w:tc>
        <w:tc>
          <w:tcPr>
            <w:tcW w:w="900" w:type="dxa"/>
          </w:tcPr>
          <w:p w:rsidR="00AC31D5" w:rsidRDefault="00AC31D5">
            <w:pPr>
              <w:spacing w:before="80" w:after="80"/>
              <w:jc w:val="left"/>
              <w:rPr>
                <w:rFonts w:hint="cs"/>
                <w:sz w:val="24"/>
                <w:szCs w:val="24"/>
              </w:rPr>
            </w:pPr>
            <w:r>
              <w:rPr>
                <w:rFonts w:hint="cs"/>
                <w:sz w:val="24"/>
                <w:szCs w:val="24"/>
                <w:rtl/>
              </w:rPr>
              <w:t>148.93</w:t>
            </w:r>
          </w:p>
        </w:tc>
        <w:tc>
          <w:tcPr>
            <w:tcW w:w="900" w:type="dxa"/>
          </w:tcPr>
          <w:p w:rsidR="00AC31D5" w:rsidRDefault="00AC31D5">
            <w:pPr>
              <w:spacing w:before="80" w:after="80"/>
              <w:jc w:val="left"/>
              <w:rPr>
                <w:rFonts w:hint="cs"/>
                <w:sz w:val="24"/>
                <w:szCs w:val="24"/>
              </w:rPr>
            </w:pPr>
            <w:r>
              <w:rPr>
                <w:rFonts w:hint="cs"/>
                <w:sz w:val="24"/>
                <w:szCs w:val="24"/>
                <w:rtl/>
              </w:rPr>
              <w:t>150.64</w:t>
            </w:r>
          </w:p>
        </w:tc>
        <w:tc>
          <w:tcPr>
            <w:tcW w:w="874" w:type="dxa"/>
          </w:tcPr>
          <w:p w:rsidR="00AC31D5" w:rsidRDefault="00AC31D5">
            <w:pPr>
              <w:spacing w:before="80" w:after="80"/>
              <w:jc w:val="left"/>
              <w:rPr>
                <w:rFonts w:hint="cs"/>
                <w:sz w:val="24"/>
                <w:szCs w:val="24"/>
              </w:rPr>
            </w:pPr>
            <w:r>
              <w:rPr>
                <w:rFonts w:hint="cs"/>
                <w:sz w:val="24"/>
                <w:szCs w:val="24"/>
                <w:rtl/>
              </w:rPr>
              <w:t>137.69</w:t>
            </w:r>
          </w:p>
        </w:tc>
        <w:tc>
          <w:tcPr>
            <w:tcW w:w="874" w:type="dxa"/>
          </w:tcPr>
          <w:p w:rsidR="00AC31D5" w:rsidRDefault="00AC31D5">
            <w:pPr>
              <w:spacing w:before="80" w:after="80"/>
              <w:jc w:val="left"/>
              <w:rPr>
                <w:rFonts w:hint="cs"/>
                <w:sz w:val="24"/>
                <w:szCs w:val="24"/>
              </w:rPr>
            </w:pPr>
            <w:r>
              <w:rPr>
                <w:rFonts w:hint="cs"/>
                <w:sz w:val="24"/>
                <w:szCs w:val="24"/>
                <w:rtl/>
              </w:rPr>
              <w:t>143.71</w:t>
            </w:r>
          </w:p>
        </w:tc>
      </w:tr>
    </w:tbl>
    <w:p w:rsidR="00000000" w:rsidRDefault="00AC31D5">
      <w:pPr>
        <w:jc w:val="both"/>
        <w:rPr>
          <w:rFonts w:hint="cs"/>
          <w:rtl/>
        </w:rPr>
      </w:pPr>
      <w:r>
        <w:rPr>
          <w:rFonts w:hint="cs"/>
          <w:rtl/>
        </w:rPr>
        <w:t>24-</w:t>
      </w:r>
      <w:r>
        <w:rPr>
          <w:rFonts w:hint="cs"/>
          <w:rtl/>
        </w:rPr>
        <w:tab/>
        <w:t>ويتكون هذا الدين الخارجي، وفقاً للقطاعات الاقتصادية، أولاً من مبلغ 175 مليون دولار خصص</w:t>
      </w:r>
      <w:r>
        <w:rPr>
          <w:rFonts w:hint="cs"/>
          <w:rtl/>
        </w:rPr>
        <w:t xml:space="preserve"> لدعم الميزانية، ثم مبلغ 114 مليون دولار خصص للنقل (براً وجواً وبواسطة السكك الحديدية) وأخيراً مبلغ 64 مليون دولار خصص للزراعة والري. </w:t>
      </w:r>
    </w:p>
    <w:p w:rsidR="00000000" w:rsidRDefault="00AC31D5">
      <w:pPr>
        <w:jc w:val="left"/>
        <w:rPr>
          <w:rFonts w:hint="cs"/>
          <w:rtl/>
        </w:rPr>
      </w:pPr>
      <w:r>
        <w:rPr>
          <w:rFonts w:hint="cs"/>
          <w:rtl/>
        </w:rPr>
        <w:t>25-</w:t>
      </w:r>
      <w:r>
        <w:rPr>
          <w:rFonts w:hint="cs"/>
          <w:rtl/>
        </w:rPr>
        <w:tab/>
        <w:t>وأهم قطاعات الاقتصاد هما الزراعة والخدمات. وما توفره الجمارك من إيراداتٍ لميزانية الدولة يتراوح بين 70 إلى 80 في الما</w:t>
      </w:r>
      <w:r>
        <w:rPr>
          <w:rFonts w:hint="cs"/>
          <w:rtl/>
        </w:rPr>
        <w:t xml:space="preserve">ئة تقريباً. </w:t>
      </w:r>
    </w:p>
    <w:p w:rsidR="00000000" w:rsidRDefault="00AC31D5">
      <w:pPr>
        <w:jc w:val="center"/>
        <w:rPr>
          <w:rFonts w:hint="cs"/>
          <w:b/>
          <w:bCs/>
          <w:rtl/>
        </w:rPr>
      </w:pPr>
      <w:r>
        <w:rPr>
          <w:rFonts w:hint="cs"/>
          <w:b/>
          <w:bCs/>
          <w:rtl/>
        </w:rPr>
        <w:t>2- البيانات الاجتماعية</w:t>
      </w:r>
    </w:p>
    <w:p w:rsidR="00000000" w:rsidRDefault="00AC31D5">
      <w:pPr>
        <w:jc w:val="left"/>
        <w:rPr>
          <w:rFonts w:hint="cs"/>
          <w:rtl/>
        </w:rPr>
      </w:pPr>
      <w:r>
        <w:rPr>
          <w:rFonts w:hint="cs"/>
          <w:rtl/>
        </w:rPr>
        <w:t>26-</w:t>
      </w:r>
      <w:r>
        <w:rPr>
          <w:rFonts w:hint="cs"/>
          <w:rtl/>
        </w:rPr>
        <w:tab/>
        <w:t>تميز سوق العمالة في عام 1989 بمعدلٍ عالٍ من الاستخدام، لاسيما في الأرياف. وقد شكل الذكور نسبة تزيد على 53 في المائة من العاملين. وقُدرت نسبة البطالة ، رغم عدم التصريح عنها، ب‍ 7 في المائة تقريباً.</w:t>
      </w:r>
    </w:p>
    <w:p w:rsidR="00000000" w:rsidRDefault="00AC31D5">
      <w:pPr>
        <w:jc w:val="left"/>
        <w:rPr>
          <w:rFonts w:hint="cs"/>
          <w:rtl/>
        </w:rPr>
      </w:pPr>
      <w:r>
        <w:rPr>
          <w:rFonts w:hint="cs"/>
          <w:rtl/>
        </w:rPr>
        <w:t>27-</w:t>
      </w:r>
      <w:r>
        <w:rPr>
          <w:rFonts w:hint="cs"/>
          <w:rtl/>
        </w:rPr>
        <w:tab/>
        <w:t>ووفقاً للبيانات</w:t>
      </w:r>
      <w:r>
        <w:rPr>
          <w:rFonts w:hint="cs"/>
          <w:rtl/>
        </w:rPr>
        <w:t xml:space="preserve"> التي وفرتها إحصاءات عام 1989، فقد بلغت نسبة القادرين على العمل 57 في المائة من مجموع السكان. وشكل الذكور منهم نسبةً تفوق 53 في المائة. ولم يكن عدد سكان المدن القادرين على العمل يشكل سوى نسبة 38 في المائة. وقد وصل عدد العاملين في عام 1989 إلى مليون ونصف ال</w:t>
      </w:r>
      <w:r>
        <w:rPr>
          <w:rFonts w:hint="cs"/>
          <w:rtl/>
        </w:rPr>
        <w:t>مليون عامل. ويكاد معدل الاستخدام يحقق المساواة بين الجنسين.</w:t>
      </w:r>
    </w:p>
    <w:p w:rsidR="00000000" w:rsidRDefault="00AC31D5">
      <w:pPr>
        <w:jc w:val="left"/>
        <w:rPr>
          <w:rFonts w:hint="cs"/>
          <w:rtl/>
        </w:rPr>
      </w:pPr>
      <w:r>
        <w:rPr>
          <w:rFonts w:hint="cs"/>
          <w:rtl/>
        </w:rPr>
        <w:t>28-</w:t>
      </w:r>
      <w:r>
        <w:rPr>
          <w:rFonts w:hint="cs"/>
          <w:rtl/>
        </w:rPr>
        <w:tab/>
        <w:t>وبدأ التغيير يطال سوق العمالة منذ عام 1991، وتواكب مع الشروع في عملية الخصخصة. فشهد البلد في الفترة الواقعة بين عامي 1990 و1993 انخفاضاً في حجم الاستخدام بلغت نسبته، على التوالي، 2 في المائة ف</w:t>
      </w:r>
      <w:r>
        <w:rPr>
          <w:rFonts w:hint="cs"/>
          <w:rtl/>
        </w:rPr>
        <w:t>ي عام 1990 و4 في المائة في نهاية عام 1991 و25 في المائة في نهاية عام 1992، بينما فاقت نسبة 30 في المائة في نهاية عام 1993.</w:t>
      </w:r>
    </w:p>
    <w:p w:rsidR="00000000" w:rsidRDefault="00AC31D5">
      <w:pPr>
        <w:jc w:val="both"/>
        <w:rPr>
          <w:rFonts w:hint="cs"/>
          <w:rtl/>
        </w:rPr>
      </w:pPr>
      <w:r>
        <w:rPr>
          <w:rFonts w:hint="cs"/>
          <w:rtl/>
        </w:rPr>
        <w:t>29-</w:t>
      </w:r>
      <w:r>
        <w:rPr>
          <w:rFonts w:hint="cs"/>
          <w:rtl/>
        </w:rPr>
        <w:tab/>
        <w:t>وانخفض معدل الاستخدام في نهاية عام 1996 بنسبةٍ قدرها 5 في المائة بالقياس إلى نهاية عام 1994. وفقدت بعض الإناث عملهن، مما أفضى إلى</w:t>
      </w:r>
      <w:r>
        <w:rPr>
          <w:rFonts w:hint="cs"/>
          <w:rtl/>
        </w:rPr>
        <w:t xml:space="preserve"> انخفاض عدد الإناث العاملات في ألبانيا بنسبة 10 في المائة في نهاية عام 1996 مقارنة بعددهن في عام 1994. وانخفض معدل الاستخدام في قطاع الحكومة كما في القطاع الخاص غير الزراعي بنسبة 23 في المائة و3 في المائة، على التوالي. بينما تناقص معدل الاستخدام في الإدارا</w:t>
      </w:r>
      <w:r>
        <w:rPr>
          <w:rFonts w:hint="cs"/>
          <w:rtl/>
        </w:rPr>
        <w:t xml:space="preserve">ت الحكومية والعامة والمحلية بنسبة 12 في المائة بالمقارنة مع ما كان عليه في عام 1994. </w:t>
      </w:r>
    </w:p>
    <w:p w:rsidR="00000000" w:rsidRDefault="00AC31D5">
      <w:pPr>
        <w:jc w:val="both"/>
        <w:rPr>
          <w:rFonts w:hint="cs"/>
          <w:rtl/>
        </w:rPr>
      </w:pPr>
      <w:r>
        <w:rPr>
          <w:rFonts w:hint="cs"/>
          <w:rtl/>
        </w:rPr>
        <w:t>30-</w:t>
      </w:r>
      <w:r>
        <w:rPr>
          <w:rFonts w:hint="cs"/>
          <w:rtl/>
        </w:rPr>
        <w:tab/>
        <w:t>ولم يكن عدد العاملين في نهاية عام 1997 يتجاوز 59 عاملاً من كل 100 شخص. ولم يكن هناك سوى 45 امرأة تمارس العمل من كل100 امرأة قادرة على العمل. وقد بلغت نسبة العاملين ال</w:t>
      </w:r>
      <w:r>
        <w:rPr>
          <w:rFonts w:hint="cs"/>
          <w:rtl/>
        </w:rPr>
        <w:t>مشتغلين في قطاع الزراعة 70 في المائة وقاربت 22 في المائة في قطاع الخدمات بينما وصلت إلى 8 في المائة فقط في الأنشطة الصناعية.</w:t>
      </w:r>
    </w:p>
    <w:p w:rsidR="00000000" w:rsidRDefault="00AC31D5">
      <w:pPr>
        <w:jc w:val="left"/>
        <w:rPr>
          <w:rFonts w:hint="cs"/>
          <w:rtl/>
        </w:rPr>
      </w:pPr>
      <w:r>
        <w:rPr>
          <w:rFonts w:hint="cs"/>
          <w:rtl/>
        </w:rPr>
        <w:t>31-</w:t>
      </w:r>
      <w:r>
        <w:rPr>
          <w:rFonts w:hint="cs"/>
          <w:rtl/>
        </w:rPr>
        <w:tab/>
        <w:t>وانخفض الاستخدام في نهاية عام 1998 بنسبة 2 في المائة مقارنةً بالعام السابق، وبنسبة 7 في المائة مقارنةً بالعام 1994. وبلغ معدل ا</w:t>
      </w:r>
      <w:r>
        <w:rPr>
          <w:rFonts w:hint="cs"/>
          <w:rtl/>
        </w:rPr>
        <w:t>ستخدام الإناث 43 في المائة، بينما بلغ معدل استخدام الذكور 71 في المائة.</w:t>
      </w:r>
    </w:p>
    <w:p w:rsidR="00000000" w:rsidRDefault="00AC31D5">
      <w:pPr>
        <w:jc w:val="both"/>
        <w:rPr>
          <w:rFonts w:hint="cs"/>
          <w:rtl/>
        </w:rPr>
      </w:pPr>
      <w:r>
        <w:rPr>
          <w:rFonts w:hint="cs"/>
          <w:rtl/>
        </w:rPr>
        <w:t>32-</w:t>
      </w:r>
      <w:r>
        <w:rPr>
          <w:rFonts w:hint="cs"/>
          <w:rtl/>
        </w:rPr>
        <w:tab/>
        <w:t>وقد خُفض معدل الاستخدام في القطاع الحكومي بنسبة 9 في المائة مقارنةً بالعام السابق (2000)، وبنسبة 20 في المائة مقارنةً بالعام 1994. كما سجل معدل الاستخدام في القطاع الحكومي انخفاضاً</w:t>
      </w:r>
      <w:r>
        <w:rPr>
          <w:rFonts w:hint="cs"/>
          <w:rtl/>
        </w:rPr>
        <w:t xml:space="preserve"> بنسبة 3 في المائة بالمقارنة مع المعدل الذي كان سائداً في نهاية عام 1997، وبنسبة 45 في المائة مقارنةً بما كان عليه في عام  1994. وبلغت مشاركة الإناث في القطاع الحكومي نسبة 39 في المائة. وشكل الموظفون المحتلون للمناصب العليا نسبةً تناهز 7 في المائة من العام</w:t>
      </w:r>
      <w:r>
        <w:rPr>
          <w:rFonts w:hint="cs"/>
          <w:rtl/>
        </w:rPr>
        <w:t xml:space="preserve">لين في هذا القطاع، مثلت الإناث العاملات منهم نسبة 24 في المائة، وكانت نسبة الفنيين والمتخصصين 51 في المائة، مثلت الإناث منهم نسبة 45 في المائة ، وكانت نسبة العمال 36 في المائة، مثلت الإناث منهم نسبة 27 في المائة. أما الاستخدام في القطاع الخاص غير الزراعي، </w:t>
      </w:r>
      <w:r>
        <w:rPr>
          <w:rFonts w:hint="cs"/>
          <w:rtl/>
        </w:rPr>
        <w:t>فقد سجل في عام 1998 انخفاضاً بلغت نسبته 8 في المائة مقارنةً بما كان عليه في عام 1997.</w:t>
      </w:r>
    </w:p>
    <w:p w:rsidR="00000000" w:rsidRDefault="00AC31D5">
      <w:pPr>
        <w:jc w:val="both"/>
        <w:rPr>
          <w:rFonts w:hint="cs"/>
          <w:rtl/>
        </w:rPr>
      </w:pPr>
      <w:r>
        <w:rPr>
          <w:rFonts w:hint="cs"/>
          <w:rtl/>
        </w:rPr>
        <w:t>33-</w:t>
      </w:r>
      <w:r>
        <w:rPr>
          <w:rFonts w:hint="cs"/>
          <w:rtl/>
        </w:rPr>
        <w:tab/>
        <w:t>وفي عام 1999، انخفض معدل الاستخدام بنسبة 2 في المائة بالمقارنة مع ما سجله هذا المعدل في السنة السابقة. ولوحظ أن أعلى معدل انخفاض في الاستخدام قد سجله كل من القطاع الخ</w:t>
      </w:r>
      <w:r>
        <w:rPr>
          <w:rFonts w:hint="cs"/>
          <w:rtl/>
        </w:rPr>
        <w:t>اص غير الزراعي، فكاد يصل إلى 7 في المائة، والقطاع الحكومي، فكاد يصل إلى 5 في المائة. وقد بلغ إجمالي الاستخدام في عام 2000 نسبة 55 في المائة، أما حسب نوع الجنس فبلغ 44 في المائة للإناث و56 في المائة للرجال.</w:t>
      </w:r>
    </w:p>
    <w:p w:rsidR="00000000" w:rsidRDefault="00AC31D5">
      <w:pPr>
        <w:jc w:val="both"/>
        <w:rPr>
          <w:rFonts w:hint="cs"/>
          <w:rtl/>
        </w:rPr>
      </w:pPr>
      <w:r>
        <w:rPr>
          <w:rFonts w:hint="cs"/>
          <w:rtl/>
        </w:rPr>
        <w:t>34-</w:t>
      </w:r>
      <w:r>
        <w:rPr>
          <w:rFonts w:hint="cs"/>
          <w:rtl/>
        </w:rPr>
        <w:tab/>
        <w:t>وتعمل غالبية العمالة الألبانية في القطاع الخاص</w:t>
      </w:r>
      <w:r>
        <w:rPr>
          <w:rFonts w:hint="cs"/>
          <w:rtl/>
        </w:rPr>
        <w:t>. ويتكون جزء لا يستهان به من سوق العمالة الألبانية من السوقٍ غير الرسمية، أو ما يدعى ب‍ "السوق السوداء"، ويعود ذلك إلى عدم وجود نظام تأمينٍ للعاملين. وقد بينت نتائج عمليات التفتيش التي اضطلعت بها المديرية الحكومية المعنية بالتفتيش على العمل أن السوق غير ال</w:t>
      </w:r>
      <w:r>
        <w:rPr>
          <w:rFonts w:hint="cs"/>
          <w:rtl/>
        </w:rPr>
        <w:t xml:space="preserve">رسمية تشكل نسبة 30 في المائة من سوق العمالة. وسمحت الضوابط التي وضعت للتحكم بهذا القطاع بالحد من انتشار هذه الظاهرة بنسبةٍ تتراوح بين 5 و10 في المائة. </w:t>
      </w:r>
    </w:p>
    <w:p w:rsidR="00000000" w:rsidRDefault="00AC31D5">
      <w:pPr>
        <w:jc w:val="left"/>
        <w:rPr>
          <w:rFonts w:hint="cs"/>
          <w:sz w:val="30"/>
          <w:rtl/>
        </w:rPr>
      </w:pPr>
      <w:r>
        <w:rPr>
          <w:rFonts w:hint="cs"/>
          <w:sz w:val="30"/>
          <w:rtl/>
        </w:rPr>
        <w:t>35-</w:t>
      </w:r>
      <w:r>
        <w:rPr>
          <w:rFonts w:hint="cs"/>
          <w:sz w:val="30"/>
          <w:rtl/>
        </w:rPr>
        <w:tab/>
        <w:t xml:space="preserve">ويحدد الأجر الأدنى بقرار من مجلس الوزراء. فوصل هذا المرتب في عام 1990 إلى 345 ليكاً في الشهر، بينما </w:t>
      </w:r>
      <w:r>
        <w:rPr>
          <w:rFonts w:hint="cs"/>
          <w:sz w:val="30"/>
          <w:rtl/>
        </w:rPr>
        <w:t>وصل في عام 1999 إلى 800 6 ليك، وفي عام 2000 إلى 018 7 ليكاً.</w:t>
      </w:r>
    </w:p>
    <w:p w:rsidR="00000000" w:rsidRDefault="00AC31D5">
      <w:pPr>
        <w:jc w:val="both"/>
        <w:rPr>
          <w:rFonts w:hint="cs"/>
          <w:sz w:val="30"/>
          <w:rtl/>
        </w:rPr>
      </w:pPr>
      <w:r>
        <w:rPr>
          <w:rFonts w:hint="cs"/>
          <w:sz w:val="30"/>
          <w:rtl/>
        </w:rPr>
        <w:t>36-</w:t>
      </w:r>
      <w:r>
        <w:rPr>
          <w:rFonts w:hint="cs"/>
          <w:sz w:val="30"/>
          <w:rtl/>
        </w:rPr>
        <w:tab/>
        <w:t>وارتفع متوسط المرتب الشهري للعامل في القطاع الحكومي من 570 ليكاً في عام 1990 إلى 708 12 ليكات في عام 1999، وإلى 963 14 ليكاً في عام 2001. وفي 1 تموز/يوليه 2001، بلغ متوسط المرتب الشهري في الق</w:t>
      </w:r>
      <w:r>
        <w:rPr>
          <w:rFonts w:hint="cs"/>
          <w:sz w:val="30"/>
          <w:rtl/>
        </w:rPr>
        <w:t>طاع الحكومي 212 20 ليكاً. وبلغ أدنى مرتب شهري 580 7 ليكاً.</w:t>
      </w:r>
    </w:p>
    <w:p w:rsidR="00000000" w:rsidRDefault="00AC31D5">
      <w:pPr>
        <w:jc w:val="both"/>
        <w:rPr>
          <w:rFonts w:hint="cs"/>
          <w:sz w:val="30"/>
          <w:rtl/>
        </w:rPr>
      </w:pPr>
      <w:r>
        <w:rPr>
          <w:rFonts w:hint="cs"/>
          <w:sz w:val="30"/>
          <w:rtl/>
        </w:rPr>
        <w:t>37-</w:t>
      </w:r>
      <w:r>
        <w:rPr>
          <w:rFonts w:hint="cs"/>
          <w:sz w:val="30"/>
          <w:rtl/>
        </w:rPr>
        <w:tab/>
        <w:t>وبلغ معدل البطالة في نهاية عام 1994 نحو 18 في المائة. وقد وصلت نسبة النساء العاطلات عن العمل من مجموع العاطلين عن العمل المسجلين في عام 1994 إلى 46 في المائة، كان 80 في المائة منهن يقطن في المد</w:t>
      </w:r>
      <w:r>
        <w:rPr>
          <w:rFonts w:hint="cs"/>
          <w:sz w:val="30"/>
          <w:rtl/>
        </w:rPr>
        <w:t>ن. وازدادت نسبة الذكور في صفوف العاطلين عن العمل لأجلٍ طويل عن 50 في المائة، وكان أكثر من نصف هذه النسبة من خريجي الجامعات، أكثر من 60 في المائة تقل أعمارهم عن 34 عاماً. وكانت منطقة الشمال الشرقي الجغرافية هـي المنطقة التي سجلت أعلى معدل للبطالة خلال هذه ا</w:t>
      </w:r>
      <w:r>
        <w:rPr>
          <w:rFonts w:hint="cs"/>
          <w:sz w:val="30"/>
          <w:rtl/>
        </w:rPr>
        <w:t>لفترة، فقد تراوحت نسبة البطالة فيها بين 20 و25 في المائة.</w:t>
      </w:r>
    </w:p>
    <w:p w:rsidR="00000000" w:rsidRDefault="00AC31D5">
      <w:pPr>
        <w:jc w:val="both"/>
        <w:rPr>
          <w:rFonts w:hint="cs"/>
          <w:sz w:val="30"/>
          <w:rtl/>
        </w:rPr>
      </w:pPr>
      <w:r>
        <w:rPr>
          <w:rFonts w:hint="cs"/>
          <w:sz w:val="30"/>
          <w:rtl/>
        </w:rPr>
        <w:t>38-</w:t>
      </w:r>
      <w:r>
        <w:rPr>
          <w:rFonts w:hint="cs"/>
          <w:sz w:val="30"/>
          <w:rtl/>
        </w:rPr>
        <w:tab/>
        <w:t>ووصل معدل البطالة في عام 1995 إلى 13 في المائة. وشملت البطالة في نهاية عام 1995 نسبة 46 في المائة من النساء، ونسبة 12 في المائة من العاطلين عن العمل المسجلين دون ال‍ 20 سنة من العمر. وفاق عدد ال</w:t>
      </w:r>
      <w:r>
        <w:rPr>
          <w:rFonts w:hint="cs"/>
          <w:sz w:val="30"/>
          <w:rtl/>
        </w:rPr>
        <w:t>عاطلين عن العمل من خريجي المدارس الثانوية أو الجامعات والمسجلين حتى نهاية عام 1995 نسبة 50 في المائة. وانخفض معدل البطالة في نهاية عام 1995 بنسبةٍ تقارب 35 في المائة بالمقارنة مع ما كان عليه في السنة السابقة. وبلغ هذا المعدل في نهاية عام 1997 نسبة 15 في ال</w:t>
      </w:r>
      <w:r>
        <w:rPr>
          <w:rFonts w:hint="cs"/>
          <w:sz w:val="30"/>
          <w:rtl/>
        </w:rPr>
        <w:t>مائة. ووصلت نسبة العاطلين عن العمل لأجلٍ طويل في نهاية عام 1997 إلى 84 في المائة من المسجلين.</w:t>
      </w:r>
    </w:p>
    <w:p w:rsidR="00000000" w:rsidRDefault="00AC31D5">
      <w:pPr>
        <w:jc w:val="both"/>
        <w:rPr>
          <w:rFonts w:hint="cs"/>
          <w:sz w:val="30"/>
          <w:rtl/>
        </w:rPr>
      </w:pPr>
      <w:r>
        <w:rPr>
          <w:rFonts w:hint="cs"/>
          <w:sz w:val="30"/>
          <w:rtl/>
        </w:rPr>
        <w:t>39-</w:t>
      </w:r>
      <w:r>
        <w:rPr>
          <w:rFonts w:hint="cs"/>
          <w:sz w:val="30"/>
          <w:rtl/>
        </w:rPr>
        <w:tab/>
        <w:t>وفي عام 1996، سجل معدل البطالة نسبة 12 في المائة. ووصلت نسبة العاطلين عن العمل لأجلٍ طويل إلى 75 في المائة من مجموع المسجلين . وشكل عدد من العاطلين عن العمل ا</w:t>
      </w:r>
      <w:r>
        <w:rPr>
          <w:rFonts w:hint="cs"/>
          <w:sz w:val="30"/>
          <w:rtl/>
        </w:rPr>
        <w:t>لحاصلين على معاش البطالة (الأجر) نسبة 24 في المائة من مجموع المسجلين. وقد بلغت أعلى نسبة من العاطلين عن العمل في المنطقة الوسطى من البلد، فقد وصلت إلى 14 في المائة تقريباً.</w:t>
      </w:r>
    </w:p>
    <w:p w:rsidR="00000000" w:rsidRDefault="00AC31D5">
      <w:pPr>
        <w:jc w:val="both"/>
        <w:rPr>
          <w:rFonts w:hint="cs"/>
          <w:sz w:val="30"/>
          <w:rtl/>
        </w:rPr>
      </w:pPr>
      <w:r>
        <w:rPr>
          <w:rFonts w:hint="cs"/>
          <w:sz w:val="30"/>
          <w:rtl/>
        </w:rPr>
        <w:t>40-</w:t>
      </w:r>
      <w:r>
        <w:rPr>
          <w:rFonts w:hint="cs"/>
          <w:sz w:val="30"/>
          <w:rtl/>
        </w:rPr>
        <w:tab/>
        <w:t>وسجل معدل البطالة في عام 1998 نسبةً تناهز 16 في المائة. وشُرع في عام 1998 بتطبي</w:t>
      </w:r>
      <w:r>
        <w:rPr>
          <w:rFonts w:hint="cs"/>
          <w:sz w:val="30"/>
          <w:rtl/>
        </w:rPr>
        <w:t>ق برامجٍ جديدة لمعالجة مشكلة البطالة.</w:t>
      </w:r>
    </w:p>
    <w:p w:rsidR="00000000" w:rsidRDefault="00AC31D5">
      <w:pPr>
        <w:jc w:val="both"/>
        <w:rPr>
          <w:rFonts w:hint="cs"/>
          <w:sz w:val="30"/>
          <w:rtl/>
        </w:rPr>
      </w:pPr>
      <w:r>
        <w:rPr>
          <w:rFonts w:hint="cs"/>
          <w:sz w:val="30"/>
          <w:rtl/>
        </w:rPr>
        <w:t>41-</w:t>
      </w:r>
      <w:r>
        <w:rPr>
          <w:rFonts w:hint="cs"/>
          <w:sz w:val="30"/>
          <w:rtl/>
        </w:rPr>
        <w:tab/>
        <w:t>وبحلول نهاية عام 1999 ازداد عدد الأفراد العاطلين عن العمل بنسبة قدرها 2 في المائة بالمقارنة مع ما كان عليه في السنة السابقة. ووصل معدل البطالة على الصعيد الوطني إلى 18.4 في المائة. وبلغت في نهاية عام 1999 نسبة العا</w:t>
      </w:r>
      <w:r>
        <w:rPr>
          <w:rFonts w:hint="cs"/>
          <w:sz w:val="30"/>
          <w:rtl/>
        </w:rPr>
        <w:t>طلين عن العمل من الفئة العمرية التي تقل عن 34 عاماً 58 في المائة. ووصلت نسبة العاطلين عن العمل لأجلٍ طويل 86 في المائة من المسجلين.</w:t>
      </w:r>
    </w:p>
    <w:p w:rsidR="00000000" w:rsidRDefault="00AC31D5">
      <w:pPr>
        <w:jc w:val="both"/>
        <w:rPr>
          <w:rFonts w:hint="cs"/>
          <w:sz w:val="30"/>
          <w:rtl/>
        </w:rPr>
      </w:pPr>
      <w:r>
        <w:rPr>
          <w:rFonts w:hint="cs"/>
          <w:sz w:val="30"/>
          <w:rtl/>
        </w:rPr>
        <w:t>42-</w:t>
      </w:r>
      <w:r>
        <w:rPr>
          <w:rFonts w:hint="cs"/>
          <w:sz w:val="30"/>
          <w:rtl/>
        </w:rPr>
        <w:tab/>
        <w:t xml:space="preserve">ووصل معدل العاطلين عن العمل في عام 2000 إلى 16.8 في المائة، شكلـت الإنـاث منها نسبة 19.3 في المائة والذكور نسبة 14.9 في </w:t>
      </w:r>
      <w:r>
        <w:rPr>
          <w:rFonts w:hint="cs"/>
          <w:sz w:val="30"/>
          <w:rtl/>
        </w:rPr>
        <w:t>المائة.</w:t>
      </w:r>
    </w:p>
    <w:p w:rsidR="00000000" w:rsidRDefault="00AC31D5">
      <w:pPr>
        <w:jc w:val="both"/>
        <w:rPr>
          <w:rFonts w:hint="cs"/>
          <w:sz w:val="30"/>
          <w:rtl/>
        </w:rPr>
      </w:pPr>
      <w:r>
        <w:rPr>
          <w:rFonts w:hint="cs"/>
          <w:sz w:val="30"/>
          <w:rtl/>
        </w:rPr>
        <w:t>43-</w:t>
      </w:r>
      <w:r>
        <w:rPr>
          <w:rFonts w:hint="cs"/>
          <w:sz w:val="30"/>
          <w:rtl/>
        </w:rPr>
        <w:tab/>
        <w:t>وفي أيار/مايو 2001، بلغ المعدل الرسمي للبطالة 14.3 في المائة. وفي غضون أربع سنواتٍ انخفض معدل البطالة بنسبة 10 في المائة نتيجة لاتباع سياساتٍ فعالة ومحفزة الاستخدام.</w:t>
      </w:r>
    </w:p>
    <w:p w:rsidR="00000000" w:rsidRDefault="00AC31D5">
      <w:pPr>
        <w:jc w:val="both"/>
        <w:rPr>
          <w:rFonts w:hint="cs"/>
          <w:spacing w:val="4"/>
          <w:sz w:val="30"/>
          <w:rtl/>
        </w:rPr>
      </w:pPr>
      <w:r>
        <w:rPr>
          <w:rFonts w:hint="cs"/>
          <w:sz w:val="30"/>
          <w:rtl/>
        </w:rPr>
        <w:t>44-</w:t>
      </w:r>
      <w:r>
        <w:rPr>
          <w:rFonts w:hint="cs"/>
          <w:sz w:val="30"/>
          <w:rtl/>
        </w:rPr>
        <w:tab/>
        <w:t>وقبل عام 1990 كانت الهجرة محظورة كلياً إبان النظام الشيوعي. لكن موجةً كبير</w:t>
      </w:r>
      <w:r>
        <w:rPr>
          <w:rFonts w:hint="cs"/>
          <w:sz w:val="30"/>
          <w:rtl/>
        </w:rPr>
        <w:t xml:space="preserve">ة من الهجرة قد </w:t>
      </w:r>
      <w:r>
        <w:rPr>
          <w:rFonts w:hint="cs"/>
          <w:spacing w:val="4"/>
          <w:sz w:val="30"/>
          <w:rtl/>
        </w:rPr>
        <w:t>حدثت خلال فترة السنوات العشرٍ الماضية ، لا سيما إلى اليونان وإيطاليا وألمانيا والولايات المتحدة وكندا. ولا توجد أرقام رسمية دقيقة للمهاجرين ولا معلوماتٍ عن أماكن هجرتهم، وذلك نظراً للطابع التلقائي للهجرة. وقد بينت تقديرات وزارة العمل والشؤون</w:t>
      </w:r>
      <w:r>
        <w:rPr>
          <w:rFonts w:hint="cs"/>
          <w:spacing w:val="4"/>
          <w:sz w:val="30"/>
          <w:rtl/>
        </w:rPr>
        <w:t xml:space="preserve"> الاجتماعية أن هذا الرقم وصل إلى 700 ألف مهاجر خلال الفترة من 1990 إلى 1997. ويقدر عدد الألبان المهاجرين إلى اليونان ب‍  400 ألف مهاجر، شكلت الإناث منهم 160 ألف مهاجرة، بينما بلغ عدد المهاجرين الألبان إلى إيطاليا 150 ألف مهاجر، شكلت الإناث منهم نسبة 30 في </w:t>
      </w:r>
      <w:r>
        <w:rPr>
          <w:rFonts w:hint="cs"/>
          <w:spacing w:val="4"/>
          <w:sz w:val="30"/>
          <w:rtl/>
        </w:rPr>
        <w:t xml:space="preserve">المائة. </w:t>
      </w:r>
    </w:p>
    <w:p w:rsidR="00000000" w:rsidRDefault="00AC31D5">
      <w:pPr>
        <w:jc w:val="both"/>
        <w:rPr>
          <w:rFonts w:hint="cs"/>
          <w:sz w:val="30"/>
          <w:rtl/>
        </w:rPr>
      </w:pPr>
      <w:r>
        <w:rPr>
          <w:rFonts w:hint="cs"/>
          <w:sz w:val="30"/>
          <w:rtl/>
        </w:rPr>
        <w:t>45-</w:t>
      </w:r>
      <w:r>
        <w:rPr>
          <w:rFonts w:hint="cs"/>
          <w:sz w:val="30"/>
          <w:rtl/>
        </w:rPr>
        <w:tab/>
        <w:t>ولقد اتسمت الهجرة داخل البلد قبل عام 1990 بتنقل السكان من الأرياف إلى مختلف المدن، وبصورةٍ أساسية إلى العاصمة. وأصبح يقطن تيرانا 600 ألف شخصٍ تقريباً، وبلغ عدد المسجلين منهم 300 424 شخص ليس إلا.</w:t>
      </w:r>
    </w:p>
    <w:p w:rsidR="00000000" w:rsidRDefault="00AC31D5">
      <w:pPr>
        <w:jc w:val="both"/>
        <w:rPr>
          <w:rFonts w:hint="cs"/>
          <w:rtl/>
        </w:rPr>
      </w:pPr>
      <w:r>
        <w:rPr>
          <w:rFonts w:hint="cs"/>
          <w:rtl/>
        </w:rPr>
        <w:t>46-</w:t>
      </w:r>
      <w:r>
        <w:rPr>
          <w:rFonts w:hint="cs"/>
          <w:rtl/>
        </w:rPr>
        <w:tab/>
        <w:t>وتوفر الحماية الاجتماعية من خلال ثلاثة برامج</w:t>
      </w:r>
      <w:r>
        <w:rPr>
          <w:rFonts w:hint="cs"/>
          <w:rtl/>
        </w:rPr>
        <w:t xml:space="preserve"> أساسية هي:</w:t>
      </w:r>
    </w:p>
    <w:p w:rsidR="00000000" w:rsidRDefault="00AC31D5">
      <w:pPr>
        <w:ind w:left="1440" w:hanging="720"/>
        <w:jc w:val="both"/>
        <w:rPr>
          <w:rFonts w:hint="cs"/>
          <w:rtl/>
        </w:rPr>
      </w:pPr>
      <w:r>
        <w:rPr>
          <w:rFonts w:hint="cs"/>
          <w:rtl/>
        </w:rPr>
        <w:t>-</w:t>
      </w:r>
      <w:r>
        <w:rPr>
          <w:rFonts w:hint="cs"/>
          <w:rtl/>
        </w:rPr>
        <w:tab/>
        <w:t>المساعدة الاجتماعية: تقدم حالياً المساعدة الاجتماعية إلى 000 145 أسرة منخفضة الدخل للغاية. وتتلقى نسبة 41 في المائة من الأسر المساعدة كاملةً؛</w:t>
      </w:r>
    </w:p>
    <w:p w:rsidR="00000000" w:rsidRDefault="00AC31D5">
      <w:pPr>
        <w:jc w:val="both"/>
        <w:rPr>
          <w:rFonts w:hint="cs"/>
          <w:rtl/>
        </w:rPr>
      </w:pPr>
      <w:r>
        <w:rPr>
          <w:rFonts w:hint="cs"/>
          <w:rtl/>
        </w:rPr>
        <w:tab/>
        <w:t>-</w:t>
      </w:r>
      <w:r>
        <w:rPr>
          <w:rFonts w:hint="cs"/>
          <w:rtl/>
        </w:rPr>
        <w:tab/>
        <w:t xml:space="preserve">معاش الإعاقة: يتلقى حالياً هذا المعاش 000 45 شخص؛ </w:t>
      </w:r>
    </w:p>
    <w:p w:rsidR="00000000" w:rsidRDefault="00AC31D5">
      <w:pPr>
        <w:jc w:val="both"/>
        <w:rPr>
          <w:rFonts w:hint="cs"/>
          <w:rtl/>
        </w:rPr>
      </w:pPr>
      <w:r>
        <w:rPr>
          <w:rFonts w:hint="cs"/>
          <w:rtl/>
        </w:rPr>
        <w:tab/>
        <w:t>-</w:t>
      </w:r>
      <w:r>
        <w:rPr>
          <w:rFonts w:hint="cs"/>
          <w:rtl/>
        </w:rPr>
        <w:tab/>
        <w:t>الخدمات الاجتماعية التي تقدم إلى الأفراد ال</w:t>
      </w:r>
      <w:r>
        <w:rPr>
          <w:rFonts w:hint="cs"/>
          <w:rtl/>
        </w:rPr>
        <w:t>مقيمين في 22 مركزاً متخصصاً.</w:t>
      </w:r>
    </w:p>
    <w:p w:rsidR="00000000" w:rsidRDefault="00AC31D5">
      <w:pPr>
        <w:jc w:val="center"/>
        <w:rPr>
          <w:rFonts w:hint="cs"/>
          <w:rtl/>
        </w:rPr>
      </w:pPr>
      <w:r>
        <w:rPr>
          <w:rFonts w:hint="cs"/>
          <w:b/>
          <w:bCs/>
          <w:rtl/>
        </w:rPr>
        <w:t>الجدول 4</w:t>
      </w:r>
    </w:p>
    <w:p w:rsidR="00000000" w:rsidRDefault="00AC31D5">
      <w:pPr>
        <w:jc w:val="center"/>
        <w:rPr>
          <w:rFonts w:hint="cs"/>
          <w:b/>
          <w:bCs/>
          <w:rtl/>
        </w:rPr>
      </w:pPr>
      <w:r>
        <w:rPr>
          <w:rFonts w:hint="cs"/>
          <w:b/>
          <w:bCs/>
          <w:rtl/>
        </w:rPr>
        <w:t>الدخل الشهري بالليكات للعام 2000</w:t>
      </w:r>
    </w:p>
    <w:tbl>
      <w:tblPr>
        <w:bidiVisual/>
        <w:tblW w:w="0" w:type="auto"/>
        <w:tblInd w:w="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0"/>
        <w:gridCol w:w="2280"/>
        <w:gridCol w:w="2280"/>
      </w:tblGrid>
      <w:tr w:rsidR="00AC31D5" w:rsidTr="00AC31D5">
        <w:tblPrEx>
          <w:tblCellMar>
            <w:top w:w="0" w:type="dxa"/>
            <w:bottom w:w="0" w:type="dxa"/>
          </w:tblCellMar>
        </w:tblPrEx>
        <w:tc>
          <w:tcPr>
            <w:tcW w:w="2280" w:type="dxa"/>
          </w:tcPr>
          <w:p w:rsidR="00AC31D5" w:rsidRDefault="00AC31D5">
            <w:pPr>
              <w:spacing w:before="80" w:after="80"/>
              <w:jc w:val="center"/>
              <w:rPr>
                <w:rFonts w:hint="cs"/>
                <w:sz w:val="24"/>
                <w:szCs w:val="24"/>
              </w:rPr>
            </w:pPr>
          </w:p>
        </w:tc>
        <w:tc>
          <w:tcPr>
            <w:tcW w:w="2280" w:type="dxa"/>
          </w:tcPr>
          <w:p w:rsidR="00AC31D5" w:rsidRDefault="00AC31D5">
            <w:pPr>
              <w:spacing w:before="80" w:after="80"/>
              <w:jc w:val="center"/>
              <w:rPr>
                <w:rFonts w:hint="cs"/>
                <w:sz w:val="24"/>
                <w:szCs w:val="24"/>
              </w:rPr>
            </w:pPr>
            <w:r>
              <w:rPr>
                <w:rFonts w:hint="cs"/>
                <w:sz w:val="24"/>
                <w:szCs w:val="24"/>
                <w:rtl/>
              </w:rPr>
              <w:t>في المدن</w:t>
            </w:r>
          </w:p>
        </w:tc>
        <w:tc>
          <w:tcPr>
            <w:tcW w:w="2280" w:type="dxa"/>
          </w:tcPr>
          <w:p w:rsidR="00AC31D5" w:rsidRDefault="00AC31D5">
            <w:pPr>
              <w:spacing w:before="80" w:after="80"/>
              <w:jc w:val="center"/>
              <w:rPr>
                <w:rFonts w:hint="cs"/>
                <w:sz w:val="24"/>
                <w:szCs w:val="24"/>
              </w:rPr>
            </w:pPr>
            <w:r>
              <w:rPr>
                <w:rFonts w:hint="cs"/>
                <w:sz w:val="24"/>
                <w:szCs w:val="24"/>
                <w:rtl/>
              </w:rPr>
              <w:t>في الريف</w:t>
            </w:r>
          </w:p>
        </w:tc>
      </w:tr>
      <w:tr w:rsidR="00AC31D5" w:rsidTr="00AC31D5">
        <w:tblPrEx>
          <w:tblCellMar>
            <w:top w:w="0" w:type="dxa"/>
            <w:bottom w:w="0" w:type="dxa"/>
          </w:tblCellMar>
        </w:tblPrEx>
        <w:tc>
          <w:tcPr>
            <w:tcW w:w="2280" w:type="dxa"/>
            <w:tcBorders>
              <w:bottom w:val="nil"/>
            </w:tcBorders>
          </w:tcPr>
          <w:p w:rsidR="00AC31D5" w:rsidRDefault="00AC31D5">
            <w:pPr>
              <w:spacing w:before="80" w:after="80"/>
              <w:jc w:val="both"/>
              <w:rPr>
                <w:rFonts w:hint="cs"/>
                <w:sz w:val="24"/>
                <w:szCs w:val="24"/>
              </w:rPr>
            </w:pPr>
            <w:r>
              <w:rPr>
                <w:rFonts w:hint="cs"/>
                <w:sz w:val="24"/>
                <w:szCs w:val="24"/>
                <w:rtl/>
              </w:rPr>
              <w:t>معاش المتقاعدين</w:t>
            </w:r>
          </w:p>
        </w:tc>
        <w:tc>
          <w:tcPr>
            <w:tcW w:w="2280" w:type="dxa"/>
            <w:tcBorders>
              <w:bottom w:val="nil"/>
            </w:tcBorders>
          </w:tcPr>
          <w:p w:rsidR="00AC31D5" w:rsidRDefault="00AC31D5">
            <w:pPr>
              <w:spacing w:before="80" w:after="80"/>
              <w:ind w:firstLine="612"/>
              <w:jc w:val="both"/>
              <w:rPr>
                <w:rFonts w:hint="cs"/>
              </w:rPr>
            </w:pPr>
            <w:r>
              <w:rPr>
                <w:rFonts w:hint="cs"/>
                <w:rtl/>
              </w:rPr>
              <w:t>197 5</w:t>
            </w:r>
          </w:p>
        </w:tc>
        <w:tc>
          <w:tcPr>
            <w:tcW w:w="2280" w:type="dxa"/>
            <w:tcBorders>
              <w:bottom w:val="nil"/>
            </w:tcBorders>
          </w:tcPr>
          <w:p w:rsidR="00AC31D5" w:rsidRDefault="00AC31D5">
            <w:pPr>
              <w:spacing w:before="80" w:after="80"/>
              <w:ind w:firstLine="612"/>
              <w:jc w:val="both"/>
              <w:rPr>
                <w:rFonts w:hint="cs"/>
              </w:rPr>
            </w:pPr>
            <w:r>
              <w:rPr>
                <w:rFonts w:hint="cs"/>
                <w:rtl/>
              </w:rPr>
              <w:t>022 1</w:t>
            </w:r>
          </w:p>
        </w:tc>
      </w:tr>
      <w:tr w:rsidR="00AC31D5" w:rsidTr="00AC31D5">
        <w:tblPrEx>
          <w:tblCellMar>
            <w:top w:w="0" w:type="dxa"/>
            <w:bottom w:w="0" w:type="dxa"/>
          </w:tblCellMar>
        </w:tblPrEx>
        <w:tc>
          <w:tcPr>
            <w:tcW w:w="2280" w:type="dxa"/>
            <w:tcBorders>
              <w:top w:val="nil"/>
              <w:bottom w:val="nil"/>
            </w:tcBorders>
          </w:tcPr>
          <w:p w:rsidR="00AC31D5" w:rsidRDefault="00AC31D5">
            <w:pPr>
              <w:spacing w:before="80" w:after="80"/>
              <w:jc w:val="both"/>
              <w:rPr>
                <w:rFonts w:hint="cs"/>
                <w:sz w:val="24"/>
                <w:szCs w:val="24"/>
              </w:rPr>
            </w:pPr>
            <w:r>
              <w:rPr>
                <w:rFonts w:hint="cs"/>
                <w:sz w:val="24"/>
                <w:szCs w:val="24"/>
                <w:rtl/>
              </w:rPr>
              <w:t>معاش المعوقين</w:t>
            </w:r>
          </w:p>
        </w:tc>
        <w:tc>
          <w:tcPr>
            <w:tcW w:w="2280" w:type="dxa"/>
            <w:tcBorders>
              <w:top w:val="nil"/>
              <w:bottom w:val="nil"/>
            </w:tcBorders>
          </w:tcPr>
          <w:p w:rsidR="00AC31D5" w:rsidRDefault="00AC31D5">
            <w:pPr>
              <w:spacing w:before="80" w:after="80"/>
              <w:ind w:firstLine="612"/>
              <w:jc w:val="both"/>
              <w:rPr>
                <w:rFonts w:hint="cs"/>
              </w:rPr>
            </w:pPr>
            <w:r>
              <w:rPr>
                <w:rFonts w:hint="cs"/>
                <w:rtl/>
              </w:rPr>
              <w:t>757 3</w:t>
            </w:r>
          </w:p>
        </w:tc>
        <w:tc>
          <w:tcPr>
            <w:tcW w:w="2280" w:type="dxa"/>
            <w:tcBorders>
              <w:top w:val="nil"/>
              <w:bottom w:val="nil"/>
            </w:tcBorders>
          </w:tcPr>
          <w:p w:rsidR="00AC31D5" w:rsidRDefault="00AC31D5">
            <w:pPr>
              <w:spacing w:before="80" w:after="80"/>
              <w:ind w:firstLine="612"/>
              <w:jc w:val="both"/>
              <w:rPr>
                <w:rFonts w:hint="cs"/>
              </w:rPr>
            </w:pPr>
            <w:r>
              <w:rPr>
                <w:rFonts w:hint="cs"/>
                <w:rtl/>
              </w:rPr>
              <w:t>109 1</w:t>
            </w:r>
          </w:p>
        </w:tc>
      </w:tr>
      <w:tr w:rsidR="00AC31D5" w:rsidTr="00AC31D5">
        <w:tblPrEx>
          <w:tblCellMar>
            <w:top w:w="0" w:type="dxa"/>
            <w:bottom w:w="0" w:type="dxa"/>
          </w:tblCellMar>
        </w:tblPrEx>
        <w:tc>
          <w:tcPr>
            <w:tcW w:w="2280" w:type="dxa"/>
            <w:tcBorders>
              <w:top w:val="nil"/>
            </w:tcBorders>
          </w:tcPr>
          <w:p w:rsidR="00AC31D5" w:rsidRDefault="00AC31D5">
            <w:pPr>
              <w:spacing w:before="80" w:after="80"/>
              <w:jc w:val="both"/>
              <w:rPr>
                <w:rFonts w:hint="cs"/>
                <w:sz w:val="24"/>
                <w:szCs w:val="24"/>
              </w:rPr>
            </w:pPr>
            <w:r>
              <w:rPr>
                <w:rFonts w:hint="cs"/>
                <w:sz w:val="24"/>
                <w:szCs w:val="24"/>
                <w:rtl/>
              </w:rPr>
              <w:t>معاش الأسرة</w:t>
            </w:r>
          </w:p>
        </w:tc>
        <w:tc>
          <w:tcPr>
            <w:tcW w:w="2280" w:type="dxa"/>
            <w:tcBorders>
              <w:top w:val="nil"/>
            </w:tcBorders>
          </w:tcPr>
          <w:p w:rsidR="00AC31D5" w:rsidRDefault="00AC31D5">
            <w:pPr>
              <w:spacing w:before="80" w:after="80"/>
              <w:ind w:firstLine="612"/>
              <w:jc w:val="both"/>
              <w:rPr>
                <w:rFonts w:hint="cs"/>
              </w:rPr>
            </w:pPr>
            <w:r>
              <w:rPr>
                <w:rFonts w:hint="cs"/>
                <w:rtl/>
              </w:rPr>
              <w:t>637 2</w:t>
            </w:r>
          </w:p>
        </w:tc>
        <w:tc>
          <w:tcPr>
            <w:tcW w:w="2280" w:type="dxa"/>
            <w:tcBorders>
              <w:top w:val="nil"/>
            </w:tcBorders>
          </w:tcPr>
          <w:p w:rsidR="00AC31D5" w:rsidRDefault="00AC31D5">
            <w:pPr>
              <w:spacing w:before="80" w:after="80"/>
              <w:ind w:firstLine="612"/>
              <w:jc w:val="both"/>
              <w:rPr>
                <w:rFonts w:hint="cs"/>
              </w:rPr>
            </w:pPr>
            <w:r>
              <w:rPr>
                <w:rFonts w:hint="cs"/>
                <w:rtl/>
              </w:rPr>
              <w:t>475</w:t>
            </w:r>
          </w:p>
        </w:tc>
      </w:tr>
    </w:tbl>
    <w:p w:rsidR="00000000" w:rsidRDefault="00AC31D5">
      <w:pPr>
        <w:jc w:val="center"/>
        <w:rPr>
          <w:rFonts w:hint="cs"/>
          <w:b/>
          <w:bCs/>
          <w:rtl/>
        </w:rPr>
      </w:pPr>
      <w:r>
        <w:rPr>
          <w:rFonts w:hint="cs"/>
          <w:b/>
          <w:bCs/>
          <w:rtl/>
        </w:rPr>
        <w:t>الجدول 5</w:t>
      </w:r>
    </w:p>
    <w:p w:rsidR="00000000" w:rsidRDefault="00AC31D5">
      <w:pPr>
        <w:jc w:val="center"/>
        <w:rPr>
          <w:rFonts w:hint="cs"/>
          <w:b/>
          <w:bCs/>
          <w:rtl/>
        </w:rPr>
      </w:pPr>
      <w:r>
        <w:rPr>
          <w:rFonts w:hint="cs"/>
          <w:b/>
          <w:bCs/>
          <w:rtl/>
        </w:rPr>
        <w:t>الحدان الأدنى والأقصى للمعاش التقاعدي للعام 2000</w:t>
      </w:r>
    </w:p>
    <w:tbl>
      <w:tblPr>
        <w:bidiVisual/>
        <w:tblW w:w="0" w:type="auto"/>
        <w:tblInd w:w="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160"/>
        <w:gridCol w:w="2340"/>
      </w:tblGrid>
      <w:tr w:rsidR="00AC31D5" w:rsidTr="00AC31D5">
        <w:tblPrEx>
          <w:tblCellMar>
            <w:top w:w="0" w:type="dxa"/>
            <w:bottom w:w="0" w:type="dxa"/>
          </w:tblCellMar>
        </w:tblPrEx>
        <w:tc>
          <w:tcPr>
            <w:tcW w:w="2340" w:type="dxa"/>
          </w:tcPr>
          <w:p w:rsidR="00AC31D5" w:rsidRDefault="00AC31D5">
            <w:pPr>
              <w:spacing w:before="80" w:after="80"/>
              <w:jc w:val="center"/>
              <w:rPr>
                <w:sz w:val="24"/>
                <w:szCs w:val="24"/>
              </w:rPr>
            </w:pPr>
          </w:p>
        </w:tc>
        <w:tc>
          <w:tcPr>
            <w:tcW w:w="2160" w:type="dxa"/>
          </w:tcPr>
          <w:p w:rsidR="00AC31D5" w:rsidRDefault="00AC31D5">
            <w:pPr>
              <w:spacing w:before="80" w:after="80"/>
              <w:jc w:val="center"/>
              <w:rPr>
                <w:rFonts w:hint="cs"/>
                <w:sz w:val="24"/>
                <w:szCs w:val="24"/>
              </w:rPr>
            </w:pPr>
            <w:r>
              <w:rPr>
                <w:rFonts w:hint="cs"/>
                <w:sz w:val="24"/>
                <w:szCs w:val="24"/>
                <w:rtl/>
              </w:rPr>
              <w:t>الحد الأدنى للمعاش</w:t>
            </w:r>
          </w:p>
        </w:tc>
        <w:tc>
          <w:tcPr>
            <w:tcW w:w="2340" w:type="dxa"/>
          </w:tcPr>
          <w:p w:rsidR="00AC31D5" w:rsidRDefault="00AC31D5">
            <w:pPr>
              <w:spacing w:before="80" w:after="80"/>
              <w:jc w:val="center"/>
              <w:rPr>
                <w:rFonts w:hint="cs"/>
                <w:sz w:val="24"/>
                <w:szCs w:val="24"/>
              </w:rPr>
            </w:pPr>
            <w:r>
              <w:rPr>
                <w:rFonts w:hint="cs"/>
                <w:sz w:val="24"/>
                <w:szCs w:val="24"/>
                <w:rtl/>
              </w:rPr>
              <w:t>الحد الأقصى للمعاش</w:t>
            </w:r>
          </w:p>
        </w:tc>
      </w:tr>
      <w:tr w:rsidR="00AC31D5" w:rsidTr="00AC31D5">
        <w:tblPrEx>
          <w:tblCellMar>
            <w:top w:w="0" w:type="dxa"/>
            <w:bottom w:w="0" w:type="dxa"/>
          </w:tblCellMar>
        </w:tblPrEx>
        <w:tc>
          <w:tcPr>
            <w:tcW w:w="2340" w:type="dxa"/>
            <w:tcBorders>
              <w:bottom w:val="nil"/>
            </w:tcBorders>
          </w:tcPr>
          <w:p w:rsidR="00AC31D5" w:rsidRDefault="00AC31D5">
            <w:pPr>
              <w:spacing w:before="80" w:after="80"/>
              <w:jc w:val="both"/>
              <w:rPr>
                <w:rFonts w:hint="cs"/>
                <w:sz w:val="24"/>
                <w:szCs w:val="24"/>
              </w:rPr>
            </w:pPr>
            <w:r>
              <w:rPr>
                <w:rFonts w:hint="cs"/>
                <w:sz w:val="24"/>
                <w:szCs w:val="24"/>
                <w:rtl/>
              </w:rPr>
              <w:t>المدن</w:t>
            </w:r>
          </w:p>
        </w:tc>
        <w:tc>
          <w:tcPr>
            <w:tcW w:w="2160" w:type="dxa"/>
            <w:tcBorders>
              <w:bottom w:val="nil"/>
            </w:tcBorders>
          </w:tcPr>
          <w:p w:rsidR="00AC31D5" w:rsidRDefault="00AC31D5">
            <w:pPr>
              <w:spacing w:before="80" w:after="80"/>
              <w:ind w:firstLine="612"/>
              <w:jc w:val="both"/>
              <w:rPr>
                <w:rFonts w:hint="cs"/>
              </w:rPr>
            </w:pPr>
            <w:r>
              <w:rPr>
                <w:rFonts w:hint="cs"/>
                <w:rtl/>
              </w:rPr>
              <w:t>148 5</w:t>
            </w:r>
          </w:p>
        </w:tc>
        <w:tc>
          <w:tcPr>
            <w:tcW w:w="2340" w:type="dxa"/>
            <w:tcBorders>
              <w:bottom w:val="nil"/>
            </w:tcBorders>
          </w:tcPr>
          <w:p w:rsidR="00AC31D5" w:rsidRDefault="00AC31D5">
            <w:pPr>
              <w:spacing w:before="80" w:after="80"/>
              <w:ind w:firstLine="612"/>
              <w:jc w:val="both"/>
              <w:rPr>
                <w:rFonts w:hint="cs"/>
              </w:rPr>
            </w:pPr>
            <w:r>
              <w:rPr>
                <w:rFonts w:hint="cs"/>
                <w:rtl/>
              </w:rPr>
              <w:t>296 10</w:t>
            </w:r>
          </w:p>
        </w:tc>
      </w:tr>
      <w:tr w:rsidR="00AC31D5" w:rsidTr="00AC31D5">
        <w:tblPrEx>
          <w:tblCellMar>
            <w:top w:w="0" w:type="dxa"/>
            <w:bottom w:w="0" w:type="dxa"/>
          </w:tblCellMar>
        </w:tblPrEx>
        <w:tc>
          <w:tcPr>
            <w:tcW w:w="2340" w:type="dxa"/>
            <w:tcBorders>
              <w:top w:val="nil"/>
            </w:tcBorders>
          </w:tcPr>
          <w:p w:rsidR="00AC31D5" w:rsidRDefault="00AC31D5">
            <w:pPr>
              <w:spacing w:before="80" w:after="80"/>
              <w:jc w:val="both"/>
              <w:rPr>
                <w:rFonts w:hint="cs"/>
                <w:sz w:val="24"/>
                <w:szCs w:val="24"/>
              </w:rPr>
            </w:pPr>
            <w:r>
              <w:rPr>
                <w:rFonts w:hint="cs"/>
                <w:sz w:val="24"/>
                <w:szCs w:val="24"/>
                <w:rtl/>
              </w:rPr>
              <w:t>الريف</w:t>
            </w:r>
          </w:p>
        </w:tc>
        <w:tc>
          <w:tcPr>
            <w:tcW w:w="2160" w:type="dxa"/>
            <w:tcBorders>
              <w:top w:val="nil"/>
            </w:tcBorders>
          </w:tcPr>
          <w:p w:rsidR="00AC31D5" w:rsidRDefault="00AC31D5">
            <w:pPr>
              <w:spacing w:before="80" w:after="80"/>
              <w:ind w:firstLine="612"/>
              <w:jc w:val="both"/>
              <w:rPr>
                <w:rFonts w:hint="cs"/>
              </w:rPr>
            </w:pPr>
            <w:r>
              <w:rPr>
                <w:rFonts w:hint="cs"/>
                <w:rtl/>
              </w:rPr>
              <w:t>328 1</w:t>
            </w:r>
          </w:p>
        </w:tc>
        <w:tc>
          <w:tcPr>
            <w:tcW w:w="2340" w:type="dxa"/>
            <w:tcBorders>
              <w:top w:val="nil"/>
            </w:tcBorders>
          </w:tcPr>
          <w:p w:rsidR="00AC31D5" w:rsidRDefault="00AC31D5">
            <w:pPr>
              <w:spacing w:before="80" w:after="80"/>
              <w:ind w:firstLine="612"/>
              <w:jc w:val="both"/>
              <w:rPr>
                <w:rFonts w:hint="cs"/>
              </w:rPr>
            </w:pPr>
            <w:r>
              <w:rPr>
                <w:rFonts w:hint="cs"/>
                <w:rtl/>
              </w:rPr>
              <w:t>328 1</w:t>
            </w:r>
          </w:p>
        </w:tc>
      </w:tr>
    </w:tbl>
    <w:p w:rsidR="00000000" w:rsidRDefault="00AC31D5">
      <w:pPr>
        <w:jc w:val="both"/>
        <w:rPr>
          <w:rFonts w:hint="cs"/>
          <w:rtl/>
        </w:rPr>
      </w:pPr>
      <w:r>
        <w:rPr>
          <w:rtl/>
        </w:rPr>
        <w:br w:type="page"/>
      </w:r>
      <w:r>
        <w:rPr>
          <w:rFonts w:hint="cs"/>
          <w:rtl/>
        </w:rPr>
        <w:t>47-</w:t>
      </w:r>
      <w:r>
        <w:rPr>
          <w:rFonts w:hint="cs"/>
          <w:rtl/>
        </w:rPr>
        <w:tab/>
        <w:t>ويشمل نظام التأمين الخدمات الطبية المجانية والعلاج لدى طبيب أسرة وتسديد تكاليف مجموعةٍ محددة من المستحضرات الصيدلانية. والفئة التي تستفيد من التأمين الكامل هي الفئة التي تتراوح أعمارها بين سنة وست سنو</w:t>
      </w:r>
      <w:r>
        <w:rPr>
          <w:rFonts w:hint="cs"/>
          <w:rtl/>
        </w:rPr>
        <w:t>ات والطلاب والعاطلون عن العمل الحاصلون على المساعدة والمتقاعدون والمعوقون والحوامل والأمهات لمدة سنةٍ واحدة بعد وضعهن وأفراد الجيش والمحاربون القدماء والعاجزون والأفراد المصابون بمرض السرطان أو التدرن، إذ يستردون التكاليف بنسبة مائة في المائة. وتقدم الخدما</w:t>
      </w:r>
      <w:r>
        <w:rPr>
          <w:rFonts w:hint="cs"/>
          <w:rtl/>
        </w:rPr>
        <w:t>ت الطبية بجميع اختصاصاتها مجاناً إلى الأطفال منذ ولادتهم وحتى يبلغون السنة من العمر.</w:t>
      </w:r>
    </w:p>
    <w:p w:rsidR="00000000" w:rsidRDefault="00AC31D5">
      <w:pPr>
        <w:jc w:val="both"/>
        <w:rPr>
          <w:rFonts w:hint="cs"/>
          <w:rtl/>
        </w:rPr>
      </w:pPr>
      <w:r>
        <w:rPr>
          <w:rFonts w:hint="cs"/>
          <w:rtl/>
        </w:rPr>
        <w:t>48-</w:t>
      </w:r>
      <w:r>
        <w:rPr>
          <w:rFonts w:hint="cs"/>
          <w:rtl/>
        </w:rPr>
        <w:tab/>
        <w:t>والخدمات الطبية هي خدمات عامة وخاصة. ويوجد في ألبانيا حالياً 600 مركز طبي تشكل الأساس لأنشطة مؤسسات الرعاية الطبية الأولية. وتقع نسبة خمسةٍ وسبعين في المائة من هذه الم</w:t>
      </w:r>
      <w:r>
        <w:rPr>
          <w:rFonts w:hint="cs"/>
          <w:rtl/>
        </w:rPr>
        <w:t>راكز في الأرياف وخمسةٍ وعشرين في المائة في المدن.</w:t>
      </w:r>
    </w:p>
    <w:p w:rsidR="00000000" w:rsidRDefault="00AC31D5">
      <w:pPr>
        <w:jc w:val="both"/>
        <w:rPr>
          <w:rFonts w:hint="cs"/>
          <w:rtl/>
        </w:rPr>
      </w:pPr>
      <w:r>
        <w:rPr>
          <w:rFonts w:hint="cs"/>
          <w:rtl/>
        </w:rPr>
        <w:t>49-</w:t>
      </w:r>
      <w:r>
        <w:rPr>
          <w:rFonts w:hint="cs"/>
          <w:rtl/>
        </w:rPr>
        <w:tab/>
        <w:t>ويقدم المركز الطبي في القرية الرعاية الصحية إلى 000 4 ساكنٍ في المتوسط، بينما يقدم المركز الطبي في المدينة الرعاية إلى 000 9 شخص.</w:t>
      </w:r>
    </w:p>
    <w:p w:rsidR="00000000" w:rsidRDefault="00AC31D5">
      <w:pPr>
        <w:jc w:val="center"/>
        <w:rPr>
          <w:rFonts w:hint="cs"/>
          <w:b/>
          <w:bCs/>
          <w:rtl/>
        </w:rPr>
      </w:pPr>
      <w:r>
        <w:rPr>
          <w:rFonts w:hint="cs"/>
          <w:b/>
          <w:bCs/>
          <w:rtl/>
        </w:rPr>
        <w:t>الجدول 6</w:t>
      </w:r>
    </w:p>
    <w:p w:rsidR="00000000" w:rsidRDefault="00AC31D5">
      <w:pPr>
        <w:jc w:val="center"/>
        <w:rPr>
          <w:rFonts w:hint="cs"/>
          <w:rtl/>
        </w:rPr>
      </w:pPr>
      <w:r>
        <w:rPr>
          <w:rFonts w:hint="cs"/>
          <w:b/>
          <w:bCs/>
          <w:rtl/>
        </w:rPr>
        <w:t xml:space="preserve">مستوى التعليم: السكان البالغون عشر سنواتٍ فما فوق وفقاً للقدرة </w:t>
      </w:r>
      <w:r>
        <w:rPr>
          <w:rFonts w:hint="cs"/>
          <w:b/>
          <w:bCs/>
          <w:rtl/>
        </w:rPr>
        <w:t>على القراءة والكتابة</w:t>
      </w:r>
    </w:p>
    <w:tbl>
      <w:tblPr>
        <w:bidiVisual/>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0"/>
        <w:gridCol w:w="1310"/>
        <w:gridCol w:w="1082"/>
        <w:gridCol w:w="1197"/>
        <w:gridCol w:w="1196"/>
        <w:gridCol w:w="1197"/>
        <w:gridCol w:w="1088"/>
      </w:tblGrid>
      <w:tr w:rsidR="00AC31D5" w:rsidTr="00AC31D5">
        <w:tblPrEx>
          <w:tblCellMar>
            <w:top w:w="0" w:type="dxa"/>
            <w:bottom w:w="0" w:type="dxa"/>
          </w:tblCellMar>
        </w:tblPrEx>
        <w:trPr>
          <w:cantSplit/>
        </w:trPr>
        <w:tc>
          <w:tcPr>
            <w:tcW w:w="2290" w:type="dxa"/>
            <w:vMerge w:val="restart"/>
          </w:tcPr>
          <w:p w:rsidR="00AC31D5" w:rsidRDefault="00AC31D5">
            <w:pPr>
              <w:spacing w:before="80" w:after="80"/>
              <w:jc w:val="center"/>
              <w:rPr>
                <w:rFonts w:hint="cs"/>
              </w:rPr>
            </w:pPr>
          </w:p>
        </w:tc>
        <w:tc>
          <w:tcPr>
            <w:tcW w:w="2392" w:type="dxa"/>
            <w:gridSpan w:val="2"/>
          </w:tcPr>
          <w:p w:rsidR="00AC31D5" w:rsidRDefault="00AC31D5">
            <w:pPr>
              <w:spacing w:before="80" w:after="80"/>
              <w:jc w:val="center"/>
              <w:rPr>
                <w:rFonts w:hint="cs"/>
                <w:sz w:val="24"/>
                <w:szCs w:val="24"/>
              </w:rPr>
            </w:pPr>
            <w:r>
              <w:rPr>
                <w:rFonts w:hint="cs"/>
                <w:sz w:val="24"/>
                <w:szCs w:val="24"/>
                <w:rtl/>
              </w:rPr>
              <w:t>السكان البالغون عشر سنواتٍ فما فوق</w:t>
            </w:r>
          </w:p>
        </w:tc>
        <w:tc>
          <w:tcPr>
            <w:tcW w:w="2393" w:type="dxa"/>
            <w:gridSpan w:val="2"/>
          </w:tcPr>
          <w:p w:rsidR="00AC31D5" w:rsidRDefault="00AC31D5">
            <w:pPr>
              <w:spacing w:before="80" w:after="80"/>
              <w:jc w:val="center"/>
              <w:rPr>
                <w:rFonts w:hint="cs"/>
                <w:sz w:val="24"/>
                <w:szCs w:val="24"/>
                <w:rtl/>
              </w:rPr>
            </w:pPr>
          </w:p>
          <w:p w:rsidR="00AC31D5" w:rsidRDefault="00AC31D5">
            <w:pPr>
              <w:spacing w:before="80" w:after="80"/>
              <w:jc w:val="center"/>
              <w:rPr>
                <w:rFonts w:hint="cs"/>
                <w:sz w:val="24"/>
                <w:szCs w:val="24"/>
              </w:rPr>
            </w:pPr>
            <w:r>
              <w:rPr>
                <w:rFonts w:hint="cs"/>
                <w:sz w:val="24"/>
                <w:szCs w:val="24"/>
                <w:rtl/>
              </w:rPr>
              <w:t>الذكور</w:t>
            </w:r>
          </w:p>
        </w:tc>
        <w:tc>
          <w:tcPr>
            <w:tcW w:w="2285" w:type="dxa"/>
            <w:gridSpan w:val="2"/>
          </w:tcPr>
          <w:p w:rsidR="00AC31D5" w:rsidRDefault="00AC31D5">
            <w:pPr>
              <w:spacing w:before="80" w:after="80"/>
              <w:jc w:val="center"/>
              <w:rPr>
                <w:rFonts w:hint="cs"/>
                <w:sz w:val="24"/>
                <w:szCs w:val="24"/>
                <w:rtl/>
              </w:rPr>
            </w:pPr>
          </w:p>
          <w:p w:rsidR="00AC31D5" w:rsidRDefault="00AC31D5">
            <w:pPr>
              <w:spacing w:before="80" w:after="80"/>
              <w:jc w:val="center"/>
              <w:rPr>
                <w:rFonts w:hint="cs"/>
                <w:sz w:val="24"/>
                <w:szCs w:val="24"/>
              </w:rPr>
            </w:pPr>
            <w:r>
              <w:rPr>
                <w:rFonts w:hint="cs"/>
                <w:sz w:val="24"/>
                <w:szCs w:val="24"/>
                <w:rtl/>
              </w:rPr>
              <w:t>الإناث</w:t>
            </w:r>
          </w:p>
        </w:tc>
      </w:tr>
      <w:tr w:rsidR="00AC31D5" w:rsidTr="00AC31D5">
        <w:tblPrEx>
          <w:tblCellMar>
            <w:top w:w="0" w:type="dxa"/>
            <w:bottom w:w="0" w:type="dxa"/>
          </w:tblCellMar>
        </w:tblPrEx>
        <w:trPr>
          <w:cantSplit/>
        </w:trPr>
        <w:tc>
          <w:tcPr>
            <w:tcW w:w="2290" w:type="dxa"/>
            <w:vMerge/>
          </w:tcPr>
          <w:p w:rsidR="00AC31D5" w:rsidRDefault="00AC31D5">
            <w:pPr>
              <w:spacing w:before="80" w:after="80"/>
              <w:jc w:val="center"/>
              <w:rPr>
                <w:sz w:val="24"/>
                <w:szCs w:val="24"/>
              </w:rPr>
            </w:pPr>
          </w:p>
        </w:tc>
        <w:tc>
          <w:tcPr>
            <w:tcW w:w="1310" w:type="dxa"/>
          </w:tcPr>
          <w:p w:rsidR="00AC31D5" w:rsidRDefault="00AC31D5">
            <w:pPr>
              <w:spacing w:before="80" w:after="80"/>
              <w:jc w:val="center"/>
              <w:rPr>
                <w:rFonts w:hint="cs"/>
                <w:sz w:val="24"/>
                <w:szCs w:val="24"/>
              </w:rPr>
            </w:pPr>
            <w:r>
              <w:rPr>
                <w:rFonts w:hint="cs"/>
                <w:sz w:val="24"/>
                <w:szCs w:val="24"/>
                <w:rtl/>
              </w:rPr>
              <w:t>العدد</w:t>
            </w:r>
          </w:p>
        </w:tc>
        <w:tc>
          <w:tcPr>
            <w:tcW w:w="1082" w:type="dxa"/>
          </w:tcPr>
          <w:p w:rsidR="00AC31D5" w:rsidRDefault="00AC31D5">
            <w:pPr>
              <w:spacing w:before="80" w:after="80"/>
              <w:jc w:val="center"/>
              <w:rPr>
                <w:rFonts w:hint="cs"/>
                <w:sz w:val="24"/>
                <w:szCs w:val="24"/>
              </w:rPr>
            </w:pPr>
            <w:r>
              <w:rPr>
                <w:rFonts w:hint="cs"/>
                <w:sz w:val="24"/>
                <w:szCs w:val="24"/>
                <w:rtl/>
              </w:rPr>
              <w:t>النسبة المئوية</w:t>
            </w:r>
          </w:p>
        </w:tc>
        <w:tc>
          <w:tcPr>
            <w:tcW w:w="1197" w:type="dxa"/>
          </w:tcPr>
          <w:p w:rsidR="00AC31D5" w:rsidRDefault="00AC31D5">
            <w:pPr>
              <w:spacing w:before="80" w:after="80"/>
              <w:jc w:val="center"/>
              <w:rPr>
                <w:rFonts w:hint="cs"/>
                <w:sz w:val="24"/>
                <w:szCs w:val="24"/>
              </w:rPr>
            </w:pPr>
            <w:r>
              <w:rPr>
                <w:rFonts w:hint="cs"/>
                <w:sz w:val="24"/>
                <w:szCs w:val="24"/>
                <w:rtl/>
              </w:rPr>
              <w:t>العدد</w:t>
            </w:r>
          </w:p>
        </w:tc>
        <w:tc>
          <w:tcPr>
            <w:tcW w:w="1196" w:type="dxa"/>
          </w:tcPr>
          <w:p w:rsidR="00AC31D5" w:rsidRDefault="00AC31D5">
            <w:pPr>
              <w:spacing w:before="80" w:after="80"/>
              <w:jc w:val="center"/>
              <w:rPr>
                <w:rFonts w:hint="cs"/>
                <w:sz w:val="24"/>
                <w:szCs w:val="24"/>
              </w:rPr>
            </w:pPr>
            <w:r>
              <w:rPr>
                <w:rFonts w:hint="cs"/>
                <w:sz w:val="24"/>
                <w:szCs w:val="24"/>
                <w:rtl/>
              </w:rPr>
              <w:t>النسبة المئوية</w:t>
            </w:r>
          </w:p>
        </w:tc>
        <w:tc>
          <w:tcPr>
            <w:tcW w:w="1197" w:type="dxa"/>
          </w:tcPr>
          <w:p w:rsidR="00AC31D5" w:rsidRDefault="00AC31D5">
            <w:pPr>
              <w:spacing w:before="80" w:after="80"/>
              <w:jc w:val="center"/>
              <w:rPr>
                <w:rFonts w:hint="cs"/>
                <w:sz w:val="24"/>
                <w:szCs w:val="24"/>
              </w:rPr>
            </w:pPr>
            <w:r>
              <w:rPr>
                <w:rFonts w:hint="cs"/>
                <w:sz w:val="24"/>
                <w:szCs w:val="24"/>
                <w:rtl/>
              </w:rPr>
              <w:t>العدد</w:t>
            </w:r>
          </w:p>
        </w:tc>
        <w:tc>
          <w:tcPr>
            <w:tcW w:w="1088" w:type="dxa"/>
          </w:tcPr>
          <w:p w:rsidR="00AC31D5" w:rsidRDefault="00AC31D5">
            <w:pPr>
              <w:spacing w:before="80" w:after="80"/>
              <w:jc w:val="center"/>
              <w:rPr>
                <w:rFonts w:hint="cs"/>
                <w:sz w:val="24"/>
                <w:szCs w:val="24"/>
              </w:rPr>
            </w:pPr>
            <w:r>
              <w:rPr>
                <w:rFonts w:hint="cs"/>
                <w:sz w:val="24"/>
                <w:szCs w:val="24"/>
                <w:rtl/>
              </w:rPr>
              <w:t>النسبة المئوية</w:t>
            </w:r>
          </w:p>
        </w:tc>
      </w:tr>
      <w:tr w:rsidR="00AC31D5" w:rsidTr="00AC31D5">
        <w:tblPrEx>
          <w:tblCellMar>
            <w:top w:w="0" w:type="dxa"/>
            <w:bottom w:w="0" w:type="dxa"/>
          </w:tblCellMar>
        </w:tblPrEx>
        <w:trPr>
          <w:cantSplit/>
        </w:trPr>
        <w:tc>
          <w:tcPr>
            <w:tcW w:w="2290" w:type="dxa"/>
          </w:tcPr>
          <w:p w:rsidR="00AC31D5" w:rsidRDefault="00AC31D5">
            <w:pPr>
              <w:spacing w:before="80" w:after="80"/>
              <w:jc w:val="both"/>
              <w:rPr>
                <w:rFonts w:hint="cs"/>
                <w:sz w:val="24"/>
                <w:szCs w:val="24"/>
                <w:rtl/>
              </w:rPr>
            </w:pPr>
            <w:r>
              <w:rPr>
                <w:rFonts w:hint="cs"/>
                <w:sz w:val="24"/>
                <w:szCs w:val="24"/>
                <w:rtl/>
              </w:rPr>
              <w:t>المجموع</w:t>
            </w:r>
          </w:p>
        </w:tc>
        <w:tc>
          <w:tcPr>
            <w:tcW w:w="1310" w:type="dxa"/>
          </w:tcPr>
          <w:p w:rsidR="00AC31D5" w:rsidRDefault="00AC31D5">
            <w:pPr>
              <w:spacing w:before="80" w:after="80"/>
              <w:jc w:val="center"/>
              <w:rPr>
                <w:rFonts w:hint="cs"/>
                <w:sz w:val="24"/>
                <w:szCs w:val="24"/>
                <w:rtl/>
              </w:rPr>
            </w:pPr>
            <w:r>
              <w:rPr>
                <w:rFonts w:hint="cs"/>
                <w:sz w:val="24"/>
                <w:szCs w:val="24"/>
                <w:rtl/>
              </w:rPr>
              <w:t>063 458 2</w:t>
            </w:r>
          </w:p>
        </w:tc>
        <w:tc>
          <w:tcPr>
            <w:tcW w:w="1082" w:type="dxa"/>
          </w:tcPr>
          <w:p w:rsidR="00AC31D5" w:rsidRDefault="00AC31D5">
            <w:pPr>
              <w:spacing w:before="80" w:after="80"/>
              <w:ind w:firstLine="72"/>
              <w:jc w:val="both"/>
              <w:rPr>
                <w:rFonts w:hint="cs"/>
                <w:sz w:val="24"/>
                <w:szCs w:val="24"/>
                <w:rtl/>
              </w:rPr>
            </w:pPr>
            <w:r>
              <w:rPr>
                <w:rFonts w:hint="cs"/>
                <w:sz w:val="24"/>
                <w:szCs w:val="24"/>
                <w:rtl/>
              </w:rPr>
              <w:t xml:space="preserve">    100</w:t>
            </w:r>
          </w:p>
        </w:tc>
        <w:tc>
          <w:tcPr>
            <w:tcW w:w="1197" w:type="dxa"/>
          </w:tcPr>
          <w:p w:rsidR="00AC31D5" w:rsidRDefault="00AC31D5">
            <w:pPr>
              <w:spacing w:before="80" w:after="80"/>
              <w:jc w:val="both"/>
              <w:rPr>
                <w:rFonts w:hint="cs"/>
                <w:sz w:val="24"/>
                <w:szCs w:val="24"/>
                <w:rtl/>
              </w:rPr>
            </w:pPr>
            <w:r>
              <w:rPr>
                <w:rFonts w:hint="cs"/>
                <w:sz w:val="24"/>
                <w:szCs w:val="24"/>
                <w:rtl/>
              </w:rPr>
              <w:t>979 259 1</w:t>
            </w:r>
          </w:p>
        </w:tc>
        <w:tc>
          <w:tcPr>
            <w:tcW w:w="1196" w:type="dxa"/>
          </w:tcPr>
          <w:p w:rsidR="00AC31D5" w:rsidRDefault="00AC31D5">
            <w:pPr>
              <w:spacing w:before="80" w:after="80"/>
              <w:ind w:firstLine="133"/>
              <w:jc w:val="both"/>
              <w:rPr>
                <w:rFonts w:hint="cs"/>
                <w:sz w:val="24"/>
                <w:szCs w:val="24"/>
                <w:rtl/>
              </w:rPr>
            </w:pPr>
            <w:r>
              <w:rPr>
                <w:rFonts w:hint="cs"/>
                <w:sz w:val="24"/>
                <w:szCs w:val="24"/>
                <w:rtl/>
              </w:rPr>
              <w:t>51.3</w:t>
            </w:r>
          </w:p>
        </w:tc>
        <w:tc>
          <w:tcPr>
            <w:tcW w:w="1197" w:type="dxa"/>
          </w:tcPr>
          <w:p w:rsidR="00AC31D5" w:rsidRDefault="00AC31D5">
            <w:pPr>
              <w:spacing w:before="80" w:after="80"/>
              <w:ind w:firstLine="17"/>
              <w:jc w:val="both"/>
              <w:rPr>
                <w:rFonts w:hint="cs"/>
                <w:sz w:val="24"/>
                <w:szCs w:val="24"/>
                <w:rtl/>
              </w:rPr>
            </w:pPr>
            <w:r>
              <w:rPr>
                <w:rFonts w:hint="cs"/>
                <w:sz w:val="24"/>
                <w:szCs w:val="24"/>
                <w:rtl/>
              </w:rPr>
              <w:t>084 198 1</w:t>
            </w:r>
          </w:p>
        </w:tc>
        <w:tc>
          <w:tcPr>
            <w:tcW w:w="1088" w:type="dxa"/>
          </w:tcPr>
          <w:p w:rsidR="00AC31D5" w:rsidRDefault="00AC31D5">
            <w:pPr>
              <w:spacing w:before="80" w:after="80"/>
              <w:ind w:firstLine="80"/>
              <w:jc w:val="both"/>
              <w:rPr>
                <w:rFonts w:hint="cs"/>
                <w:sz w:val="24"/>
                <w:szCs w:val="24"/>
                <w:rtl/>
              </w:rPr>
            </w:pPr>
            <w:r>
              <w:rPr>
                <w:rFonts w:hint="cs"/>
                <w:sz w:val="24"/>
                <w:szCs w:val="24"/>
                <w:rtl/>
              </w:rPr>
              <w:t>48.7</w:t>
            </w:r>
          </w:p>
        </w:tc>
      </w:tr>
      <w:tr w:rsidR="00AC31D5" w:rsidTr="00AC31D5">
        <w:tblPrEx>
          <w:tblCellMar>
            <w:top w:w="0" w:type="dxa"/>
            <w:bottom w:w="0" w:type="dxa"/>
          </w:tblCellMar>
        </w:tblPrEx>
        <w:trPr>
          <w:cantSplit/>
        </w:trPr>
        <w:tc>
          <w:tcPr>
            <w:tcW w:w="2290" w:type="dxa"/>
            <w:tcBorders>
              <w:bottom w:val="nil"/>
            </w:tcBorders>
          </w:tcPr>
          <w:p w:rsidR="00AC31D5" w:rsidRDefault="00AC31D5">
            <w:pPr>
              <w:spacing w:before="80" w:after="80"/>
              <w:jc w:val="both"/>
              <w:rPr>
                <w:rFonts w:hint="cs"/>
                <w:spacing w:val="-4"/>
                <w:sz w:val="24"/>
                <w:szCs w:val="24"/>
                <w:rtl/>
              </w:rPr>
            </w:pPr>
            <w:r>
              <w:rPr>
                <w:rFonts w:hint="cs"/>
                <w:spacing w:val="-4"/>
                <w:sz w:val="24"/>
                <w:szCs w:val="24"/>
                <w:rtl/>
              </w:rPr>
              <w:t>القادرون على القراءة والكتابة (البالغون العاشرة فما فوق)</w:t>
            </w:r>
          </w:p>
        </w:tc>
        <w:tc>
          <w:tcPr>
            <w:tcW w:w="1310" w:type="dxa"/>
            <w:tcBorders>
              <w:bottom w:val="nil"/>
            </w:tcBorders>
          </w:tcPr>
          <w:p w:rsidR="00AC31D5" w:rsidRDefault="00AC31D5">
            <w:pPr>
              <w:spacing w:before="80" w:after="80"/>
              <w:jc w:val="center"/>
              <w:rPr>
                <w:rFonts w:hint="cs"/>
                <w:sz w:val="24"/>
                <w:szCs w:val="24"/>
                <w:rtl/>
              </w:rPr>
            </w:pPr>
            <w:r>
              <w:rPr>
                <w:rFonts w:hint="cs"/>
                <w:sz w:val="24"/>
                <w:szCs w:val="24"/>
                <w:rtl/>
              </w:rPr>
              <w:t>667 257 2</w:t>
            </w:r>
          </w:p>
        </w:tc>
        <w:tc>
          <w:tcPr>
            <w:tcW w:w="1082" w:type="dxa"/>
            <w:tcBorders>
              <w:bottom w:val="nil"/>
            </w:tcBorders>
          </w:tcPr>
          <w:p w:rsidR="00AC31D5" w:rsidRDefault="00AC31D5">
            <w:pPr>
              <w:spacing w:before="80" w:after="80"/>
              <w:ind w:firstLine="72"/>
              <w:jc w:val="both"/>
              <w:rPr>
                <w:rFonts w:hint="cs"/>
                <w:sz w:val="24"/>
                <w:szCs w:val="24"/>
                <w:rtl/>
              </w:rPr>
            </w:pPr>
            <w:r>
              <w:rPr>
                <w:rFonts w:hint="cs"/>
                <w:sz w:val="24"/>
                <w:szCs w:val="24"/>
                <w:rtl/>
              </w:rPr>
              <w:t>91.84</w:t>
            </w:r>
          </w:p>
        </w:tc>
        <w:tc>
          <w:tcPr>
            <w:tcW w:w="1197" w:type="dxa"/>
            <w:tcBorders>
              <w:bottom w:val="nil"/>
            </w:tcBorders>
          </w:tcPr>
          <w:p w:rsidR="00AC31D5" w:rsidRDefault="00AC31D5">
            <w:pPr>
              <w:spacing w:before="80" w:after="80"/>
              <w:jc w:val="both"/>
              <w:rPr>
                <w:rFonts w:hint="cs"/>
                <w:sz w:val="24"/>
                <w:szCs w:val="24"/>
                <w:rtl/>
              </w:rPr>
            </w:pPr>
            <w:r>
              <w:rPr>
                <w:rFonts w:hint="cs"/>
                <w:sz w:val="24"/>
                <w:szCs w:val="24"/>
                <w:rtl/>
              </w:rPr>
              <w:t>378 203 1</w:t>
            </w:r>
          </w:p>
        </w:tc>
        <w:tc>
          <w:tcPr>
            <w:tcW w:w="1196" w:type="dxa"/>
            <w:tcBorders>
              <w:bottom w:val="nil"/>
            </w:tcBorders>
          </w:tcPr>
          <w:p w:rsidR="00AC31D5" w:rsidRDefault="00AC31D5">
            <w:pPr>
              <w:spacing w:before="80" w:after="80"/>
              <w:ind w:firstLine="133"/>
              <w:jc w:val="both"/>
              <w:rPr>
                <w:rFonts w:hint="cs"/>
                <w:sz w:val="24"/>
                <w:szCs w:val="24"/>
                <w:rtl/>
              </w:rPr>
            </w:pPr>
            <w:r>
              <w:rPr>
                <w:rFonts w:hint="cs"/>
                <w:sz w:val="24"/>
                <w:szCs w:val="24"/>
                <w:rtl/>
              </w:rPr>
              <w:t>53.3</w:t>
            </w:r>
          </w:p>
        </w:tc>
        <w:tc>
          <w:tcPr>
            <w:tcW w:w="1197" w:type="dxa"/>
            <w:tcBorders>
              <w:bottom w:val="nil"/>
            </w:tcBorders>
          </w:tcPr>
          <w:p w:rsidR="00AC31D5" w:rsidRDefault="00AC31D5">
            <w:pPr>
              <w:spacing w:before="80" w:after="80"/>
              <w:ind w:firstLine="17"/>
              <w:jc w:val="both"/>
              <w:rPr>
                <w:rFonts w:hint="cs"/>
                <w:sz w:val="24"/>
                <w:szCs w:val="24"/>
                <w:rtl/>
              </w:rPr>
            </w:pPr>
            <w:r>
              <w:rPr>
                <w:rFonts w:hint="cs"/>
                <w:sz w:val="24"/>
                <w:szCs w:val="24"/>
                <w:rtl/>
              </w:rPr>
              <w:t>289 054 1</w:t>
            </w:r>
          </w:p>
        </w:tc>
        <w:tc>
          <w:tcPr>
            <w:tcW w:w="1088" w:type="dxa"/>
            <w:tcBorders>
              <w:bottom w:val="nil"/>
            </w:tcBorders>
          </w:tcPr>
          <w:p w:rsidR="00AC31D5" w:rsidRDefault="00AC31D5">
            <w:pPr>
              <w:spacing w:before="80" w:after="80"/>
              <w:ind w:firstLine="80"/>
              <w:jc w:val="both"/>
              <w:rPr>
                <w:rFonts w:hint="cs"/>
                <w:sz w:val="24"/>
                <w:szCs w:val="24"/>
                <w:rtl/>
              </w:rPr>
            </w:pPr>
            <w:r>
              <w:rPr>
                <w:rFonts w:hint="cs"/>
                <w:sz w:val="24"/>
                <w:szCs w:val="24"/>
                <w:rtl/>
              </w:rPr>
              <w:t>46.7</w:t>
            </w:r>
          </w:p>
        </w:tc>
      </w:tr>
      <w:tr w:rsidR="00AC31D5" w:rsidTr="00AC31D5">
        <w:tblPrEx>
          <w:tblCellMar>
            <w:top w:w="0" w:type="dxa"/>
            <w:bottom w:w="0" w:type="dxa"/>
          </w:tblCellMar>
        </w:tblPrEx>
        <w:trPr>
          <w:cantSplit/>
        </w:trPr>
        <w:tc>
          <w:tcPr>
            <w:tcW w:w="2290" w:type="dxa"/>
            <w:tcBorders>
              <w:top w:val="nil"/>
              <w:bottom w:val="nil"/>
            </w:tcBorders>
          </w:tcPr>
          <w:p w:rsidR="00AC31D5" w:rsidRDefault="00AC31D5">
            <w:pPr>
              <w:spacing w:before="80" w:after="80"/>
              <w:jc w:val="both"/>
              <w:rPr>
                <w:rFonts w:hint="cs"/>
                <w:sz w:val="24"/>
                <w:szCs w:val="24"/>
                <w:rtl/>
              </w:rPr>
            </w:pPr>
            <w:r>
              <w:rPr>
                <w:rFonts w:hint="cs"/>
                <w:sz w:val="24"/>
                <w:szCs w:val="24"/>
                <w:rtl/>
              </w:rPr>
              <w:t>الأميون</w:t>
            </w:r>
          </w:p>
        </w:tc>
        <w:tc>
          <w:tcPr>
            <w:tcW w:w="1310" w:type="dxa"/>
            <w:tcBorders>
              <w:top w:val="nil"/>
              <w:bottom w:val="nil"/>
            </w:tcBorders>
          </w:tcPr>
          <w:p w:rsidR="00AC31D5" w:rsidRDefault="00AC31D5">
            <w:pPr>
              <w:spacing w:before="80" w:after="80"/>
              <w:ind w:firstLine="122"/>
              <w:jc w:val="both"/>
              <w:rPr>
                <w:rFonts w:hint="cs"/>
                <w:sz w:val="24"/>
                <w:szCs w:val="24"/>
                <w:rtl/>
              </w:rPr>
            </w:pPr>
            <w:r>
              <w:rPr>
                <w:rFonts w:hint="cs"/>
                <w:sz w:val="24"/>
                <w:szCs w:val="24"/>
                <w:rtl/>
              </w:rPr>
              <w:t>873 194</w:t>
            </w:r>
          </w:p>
        </w:tc>
        <w:tc>
          <w:tcPr>
            <w:tcW w:w="1082" w:type="dxa"/>
            <w:tcBorders>
              <w:top w:val="nil"/>
              <w:bottom w:val="nil"/>
            </w:tcBorders>
          </w:tcPr>
          <w:p w:rsidR="00AC31D5" w:rsidRDefault="00AC31D5">
            <w:pPr>
              <w:spacing w:before="80" w:after="80"/>
              <w:ind w:firstLine="72"/>
              <w:jc w:val="both"/>
              <w:rPr>
                <w:rFonts w:hint="cs"/>
                <w:sz w:val="24"/>
                <w:szCs w:val="24"/>
                <w:rtl/>
              </w:rPr>
            </w:pPr>
            <w:r>
              <w:rPr>
                <w:rFonts w:hint="cs"/>
                <w:sz w:val="24"/>
                <w:szCs w:val="24"/>
                <w:rtl/>
              </w:rPr>
              <w:t>7.93</w:t>
            </w:r>
          </w:p>
        </w:tc>
        <w:tc>
          <w:tcPr>
            <w:tcW w:w="1197" w:type="dxa"/>
            <w:tcBorders>
              <w:top w:val="nil"/>
              <w:bottom w:val="nil"/>
            </w:tcBorders>
          </w:tcPr>
          <w:p w:rsidR="00AC31D5" w:rsidRDefault="00AC31D5">
            <w:pPr>
              <w:spacing w:before="80" w:after="80"/>
              <w:jc w:val="both"/>
              <w:rPr>
                <w:rFonts w:hint="cs"/>
                <w:sz w:val="24"/>
                <w:szCs w:val="24"/>
                <w:rtl/>
              </w:rPr>
            </w:pPr>
            <w:r>
              <w:rPr>
                <w:rFonts w:hint="cs"/>
                <w:sz w:val="24"/>
                <w:szCs w:val="24"/>
                <w:rtl/>
              </w:rPr>
              <w:t>850 53</w:t>
            </w:r>
          </w:p>
        </w:tc>
        <w:tc>
          <w:tcPr>
            <w:tcW w:w="1196" w:type="dxa"/>
            <w:tcBorders>
              <w:top w:val="nil"/>
              <w:bottom w:val="nil"/>
            </w:tcBorders>
          </w:tcPr>
          <w:p w:rsidR="00AC31D5" w:rsidRDefault="00AC31D5">
            <w:pPr>
              <w:spacing w:before="80" w:after="80"/>
              <w:ind w:firstLine="133"/>
              <w:jc w:val="both"/>
              <w:rPr>
                <w:rFonts w:hint="cs"/>
                <w:sz w:val="24"/>
                <w:szCs w:val="24"/>
                <w:rtl/>
              </w:rPr>
            </w:pPr>
            <w:r>
              <w:rPr>
                <w:rFonts w:hint="cs"/>
                <w:sz w:val="24"/>
                <w:szCs w:val="24"/>
                <w:rtl/>
              </w:rPr>
              <w:t>27.63</w:t>
            </w:r>
          </w:p>
        </w:tc>
        <w:tc>
          <w:tcPr>
            <w:tcW w:w="1197" w:type="dxa"/>
            <w:tcBorders>
              <w:top w:val="nil"/>
              <w:bottom w:val="nil"/>
            </w:tcBorders>
          </w:tcPr>
          <w:p w:rsidR="00AC31D5" w:rsidRDefault="00AC31D5">
            <w:pPr>
              <w:spacing w:before="80" w:after="80"/>
              <w:ind w:firstLine="17"/>
              <w:jc w:val="both"/>
              <w:rPr>
                <w:rFonts w:hint="cs"/>
                <w:sz w:val="24"/>
                <w:szCs w:val="24"/>
                <w:rtl/>
              </w:rPr>
            </w:pPr>
            <w:r>
              <w:rPr>
                <w:rFonts w:hint="cs"/>
                <w:sz w:val="24"/>
                <w:szCs w:val="24"/>
                <w:rtl/>
              </w:rPr>
              <w:t>023 141</w:t>
            </w:r>
          </w:p>
        </w:tc>
        <w:tc>
          <w:tcPr>
            <w:tcW w:w="1088" w:type="dxa"/>
            <w:tcBorders>
              <w:top w:val="nil"/>
              <w:bottom w:val="nil"/>
            </w:tcBorders>
          </w:tcPr>
          <w:p w:rsidR="00AC31D5" w:rsidRDefault="00AC31D5">
            <w:pPr>
              <w:spacing w:before="80" w:after="80"/>
              <w:ind w:firstLine="52"/>
              <w:jc w:val="both"/>
              <w:rPr>
                <w:rFonts w:hint="cs"/>
                <w:sz w:val="24"/>
                <w:szCs w:val="24"/>
                <w:rtl/>
              </w:rPr>
            </w:pPr>
            <w:r>
              <w:rPr>
                <w:rFonts w:hint="cs"/>
                <w:sz w:val="24"/>
                <w:szCs w:val="24"/>
                <w:rtl/>
              </w:rPr>
              <w:t>72.37</w:t>
            </w:r>
          </w:p>
        </w:tc>
      </w:tr>
      <w:tr w:rsidR="00AC31D5" w:rsidTr="00AC31D5">
        <w:tblPrEx>
          <w:tblCellMar>
            <w:top w:w="0" w:type="dxa"/>
            <w:bottom w:w="0" w:type="dxa"/>
          </w:tblCellMar>
        </w:tblPrEx>
        <w:trPr>
          <w:cantSplit/>
        </w:trPr>
        <w:tc>
          <w:tcPr>
            <w:tcW w:w="2290" w:type="dxa"/>
            <w:tcBorders>
              <w:top w:val="nil"/>
              <w:bottom w:val="nil"/>
            </w:tcBorders>
          </w:tcPr>
          <w:p w:rsidR="00AC31D5" w:rsidRDefault="00AC31D5">
            <w:pPr>
              <w:spacing w:before="80" w:after="80"/>
              <w:jc w:val="both"/>
              <w:rPr>
                <w:rFonts w:hint="cs"/>
                <w:sz w:val="24"/>
                <w:szCs w:val="24"/>
                <w:rtl/>
              </w:rPr>
            </w:pPr>
            <w:r>
              <w:rPr>
                <w:rFonts w:hint="cs"/>
                <w:sz w:val="24"/>
                <w:szCs w:val="24"/>
                <w:rtl/>
              </w:rPr>
              <w:t>غير القادرين</w:t>
            </w:r>
          </w:p>
        </w:tc>
        <w:tc>
          <w:tcPr>
            <w:tcW w:w="1310" w:type="dxa"/>
            <w:tcBorders>
              <w:top w:val="nil"/>
              <w:bottom w:val="nil"/>
            </w:tcBorders>
          </w:tcPr>
          <w:p w:rsidR="00AC31D5" w:rsidRDefault="00AC31D5">
            <w:pPr>
              <w:spacing w:before="80" w:after="80"/>
              <w:ind w:firstLine="122"/>
              <w:jc w:val="both"/>
              <w:rPr>
                <w:rFonts w:hint="cs"/>
                <w:sz w:val="24"/>
                <w:szCs w:val="24"/>
                <w:rtl/>
              </w:rPr>
            </w:pPr>
            <w:r>
              <w:rPr>
                <w:rFonts w:hint="cs"/>
                <w:sz w:val="24"/>
                <w:szCs w:val="24"/>
                <w:rtl/>
              </w:rPr>
              <w:t>822 3</w:t>
            </w:r>
          </w:p>
        </w:tc>
        <w:tc>
          <w:tcPr>
            <w:tcW w:w="1082" w:type="dxa"/>
            <w:tcBorders>
              <w:top w:val="nil"/>
              <w:bottom w:val="nil"/>
            </w:tcBorders>
          </w:tcPr>
          <w:p w:rsidR="00AC31D5" w:rsidRDefault="00AC31D5">
            <w:pPr>
              <w:spacing w:before="80" w:after="80"/>
              <w:ind w:firstLine="72"/>
              <w:jc w:val="both"/>
              <w:rPr>
                <w:rFonts w:hint="cs"/>
                <w:sz w:val="24"/>
                <w:szCs w:val="24"/>
                <w:rtl/>
              </w:rPr>
            </w:pPr>
            <w:r>
              <w:rPr>
                <w:rFonts w:hint="cs"/>
                <w:sz w:val="24"/>
                <w:szCs w:val="24"/>
                <w:rtl/>
              </w:rPr>
              <w:t>0.16</w:t>
            </w:r>
          </w:p>
        </w:tc>
        <w:tc>
          <w:tcPr>
            <w:tcW w:w="1197" w:type="dxa"/>
            <w:tcBorders>
              <w:top w:val="nil"/>
              <w:bottom w:val="nil"/>
            </w:tcBorders>
          </w:tcPr>
          <w:p w:rsidR="00AC31D5" w:rsidRDefault="00AC31D5">
            <w:pPr>
              <w:spacing w:before="80" w:after="80"/>
              <w:jc w:val="both"/>
              <w:rPr>
                <w:rFonts w:hint="cs"/>
                <w:sz w:val="24"/>
                <w:szCs w:val="24"/>
                <w:rtl/>
              </w:rPr>
            </w:pPr>
            <w:r>
              <w:rPr>
                <w:rFonts w:hint="cs"/>
                <w:sz w:val="24"/>
                <w:szCs w:val="24"/>
                <w:rtl/>
              </w:rPr>
              <w:t>047 2</w:t>
            </w:r>
          </w:p>
        </w:tc>
        <w:tc>
          <w:tcPr>
            <w:tcW w:w="1196" w:type="dxa"/>
            <w:tcBorders>
              <w:top w:val="nil"/>
              <w:bottom w:val="nil"/>
            </w:tcBorders>
          </w:tcPr>
          <w:p w:rsidR="00AC31D5" w:rsidRDefault="00AC31D5">
            <w:pPr>
              <w:spacing w:before="80" w:after="80"/>
              <w:ind w:firstLine="133"/>
              <w:jc w:val="both"/>
              <w:rPr>
                <w:rFonts w:hint="cs"/>
                <w:sz w:val="24"/>
                <w:szCs w:val="24"/>
                <w:rtl/>
              </w:rPr>
            </w:pPr>
            <w:r>
              <w:rPr>
                <w:rFonts w:hint="cs"/>
                <w:sz w:val="24"/>
                <w:szCs w:val="24"/>
                <w:rtl/>
              </w:rPr>
              <w:t xml:space="preserve">     53</w:t>
            </w:r>
          </w:p>
        </w:tc>
        <w:tc>
          <w:tcPr>
            <w:tcW w:w="1197" w:type="dxa"/>
            <w:tcBorders>
              <w:top w:val="nil"/>
              <w:bottom w:val="nil"/>
            </w:tcBorders>
          </w:tcPr>
          <w:p w:rsidR="00AC31D5" w:rsidRDefault="00AC31D5">
            <w:pPr>
              <w:spacing w:before="80" w:after="80"/>
              <w:ind w:firstLine="17"/>
              <w:jc w:val="both"/>
              <w:rPr>
                <w:rFonts w:hint="cs"/>
                <w:sz w:val="24"/>
                <w:szCs w:val="24"/>
                <w:rtl/>
              </w:rPr>
            </w:pPr>
            <w:r>
              <w:rPr>
                <w:rFonts w:hint="cs"/>
                <w:sz w:val="24"/>
                <w:szCs w:val="24"/>
                <w:rtl/>
              </w:rPr>
              <w:t>835 1</w:t>
            </w:r>
          </w:p>
        </w:tc>
        <w:tc>
          <w:tcPr>
            <w:tcW w:w="1088" w:type="dxa"/>
            <w:tcBorders>
              <w:top w:val="nil"/>
              <w:bottom w:val="nil"/>
            </w:tcBorders>
          </w:tcPr>
          <w:p w:rsidR="00AC31D5" w:rsidRDefault="00AC31D5">
            <w:pPr>
              <w:spacing w:before="80" w:after="80"/>
              <w:ind w:firstLine="52"/>
              <w:jc w:val="both"/>
              <w:rPr>
                <w:rFonts w:hint="cs"/>
                <w:sz w:val="24"/>
                <w:szCs w:val="24"/>
                <w:rtl/>
              </w:rPr>
            </w:pPr>
            <w:r>
              <w:rPr>
                <w:rFonts w:hint="cs"/>
                <w:sz w:val="24"/>
                <w:szCs w:val="24"/>
                <w:rtl/>
              </w:rPr>
              <w:t xml:space="preserve">     47</w:t>
            </w:r>
          </w:p>
        </w:tc>
      </w:tr>
      <w:tr w:rsidR="00AC31D5" w:rsidTr="00AC31D5">
        <w:tblPrEx>
          <w:tblCellMar>
            <w:top w:w="0" w:type="dxa"/>
            <w:bottom w:w="0" w:type="dxa"/>
          </w:tblCellMar>
        </w:tblPrEx>
        <w:trPr>
          <w:cantSplit/>
        </w:trPr>
        <w:tc>
          <w:tcPr>
            <w:tcW w:w="2290" w:type="dxa"/>
            <w:tcBorders>
              <w:top w:val="nil"/>
              <w:bottom w:val="single" w:sz="4" w:space="0" w:color="auto"/>
            </w:tcBorders>
          </w:tcPr>
          <w:p w:rsidR="00AC31D5" w:rsidRDefault="00AC31D5">
            <w:pPr>
              <w:spacing w:before="80" w:after="80"/>
              <w:jc w:val="both"/>
              <w:rPr>
                <w:rFonts w:hint="cs"/>
                <w:sz w:val="24"/>
                <w:szCs w:val="24"/>
                <w:rtl/>
              </w:rPr>
            </w:pPr>
            <w:r>
              <w:rPr>
                <w:rFonts w:hint="cs"/>
                <w:sz w:val="24"/>
                <w:szCs w:val="24"/>
                <w:rtl/>
              </w:rPr>
              <w:t>غير المحددين</w:t>
            </w:r>
          </w:p>
        </w:tc>
        <w:tc>
          <w:tcPr>
            <w:tcW w:w="1310" w:type="dxa"/>
            <w:tcBorders>
              <w:top w:val="nil"/>
              <w:bottom w:val="single" w:sz="4" w:space="0" w:color="auto"/>
            </w:tcBorders>
          </w:tcPr>
          <w:p w:rsidR="00AC31D5" w:rsidRDefault="00AC31D5">
            <w:pPr>
              <w:spacing w:before="80" w:after="80"/>
              <w:ind w:firstLine="122"/>
              <w:jc w:val="both"/>
              <w:rPr>
                <w:rFonts w:hint="cs"/>
                <w:sz w:val="24"/>
                <w:szCs w:val="24"/>
                <w:rtl/>
              </w:rPr>
            </w:pPr>
            <w:r>
              <w:rPr>
                <w:rFonts w:hint="cs"/>
                <w:sz w:val="24"/>
                <w:szCs w:val="24"/>
                <w:rtl/>
              </w:rPr>
              <w:t>641 1</w:t>
            </w:r>
          </w:p>
        </w:tc>
        <w:tc>
          <w:tcPr>
            <w:tcW w:w="1082" w:type="dxa"/>
            <w:tcBorders>
              <w:top w:val="nil"/>
              <w:bottom w:val="single" w:sz="4" w:space="0" w:color="auto"/>
            </w:tcBorders>
          </w:tcPr>
          <w:p w:rsidR="00AC31D5" w:rsidRDefault="00AC31D5">
            <w:pPr>
              <w:spacing w:before="80" w:after="80"/>
              <w:ind w:firstLine="72"/>
              <w:jc w:val="both"/>
              <w:rPr>
                <w:rFonts w:hint="cs"/>
                <w:sz w:val="24"/>
                <w:szCs w:val="24"/>
                <w:rtl/>
              </w:rPr>
            </w:pPr>
            <w:r>
              <w:rPr>
                <w:rFonts w:hint="cs"/>
                <w:sz w:val="24"/>
                <w:szCs w:val="24"/>
                <w:rtl/>
              </w:rPr>
              <w:t>0.07</w:t>
            </w:r>
          </w:p>
        </w:tc>
        <w:tc>
          <w:tcPr>
            <w:tcW w:w="1197" w:type="dxa"/>
            <w:tcBorders>
              <w:top w:val="nil"/>
              <w:bottom w:val="single" w:sz="4" w:space="0" w:color="auto"/>
            </w:tcBorders>
          </w:tcPr>
          <w:p w:rsidR="00AC31D5" w:rsidRDefault="00AC31D5">
            <w:pPr>
              <w:spacing w:before="80" w:after="80"/>
              <w:jc w:val="both"/>
              <w:rPr>
                <w:rFonts w:hint="cs"/>
                <w:sz w:val="24"/>
                <w:szCs w:val="24"/>
                <w:rtl/>
              </w:rPr>
            </w:pPr>
            <w:r>
              <w:rPr>
                <w:rFonts w:hint="cs"/>
                <w:sz w:val="24"/>
                <w:szCs w:val="24"/>
                <w:rtl/>
              </w:rPr>
              <w:t>704</w:t>
            </w:r>
          </w:p>
        </w:tc>
        <w:tc>
          <w:tcPr>
            <w:tcW w:w="1196" w:type="dxa"/>
            <w:tcBorders>
              <w:top w:val="nil"/>
              <w:bottom w:val="single" w:sz="4" w:space="0" w:color="auto"/>
            </w:tcBorders>
          </w:tcPr>
          <w:p w:rsidR="00AC31D5" w:rsidRDefault="00AC31D5">
            <w:pPr>
              <w:spacing w:before="80" w:after="80"/>
              <w:ind w:firstLine="133"/>
              <w:jc w:val="both"/>
              <w:rPr>
                <w:rFonts w:hint="cs"/>
                <w:sz w:val="24"/>
                <w:szCs w:val="24"/>
                <w:rtl/>
              </w:rPr>
            </w:pPr>
            <w:r>
              <w:rPr>
                <w:rFonts w:hint="cs"/>
                <w:sz w:val="24"/>
                <w:szCs w:val="24"/>
                <w:rtl/>
              </w:rPr>
              <w:t xml:space="preserve">  42.9</w:t>
            </w:r>
          </w:p>
        </w:tc>
        <w:tc>
          <w:tcPr>
            <w:tcW w:w="1197" w:type="dxa"/>
            <w:tcBorders>
              <w:top w:val="nil"/>
              <w:bottom w:val="single" w:sz="4" w:space="0" w:color="auto"/>
            </w:tcBorders>
          </w:tcPr>
          <w:p w:rsidR="00AC31D5" w:rsidRDefault="00AC31D5">
            <w:pPr>
              <w:spacing w:before="80" w:after="80"/>
              <w:ind w:firstLine="17"/>
              <w:jc w:val="both"/>
              <w:rPr>
                <w:rFonts w:hint="cs"/>
                <w:sz w:val="24"/>
                <w:szCs w:val="24"/>
                <w:rtl/>
              </w:rPr>
            </w:pPr>
            <w:r>
              <w:rPr>
                <w:rFonts w:hint="cs"/>
                <w:sz w:val="24"/>
                <w:szCs w:val="24"/>
                <w:rtl/>
              </w:rPr>
              <w:t>937</w:t>
            </w:r>
          </w:p>
        </w:tc>
        <w:tc>
          <w:tcPr>
            <w:tcW w:w="1088" w:type="dxa"/>
            <w:tcBorders>
              <w:top w:val="nil"/>
              <w:bottom w:val="single" w:sz="4" w:space="0" w:color="auto"/>
            </w:tcBorders>
          </w:tcPr>
          <w:p w:rsidR="00AC31D5" w:rsidRDefault="00AC31D5">
            <w:pPr>
              <w:spacing w:before="80" w:after="80"/>
              <w:ind w:firstLine="52"/>
              <w:jc w:val="both"/>
              <w:rPr>
                <w:rFonts w:hint="cs"/>
                <w:sz w:val="24"/>
                <w:szCs w:val="24"/>
                <w:rtl/>
              </w:rPr>
            </w:pPr>
            <w:r>
              <w:rPr>
                <w:rFonts w:hint="cs"/>
                <w:sz w:val="24"/>
                <w:szCs w:val="24"/>
                <w:rtl/>
              </w:rPr>
              <w:t xml:space="preserve">  57.1</w:t>
            </w:r>
          </w:p>
        </w:tc>
      </w:tr>
    </w:tbl>
    <w:p w:rsidR="00000000" w:rsidRDefault="00AC31D5">
      <w:pPr>
        <w:jc w:val="center"/>
        <w:rPr>
          <w:rFonts w:hint="cs"/>
          <w:b/>
          <w:bCs/>
          <w:rtl/>
        </w:rPr>
      </w:pPr>
      <w:r>
        <w:rPr>
          <w:b/>
          <w:bCs/>
          <w:rtl/>
        </w:rPr>
        <w:br w:type="page"/>
      </w:r>
      <w:r>
        <w:rPr>
          <w:rFonts w:hint="cs"/>
          <w:b/>
          <w:bCs/>
          <w:rtl/>
        </w:rPr>
        <w:t>الجدول 7</w:t>
      </w:r>
    </w:p>
    <w:p w:rsidR="00000000" w:rsidRDefault="00AC31D5">
      <w:pPr>
        <w:jc w:val="center"/>
        <w:rPr>
          <w:rFonts w:hint="cs"/>
          <w:b/>
          <w:bCs/>
          <w:rtl/>
        </w:rPr>
      </w:pPr>
      <w:r>
        <w:rPr>
          <w:rFonts w:hint="cs"/>
          <w:b/>
          <w:bCs/>
          <w:rtl/>
        </w:rPr>
        <w:t>سكان المدن البالغون عشر سنواتٍ فما فوق بحسب نوع الجنس</w:t>
      </w:r>
      <w:r>
        <w:rPr>
          <w:rFonts w:hint="cs"/>
          <w:b/>
          <w:bCs/>
          <w:rtl/>
        </w:rPr>
        <w:t xml:space="preserve"> والقدرة على القراءة والكتابة</w:t>
      </w:r>
    </w:p>
    <w:tbl>
      <w:tblPr>
        <w:bidiVisual/>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3"/>
        <w:gridCol w:w="1747"/>
        <w:gridCol w:w="1443"/>
        <w:gridCol w:w="1595"/>
        <w:gridCol w:w="1595"/>
        <w:gridCol w:w="1487"/>
      </w:tblGrid>
      <w:tr w:rsidR="00AC31D5" w:rsidTr="00AC31D5">
        <w:tblPrEx>
          <w:tblCellMar>
            <w:top w:w="0" w:type="dxa"/>
            <w:bottom w:w="0" w:type="dxa"/>
          </w:tblCellMar>
        </w:tblPrEx>
        <w:tc>
          <w:tcPr>
            <w:tcW w:w="1493" w:type="dxa"/>
          </w:tcPr>
          <w:p w:rsidR="00AC31D5" w:rsidRDefault="00AC31D5">
            <w:pPr>
              <w:spacing w:before="100" w:after="100"/>
              <w:jc w:val="center"/>
              <w:rPr>
                <w:rFonts w:hint="cs"/>
              </w:rPr>
            </w:pPr>
          </w:p>
        </w:tc>
        <w:tc>
          <w:tcPr>
            <w:tcW w:w="1747" w:type="dxa"/>
          </w:tcPr>
          <w:p w:rsidR="00AC31D5" w:rsidRDefault="00AC31D5">
            <w:pPr>
              <w:spacing w:before="100" w:after="100"/>
              <w:jc w:val="center"/>
              <w:rPr>
                <w:rFonts w:hint="cs"/>
                <w:sz w:val="24"/>
                <w:szCs w:val="24"/>
              </w:rPr>
            </w:pPr>
            <w:r>
              <w:rPr>
                <w:rFonts w:hint="cs"/>
                <w:sz w:val="24"/>
                <w:szCs w:val="24"/>
                <w:rtl/>
              </w:rPr>
              <w:t>السكان البالغون عشر سنواتٍ فما فوق</w:t>
            </w:r>
          </w:p>
        </w:tc>
        <w:tc>
          <w:tcPr>
            <w:tcW w:w="1443" w:type="dxa"/>
          </w:tcPr>
          <w:p w:rsidR="00AC31D5" w:rsidRDefault="00AC31D5">
            <w:pPr>
              <w:spacing w:before="100" w:after="100"/>
              <w:jc w:val="center"/>
              <w:rPr>
                <w:rFonts w:hint="cs"/>
                <w:sz w:val="24"/>
                <w:szCs w:val="24"/>
              </w:rPr>
            </w:pPr>
            <w:r>
              <w:rPr>
                <w:rFonts w:hint="cs"/>
                <w:sz w:val="24"/>
                <w:szCs w:val="24"/>
                <w:rtl/>
              </w:rPr>
              <w:t>القادرون على القراءة والكتابة</w:t>
            </w:r>
          </w:p>
        </w:tc>
        <w:tc>
          <w:tcPr>
            <w:tcW w:w="1595" w:type="dxa"/>
          </w:tcPr>
          <w:p w:rsidR="00AC31D5" w:rsidRDefault="00AC31D5">
            <w:pPr>
              <w:spacing w:before="100" w:after="100"/>
              <w:jc w:val="center"/>
              <w:rPr>
                <w:rFonts w:hint="cs"/>
                <w:sz w:val="24"/>
                <w:szCs w:val="24"/>
                <w:rtl/>
              </w:rPr>
            </w:pPr>
          </w:p>
          <w:p w:rsidR="00AC31D5" w:rsidRDefault="00AC31D5">
            <w:pPr>
              <w:spacing w:before="100" w:after="100"/>
              <w:jc w:val="center"/>
              <w:rPr>
                <w:rFonts w:hint="cs"/>
                <w:sz w:val="24"/>
                <w:szCs w:val="24"/>
              </w:rPr>
            </w:pPr>
            <w:r>
              <w:rPr>
                <w:rFonts w:hint="cs"/>
                <w:sz w:val="24"/>
                <w:szCs w:val="24"/>
                <w:rtl/>
              </w:rPr>
              <w:t>الأميون</w:t>
            </w:r>
          </w:p>
        </w:tc>
        <w:tc>
          <w:tcPr>
            <w:tcW w:w="1595" w:type="dxa"/>
          </w:tcPr>
          <w:p w:rsidR="00AC31D5" w:rsidRDefault="00AC31D5">
            <w:pPr>
              <w:spacing w:before="100" w:after="100"/>
              <w:jc w:val="center"/>
              <w:rPr>
                <w:rFonts w:hint="cs"/>
                <w:sz w:val="24"/>
                <w:szCs w:val="24"/>
                <w:rtl/>
              </w:rPr>
            </w:pPr>
          </w:p>
          <w:p w:rsidR="00AC31D5" w:rsidRDefault="00AC31D5">
            <w:pPr>
              <w:spacing w:before="100" w:after="100"/>
              <w:jc w:val="center"/>
              <w:rPr>
                <w:rFonts w:hint="cs"/>
                <w:sz w:val="24"/>
                <w:szCs w:val="24"/>
              </w:rPr>
            </w:pPr>
            <w:r>
              <w:rPr>
                <w:rFonts w:hint="cs"/>
                <w:sz w:val="24"/>
                <w:szCs w:val="24"/>
                <w:rtl/>
              </w:rPr>
              <w:t>غير القادرين</w:t>
            </w:r>
          </w:p>
        </w:tc>
        <w:tc>
          <w:tcPr>
            <w:tcW w:w="1487" w:type="dxa"/>
          </w:tcPr>
          <w:p w:rsidR="00AC31D5" w:rsidRDefault="00AC31D5">
            <w:pPr>
              <w:spacing w:before="100" w:after="100"/>
              <w:jc w:val="center"/>
              <w:rPr>
                <w:rFonts w:hint="cs"/>
                <w:sz w:val="24"/>
                <w:szCs w:val="24"/>
                <w:rtl/>
              </w:rPr>
            </w:pPr>
          </w:p>
          <w:p w:rsidR="00AC31D5" w:rsidRDefault="00AC31D5">
            <w:pPr>
              <w:spacing w:before="100" w:after="100"/>
              <w:jc w:val="center"/>
              <w:rPr>
                <w:rFonts w:hint="cs"/>
                <w:sz w:val="24"/>
                <w:szCs w:val="24"/>
              </w:rPr>
            </w:pPr>
            <w:r>
              <w:rPr>
                <w:rFonts w:hint="cs"/>
                <w:sz w:val="24"/>
                <w:szCs w:val="24"/>
                <w:rtl/>
              </w:rPr>
              <w:t>غير المحددين</w:t>
            </w:r>
          </w:p>
        </w:tc>
      </w:tr>
      <w:tr w:rsidR="00AC31D5" w:rsidTr="00AC31D5">
        <w:tblPrEx>
          <w:tblCellMar>
            <w:top w:w="0" w:type="dxa"/>
            <w:bottom w:w="0" w:type="dxa"/>
          </w:tblCellMar>
        </w:tblPrEx>
        <w:tc>
          <w:tcPr>
            <w:tcW w:w="1493" w:type="dxa"/>
          </w:tcPr>
          <w:p w:rsidR="00AC31D5" w:rsidRDefault="00AC31D5">
            <w:pPr>
              <w:spacing w:before="100" w:after="100"/>
              <w:jc w:val="both"/>
              <w:rPr>
                <w:rFonts w:hint="cs"/>
                <w:sz w:val="24"/>
                <w:szCs w:val="24"/>
              </w:rPr>
            </w:pPr>
            <w:r>
              <w:rPr>
                <w:rFonts w:hint="cs"/>
                <w:sz w:val="24"/>
                <w:szCs w:val="24"/>
                <w:rtl/>
              </w:rPr>
              <w:t>المجموع</w:t>
            </w:r>
          </w:p>
        </w:tc>
        <w:tc>
          <w:tcPr>
            <w:tcW w:w="1747" w:type="dxa"/>
          </w:tcPr>
          <w:p w:rsidR="00AC31D5" w:rsidRDefault="00AC31D5">
            <w:pPr>
              <w:spacing w:before="100" w:after="100"/>
              <w:ind w:firstLine="379"/>
              <w:jc w:val="both"/>
              <w:rPr>
                <w:rFonts w:hint="cs"/>
                <w:sz w:val="24"/>
                <w:szCs w:val="24"/>
                <w:rtl/>
              </w:rPr>
            </w:pPr>
            <w:r>
              <w:rPr>
                <w:rFonts w:hint="cs"/>
                <w:sz w:val="24"/>
                <w:szCs w:val="24"/>
                <w:rtl/>
              </w:rPr>
              <w:t>556 908</w:t>
            </w:r>
          </w:p>
        </w:tc>
        <w:tc>
          <w:tcPr>
            <w:tcW w:w="1443" w:type="dxa"/>
          </w:tcPr>
          <w:p w:rsidR="00AC31D5" w:rsidRDefault="00AC31D5">
            <w:pPr>
              <w:spacing w:before="100" w:after="100"/>
              <w:jc w:val="center"/>
              <w:rPr>
                <w:rFonts w:hint="cs"/>
                <w:sz w:val="24"/>
                <w:szCs w:val="24"/>
                <w:rtl/>
              </w:rPr>
            </w:pPr>
            <w:r>
              <w:rPr>
                <w:rFonts w:hint="cs"/>
                <w:sz w:val="24"/>
                <w:szCs w:val="24"/>
                <w:rtl/>
              </w:rPr>
              <w:t>902 864</w:t>
            </w:r>
          </w:p>
        </w:tc>
        <w:tc>
          <w:tcPr>
            <w:tcW w:w="1595" w:type="dxa"/>
          </w:tcPr>
          <w:p w:rsidR="00AC31D5" w:rsidRDefault="00AC31D5">
            <w:pPr>
              <w:spacing w:before="100" w:after="100"/>
              <w:ind w:firstLine="249"/>
              <w:jc w:val="both"/>
              <w:rPr>
                <w:rFonts w:hint="cs"/>
                <w:sz w:val="24"/>
                <w:szCs w:val="24"/>
                <w:rtl/>
              </w:rPr>
            </w:pPr>
            <w:r>
              <w:rPr>
                <w:rFonts w:hint="cs"/>
                <w:sz w:val="24"/>
                <w:szCs w:val="24"/>
                <w:rtl/>
              </w:rPr>
              <w:t>256 42</w:t>
            </w:r>
          </w:p>
        </w:tc>
        <w:tc>
          <w:tcPr>
            <w:tcW w:w="1595" w:type="dxa"/>
          </w:tcPr>
          <w:p w:rsidR="00AC31D5" w:rsidRDefault="00AC31D5">
            <w:pPr>
              <w:spacing w:before="100" w:after="100"/>
              <w:ind w:firstLine="454"/>
              <w:jc w:val="both"/>
              <w:rPr>
                <w:rFonts w:hint="cs"/>
                <w:sz w:val="24"/>
                <w:szCs w:val="24"/>
                <w:rtl/>
              </w:rPr>
            </w:pPr>
            <w:r>
              <w:rPr>
                <w:rFonts w:hint="cs"/>
                <w:sz w:val="24"/>
                <w:szCs w:val="24"/>
                <w:rtl/>
              </w:rPr>
              <w:t>047 1</w:t>
            </w:r>
          </w:p>
        </w:tc>
        <w:tc>
          <w:tcPr>
            <w:tcW w:w="1487" w:type="dxa"/>
          </w:tcPr>
          <w:p w:rsidR="00AC31D5" w:rsidRDefault="00AC31D5">
            <w:pPr>
              <w:spacing w:before="100" w:after="100"/>
              <w:jc w:val="center"/>
              <w:rPr>
                <w:rFonts w:hint="cs"/>
                <w:sz w:val="24"/>
                <w:szCs w:val="24"/>
                <w:rtl/>
              </w:rPr>
            </w:pPr>
            <w:r>
              <w:rPr>
                <w:rFonts w:hint="cs"/>
                <w:sz w:val="24"/>
                <w:szCs w:val="24"/>
                <w:rtl/>
              </w:rPr>
              <w:t>351</w:t>
            </w:r>
          </w:p>
        </w:tc>
      </w:tr>
      <w:tr w:rsidR="00AC31D5" w:rsidTr="00AC31D5">
        <w:tblPrEx>
          <w:tblCellMar>
            <w:top w:w="0" w:type="dxa"/>
            <w:bottom w:w="0" w:type="dxa"/>
          </w:tblCellMar>
        </w:tblPrEx>
        <w:tc>
          <w:tcPr>
            <w:tcW w:w="1493" w:type="dxa"/>
            <w:tcBorders>
              <w:bottom w:val="nil"/>
            </w:tcBorders>
          </w:tcPr>
          <w:p w:rsidR="00AC31D5" w:rsidRDefault="00AC31D5">
            <w:pPr>
              <w:spacing w:before="100" w:after="100"/>
              <w:ind w:firstLine="72"/>
              <w:jc w:val="both"/>
              <w:rPr>
                <w:rFonts w:hint="cs"/>
                <w:sz w:val="24"/>
                <w:szCs w:val="24"/>
                <w:rtl/>
              </w:rPr>
            </w:pPr>
            <w:r>
              <w:rPr>
                <w:rFonts w:hint="cs"/>
                <w:sz w:val="24"/>
                <w:szCs w:val="24"/>
                <w:rtl/>
              </w:rPr>
              <w:t>الذكور</w:t>
            </w:r>
          </w:p>
        </w:tc>
        <w:tc>
          <w:tcPr>
            <w:tcW w:w="1747" w:type="dxa"/>
            <w:tcBorders>
              <w:bottom w:val="nil"/>
            </w:tcBorders>
          </w:tcPr>
          <w:p w:rsidR="00AC31D5" w:rsidRDefault="00AC31D5">
            <w:pPr>
              <w:spacing w:before="100" w:after="100"/>
              <w:ind w:firstLine="379"/>
              <w:jc w:val="both"/>
              <w:rPr>
                <w:rFonts w:hint="cs"/>
                <w:sz w:val="24"/>
                <w:szCs w:val="24"/>
                <w:rtl/>
              </w:rPr>
            </w:pPr>
            <w:r>
              <w:rPr>
                <w:rFonts w:hint="cs"/>
                <w:sz w:val="24"/>
                <w:szCs w:val="24"/>
                <w:rtl/>
              </w:rPr>
              <w:t>490 457</w:t>
            </w:r>
          </w:p>
        </w:tc>
        <w:tc>
          <w:tcPr>
            <w:tcW w:w="1443" w:type="dxa"/>
            <w:tcBorders>
              <w:bottom w:val="nil"/>
            </w:tcBorders>
          </w:tcPr>
          <w:p w:rsidR="00AC31D5" w:rsidRDefault="00AC31D5">
            <w:pPr>
              <w:spacing w:before="100" w:after="100"/>
              <w:jc w:val="center"/>
              <w:rPr>
                <w:rFonts w:hint="cs"/>
                <w:sz w:val="24"/>
                <w:szCs w:val="24"/>
                <w:rtl/>
              </w:rPr>
            </w:pPr>
            <w:r>
              <w:rPr>
                <w:rFonts w:hint="cs"/>
                <w:sz w:val="24"/>
                <w:szCs w:val="24"/>
                <w:rtl/>
              </w:rPr>
              <w:t>629 491</w:t>
            </w:r>
          </w:p>
        </w:tc>
        <w:tc>
          <w:tcPr>
            <w:tcW w:w="1595" w:type="dxa"/>
            <w:tcBorders>
              <w:bottom w:val="nil"/>
            </w:tcBorders>
          </w:tcPr>
          <w:p w:rsidR="00AC31D5" w:rsidRDefault="00AC31D5">
            <w:pPr>
              <w:spacing w:before="100" w:after="100"/>
              <w:ind w:firstLine="249"/>
              <w:jc w:val="both"/>
              <w:rPr>
                <w:rFonts w:hint="cs"/>
                <w:sz w:val="24"/>
                <w:szCs w:val="24"/>
                <w:rtl/>
              </w:rPr>
            </w:pPr>
            <w:r>
              <w:rPr>
                <w:rFonts w:hint="cs"/>
                <w:sz w:val="24"/>
                <w:szCs w:val="24"/>
                <w:rtl/>
              </w:rPr>
              <w:t>806 8</w:t>
            </w:r>
          </w:p>
        </w:tc>
        <w:tc>
          <w:tcPr>
            <w:tcW w:w="1595" w:type="dxa"/>
            <w:tcBorders>
              <w:bottom w:val="nil"/>
            </w:tcBorders>
          </w:tcPr>
          <w:p w:rsidR="00AC31D5" w:rsidRDefault="00AC31D5">
            <w:pPr>
              <w:spacing w:before="100" w:after="100"/>
              <w:ind w:firstLine="454"/>
              <w:jc w:val="both"/>
              <w:rPr>
                <w:rFonts w:hint="cs"/>
                <w:sz w:val="24"/>
                <w:szCs w:val="24"/>
                <w:rtl/>
              </w:rPr>
            </w:pPr>
            <w:r>
              <w:rPr>
                <w:rFonts w:hint="cs"/>
                <w:sz w:val="24"/>
                <w:szCs w:val="24"/>
                <w:rtl/>
              </w:rPr>
              <w:t>555</w:t>
            </w:r>
          </w:p>
        </w:tc>
        <w:tc>
          <w:tcPr>
            <w:tcW w:w="1487" w:type="dxa"/>
            <w:tcBorders>
              <w:bottom w:val="nil"/>
            </w:tcBorders>
          </w:tcPr>
          <w:p w:rsidR="00AC31D5" w:rsidRDefault="00AC31D5">
            <w:pPr>
              <w:spacing w:before="100" w:after="100"/>
              <w:jc w:val="center"/>
              <w:rPr>
                <w:rFonts w:hint="cs"/>
                <w:sz w:val="24"/>
                <w:szCs w:val="24"/>
                <w:rtl/>
              </w:rPr>
            </w:pPr>
            <w:r>
              <w:rPr>
                <w:rFonts w:hint="cs"/>
                <w:sz w:val="24"/>
                <w:szCs w:val="24"/>
                <w:rtl/>
              </w:rPr>
              <w:t>154</w:t>
            </w:r>
          </w:p>
        </w:tc>
      </w:tr>
      <w:tr w:rsidR="00AC31D5" w:rsidTr="00AC31D5">
        <w:tblPrEx>
          <w:tblCellMar>
            <w:top w:w="0" w:type="dxa"/>
            <w:bottom w:w="0" w:type="dxa"/>
          </w:tblCellMar>
        </w:tblPrEx>
        <w:tc>
          <w:tcPr>
            <w:tcW w:w="1493" w:type="dxa"/>
            <w:tcBorders>
              <w:top w:val="nil"/>
            </w:tcBorders>
          </w:tcPr>
          <w:p w:rsidR="00AC31D5" w:rsidRDefault="00AC31D5">
            <w:pPr>
              <w:spacing w:before="100" w:after="100"/>
              <w:ind w:firstLine="72"/>
              <w:jc w:val="both"/>
              <w:rPr>
                <w:rFonts w:hint="cs"/>
                <w:sz w:val="24"/>
                <w:szCs w:val="24"/>
                <w:rtl/>
              </w:rPr>
            </w:pPr>
            <w:r>
              <w:rPr>
                <w:rFonts w:hint="cs"/>
                <w:sz w:val="24"/>
                <w:szCs w:val="24"/>
                <w:rtl/>
              </w:rPr>
              <w:t>الإناث</w:t>
            </w:r>
          </w:p>
        </w:tc>
        <w:tc>
          <w:tcPr>
            <w:tcW w:w="1747" w:type="dxa"/>
            <w:tcBorders>
              <w:top w:val="nil"/>
            </w:tcBorders>
          </w:tcPr>
          <w:p w:rsidR="00AC31D5" w:rsidRDefault="00AC31D5">
            <w:pPr>
              <w:spacing w:before="100" w:after="100"/>
              <w:ind w:firstLine="379"/>
              <w:jc w:val="both"/>
              <w:rPr>
                <w:rFonts w:hint="cs"/>
                <w:sz w:val="24"/>
                <w:szCs w:val="24"/>
                <w:rtl/>
              </w:rPr>
            </w:pPr>
            <w:r>
              <w:rPr>
                <w:rFonts w:hint="cs"/>
                <w:sz w:val="24"/>
                <w:szCs w:val="24"/>
                <w:rtl/>
              </w:rPr>
              <w:t>066 451</w:t>
            </w:r>
          </w:p>
        </w:tc>
        <w:tc>
          <w:tcPr>
            <w:tcW w:w="1443" w:type="dxa"/>
            <w:tcBorders>
              <w:top w:val="nil"/>
            </w:tcBorders>
          </w:tcPr>
          <w:p w:rsidR="00AC31D5" w:rsidRDefault="00AC31D5">
            <w:pPr>
              <w:spacing w:before="100" w:after="100"/>
              <w:jc w:val="center"/>
              <w:rPr>
                <w:rFonts w:hint="cs"/>
                <w:sz w:val="24"/>
                <w:szCs w:val="24"/>
                <w:rtl/>
              </w:rPr>
            </w:pPr>
            <w:r>
              <w:rPr>
                <w:rFonts w:hint="cs"/>
                <w:sz w:val="24"/>
                <w:szCs w:val="24"/>
                <w:rtl/>
              </w:rPr>
              <w:t>927 416</w:t>
            </w:r>
          </w:p>
        </w:tc>
        <w:tc>
          <w:tcPr>
            <w:tcW w:w="1595" w:type="dxa"/>
            <w:tcBorders>
              <w:top w:val="nil"/>
            </w:tcBorders>
          </w:tcPr>
          <w:p w:rsidR="00AC31D5" w:rsidRDefault="00AC31D5">
            <w:pPr>
              <w:spacing w:before="100" w:after="100"/>
              <w:ind w:firstLine="249"/>
              <w:jc w:val="both"/>
              <w:rPr>
                <w:rFonts w:hint="cs"/>
                <w:sz w:val="24"/>
                <w:szCs w:val="24"/>
                <w:rtl/>
              </w:rPr>
            </w:pPr>
            <w:r>
              <w:rPr>
                <w:rFonts w:hint="cs"/>
                <w:sz w:val="24"/>
                <w:szCs w:val="24"/>
                <w:rtl/>
              </w:rPr>
              <w:t>450 33</w:t>
            </w:r>
          </w:p>
        </w:tc>
        <w:tc>
          <w:tcPr>
            <w:tcW w:w="1595" w:type="dxa"/>
            <w:tcBorders>
              <w:top w:val="nil"/>
            </w:tcBorders>
          </w:tcPr>
          <w:p w:rsidR="00AC31D5" w:rsidRDefault="00AC31D5">
            <w:pPr>
              <w:spacing w:before="100" w:after="100"/>
              <w:ind w:firstLine="454"/>
              <w:jc w:val="both"/>
              <w:rPr>
                <w:rFonts w:hint="cs"/>
                <w:sz w:val="24"/>
                <w:szCs w:val="24"/>
                <w:rtl/>
              </w:rPr>
            </w:pPr>
            <w:r>
              <w:rPr>
                <w:rFonts w:hint="cs"/>
                <w:sz w:val="24"/>
                <w:szCs w:val="24"/>
                <w:rtl/>
              </w:rPr>
              <w:t>492</w:t>
            </w:r>
          </w:p>
        </w:tc>
        <w:tc>
          <w:tcPr>
            <w:tcW w:w="1487" w:type="dxa"/>
            <w:tcBorders>
              <w:top w:val="nil"/>
            </w:tcBorders>
          </w:tcPr>
          <w:p w:rsidR="00AC31D5" w:rsidRDefault="00AC31D5">
            <w:pPr>
              <w:spacing w:before="100" w:after="100"/>
              <w:jc w:val="center"/>
              <w:rPr>
                <w:rFonts w:hint="cs"/>
                <w:sz w:val="24"/>
                <w:szCs w:val="24"/>
                <w:rtl/>
              </w:rPr>
            </w:pPr>
            <w:r>
              <w:rPr>
                <w:rFonts w:hint="cs"/>
                <w:sz w:val="24"/>
                <w:szCs w:val="24"/>
                <w:rtl/>
              </w:rPr>
              <w:t>197</w:t>
            </w:r>
          </w:p>
        </w:tc>
      </w:tr>
    </w:tbl>
    <w:p w:rsidR="00000000" w:rsidRDefault="00AC31D5">
      <w:pPr>
        <w:jc w:val="center"/>
        <w:rPr>
          <w:rFonts w:hint="cs"/>
          <w:b/>
          <w:bCs/>
          <w:rtl/>
        </w:rPr>
      </w:pPr>
      <w:r>
        <w:rPr>
          <w:rFonts w:hint="cs"/>
          <w:b/>
          <w:bCs/>
          <w:rtl/>
        </w:rPr>
        <w:t>الج</w:t>
      </w:r>
      <w:r>
        <w:rPr>
          <w:rFonts w:hint="cs"/>
          <w:b/>
          <w:bCs/>
          <w:rtl/>
        </w:rPr>
        <w:t>دول 8</w:t>
      </w:r>
    </w:p>
    <w:p w:rsidR="00000000" w:rsidRDefault="00AC31D5">
      <w:pPr>
        <w:jc w:val="center"/>
        <w:rPr>
          <w:rFonts w:hint="cs"/>
          <w:b/>
          <w:bCs/>
          <w:rtl/>
        </w:rPr>
      </w:pPr>
      <w:r>
        <w:rPr>
          <w:rFonts w:hint="cs"/>
          <w:b/>
          <w:bCs/>
          <w:rtl/>
        </w:rPr>
        <w:t>سكان القرى البالغون عشر سنواتٍ فأكثر بحسب نوع الجنس والقدرة على القراءة والكتابة</w:t>
      </w:r>
    </w:p>
    <w:tbl>
      <w:tblPr>
        <w:bidiVisual/>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3"/>
        <w:gridCol w:w="1747"/>
        <w:gridCol w:w="1620"/>
        <w:gridCol w:w="1418"/>
        <w:gridCol w:w="1595"/>
        <w:gridCol w:w="1487"/>
      </w:tblGrid>
      <w:tr w:rsidR="00AC31D5" w:rsidTr="00AC31D5">
        <w:tblPrEx>
          <w:tblCellMar>
            <w:top w:w="0" w:type="dxa"/>
            <w:bottom w:w="0" w:type="dxa"/>
          </w:tblCellMar>
        </w:tblPrEx>
        <w:tc>
          <w:tcPr>
            <w:tcW w:w="1493" w:type="dxa"/>
          </w:tcPr>
          <w:p w:rsidR="00AC31D5" w:rsidRDefault="00AC31D5">
            <w:pPr>
              <w:spacing w:before="100" w:after="100"/>
              <w:jc w:val="center"/>
              <w:rPr>
                <w:rFonts w:hint="cs"/>
              </w:rPr>
            </w:pPr>
          </w:p>
        </w:tc>
        <w:tc>
          <w:tcPr>
            <w:tcW w:w="1747" w:type="dxa"/>
          </w:tcPr>
          <w:p w:rsidR="00AC31D5" w:rsidRDefault="00AC31D5">
            <w:pPr>
              <w:spacing w:before="100" w:after="100"/>
              <w:jc w:val="center"/>
              <w:rPr>
                <w:rFonts w:hint="cs"/>
                <w:sz w:val="24"/>
                <w:szCs w:val="24"/>
              </w:rPr>
            </w:pPr>
            <w:r>
              <w:rPr>
                <w:rFonts w:hint="cs"/>
                <w:sz w:val="24"/>
                <w:szCs w:val="24"/>
                <w:rtl/>
              </w:rPr>
              <w:t>السكان البالغون عشر سنوات فما فوق</w:t>
            </w:r>
          </w:p>
        </w:tc>
        <w:tc>
          <w:tcPr>
            <w:tcW w:w="1620" w:type="dxa"/>
          </w:tcPr>
          <w:p w:rsidR="00AC31D5" w:rsidRDefault="00AC31D5">
            <w:pPr>
              <w:spacing w:before="100" w:after="100"/>
              <w:jc w:val="center"/>
              <w:rPr>
                <w:rFonts w:hint="cs"/>
                <w:sz w:val="24"/>
                <w:szCs w:val="24"/>
              </w:rPr>
            </w:pPr>
            <w:r>
              <w:rPr>
                <w:rFonts w:hint="cs"/>
                <w:sz w:val="24"/>
                <w:szCs w:val="24"/>
                <w:rtl/>
              </w:rPr>
              <w:t>القادرون على القراءة والكتابة</w:t>
            </w:r>
          </w:p>
        </w:tc>
        <w:tc>
          <w:tcPr>
            <w:tcW w:w="1418" w:type="dxa"/>
          </w:tcPr>
          <w:p w:rsidR="00AC31D5" w:rsidRDefault="00AC31D5">
            <w:pPr>
              <w:spacing w:before="100" w:after="100"/>
              <w:jc w:val="center"/>
              <w:rPr>
                <w:rFonts w:hint="cs"/>
                <w:sz w:val="24"/>
                <w:szCs w:val="24"/>
                <w:rtl/>
              </w:rPr>
            </w:pPr>
          </w:p>
          <w:p w:rsidR="00AC31D5" w:rsidRDefault="00AC31D5">
            <w:pPr>
              <w:spacing w:before="100" w:after="100"/>
              <w:jc w:val="center"/>
              <w:rPr>
                <w:rFonts w:hint="cs"/>
                <w:sz w:val="24"/>
                <w:szCs w:val="24"/>
              </w:rPr>
            </w:pPr>
            <w:r>
              <w:rPr>
                <w:rFonts w:hint="cs"/>
                <w:sz w:val="24"/>
                <w:szCs w:val="24"/>
                <w:rtl/>
              </w:rPr>
              <w:t>الأميون</w:t>
            </w:r>
          </w:p>
        </w:tc>
        <w:tc>
          <w:tcPr>
            <w:tcW w:w="1595" w:type="dxa"/>
          </w:tcPr>
          <w:p w:rsidR="00AC31D5" w:rsidRDefault="00AC31D5">
            <w:pPr>
              <w:spacing w:before="100" w:after="100"/>
              <w:jc w:val="center"/>
              <w:rPr>
                <w:rFonts w:hint="cs"/>
                <w:sz w:val="24"/>
                <w:szCs w:val="24"/>
                <w:rtl/>
              </w:rPr>
            </w:pPr>
          </w:p>
          <w:p w:rsidR="00AC31D5" w:rsidRDefault="00AC31D5">
            <w:pPr>
              <w:spacing w:before="100" w:after="100"/>
              <w:jc w:val="center"/>
              <w:rPr>
                <w:rFonts w:hint="cs"/>
                <w:sz w:val="24"/>
                <w:szCs w:val="24"/>
              </w:rPr>
            </w:pPr>
            <w:r>
              <w:rPr>
                <w:rFonts w:hint="cs"/>
                <w:sz w:val="24"/>
                <w:szCs w:val="24"/>
                <w:rtl/>
              </w:rPr>
              <w:t>غير القادرين</w:t>
            </w:r>
          </w:p>
        </w:tc>
        <w:tc>
          <w:tcPr>
            <w:tcW w:w="1487" w:type="dxa"/>
          </w:tcPr>
          <w:p w:rsidR="00AC31D5" w:rsidRDefault="00AC31D5">
            <w:pPr>
              <w:spacing w:before="100" w:after="100"/>
              <w:jc w:val="center"/>
              <w:rPr>
                <w:rFonts w:hint="cs"/>
                <w:sz w:val="24"/>
                <w:szCs w:val="24"/>
                <w:rtl/>
              </w:rPr>
            </w:pPr>
          </w:p>
          <w:p w:rsidR="00AC31D5" w:rsidRDefault="00AC31D5">
            <w:pPr>
              <w:spacing w:before="100" w:after="100"/>
              <w:jc w:val="center"/>
              <w:rPr>
                <w:rFonts w:hint="cs"/>
                <w:sz w:val="24"/>
                <w:szCs w:val="24"/>
              </w:rPr>
            </w:pPr>
            <w:r>
              <w:rPr>
                <w:rFonts w:hint="cs"/>
                <w:sz w:val="24"/>
                <w:szCs w:val="24"/>
                <w:rtl/>
              </w:rPr>
              <w:t>غير المحددين</w:t>
            </w:r>
          </w:p>
        </w:tc>
      </w:tr>
      <w:tr w:rsidR="00AC31D5" w:rsidTr="00AC31D5">
        <w:tblPrEx>
          <w:tblCellMar>
            <w:top w:w="0" w:type="dxa"/>
            <w:bottom w:w="0" w:type="dxa"/>
          </w:tblCellMar>
        </w:tblPrEx>
        <w:tc>
          <w:tcPr>
            <w:tcW w:w="1493" w:type="dxa"/>
            <w:tcBorders>
              <w:bottom w:val="single" w:sz="4" w:space="0" w:color="auto"/>
            </w:tcBorders>
          </w:tcPr>
          <w:p w:rsidR="00AC31D5" w:rsidRDefault="00AC31D5">
            <w:pPr>
              <w:spacing w:before="100" w:after="100"/>
              <w:jc w:val="both"/>
              <w:rPr>
                <w:rFonts w:hint="cs"/>
                <w:sz w:val="24"/>
                <w:szCs w:val="24"/>
              </w:rPr>
            </w:pPr>
            <w:r>
              <w:rPr>
                <w:rFonts w:hint="cs"/>
                <w:sz w:val="24"/>
                <w:szCs w:val="24"/>
                <w:rtl/>
              </w:rPr>
              <w:t>المجموع</w:t>
            </w:r>
          </w:p>
        </w:tc>
        <w:tc>
          <w:tcPr>
            <w:tcW w:w="1747" w:type="dxa"/>
            <w:tcBorders>
              <w:bottom w:val="single" w:sz="4" w:space="0" w:color="auto"/>
            </w:tcBorders>
          </w:tcPr>
          <w:p w:rsidR="00AC31D5" w:rsidRDefault="00AC31D5">
            <w:pPr>
              <w:spacing w:before="100" w:after="100"/>
              <w:ind w:firstLine="199"/>
              <w:jc w:val="both"/>
              <w:rPr>
                <w:rFonts w:hint="cs"/>
                <w:sz w:val="24"/>
                <w:szCs w:val="24"/>
              </w:rPr>
            </w:pPr>
            <w:r>
              <w:rPr>
                <w:rFonts w:hint="cs"/>
                <w:sz w:val="24"/>
                <w:szCs w:val="24"/>
                <w:rtl/>
              </w:rPr>
              <w:t>507 549 1</w:t>
            </w:r>
          </w:p>
        </w:tc>
        <w:tc>
          <w:tcPr>
            <w:tcW w:w="1620" w:type="dxa"/>
            <w:tcBorders>
              <w:bottom w:val="single" w:sz="4" w:space="0" w:color="auto"/>
            </w:tcBorders>
          </w:tcPr>
          <w:p w:rsidR="00AC31D5" w:rsidRDefault="00AC31D5">
            <w:pPr>
              <w:spacing w:before="100" w:after="100"/>
              <w:ind w:firstLine="72"/>
              <w:jc w:val="both"/>
              <w:rPr>
                <w:rFonts w:hint="cs"/>
                <w:sz w:val="24"/>
                <w:szCs w:val="24"/>
              </w:rPr>
            </w:pPr>
            <w:r>
              <w:rPr>
                <w:rFonts w:hint="cs"/>
                <w:sz w:val="24"/>
                <w:szCs w:val="24"/>
                <w:rtl/>
              </w:rPr>
              <w:t>765 392 1</w:t>
            </w:r>
          </w:p>
        </w:tc>
        <w:tc>
          <w:tcPr>
            <w:tcW w:w="1418" w:type="dxa"/>
            <w:tcBorders>
              <w:bottom w:val="single" w:sz="4" w:space="0" w:color="auto"/>
            </w:tcBorders>
          </w:tcPr>
          <w:p w:rsidR="00AC31D5" w:rsidRDefault="00AC31D5">
            <w:pPr>
              <w:spacing w:before="100" w:after="100"/>
              <w:ind w:firstLine="72"/>
              <w:jc w:val="both"/>
              <w:rPr>
                <w:rFonts w:hint="cs"/>
                <w:sz w:val="24"/>
                <w:szCs w:val="24"/>
              </w:rPr>
            </w:pPr>
            <w:r>
              <w:rPr>
                <w:rFonts w:hint="cs"/>
                <w:sz w:val="24"/>
                <w:szCs w:val="24"/>
                <w:rtl/>
              </w:rPr>
              <w:t>617 152</w:t>
            </w:r>
          </w:p>
        </w:tc>
        <w:tc>
          <w:tcPr>
            <w:tcW w:w="1595" w:type="dxa"/>
            <w:tcBorders>
              <w:bottom w:val="single" w:sz="4" w:space="0" w:color="auto"/>
            </w:tcBorders>
          </w:tcPr>
          <w:p w:rsidR="00AC31D5" w:rsidRDefault="00AC31D5">
            <w:pPr>
              <w:spacing w:before="100" w:after="100"/>
              <w:ind w:firstLine="274"/>
              <w:jc w:val="both"/>
              <w:rPr>
                <w:rFonts w:hint="cs"/>
                <w:sz w:val="24"/>
                <w:szCs w:val="24"/>
              </w:rPr>
            </w:pPr>
            <w:r>
              <w:rPr>
                <w:rFonts w:hint="cs"/>
                <w:sz w:val="24"/>
                <w:szCs w:val="24"/>
                <w:rtl/>
              </w:rPr>
              <w:t>835 2</w:t>
            </w:r>
          </w:p>
        </w:tc>
        <w:tc>
          <w:tcPr>
            <w:tcW w:w="1487" w:type="dxa"/>
            <w:tcBorders>
              <w:bottom w:val="single" w:sz="4" w:space="0" w:color="auto"/>
            </w:tcBorders>
          </w:tcPr>
          <w:p w:rsidR="00AC31D5" w:rsidRDefault="00AC31D5">
            <w:pPr>
              <w:spacing w:before="100" w:after="100"/>
              <w:ind w:firstLine="299"/>
              <w:jc w:val="both"/>
              <w:rPr>
                <w:rFonts w:hint="cs"/>
                <w:sz w:val="24"/>
                <w:szCs w:val="24"/>
              </w:rPr>
            </w:pPr>
            <w:r>
              <w:rPr>
                <w:rFonts w:hint="cs"/>
                <w:sz w:val="24"/>
                <w:szCs w:val="24"/>
                <w:rtl/>
              </w:rPr>
              <w:t>290 1</w:t>
            </w:r>
          </w:p>
        </w:tc>
      </w:tr>
      <w:tr w:rsidR="00AC31D5" w:rsidTr="00AC31D5">
        <w:tblPrEx>
          <w:tblCellMar>
            <w:top w:w="0" w:type="dxa"/>
            <w:bottom w:w="0" w:type="dxa"/>
          </w:tblCellMar>
        </w:tblPrEx>
        <w:tc>
          <w:tcPr>
            <w:tcW w:w="1493" w:type="dxa"/>
            <w:tcBorders>
              <w:bottom w:val="nil"/>
            </w:tcBorders>
          </w:tcPr>
          <w:p w:rsidR="00AC31D5" w:rsidRDefault="00AC31D5">
            <w:pPr>
              <w:spacing w:before="100" w:after="100"/>
              <w:ind w:firstLine="72"/>
              <w:jc w:val="both"/>
              <w:rPr>
                <w:rFonts w:hint="cs"/>
                <w:sz w:val="24"/>
                <w:szCs w:val="24"/>
              </w:rPr>
            </w:pPr>
            <w:r>
              <w:rPr>
                <w:rFonts w:hint="cs"/>
                <w:sz w:val="24"/>
                <w:szCs w:val="24"/>
                <w:rtl/>
              </w:rPr>
              <w:t>الذكور</w:t>
            </w:r>
          </w:p>
        </w:tc>
        <w:tc>
          <w:tcPr>
            <w:tcW w:w="1747" w:type="dxa"/>
            <w:tcBorders>
              <w:bottom w:val="nil"/>
            </w:tcBorders>
          </w:tcPr>
          <w:p w:rsidR="00AC31D5" w:rsidRDefault="00AC31D5">
            <w:pPr>
              <w:spacing w:before="100" w:after="100"/>
              <w:ind w:firstLine="199"/>
              <w:jc w:val="both"/>
              <w:rPr>
                <w:rFonts w:hint="cs"/>
                <w:sz w:val="24"/>
                <w:szCs w:val="24"/>
              </w:rPr>
            </w:pPr>
            <w:r>
              <w:rPr>
                <w:rFonts w:hint="cs"/>
                <w:sz w:val="24"/>
                <w:szCs w:val="24"/>
                <w:rtl/>
              </w:rPr>
              <w:t>489 802</w:t>
            </w:r>
          </w:p>
        </w:tc>
        <w:tc>
          <w:tcPr>
            <w:tcW w:w="1620" w:type="dxa"/>
            <w:tcBorders>
              <w:bottom w:val="nil"/>
            </w:tcBorders>
          </w:tcPr>
          <w:p w:rsidR="00AC31D5" w:rsidRDefault="00AC31D5">
            <w:pPr>
              <w:spacing w:before="100" w:after="100"/>
              <w:ind w:firstLine="72"/>
              <w:jc w:val="both"/>
              <w:rPr>
                <w:rFonts w:hint="cs"/>
                <w:sz w:val="24"/>
                <w:szCs w:val="24"/>
              </w:rPr>
            </w:pPr>
            <w:r>
              <w:rPr>
                <w:rFonts w:hint="cs"/>
                <w:sz w:val="24"/>
                <w:szCs w:val="24"/>
                <w:rtl/>
              </w:rPr>
              <w:t>403 755</w:t>
            </w:r>
          </w:p>
        </w:tc>
        <w:tc>
          <w:tcPr>
            <w:tcW w:w="1418" w:type="dxa"/>
            <w:tcBorders>
              <w:bottom w:val="nil"/>
            </w:tcBorders>
          </w:tcPr>
          <w:p w:rsidR="00AC31D5" w:rsidRDefault="00AC31D5">
            <w:pPr>
              <w:spacing w:before="100" w:after="100"/>
              <w:ind w:firstLine="72"/>
              <w:jc w:val="both"/>
              <w:rPr>
                <w:rFonts w:hint="cs"/>
                <w:sz w:val="24"/>
                <w:szCs w:val="24"/>
              </w:rPr>
            </w:pPr>
            <w:r>
              <w:rPr>
                <w:rFonts w:hint="cs"/>
                <w:sz w:val="24"/>
                <w:szCs w:val="24"/>
                <w:rtl/>
              </w:rPr>
              <w:t>044 45</w:t>
            </w:r>
          </w:p>
        </w:tc>
        <w:tc>
          <w:tcPr>
            <w:tcW w:w="1595" w:type="dxa"/>
            <w:tcBorders>
              <w:bottom w:val="nil"/>
            </w:tcBorders>
          </w:tcPr>
          <w:p w:rsidR="00AC31D5" w:rsidRDefault="00AC31D5">
            <w:pPr>
              <w:spacing w:before="100" w:after="100"/>
              <w:ind w:firstLine="274"/>
              <w:jc w:val="both"/>
              <w:rPr>
                <w:rFonts w:hint="cs"/>
                <w:sz w:val="24"/>
                <w:szCs w:val="24"/>
              </w:rPr>
            </w:pPr>
            <w:r>
              <w:rPr>
                <w:rFonts w:hint="cs"/>
                <w:sz w:val="24"/>
                <w:szCs w:val="24"/>
                <w:rtl/>
              </w:rPr>
              <w:t>492 1</w:t>
            </w:r>
          </w:p>
        </w:tc>
        <w:tc>
          <w:tcPr>
            <w:tcW w:w="1487" w:type="dxa"/>
            <w:tcBorders>
              <w:bottom w:val="nil"/>
            </w:tcBorders>
          </w:tcPr>
          <w:p w:rsidR="00AC31D5" w:rsidRDefault="00AC31D5">
            <w:pPr>
              <w:spacing w:before="100" w:after="100"/>
              <w:ind w:firstLine="299"/>
              <w:jc w:val="both"/>
              <w:rPr>
                <w:rFonts w:hint="cs"/>
                <w:sz w:val="24"/>
                <w:szCs w:val="24"/>
              </w:rPr>
            </w:pPr>
            <w:r>
              <w:rPr>
                <w:rFonts w:hint="cs"/>
                <w:sz w:val="24"/>
                <w:szCs w:val="24"/>
                <w:rtl/>
              </w:rPr>
              <w:t>550</w:t>
            </w:r>
          </w:p>
        </w:tc>
      </w:tr>
      <w:tr w:rsidR="00AC31D5" w:rsidTr="00AC31D5">
        <w:tblPrEx>
          <w:tblCellMar>
            <w:top w:w="0" w:type="dxa"/>
            <w:bottom w:w="0" w:type="dxa"/>
          </w:tblCellMar>
        </w:tblPrEx>
        <w:tc>
          <w:tcPr>
            <w:tcW w:w="1493" w:type="dxa"/>
            <w:tcBorders>
              <w:top w:val="nil"/>
            </w:tcBorders>
          </w:tcPr>
          <w:p w:rsidR="00AC31D5" w:rsidRDefault="00AC31D5">
            <w:pPr>
              <w:spacing w:before="100" w:after="100"/>
              <w:ind w:firstLine="72"/>
              <w:jc w:val="both"/>
              <w:rPr>
                <w:rFonts w:hint="cs"/>
                <w:sz w:val="24"/>
                <w:szCs w:val="24"/>
              </w:rPr>
            </w:pPr>
            <w:r>
              <w:rPr>
                <w:rFonts w:hint="cs"/>
                <w:sz w:val="24"/>
                <w:szCs w:val="24"/>
                <w:rtl/>
              </w:rPr>
              <w:t>الإناث</w:t>
            </w:r>
          </w:p>
        </w:tc>
        <w:tc>
          <w:tcPr>
            <w:tcW w:w="1747" w:type="dxa"/>
            <w:tcBorders>
              <w:top w:val="nil"/>
            </w:tcBorders>
          </w:tcPr>
          <w:p w:rsidR="00AC31D5" w:rsidRDefault="00AC31D5">
            <w:pPr>
              <w:spacing w:before="100" w:after="100"/>
              <w:ind w:firstLine="199"/>
              <w:jc w:val="both"/>
              <w:rPr>
                <w:rFonts w:hint="cs"/>
                <w:sz w:val="24"/>
                <w:szCs w:val="24"/>
              </w:rPr>
            </w:pPr>
            <w:r>
              <w:rPr>
                <w:rFonts w:hint="cs"/>
                <w:sz w:val="24"/>
                <w:szCs w:val="24"/>
                <w:rtl/>
              </w:rPr>
              <w:t>018 747</w:t>
            </w:r>
          </w:p>
        </w:tc>
        <w:tc>
          <w:tcPr>
            <w:tcW w:w="1620" w:type="dxa"/>
            <w:tcBorders>
              <w:top w:val="nil"/>
            </w:tcBorders>
          </w:tcPr>
          <w:p w:rsidR="00AC31D5" w:rsidRDefault="00AC31D5">
            <w:pPr>
              <w:spacing w:before="100" w:after="100"/>
              <w:ind w:firstLine="72"/>
              <w:jc w:val="both"/>
              <w:rPr>
                <w:rFonts w:hint="cs"/>
                <w:sz w:val="24"/>
                <w:szCs w:val="24"/>
              </w:rPr>
            </w:pPr>
            <w:r>
              <w:rPr>
                <w:rFonts w:hint="cs"/>
                <w:sz w:val="24"/>
                <w:szCs w:val="24"/>
                <w:rtl/>
              </w:rPr>
              <w:t>362 637</w:t>
            </w:r>
          </w:p>
        </w:tc>
        <w:tc>
          <w:tcPr>
            <w:tcW w:w="1418" w:type="dxa"/>
            <w:tcBorders>
              <w:top w:val="nil"/>
            </w:tcBorders>
          </w:tcPr>
          <w:p w:rsidR="00AC31D5" w:rsidRDefault="00AC31D5">
            <w:pPr>
              <w:spacing w:before="100" w:after="100"/>
              <w:ind w:firstLine="72"/>
              <w:jc w:val="both"/>
              <w:rPr>
                <w:rFonts w:hint="cs"/>
                <w:sz w:val="24"/>
                <w:szCs w:val="24"/>
              </w:rPr>
            </w:pPr>
            <w:r>
              <w:rPr>
                <w:rFonts w:hint="cs"/>
                <w:sz w:val="24"/>
                <w:szCs w:val="24"/>
                <w:rtl/>
              </w:rPr>
              <w:t>573 107</w:t>
            </w:r>
          </w:p>
        </w:tc>
        <w:tc>
          <w:tcPr>
            <w:tcW w:w="1595" w:type="dxa"/>
            <w:tcBorders>
              <w:top w:val="nil"/>
            </w:tcBorders>
          </w:tcPr>
          <w:p w:rsidR="00AC31D5" w:rsidRDefault="00AC31D5">
            <w:pPr>
              <w:spacing w:before="100" w:after="100"/>
              <w:ind w:firstLine="274"/>
              <w:jc w:val="both"/>
              <w:rPr>
                <w:rFonts w:hint="cs"/>
                <w:sz w:val="24"/>
                <w:szCs w:val="24"/>
              </w:rPr>
            </w:pPr>
            <w:r>
              <w:rPr>
                <w:rFonts w:hint="cs"/>
                <w:sz w:val="24"/>
                <w:szCs w:val="24"/>
                <w:rtl/>
              </w:rPr>
              <w:t>343 1</w:t>
            </w:r>
          </w:p>
        </w:tc>
        <w:tc>
          <w:tcPr>
            <w:tcW w:w="1487" w:type="dxa"/>
            <w:tcBorders>
              <w:top w:val="nil"/>
            </w:tcBorders>
          </w:tcPr>
          <w:p w:rsidR="00AC31D5" w:rsidRDefault="00AC31D5">
            <w:pPr>
              <w:spacing w:before="100" w:after="100"/>
              <w:ind w:firstLine="299"/>
              <w:jc w:val="both"/>
              <w:rPr>
                <w:rFonts w:hint="cs"/>
                <w:sz w:val="24"/>
                <w:szCs w:val="24"/>
              </w:rPr>
            </w:pPr>
            <w:r>
              <w:rPr>
                <w:rFonts w:hint="cs"/>
                <w:sz w:val="24"/>
                <w:szCs w:val="24"/>
                <w:rtl/>
              </w:rPr>
              <w:t>740</w:t>
            </w:r>
          </w:p>
        </w:tc>
      </w:tr>
    </w:tbl>
    <w:p w:rsidR="00000000" w:rsidRDefault="00AC31D5">
      <w:pPr>
        <w:jc w:val="center"/>
        <w:rPr>
          <w:rFonts w:hint="cs"/>
          <w:b/>
          <w:bCs/>
          <w:sz w:val="36"/>
          <w:szCs w:val="36"/>
          <w:rtl/>
        </w:rPr>
      </w:pPr>
      <w:r>
        <w:rPr>
          <w:rFonts w:hint="cs"/>
          <w:b/>
          <w:bCs/>
          <w:sz w:val="36"/>
          <w:szCs w:val="36"/>
          <w:rtl/>
        </w:rPr>
        <w:t>ثانياً- البنية السياسية العامة</w:t>
      </w:r>
    </w:p>
    <w:p w:rsidR="00000000" w:rsidRDefault="00AC31D5">
      <w:pPr>
        <w:jc w:val="center"/>
        <w:rPr>
          <w:rFonts w:hint="cs"/>
          <w:b/>
          <w:bCs/>
          <w:rtl/>
        </w:rPr>
      </w:pPr>
      <w:r>
        <w:rPr>
          <w:rFonts w:hint="cs"/>
          <w:b/>
          <w:bCs/>
          <w:rtl/>
        </w:rPr>
        <w:t xml:space="preserve"> ألف- لمحة تاريخية موجزة</w:t>
      </w:r>
    </w:p>
    <w:p w:rsidR="00000000" w:rsidRDefault="00AC31D5">
      <w:pPr>
        <w:jc w:val="both"/>
        <w:rPr>
          <w:rFonts w:hint="cs"/>
          <w:rtl/>
        </w:rPr>
      </w:pPr>
      <w:r>
        <w:rPr>
          <w:rFonts w:hint="cs"/>
          <w:rtl/>
        </w:rPr>
        <w:t>50-</w:t>
      </w:r>
      <w:r>
        <w:rPr>
          <w:rFonts w:hint="cs"/>
          <w:rtl/>
        </w:rPr>
        <w:tab/>
        <w:t>الإليريون هم جدود الألبان المعاصرين. وقد عانت ألبانيا لقرونٍ من الغزو الروماني ثم الغزو العثماني. وأعلن استقلالها من الإمبراطوري</w:t>
      </w:r>
      <w:r>
        <w:rPr>
          <w:rFonts w:hint="eastAsia"/>
          <w:rtl/>
        </w:rPr>
        <w:t>ة</w:t>
      </w:r>
      <w:r>
        <w:rPr>
          <w:rFonts w:hint="cs"/>
          <w:rtl/>
        </w:rPr>
        <w:t xml:space="preserve"> </w:t>
      </w:r>
      <w:r>
        <w:rPr>
          <w:rFonts w:hint="cs"/>
          <w:rtl/>
        </w:rPr>
        <w:t>العثمانية في 28 تشرين الثاني/نوفمبر 1912.</w:t>
      </w:r>
    </w:p>
    <w:p w:rsidR="00000000" w:rsidRDefault="00AC31D5">
      <w:pPr>
        <w:jc w:val="both"/>
        <w:rPr>
          <w:rFonts w:hint="cs"/>
          <w:rtl/>
        </w:rPr>
      </w:pPr>
      <w:r>
        <w:rPr>
          <w:rtl/>
        </w:rPr>
        <w:br w:type="page"/>
      </w:r>
      <w:r>
        <w:rPr>
          <w:rFonts w:hint="cs"/>
          <w:rtl/>
        </w:rPr>
        <w:t>51-</w:t>
      </w:r>
      <w:r>
        <w:rPr>
          <w:rFonts w:hint="cs"/>
          <w:rtl/>
        </w:rPr>
        <w:tab/>
        <w:t>ونشأت ألبانيا بعد الحرب العالمية الأولى جمهوريةً برلمانية ثم تغير نظام الحكم فيها إلى ملكيٍ دستوري. وحكم البلاد الملك زوغ حتى عام 1939، حين تعرضت ألبانيا لغزو إيطاليا الفاشية. وفي 17 كانون الأول/ديسمبر 1920، ق</w:t>
      </w:r>
      <w:r>
        <w:rPr>
          <w:rFonts w:hint="cs"/>
          <w:rtl/>
        </w:rPr>
        <w:t>ُبلت ألبانيا عضواً في عصبة الأمم، التي اعترفت بحدودها في 9 تشرين الثاني/نوفمبر 1921 كما رسمها مؤتمر السفراء الذي عُقد في لندن في عام 1913.</w:t>
      </w:r>
    </w:p>
    <w:p w:rsidR="00000000" w:rsidRDefault="00AC31D5">
      <w:pPr>
        <w:jc w:val="both"/>
        <w:rPr>
          <w:rFonts w:hint="cs"/>
          <w:rtl/>
        </w:rPr>
      </w:pPr>
      <w:r>
        <w:rPr>
          <w:rFonts w:hint="cs"/>
          <w:rtl/>
        </w:rPr>
        <w:t>52-</w:t>
      </w:r>
      <w:r>
        <w:rPr>
          <w:rFonts w:hint="cs"/>
          <w:rtl/>
        </w:rPr>
        <w:tab/>
        <w:t>وشهدت ألبانيا، بعد تحرير البلاد من المحتلين النازيين في تشرين الثاني/نوفمبر 1944، نظام الحزب الواحد الذي دام 50 ع</w:t>
      </w:r>
      <w:r>
        <w:rPr>
          <w:rFonts w:hint="cs"/>
          <w:rtl/>
        </w:rPr>
        <w:t>اماً تقريباً، وظلت خلاله تعاني من العزلة والفقر المدقع.</w:t>
      </w:r>
    </w:p>
    <w:p w:rsidR="00000000" w:rsidRDefault="00AC31D5">
      <w:pPr>
        <w:jc w:val="both"/>
        <w:rPr>
          <w:rFonts w:hint="cs"/>
          <w:rtl/>
        </w:rPr>
      </w:pPr>
      <w:r>
        <w:rPr>
          <w:rFonts w:hint="cs"/>
          <w:rtl/>
        </w:rPr>
        <w:t>53-</w:t>
      </w:r>
      <w:r>
        <w:rPr>
          <w:rFonts w:hint="cs"/>
          <w:rtl/>
        </w:rPr>
        <w:tab/>
        <w:t xml:space="preserve">بيد أن التغييرات الديمقراطية التي حدثت في أوروبا الشرقية والضغوط المتزايدة التي مارسها الشعب، ولا سيما طلاب الجامعات قد أجبرت الحكومة على السماح بإنشاء أحزابٍ سياسية مستقلة فأنهت بذلك نصف قرنٍ من </w:t>
      </w:r>
      <w:r>
        <w:rPr>
          <w:rFonts w:hint="cs"/>
          <w:rtl/>
        </w:rPr>
        <w:t>حكم الحزب الواحد.</w:t>
      </w:r>
    </w:p>
    <w:p w:rsidR="00000000" w:rsidRDefault="00AC31D5">
      <w:pPr>
        <w:jc w:val="both"/>
        <w:rPr>
          <w:rFonts w:hint="cs"/>
          <w:rtl/>
        </w:rPr>
      </w:pPr>
      <w:r>
        <w:rPr>
          <w:rFonts w:hint="cs"/>
          <w:rtl/>
        </w:rPr>
        <w:t>54-</w:t>
      </w:r>
      <w:r>
        <w:rPr>
          <w:rFonts w:hint="cs"/>
          <w:rtl/>
        </w:rPr>
        <w:tab/>
        <w:t>وبعد فترة التسعينات تمكنت ألبانيا من إقرار الحقوق المدنية والسياسية الأساسية. وأتاحت لها عملية تحولٍ طويلة ومعقدة، اتخاذ خطوات هامة ترمي إلى تعزيز المؤسسات الديمقراطية ودولة سيادة القانون.</w:t>
      </w:r>
    </w:p>
    <w:p w:rsidR="00000000" w:rsidRDefault="00AC31D5">
      <w:pPr>
        <w:jc w:val="center"/>
        <w:rPr>
          <w:rFonts w:hint="cs"/>
          <w:b/>
          <w:bCs/>
          <w:rtl/>
        </w:rPr>
      </w:pPr>
      <w:r>
        <w:rPr>
          <w:rFonts w:hint="cs"/>
          <w:b/>
          <w:bCs/>
          <w:rtl/>
        </w:rPr>
        <w:t>باء- معلومات عن بنيان الدولة</w:t>
      </w:r>
    </w:p>
    <w:p w:rsidR="00000000" w:rsidRDefault="00AC31D5">
      <w:pPr>
        <w:jc w:val="both"/>
        <w:rPr>
          <w:rFonts w:hint="cs"/>
          <w:rtl/>
        </w:rPr>
      </w:pPr>
      <w:r>
        <w:rPr>
          <w:rFonts w:hint="cs"/>
          <w:rtl/>
        </w:rPr>
        <w:t>55-</w:t>
      </w:r>
      <w:r>
        <w:rPr>
          <w:rFonts w:hint="cs"/>
          <w:rtl/>
        </w:rPr>
        <w:tab/>
        <w:t>ألبانيا هي د</w:t>
      </w:r>
      <w:r>
        <w:rPr>
          <w:rFonts w:hint="cs"/>
          <w:rtl/>
        </w:rPr>
        <w:t>ولة ذات نظام جمهوري برلماني. والجمهورية الألبانية هي دولة وحدوية (المادة1 من الدستور). ويقوم نظام الحكم فيها على الفصل بين السلطات التشريعية والتنفيذية والقضائية وتحقيق التوازن بينها (المادة 7 من الدستور).</w:t>
      </w:r>
    </w:p>
    <w:p w:rsidR="00000000" w:rsidRDefault="00AC31D5">
      <w:pPr>
        <w:jc w:val="center"/>
        <w:rPr>
          <w:rFonts w:hint="cs"/>
          <w:rtl/>
        </w:rPr>
      </w:pPr>
      <w:r>
        <w:rPr>
          <w:rFonts w:hint="cs"/>
          <w:b/>
          <w:bCs/>
          <w:rtl/>
        </w:rPr>
        <w:t>1- السلطة التشريعية</w:t>
      </w:r>
    </w:p>
    <w:p w:rsidR="00000000" w:rsidRDefault="00AC31D5">
      <w:pPr>
        <w:jc w:val="both"/>
        <w:rPr>
          <w:rFonts w:hint="cs"/>
          <w:rtl/>
        </w:rPr>
      </w:pPr>
      <w:r>
        <w:rPr>
          <w:rFonts w:hint="cs"/>
          <w:rtl/>
        </w:rPr>
        <w:t>56-</w:t>
      </w:r>
      <w:r>
        <w:rPr>
          <w:rFonts w:hint="cs"/>
          <w:rtl/>
        </w:rPr>
        <w:tab/>
        <w:t xml:space="preserve">تعود السلطة التشريعية إلى </w:t>
      </w:r>
      <w:r>
        <w:rPr>
          <w:rFonts w:hint="cs"/>
          <w:rtl/>
        </w:rPr>
        <w:t>مجلس الشعب. ويتألف هذا المجلس من مجلسٍ واحد ومن 140 عضواً يُنتخبون كل أربع سنوات. وينتخب الشعب مباشرةً مائة عضو في دوائر انتخابية تنتخب كل دائرة منها عضواً واحداً، بينما يُنتخب الأربعون الآخرون من قوائم الأحزاب أو الائتلافات الحزبية (المادة 64 من الدستور).</w:t>
      </w:r>
    </w:p>
    <w:p w:rsidR="00000000" w:rsidRDefault="00AC31D5">
      <w:pPr>
        <w:jc w:val="both"/>
        <w:rPr>
          <w:rFonts w:hint="cs"/>
          <w:rtl/>
        </w:rPr>
      </w:pPr>
      <w:r>
        <w:rPr>
          <w:rFonts w:hint="cs"/>
          <w:rtl/>
        </w:rPr>
        <w:t>57-</w:t>
      </w:r>
      <w:r>
        <w:rPr>
          <w:rFonts w:hint="cs"/>
          <w:rtl/>
        </w:rPr>
        <w:tab/>
        <w:t xml:space="preserve">وتُجرى انتخابات مجلس الشعب قبل انتهاء ولاية المجلس بفترةٍ تتراوح بين 30 و60 يوماً ولا تتجاوز 45 يوماً من تاريخ حلِّه. ويواصل مجلس الشعب الألباني تنفيذ ولايته حتى انعقاد الجلسة الأولى للمجلس الجديد. بيد أنه لا يجوز لمجلس الشعب أن يصدر القوانين أو يتخذ </w:t>
      </w:r>
      <w:r>
        <w:rPr>
          <w:rFonts w:hint="cs"/>
          <w:rtl/>
        </w:rPr>
        <w:t>القرارات خلال هذه الفترة الانتقالية إلا في حالة إقرار تدابير استثنائية (المادة 65 من الدستور).</w:t>
      </w:r>
    </w:p>
    <w:p w:rsidR="00000000" w:rsidRDefault="00AC31D5">
      <w:pPr>
        <w:jc w:val="both"/>
        <w:rPr>
          <w:rFonts w:hint="cs"/>
          <w:spacing w:val="0"/>
          <w:rtl/>
        </w:rPr>
      </w:pPr>
      <w:r>
        <w:rPr>
          <w:rFonts w:hint="cs"/>
          <w:rtl/>
        </w:rPr>
        <w:t>58-</w:t>
      </w:r>
      <w:r>
        <w:rPr>
          <w:rFonts w:hint="cs"/>
          <w:rtl/>
        </w:rPr>
        <w:tab/>
        <w:t xml:space="preserve">ولكل مواطنٍ بلغ الثامنة عشرة من العمر، حتى في يوم الانتخابات، الحق في أن يَنتخِب وأن يُنتخَب نائباً في المجلس (المادة 45 من الدستور). ولا يجوز لعناصر الفئات </w:t>
      </w:r>
      <w:r>
        <w:rPr>
          <w:rFonts w:hint="cs"/>
          <w:rtl/>
        </w:rPr>
        <w:t xml:space="preserve">التالية أن يرشحوا أنفسهم للانتخاب أو أن يُنتخبوا نواباً في مجلس الشعب دون استقالتهم من وظائفهم: (أ) القضاة والمدعون العامون؛ (ب) والعسكريون المستمرون في الخدمة؛ </w:t>
      </w:r>
      <w:r>
        <w:rPr>
          <w:rFonts w:hint="cs"/>
          <w:spacing w:val="0"/>
          <w:rtl/>
        </w:rPr>
        <w:t>(ج) ورجال الشرطة والأمن الوطني؛ (د) ورؤساء البلديات والكوميونات فضلاً عن المحافظين في المناطق ا</w:t>
      </w:r>
      <w:r>
        <w:rPr>
          <w:rFonts w:hint="cs"/>
          <w:spacing w:val="0"/>
          <w:rtl/>
        </w:rPr>
        <w:t>لتي يؤدون فيها واجباتهم؛ (ه‍) ورؤساء وأعضاء اللجان الانتخابية؛ (و) ورئيس الجمهورية وكبار المسؤولين في إدارة الدولة المذكورون في القانون (المادة 65 من الدستور). ولا يجوز محاكمة النائب في قضية جنائية دون إذنٍ من مجلس الشعب (المادة 73 من الدستور).</w:t>
      </w:r>
    </w:p>
    <w:p w:rsidR="00000000" w:rsidRDefault="00AC31D5">
      <w:pPr>
        <w:jc w:val="both"/>
        <w:rPr>
          <w:rFonts w:hint="cs"/>
          <w:spacing w:val="0"/>
          <w:rtl/>
        </w:rPr>
      </w:pPr>
      <w:r>
        <w:rPr>
          <w:rFonts w:hint="cs"/>
          <w:spacing w:val="0"/>
          <w:rtl/>
        </w:rPr>
        <w:t>59-</w:t>
      </w:r>
      <w:r>
        <w:rPr>
          <w:rFonts w:hint="cs"/>
          <w:spacing w:val="0"/>
          <w:rtl/>
        </w:rPr>
        <w:tab/>
      </w:r>
      <w:r>
        <w:rPr>
          <w:rFonts w:hint="cs"/>
          <w:rtl/>
        </w:rPr>
        <w:t>ويحق لم</w:t>
      </w:r>
      <w:r>
        <w:rPr>
          <w:rFonts w:hint="cs"/>
          <w:rtl/>
        </w:rPr>
        <w:t>جلس الوزراء ولكل نائبٍ ومجموعة تتألف من 000 20ناخب أن يقترحوا مشاريع قوانين لمناقشتها في مجلس الشعب. ويحتاج إقرار بعض القوانين الهامة، مثل قانون الانتخاب، إلى موافقة ثلاثة أخماس العدد الكلي لأعضاء مجلس الشعب. ويصبح القانون نافذاً بعد توقيع رئيس الجمهورية ع</w:t>
      </w:r>
      <w:r>
        <w:rPr>
          <w:rFonts w:hint="cs"/>
          <w:rtl/>
        </w:rPr>
        <w:t xml:space="preserve">ليه ونشره في </w:t>
      </w:r>
      <w:r>
        <w:rPr>
          <w:rFonts w:hint="cs"/>
          <w:i/>
          <w:iCs/>
          <w:rtl/>
        </w:rPr>
        <w:t>الجريدة الرسمية</w:t>
      </w:r>
      <w:r>
        <w:rPr>
          <w:rFonts w:hint="cs"/>
          <w:rtl/>
        </w:rPr>
        <w:t xml:space="preserve"> (المادة 81 من الدستور).</w:t>
      </w:r>
    </w:p>
    <w:p w:rsidR="00000000" w:rsidRDefault="00AC31D5">
      <w:pPr>
        <w:jc w:val="left"/>
        <w:rPr>
          <w:rFonts w:hint="cs"/>
          <w:spacing w:val="0"/>
          <w:rtl/>
        </w:rPr>
      </w:pPr>
      <w:r>
        <w:rPr>
          <w:rFonts w:hint="cs"/>
          <w:b/>
          <w:bCs/>
          <w:spacing w:val="0"/>
          <w:rtl/>
        </w:rPr>
        <w:tab/>
        <w:t>(أ)</w:t>
      </w:r>
      <w:r>
        <w:rPr>
          <w:rFonts w:hint="cs"/>
          <w:b/>
          <w:bCs/>
          <w:spacing w:val="0"/>
          <w:rtl/>
        </w:rPr>
        <w:tab/>
        <w:t>رئيس جمهورية ألبانيا</w:t>
      </w:r>
    </w:p>
    <w:p w:rsidR="00000000" w:rsidRDefault="00AC31D5">
      <w:pPr>
        <w:jc w:val="both"/>
        <w:rPr>
          <w:rFonts w:hint="cs"/>
          <w:spacing w:val="0"/>
          <w:rtl/>
        </w:rPr>
      </w:pPr>
      <w:r>
        <w:rPr>
          <w:rFonts w:hint="cs"/>
          <w:spacing w:val="0"/>
          <w:rtl/>
        </w:rPr>
        <w:t>60-</w:t>
      </w:r>
      <w:r>
        <w:rPr>
          <w:rFonts w:hint="cs"/>
          <w:spacing w:val="0"/>
          <w:rtl/>
        </w:rPr>
        <w:tab/>
      </w:r>
      <w:r>
        <w:rPr>
          <w:rFonts w:hint="cs"/>
          <w:rtl/>
        </w:rPr>
        <w:t>رئيس الدولة هو رئيس الجمهورية، وينتخبه مجلس الشعب بأغلبية ثلاثة أخماس العدد الكلي لأعضاء المجلس لولايةٍ مدتها خمس سنوات. وإذا تعذر تحقيق هذه الأغلبية، حتى بعد إجراء خمس عملي</w:t>
      </w:r>
      <w:r>
        <w:rPr>
          <w:rFonts w:hint="cs"/>
          <w:rtl/>
        </w:rPr>
        <w:t>اتٍ من التصويت، يحَّل المجلس. وينتخب المجلس الجديد رئيس الجمهورية بالأغلبية ذاتها المطبقة في المجلس الأول. وإذا فشل المجلس الجديد أيضاً في تحقيق هذه الأغلبية، يحَّل المجلس، وينتخب رئيس الجمهورية المجلس اللاحق بأغلبية العدد الكلي لأعضائه</w:t>
      </w:r>
      <w:r>
        <w:rPr>
          <w:rFonts w:hint="cs"/>
          <w:spacing w:val="0"/>
          <w:rtl/>
        </w:rPr>
        <w:t>.</w:t>
      </w:r>
    </w:p>
    <w:p w:rsidR="00000000" w:rsidRDefault="00AC31D5">
      <w:pPr>
        <w:jc w:val="both"/>
        <w:rPr>
          <w:rFonts w:hint="cs"/>
          <w:spacing w:val="0"/>
          <w:rtl/>
        </w:rPr>
      </w:pPr>
      <w:r>
        <w:rPr>
          <w:rFonts w:hint="cs"/>
          <w:spacing w:val="0"/>
          <w:rtl/>
        </w:rPr>
        <w:t>61-</w:t>
      </w:r>
      <w:r>
        <w:rPr>
          <w:rFonts w:hint="cs"/>
          <w:spacing w:val="0"/>
          <w:rtl/>
        </w:rPr>
        <w:tab/>
        <w:t>وعندما يعجز رئ</w:t>
      </w:r>
      <w:r>
        <w:rPr>
          <w:rFonts w:hint="cs"/>
          <w:spacing w:val="0"/>
          <w:rtl/>
        </w:rPr>
        <w:t xml:space="preserve">يس الجمهورية مؤقتاً عن ممارسة مهامه أو يظل منصبه شاغراً، ينوب عنه رئيس المجلس ويمارس صلاحياته (المادة 87 من الدستور). </w:t>
      </w:r>
    </w:p>
    <w:p w:rsidR="00000000" w:rsidRDefault="00AC31D5">
      <w:pPr>
        <w:jc w:val="both"/>
        <w:rPr>
          <w:rFonts w:hint="cs"/>
          <w:rtl/>
        </w:rPr>
      </w:pPr>
      <w:r>
        <w:rPr>
          <w:rFonts w:hint="cs"/>
          <w:spacing w:val="0"/>
          <w:rtl/>
        </w:rPr>
        <w:t>62-</w:t>
      </w:r>
      <w:r>
        <w:rPr>
          <w:rFonts w:hint="cs"/>
          <w:spacing w:val="0"/>
          <w:rtl/>
        </w:rPr>
        <w:tab/>
      </w:r>
      <w:r>
        <w:rPr>
          <w:rFonts w:hint="cs"/>
          <w:rtl/>
        </w:rPr>
        <w:t>ويضطلع رئيس الجمهورية بالمهام الرئيسية لرئيس الدولة: يحدد موعد الانتخابات البرلمانية العامة؛ ويمارس حق إصدار العفو بموجب القانون؛ ويع</w:t>
      </w:r>
      <w:r>
        <w:rPr>
          <w:rFonts w:hint="cs"/>
          <w:rtl/>
        </w:rPr>
        <w:t>ين رئيس مجلس الوزراء والوزراء؛ يرشح القضاة ويقر تعيينهم؛ ويقبل وثائق تفويض الممثلين الدبلوماسيين؛ ويوقع على الاتفاقات الدولية (المادة 92 من الدستور) ويمارس الحق في المبادرة التشريعية ويمنح الحق في اللجوء السياسي. ويحق لرئيس الجمهورية أن يعيد القانون لمراجع</w:t>
      </w:r>
      <w:r>
        <w:rPr>
          <w:rFonts w:hint="cs"/>
          <w:rtl/>
        </w:rPr>
        <w:t>ته مرةً واحدة فقط (المادة 85/1 من الدستور).</w:t>
      </w:r>
      <w:r>
        <w:rPr>
          <w:rFonts w:hint="cs"/>
          <w:spacing w:val="0"/>
          <w:rtl/>
        </w:rPr>
        <w:t xml:space="preserve"> </w:t>
      </w:r>
    </w:p>
    <w:p w:rsidR="00000000" w:rsidRDefault="00AC31D5">
      <w:pPr>
        <w:jc w:val="center"/>
        <w:rPr>
          <w:rFonts w:hint="cs"/>
          <w:b/>
          <w:bCs/>
          <w:rtl/>
        </w:rPr>
      </w:pPr>
      <w:r>
        <w:rPr>
          <w:b/>
          <w:bCs/>
          <w:rtl/>
        </w:rPr>
        <w:br w:type="page"/>
      </w:r>
      <w:r>
        <w:rPr>
          <w:rFonts w:hint="cs"/>
          <w:b/>
          <w:bCs/>
          <w:rtl/>
        </w:rPr>
        <w:t>2- السلطة التنفيذية</w:t>
      </w:r>
    </w:p>
    <w:p w:rsidR="00000000" w:rsidRDefault="00AC31D5">
      <w:pPr>
        <w:jc w:val="left"/>
        <w:rPr>
          <w:rFonts w:hint="cs"/>
          <w:b/>
          <w:bCs/>
          <w:rtl/>
        </w:rPr>
      </w:pPr>
      <w:r>
        <w:rPr>
          <w:rFonts w:hint="cs"/>
          <w:b/>
          <w:bCs/>
          <w:rtl/>
        </w:rPr>
        <w:tab/>
        <w:t>(أ)</w:t>
      </w:r>
      <w:r>
        <w:rPr>
          <w:rFonts w:hint="cs"/>
          <w:b/>
          <w:bCs/>
          <w:rtl/>
        </w:rPr>
        <w:tab/>
        <w:t>مجلس الوزراء</w:t>
      </w:r>
    </w:p>
    <w:p w:rsidR="00000000" w:rsidRDefault="00AC31D5">
      <w:pPr>
        <w:jc w:val="both"/>
        <w:rPr>
          <w:rFonts w:hint="cs"/>
          <w:rtl/>
        </w:rPr>
      </w:pPr>
      <w:r>
        <w:rPr>
          <w:rFonts w:hint="cs"/>
          <w:rtl/>
        </w:rPr>
        <w:t>63-</w:t>
      </w:r>
      <w:r>
        <w:rPr>
          <w:rFonts w:hint="cs"/>
          <w:rtl/>
        </w:rPr>
        <w:tab/>
        <w:t>مجلس الوزراء هو أعلى هيئة في السلطة التنفيذية ويتألف من رئيس الوزراء ونائب رئيس الوزراء والوزراء. ورئيس الوزراء هو رئيس مجلس الوزراء. ويعينه رئيس الجمهورية في بداية ولا</w:t>
      </w:r>
      <w:r>
        <w:rPr>
          <w:rFonts w:hint="cs"/>
          <w:rtl/>
        </w:rPr>
        <w:t>ية الهيئة التشريعية وبناءً على اقتراح الحزب أو ائتلاف الأحزاب التي تتمتع بأغلبية المقاعد في مجلس الشعب. ويعين رئيس الجمهورية الوزراء ويعفيهم من مناصبهم بناءً على اقتراح رئيس الوزراء. ويحدد مجلس الوزراء التوجهات الرئيسية للسياسة العامة للدولة. ويتخذ القرارا</w:t>
      </w:r>
      <w:r>
        <w:rPr>
          <w:rFonts w:hint="cs"/>
          <w:rtl/>
        </w:rPr>
        <w:t xml:space="preserve">ت بناءً على اقتراح رئيس الوزراء أو الوزير المعني. ويجوز لمجلس الوزراء أن يصدر، في حالات الضرورة والطوارئ قرارات لها قوة القانون لاتخاذ تدابير مؤقتة. وتعرض هذه القرارات فور اتخاذها على مجلس الشعب، فإن لم يقرها خلال 45 يوماً تفقد مفعولها بأثرٍ رجعي. </w:t>
      </w:r>
    </w:p>
    <w:p w:rsidR="00000000" w:rsidRDefault="00AC31D5">
      <w:pPr>
        <w:jc w:val="left"/>
        <w:rPr>
          <w:rFonts w:hint="cs"/>
          <w:b/>
          <w:bCs/>
          <w:rtl/>
        </w:rPr>
      </w:pPr>
      <w:r>
        <w:rPr>
          <w:rFonts w:hint="cs"/>
          <w:b/>
          <w:bCs/>
          <w:rtl/>
        </w:rPr>
        <w:tab/>
        <w:t>(ب)</w:t>
      </w:r>
      <w:r>
        <w:rPr>
          <w:rFonts w:hint="cs"/>
          <w:b/>
          <w:bCs/>
          <w:rtl/>
        </w:rPr>
        <w:tab/>
        <w:t>ال</w:t>
      </w:r>
      <w:r>
        <w:rPr>
          <w:rFonts w:hint="cs"/>
          <w:b/>
          <w:bCs/>
          <w:rtl/>
        </w:rPr>
        <w:t>حكم المحلي</w:t>
      </w:r>
    </w:p>
    <w:p w:rsidR="00000000" w:rsidRDefault="00AC31D5">
      <w:pPr>
        <w:jc w:val="both"/>
        <w:rPr>
          <w:rFonts w:hint="cs"/>
          <w:spacing w:val="0"/>
          <w:rtl/>
        </w:rPr>
      </w:pPr>
      <w:r>
        <w:rPr>
          <w:rFonts w:hint="cs"/>
          <w:spacing w:val="0"/>
          <w:rtl/>
        </w:rPr>
        <w:t>64-</w:t>
      </w:r>
      <w:r>
        <w:rPr>
          <w:rFonts w:hint="cs"/>
          <w:spacing w:val="0"/>
          <w:rtl/>
        </w:rPr>
        <w:tab/>
        <w:t>وحدات الحكم المحلي هي الكوميونات والبلديات والمناطق. (القانون رقم 8652، الصادر في 31 تموز/يوليه 2000 بعنوان " تنظيم الحكم المحلي ووظائفه"). وجمهورية ألبانيا تنقسم إلى 12 منطقة و65 بلدية و309 كوميونات. ولكل كوميون أو بلدية أو منطقة هيئات الحك</w:t>
      </w:r>
      <w:r>
        <w:rPr>
          <w:rFonts w:hint="cs"/>
          <w:spacing w:val="0"/>
          <w:rtl/>
        </w:rPr>
        <w:t>م المحلي الخاصة بها. ويتمثل الجهاز التنفيذي للبلدية أو الكوميون في الرئيس الذي ينتخبه الشعب انتخاباً مباشراً بالاقتراع السري. كما ينتخب المجلس بالطريقة ذاتها، وهو الهيئة التمثيلية لوحدة الحكم المحلي. بينما يمثل المحافظ الحكومة في المنطقة.</w:t>
      </w:r>
    </w:p>
    <w:p w:rsidR="00000000" w:rsidRDefault="00AC31D5">
      <w:pPr>
        <w:jc w:val="both"/>
        <w:rPr>
          <w:rFonts w:hint="cs"/>
          <w:rtl/>
        </w:rPr>
      </w:pPr>
      <w:r>
        <w:rPr>
          <w:rFonts w:hint="cs"/>
          <w:rtl/>
        </w:rPr>
        <w:t>65-</w:t>
      </w:r>
      <w:r>
        <w:rPr>
          <w:rFonts w:hint="cs"/>
          <w:rtl/>
        </w:rPr>
        <w:tab/>
        <w:t>وتنص المادة 1</w:t>
      </w:r>
      <w:r>
        <w:rPr>
          <w:rFonts w:hint="cs"/>
          <w:rtl/>
        </w:rPr>
        <w:t>3 من الدستور على لا مركزية الحكم المحلي واستقلاله الذاتي. وتنص المواد 108- 115 من الدستور على حق الحكومة المحلية في إدارة الإيرادات الناشئة إدارةً مستقلة وفي إصدار الأوامر والقرارات الملزمة بوجهٍ عام للوحدة.</w:t>
      </w:r>
    </w:p>
    <w:p w:rsidR="00000000" w:rsidRDefault="00AC31D5">
      <w:pPr>
        <w:jc w:val="center"/>
        <w:rPr>
          <w:rFonts w:hint="cs"/>
          <w:b/>
          <w:bCs/>
          <w:rtl/>
        </w:rPr>
      </w:pPr>
      <w:r>
        <w:rPr>
          <w:rFonts w:hint="cs"/>
          <w:b/>
          <w:bCs/>
          <w:rtl/>
        </w:rPr>
        <w:t>3- السلطة القضائية</w:t>
      </w:r>
    </w:p>
    <w:p w:rsidR="00000000" w:rsidRDefault="00AC31D5">
      <w:pPr>
        <w:jc w:val="both"/>
        <w:rPr>
          <w:rFonts w:hint="cs"/>
          <w:rtl/>
        </w:rPr>
      </w:pPr>
      <w:r>
        <w:rPr>
          <w:rFonts w:hint="cs"/>
          <w:rtl/>
        </w:rPr>
        <w:t>66-</w:t>
      </w:r>
      <w:r>
        <w:rPr>
          <w:rFonts w:hint="cs"/>
          <w:rtl/>
        </w:rPr>
        <w:tab/>
        <w:t>تتولى السلطة القضائية تسو</w:t>
      </w:r>
      <w:r>
        <w:rPr>
          <w:rFonts w:hint="cs"/>
          <w:rtl/>
        </w:rPr>
        <w:t>ية المنازعات المتصلة بتفسير القوانين وتطبيقها. وتمارس المحكمة العليا وكذلك محاكم الاستئناف والمحاكم الابتدائية السلطة القضائية. وتمارس المحاكم ثلاثة أنواع من الاختصاصات: المدني والجنائي والإداري.</w:t>
      </w:r>
    </w:p>
    <w:p w:rsidR="00000000" w:rsidRDefault="00AC31D5">
      <w:pPr>
        <w:jc w:val="both"/>
        <w:rPr>
          <w:rFonts w:hint="cs"/>
          <w:rtl/>
        </w:rPr>
      </w:pPr>
      <w:r>
        <w:rPr>
          <w:rFonts w:hint="cs"/>
          <w:rtl/>
        </w:rPr>
        <w:t>67-</w:t>
      </w:r>
      <w:r>
        <w:rPr>
          <w:rFonts w:hint="cs"/>
          <w:rtl/>
        </w:rPr>
        <w:tab/>
        <w:t>وللمحكمة العليا اختصاص ابتدائي واختصاص مراجعة. وتمارس اخ</w:t>
      </w:r>
      <w:r>
        <w:rPr>
          <w:rFonts w:hint="cs"/>
          <w:rtl/>
        </w:rPr>
        <w:t>تصاصها الابتدائي عندما تفصل في تهمٍ جنائية موجهة ضد رئيس الجمهورية ورئيس الوزراء وأعضاء مجلس الوزراء وأعضاء مجلس الشعب وقضاة المحكمة العليا وقضاة المحكمة الدستورية (المادة 141 من الدستور). أما اختصاص المراجعة فتمارسه في الحالات التي تنظر فيها في الشكاوى ال</w:t>
      </w:r>
      <w:r>
        <w:rPr>
          <w:rFonts w:hint="cs"/>
          <w:rtl/>
        </w:rPr>
        <w:t>مقدمة ضد أحكام المحاكم الابتدائية ومحاكم الاستئناف.</w:t>
      </w:r>
    </w:p>
    <w:p w:rsidR="00000000" w:rsidRDefault="00AC31D5">
      <w:pPr>
        <w:jc w:val="both"/>
        <w:rPr>
          <w:rFonts w:hint="cs"/>
          <w:rtl/>
        </w:rPr>
      </w:pPr>
      <w:r>
        <w:rPr>
          <w:rFonts w:hint="cs"/>
          <w:rtl/>
        </w:rPr>
        <w:t>68-</w:t>
      </w:r>
      <w:r>
        <w:rPr>
          <w:rFonts w:hint="cs"/>
          <w:rtl/>
        </w:rPr>
        <w:tab/>
        <w:t>وتتألف المحكمة العليا من مجمع القضاء المدني ومجمع القضاء الجنائي ومجمع القضاء العسكري، وتتكون من 17 قاضياً يعينهم رئيس الجمهورية بموافقة مجلس الشعب لولايةٍ مدتها تسع سنوات ولا يحق لهم إعادة التعيين.</w:t>
      </w:r>
    </w:p>
    <w:p w:rsidR="00000000" w:rsidRDefault="00AC31D5">
      <w:pPr>
        <w:jc w:val="both"/>
        <w:rPr>
          <w:rFonts w:hint="cs"/>
          <w:rtl/>
        </w:rPr>
      </w:pPr>
      <w:r>
        <w:rPr>
          <w:rFonts w:hint="cs"/>
          <w:rtl/>
        </w:rPr>
        <w:t>6</w:t>
      </w:r>
      <w:r>
        <w:rPr>
          <w:rFonts w:hint="cs"/>
          <w:rtl/>
        </w:rPr>
        <w:t>9-</w:t>
      </w:r>
      <w:r>
        <w:rPr>
          <w:rFonts w:hint="cs"/>
          <w:rtl/>
        </w:rPr>
        <w:tab/>
        <w:t>ومحكمة الاستئناف هي محكمة تنظر في جميع القضايا التي حكمت فيها المحاكم الابتدائية واستأنف الخصوم أحكامها. وتتشكل المحكمة في هذه الحالات من ثلاثة قضاة. وتبت محكمة الاستئناف في القضايا بصورةٍ عامة، ولا تقتصر على المبررات المقدمة في الدعوى.</w:t>
      </w:r>
    </w:p>
    <w:p w:rsidR="00000000" w:rsidRDefault="00AC31D5">
      <w:pPr>
        <w:jc w:val="both"/>
        <w:rPr>
          <w:rFonts w:hint="cs"/>
          <w:rtl/>
        </w:rPr>
      </w:pPr>
      <w:r>
        <w:rPr>
          <w:rFonts w:hint="cs"/>
          <w:rtl/>
        </w:rPr>
        <w:t>70-</w:t>
      </w:r>
      <w:r>
        <w:rPr>
          <w:rFonts w:hint="cs"/>
          <w:rtl/>
        </w:rPr>
        <w:tab/>
        <w:t>وتُنشأ محاكم</w:t>
      </w:r>
      <w:r>
        <w:rPr>
          <w:rFonts w:hint="cs"/>
          <w:rtl/>
        </w:rPr>
        <w:t xml:space="preserve"> الاستئناف في المناطق التي يحددها رئيس الجمهورية بناءً على اقتراح وزير العدل وبموافقة مجلس القضاء الأعلى. ويوجد حالياً ست محاكم استئناف في المقاطعات التالية: تيرانا وشكودرا ودوريس وكورتشه وجيروكاستر وفلورا. ويصل العدد الكلي للقضاة العاملين في هذه المحاكم 5</w:t>
      </w:r>
      <w:r>
        <w:rPr>
          <w:rFonts w:hint="cs"/>
          <w:rtl/>
        </w:rPr>
        <w:t>2 قاضياً. ويعين رئيس الجمهورية قضاة محاكم الاستئناف بناءً على اقتراح مجلس القضاء الأعلى.</w:t>
      </w:r>
    </w:p>
    <w:p w:rsidR="00000000" w:rsidRDefault="00AC31D5">
      <w:pPr>
        <w:jc w:val="both"/>
        <w:rPr>
          <w:rFonts w:hint="cs"/>
          <w:rtl/>
        </w:rPr>
      </w:pPr>
      <w:r>
        <w:rPr>
          <w:rFonts w:hint="cs"/>
          <w:rtl/>
        </w:rPr>
        <w:t>71-</w:t>
      </w:r>
      <w:r>
        <w:rPr>
          <w:rFonts w:hint="cs"/>
          <w:rtl/>
        </w:rPr>
        <w:tab/>
        <w:t>وتُنشأ المحاكم الابتدائية في كل دائرة قضائية (ويبلغ عددها الكلي 29 محكمة يعمل فيها 293 قاضياً). ويشمل اختصاصها الدوائر القضائية المنوطة بها. ويرأس المحاكمات قاضٍ و</w:t>
      </w:r>
      <w:r>
        <w:rPr>
          <w:rFonts w:hint="cs"/>
          <w:rtl/>
        </w:rPr>
        <w:t xml:space="preserve">احدٍ، ولكن يجوز في قضايا مختلفة، أن تتولى المحاكمة هيئة من ثلاثة قضاة. </w:t>
      </w:r>
    </w:p>
    <w:p w:rsidR="00000000" w:rsidRDefault="00AC31D5">
      <w:pPr>
        <w:jc w:val="both"/>
        <w:rPr>
          <w:rFonts w:hint="cs"/>
          <w:rtl/>
        </w:rPr>
      </w:pPr>
      <w:r>
        <w:rPr>
          <w:rFonts w:hint="cs"/>
          <w:rtl/>
        </w:rPr>
        <w:t>72-</w:t>
      </w:r>
      <w:r>
        <w:rPr>
          <w:rFonts w:hint="cs"/>
          <w:rtl/>
        </w:rPr>
        <w:tab/>
        <w:t>وتتكون المحاكم العسكرية من محاكم ابتدائية عسكرية ومحاكم استئنافٍ عسكرية. وفي الواقع، رغم أن القانون ينص على هذه المحاكم العسكرية، فإن المحاكم القريبة من الدوائر القضائية تمارس مهام</w:t>
      </w:r>
      <w:r>
        <w:rPr>
          <w:rFonts w:hint="cs"/>
          <w:rtl/>
        </w:rPr>
        <w:t xml:space="preserve"> المحاكم الابتدائية العسكرية. في حين تمارس محكمة الاستئناف العسكرية مهامها باستقلالية (ومقرها في مدينة تيرانا).</w:t>
      </w:r>
    </w:p>
    <w:p w:rsidR="00000000" w:rsidRDefault="00AC31D5">
      <w:pPr>
        <w:jc w:val="both"/>
        <w:rPr>
          <w:rFonts w:hint="cs"/>
          <w:rtl/>
        </w:rPr>
      </w:pPr>
      <w:r>
        <w:rPr>
          <w:rFonts w:hint="cs"/>
          <w:rtl/>
        </w:rPr>
        <w:t>73-</w:t>
      </w:r>
      <w:r>
        <w:rPr>
          <w:rFonts w:hint="cs"/>
          <w:rtl/>
        </w:rPr>
        <w:tab/>
        <w:t>ويتكون</w:t>
      </w:r>
      <w:r>
        <w:rPr>
          <w:rFonts w:hint="cs"/>
          <w:b/>
          <w:bCs/>
          <w:rtl/>
        </w:rPr>
        <w:t xml:space="preserve"> </w:t>
      </w:r>
      <w:r>
        <w:rPr>
          <w:rFonts w:hint="cs"/>
          <w:rtl/>
        </w:rPr>
        <w:t>مجلس القضاء الأعلى من رئيس الجمهورية ورئيس المحكمة العليا ووزير العدل ومن ثلاثة أعضاء ينتخبهم مجلس الشعب وتسعة قضاة من جميع المستويات</w:t>
      </w:r>
      <w:r>
        <w:rPr>
          <w:rFonts w:hint="cs"/>
          <w:rtl/>
        </w:rPr>
        <w:t xml:space="preserve"> ينتخبهم المؤتمر القضائي الوطني، وتستمر عضوية هذا المجلس لمدة خمس سنوات. ويبت المجلس في نقل القضاة وكذلك في مسؤولياتهم التأديبية وفقاً للقانون.</w:t>
      </w:r>
    </w:p>
    <w:p w:rsidR="00000000" w:rsidRDefault="00AC31D5">
      <w:pPr>
        <w:jc w:val="both"/>
        <w:rPr>
          <w:rFonts w:hint="cs"/>
          <w:rtl/>
        </w:rPr>
      </w:pPr>
      <w:r>
        <w:rPr>
          <w:rFonts w:hint="cs"/>
          <w:rtl/>
        </w:rPr>
        <w:t>74-</w:t>
      </w:r>
      <w:r>
        <w:rPr>
          <w:rFonts w:hint="cs"/>
          <w:rtl/>
        </w:rPr>
        <w:tab/>
        <w:t>ويمارس</w:t>
      </w:r>
      <w:r>
        <w:rPr>
          <w:rFonts w:hint="cs"/>
          <w:b/>
          <w:bCs/>
          <w:rtl/>
        </w:rPr>
        <w:t xml:space="preserve"> </w:t>
      </w:r>
      <w:r>
        <w:rPr>
          <w:rFonts w:hint="cs"/>
          <w:rtl/>
        </w:rPr>
        <w:t>مكتب المدعي العام</w:t>
      </w:r>
      <w:r>
        <w:rPr>
          <w:rFonts w:hint="cs"/>
          <w:b/>
          <w:bCs/>
          <w:rtl/>
        </w:rPr>
        <w:t xml:space="preserve"> </w:t>
      </w:r>
      <w:r>
        <w:rPr>
          <w:rFonts w:hint="cs"/>
          <w:rtl/>
        </w:rPr>
        <w:t>مهام الادعاء الجنائي ويمثل الدولة في المحكمة. ويعين رئيس الجمهورية المدعي العام بمو</w:t>
      </w:r>
      <w:r>
        <w:rPr>
          <w:rFonts w:hint="cs"/>
          <w:rtl/>
        </w:rPr>
        <w:t>افقة مجلس الشعب ( المادتان 148 و149 من الدستور) ويجوز أن يعفيه من مهامه بناءً على اقتراح مجلس الشعب. والمدعون مستقلون في ممارسة صلاحياتهم ويخضعون للدستور والقوانين.</w:t>
      </w:r>
    </w:p>
    <w:p w:rsidR="00000000" w:rsidRDefault="00AC31D5">
      <w:pPr>
        <w:jc w:val="both"/>
        <w:rPr>
          <w:rFonts w:hint="cs"/>
          <w:rtl/>
        </w:rPr>
      </w:pPr>
      <w:r>
        <w:rPr>
          <w:rFonts w:hint="cs"/>
          <w:rtl/>
        </w:rPr>
        <w:t>75-</w:t>
      </w:r>
      <w:r>
        <w:rPr>
          <w:rFonts w:hint="cs"/>
          <w:rtl/>
        </w:rPr>
        <w:tab/>
        <w:t>وتشرف هيئة الرقابة العليا للدولة على الأنشطة الاقتصادية التي تضطلع بها مؤسسات الدولة، و</w:t>
      </w:r>
      <w:r>
        <w:rPr>
          <w:rFonts w:hint="cs"/>
          <w:rtl/>
        </w:rPr>
        <w:t xml:space="preserve">على استخدام أجهزة الإدارة المركزية والمحلية أموال الدولة وحفظها، كما تشرف على الأنشطة الاقتصادية للشخصيات الاعتبارية التي تملك الدولة أكثر من نصف وحداتها أو أسهمها (المواد من 162 إلى 165 من الدستور). ويعين مجلس الشعب رئيس هيئة الرقابة العليا للدولة ويعفيه </w:t>
      </w:r>
      <w:r>
        <w:rPr>
          <w:rFonts w:hint="cs"/>
          <w:rtl/>
        </w:rPr>
        <w:t xml:space="preserve">من مهامه بناءً على اقتراح رئيس الجمهورية، ويحدد مدة ولايته بسبع سنوات. </w:t>
      </w:r>
    </w:p>
    <w:p w:rsidR="00000000" w:rsidRDefault="00AC31D5">
      <w:pPr>
        <w:jc w:val="center"/>
        <w:rPr>
          <w:rFonts w:hint="cs"/>
          <w:rtl/>
        </w:rPr>
      </w:pPr>
      <w:r>
        <w:rPr>
          <w:rFonts w:hint="cs"/>
          <w:b/>
          <w:bCs/>
          <w:rtl/>
        </w:rPr>
        <w:t>4- المحكمة الدستورية</w:t>
      </w:r>
    </w:p>
    <w:p w:rsidR="00000000" w:rsidRDefault="00AC31D5">
      <w:pPr>
        <w:jc w:val="both"/>
        <w:rPr>
          <w:rFonts w:hint="cs"/>
          <w:rtl/>
        </w:rPr>
      </w:pPr>
      <w:r>
        <w:rPr>
          <w:rFonts w:hint="cs"/>
          <w:rtl/>
        </w:rPr>
        <w:t>76-</w:t>
      </w:r>
      <w:r>
        <w:rPr>
          <w:rFonts w:hint="cs"/>
          <w:rtl/>
        </w:rPr>
        <w:tab/>
        <w:t>لا تخضع المحكمة الدستورية إلا للدستور. وتتمتع باستقلال تنظيمي وإداري ومالي تام في اضطلاعها بالمهام المحددة لها وفقاً للدستور والقانون.</w:t>
      </w:r>
    </w:p>
    <w:p w:rsidR="00000000" w:rsidRDefault="00AC31D5">
      <w:pPr>
        <w:jc w:val="both"/>
        <w:rPr>
          <w:rFonts w:hint="cs"/>
          <w:rtl/>
        </w:rPr>
      </w:pPr>
      <w:r>
        <w:rPr>
          <w:rFonts w:hint="cs"/>
          <w:rtl/>
        </w:rPr>
        <w:t>77-</w:t>
      </w:r>
      <w:r>
        <w:rPr>
          <w:rFonts w:hint="cs"/>
          <w:rtl/>
        </w:rPr>
        <w:tab/>
        <w:t>وتتكون المحكمة الدست</w:t>
      </w:r>
      <w:r>
        <w:rPr>
          <w:rFonts w:hint="cs"/>
          <w:rtl/>
        </w:rPr>
        <w:t xml:space="preserve">ورية من تسعة أعضاء (وهم محامون ذو كفاءاتٍ عالية وأصحاب خبرة عملية لا تقل عن 15 عاماً) يعينهم رئيس الجمهورية بموافقة مجلس الشعب لمدة تسع سنوات ولا يجوز إعادة تعيينهم. </w:t>
      </w:r>
    </w:p>
    <w:p w:rsidR="00000000" w:rsidRDefault="00AC31D5">
      <w:pPr>
        <w:jc w:val="both"/>
        <w:rPr>
          <w:rFonts w:hint="cs"/>
          <w:rtl/>
        </w:rPr>
      </w:pPr>
      <w:r>
        <w:rPr>
          <w:rFonts w:hint="cs"/>
          <w:rtl/>
        </w:rPr>
        <w:t>78-</w:t>
      </w:r>
      <w:r>
        <w:rPr>
          <w:rFonts w:hint="cs"/>
          <w:rtl/>
        </w:rPr>
        <w:tab/>
        <w:t>ولا تعقد المحكمة الدستورية، لممارسة صلاحياتها، إلا بناءً على طلب رئيس الجمهورية ورئيس</w:t>
      </w:r>
      <w:r>
        <w:rPr>
          <w:rFonts w:hint="cs"/>
          <w:rtl/>
        </w:rPr>
        <w:t xml:space="preserve"> الوزراء وعدد لا يقل عن خمس نواب البرلمان ورئيس هيئة الرقابة العليا للدولة. كما يمكن أن تعقد بناءً على طلب محامي الشعب وهيئات الإدارة المحلية وهيئات الطوائف الدينية؛ والأحزاب السياسية والتنظيمات الأخرى التي تدعي أن المسألة تمس مصالحها وكذلك كل قاض يجد عند </w:t>
      </w:r>
      <w:r>
        <w:rPr>
          <w:rFonts w:hint="cs"/>
          <w:rtl/>
        </w:rPr>
        <w:t xml:space="preserve">النظر في القضية أن أحد القوانين يتعارض مع الدستور أو مع اتفاق دولي صدَّقت عليه جمهورية ألبانيا. وتضطلع المحكمة الدستورية بالمهام التالية: تفسير الدستور والقوانين، والحكم على تعارض القوانين وأحكام الاتفاقات الدولية وكذلك على تعارض القوانين مع أحكام القانون </w:t>
      </w:r>
      <w:r>
        <w:rPr>
          <w:rFonts w:hint="cs"/>
          <w:rtl/>
        </w:rPr>
        <w:t>الدولي ومع اتفاقاتٍ أصبحت ألبانيا طرفاً فيها.</w:t>
      </w:r>
    </w:p>
    <w:p w:rsidR="00000000" w:rsidRDefault="00AC31D5">
      <w:pPr>
        <w:jc w:val="center"/>
        <w:rPr>
          <w:rFonts w:hint="cs"/>
          <w:b/>
          <w:bCs/>
          <w:sz w:val="36"/>
          <w:szCs w:val="36"/>
          <w:rtl/>
        </w:rPr>
      </w:pPr>
      <w:r>
        <w:rPr>
          <w:rFonts w:hint="cs"/>
          <w:b/>
          <w:bCs/>
          <w:sz w:val="36"/>
          <w:szCs w:val="36"/>
          <w:rtl/>
        </w:rPr>
        <w:t>ثالثاً- الإطار القانوني العام لحماية حقوق الإنسان</w:t>
      </w:r>
    </w:p>
    <w:p w:rsidR="00000000" w:rsidRDefault="00AC31D5">
      <w:pPr>
        <w:jc w:val="center"/>
        <w:rPr>
          <w:rFonts w:hint="cs"/>
          <w:b/>
          <w:bCs/>
          <w:rtl/>
        </w:rPr>
      </w:pPr>
      <w:r>
        <w:rPr>
          <w:rFonts w:hint="cs"/>
          <w:b/>
          <w:bCs/>
          <w:rtl/>
        </w:rPr>
        <w:t>ألف- السلطات التي يتصل اختصاصها بحقوق الإنسان</w:t>
      </w:r>
    </w:p>
    <w:p w:rsidR="00000000" w:rsidRDefault="00AC31D5">
      <w:pPr>
        <w:jc w:val="center"/>
        <w:rPr>
          <w:rFonts w:hint="cs"/>
          <w:b/>
          <w:bCs/>
          <w:rtl/>
        </w:rPr>
      </w:pPr>
      <w:r>
        <w:rPr>
          <w:rFonts w:hint="cs"/>
          <w:b/>
          <w:bCs/>
          <w:rtl/>
        </w:rPr>
        <w:t>1- السلطات التشريعية</w:t>
      </w:r>
    </w:p>
    <w:p w:rsidR="00000000" w:rsidRDefault="00AC31D5">
      <w:pPr>
        <w:jc w:val="left"/>
        <w:rPr>
          <w:rFonts w:hint="cs"/>
          <w:rtl/>
        </w:rPr>
      </w:pPr>
      <w:r>
        <w:rPr>
          <w:rFonts w:hint="cs"/>
          <w:rtl/>
        </w:rPr>
        <w:t>79-</w:t>
      </w:r>
      <w:r>
        <w:rPr>
          <w:rFonts w:hint="cs"/>
          <w:rtl/>
        </w:rPr>
        <w:tab/>
        <w:t>البرلمان الألباني:</w:t>
      </w:r>
    </w:p>
    <w:p w:rsidR="00000000" w:rsidRDefault="00AC31D5">
      <w:pPr>
        <w:jc w:val="both"/>
        <w:rPr>
          <w:rFonts w:hint="cs"/>
          <w:rtl/>
        </w:rPr>
      </w:pPr>
      <w:r>
        <w:rPr>
          <w:rFonts w:hint="cs"/>
          <w:rtl/>
        </w:rPr>
        <w:tab/>
        <w:t>-</w:t>
      </w:r>
      <w:r>
        <w:rPr>
          <w:rFonts w:hint="cs"/>
          <w:rtl/>
        </w:rPr>
        <w:tab/>
        <w:t>يناقش القوانين ويقرها وفقاً لأحكام الدستور المتعلقة بحقوق الإنسان و</w:t>
      </w:r>
      <w:r>
        <w:rPr>
          <w:rFonts w:hint="cs"/>
          <w:rtl/>
        </w:rPr>
        <w:t>الحريات الأساسية؛</w:t>
      </w:r>
    </w:p>
    <w:p w:rsidR="00000000" w:rsidRDefault="00AC31D5">
      <w:pPr>
        <w:ind w:left="1440" w:hanging="720"/>
        <w:jc w:val="both"/>
        <w:rPr>
          <w:rFonts w:hint="cs"/>
          <w:rtl/>
        </w:rPr>
      </w:pPr>
      <w:r>
        <w:rPr>
          <w:rFonts w:hint="cs"/>
          <w:rtl/>
        </w:rPr>
        <w:t>-</w:t>
      </w:r>
      <w:r>
        <w:rPr>
          <w:rFonts w:hint="cs"/>
          <w:rtl/>
        </w:rPr>
        <w:tab/>
        <w:t>يستمع إلى تقارير المدعي العام ورئيس محكمة العدل العليا التي تتعلق باحترام حقوق الإنسان وحرياته الأساسية؛</w:t>
      </w:r>
    </w:p>
    <w:p w:rsidR="00000000" w:rsidRDefault="00AC31D5">
      <w:pPr>
        <w:jc w:val="both"/>
        <w:rPr>
          <w:rFonts w:hint="cs"/>
          <w:rtl/>
        </w:rPr>
      </w:pPr>
      <w:r>
        <w:rPr>
          <w:rFonts w:hint="cs"/>
          <w:rtl/>
        </w:rPr>
        <w:tab/>
        <w:t>-</w:t>
      </w:r>
      <w:r>
        <w:rPr>
          <w:rFonts w:hint="cs"/>
          <w:rtl/>
        </w:rPr>
        <w:tab/>
        <w:t>يستدعي رئيس الوزراء والوزراء بشأن مسائل تتعلق بحقوق الإنسان والحريات الأساسية؛</w:t>
      </w:r>
    </w:p>
    <w:p w:rsidR="00000000" w:rsidRDefault="00AC31D5">
      <w:pPr>
        <w:jc w:val="both"/>
        <w:rPr>
          <w:rFonts w:hint="cs"/>
          <w:rtl/>
        </w:rPr>
      </w:pPr>
      <w:r>
        <w:rPr>
          <w:rFonts w:hint="cs"/>
          <w:rtl/>
        </w:rPr>
        <w:tab/>
        <w:t>-</w:t>
      </w:r>
      <w:r>
        <w:rPr>
          <w:rFonts w:hint="cs"/>
          <w:rtl/>
        </w:rPr>
        <w:tab/>
        <w:t>يصدق على الاتفاقيات الدولية المبرمة في إطار حم</w:t>
      </w:r>
      <w:r>
        <w:rPr>
          <w:rFonts w:hint="cs"/>
          <w:rtl/>
        </w:rPr>
        <w:t>اية حقوق الإنسان والحريات الأساسية.</w:t>
      </w:r>
    </w:p>
    <w:p w:rsidR="00000000" w:rsidRDefault="00AC31D5">
      <w:pPr>
        <w:jc w:val="both"/>
        <w:rPr>
          <w:rFonts w:hint="cs"/>
          <w:rtl/>
        </w:rPr>
      </w:pPr>
      <w:r>
        <w:rPr>
          <w:rFonts w:hint="cs"/>
          <w:rtl/>
        </w:rPr>
        <w:t>80-</w:t>
      </w:r>
      <w:r>
        <w:rPr>
          <w:rFonts w:hint="cs"/>
          <w:rtl/>
        </w:rPr>
        <w:tab/>
        <w:t>اللجنة البرلمانية المعنية بحقوق الإنسان والأقليات والالتماسات:</w:t>
      </w:r>
    </w:p>
    <w:p w:rsidR="00000000" w:rsidRDefault="00AC31D5">
      <w:pPr>
        <w:jc w:val="both"/>
        <w:rPr>
          <w:rFonts w:hint="cs"/>
          <w:rtl/>
        </w:rPr>
      </w:pPr>
      <w:r>
        <w:rPr>
          <w:rFonts w:hint="cs"/>
          <w:rtl/>
        </w:rPr>
        <w:tab/>
        <w:t>-</w:t>
      </w:r>
      <w:r>
        <w:rPr>
          <w:rFonts w:hint="cs"/>
          <w:rtl/>
        </w:rPr>
        <w:tab/>
        <w:t>تستعرض توافق مشاريع القوانين مع حقوق الإنسان والحقوق الدستورية الأساسية؛</w:t>
      </w:r>
    </w:p>
    <w:p w:rsidR="00000000" w:rsidRDefault="00AC31D5">
      <w:pPr>
        <w:ind w:left="1440" w:hanging="720"/>
        <w:jc w:val="both"/>
        <w:rPr>
          <w:rFonts w:hint="cs"/>
          <w:rtl/>
        </w:rPr>
      </w:pPr>
      <w:r>
        <w:rPr>
          <w:rFonts w:hint="cs"/>
          <w:rtl/>
        </w:rPr>
        <w:t>-</w:t>
      </w:r>
      <w:r>
        <w:rPr>
          <w:rFonts w:hint="cs"/>
          <w:rtl/>
        </w:rPr>
        <w:tab/>
        <w:t>تقدم تقريراً مدوناً إلى الجلسة العامة للبرلمان الألباني بشأن المشاكل التي ظ</w:t>
      </w:r>
      <w:r>
        <w:rPr>
          <w:rFonts w:hint="cs"/>
          <w:rtl/>
        </w:rPr>
        <w:t>هرت أثناء استعراض مشاريع القوانين؛</w:t>
      </w:r>
    </w:p>
    <w:p w:rsidR="00000000" w:rsidRDefault="00AC31D5">
      <w:pPr>
        <w:ind w:left="1440" w:hanging="720"/>
        <w:jc w:val="both"/>
        <w:rPr>
          <w:rFonts w:hint="cs"/>
          <w:rtl/>
        </w:rPr>
      </w:pPr>
      <w:r>
        <w:rPr>
          <w:rFonts w:hint="cs"/>
          <w:rtl/>
        </w:rPr>
        <w:t>-</w:t>
      </w:r>
      <w:r>
        <w:rPr>
          <w:rFonts w:hint="cs"/>
          <w:rtl/>
        </w:rPr>
        <w:tab/>
        <w:t>تستعرض الشكاوى والالتماسات المتصلة بحقوق الإنسان والحريات الأساسية، وتقدمها إلى المؤسسات المعنية لوضع حلول لها وتتابع تنفيذها؛</w:t>
      </w:r>
    </w:p>
    <w:p w:rsidR="00000000" w:rsidRDefault="00AC31D5">
      <w:pPr>
        <w:ind w:left="1440" w:hanging="720"/>
        <w:jc w:val="both"/>
        <w:rPr>
          <w:rFonts w:hint="cs"/>
          <w:rtl/>
        </w:rPr>
      </w:pPr>
      <w:r>
        <w:rPr>
          <w:rFonts w:hint="cs"/>
          <w:rtl/>
        </w:rPr>
        <w:t>-</w:t>
      </w:r>
      <w:r>
        <w:rPr>
          <w:rFonts w:hint="cs"/>
          <w:rtl/>
        </w:rPr>
        <w:tab/>
        <w:t>تراقب أنشطة جميع المؤسسات الحكومية بهدف تطبيق التشريعات المتعلقة بحقوق الإنسان والحريات ال</w:t>
      </w:r>
      <w:r>
        <w:rPr>
          <w:rFonts w:hint="cs"/>
          <w:rtl/>
        </w:rPr>
        <w:t>أساسية؛</w:t>
      </w:r>
    </w:p>
    <w:p w:rsidR="00000000" w:rsidRDefault="00AC31D5">
      <w:pPr>
        <w:jc w:val="both"/>
        <w:rPr>
          <w:rFonts w:hint="cs"/>
          <w:rtl/>
        </w:rPr>
      </w:pPr>
      <w:r>
        <w:rPr>
          <w:rFonts w:hint="cs"/>
          <w:rtl/>
        </w:rPr>
        <w:tab/>
        <w:t>-</w:t>
      </w:r>
      <w:r>
        <w:rPr>
          <w:rFonts w:hint="cs"/>
          <w:rtl/>
        </w:rPr>
        <w:tab/>
        <w:t>تنفذ أنشطة عامة غايتها التعريف على نطاقٍ واسع بجميع حقوق الإنسان والحريات الأساسية.</w:t>
      </w:r>
    </w:p>
    <w:p w:rsidR="00000000" w:rsidRDefault="00AC31D5">
      <w:pPr>
        <w:jc w:val="center"/>
        <w:rPr>
          <w:rFonts w:hint="cs"/>
          <w:b/>
          <w:bCs/>
          <w:rtl/>
        </w:rPr>
      </w:pPr>
      <w:r>
        <w:rPr>
          <w:rFonts w:hint="cs"/>
          <w:b/>
          <w:bCs/>
          <w:rtl/>
        </w:rPr>
        <w:t>2- السلطات التنفيذية (مجلس الوزراء والحكم المحلي)</w:t>
      </w:r>
    </w:p>
    <w:p w:rsidR="00000000" w:rsidRDefault="00AC31D5">
      <w:pPr>
        <w:jc w:val="both"/>
        <w:rPr>
          <w:rFonts w:hint="cs"/>
          <w:rtl/>
        </w:rPr>
      </w:pPr>
      <w:r>
        <w:rPr>
          <w:rFonts w:hint="cs"/>
          <w:rtl/>
        </w:rPr>
        <w:t>81-</w:t>
      </w:r>
      <w:r>
        <w:rPr>
          <w:rFonts w:hint="cs"/>
          <w:rtl/>
        </w:rPr>
        <w:tab/>
        <w:t>تقترح السلطات التنفيذية القوانين وتصدر الأحكام اللازمة لتطبيق القوانين وتتخذ التدابير الإدارية.</w:t>
      </w:r>
    </w:p>
    <w:p w:rsidR="00000000" w:rsidRDefault="00AC31D5">
      <w:pPr>
        <w:jc w:val="center"/>
        <w:rPr>
          <w:rFonts w:hint="cs"/>
          <w:b/>
          <w:bCs/>
          <w:rtl/>
        </w:rPr>
      </w:pPr>
      <w:r>
        <w:rPr>
          <w:rFonts w:hint="cs"/>
          <w:b/>
          <w:bCs/>
          <w:rtl/>
        </w:rPr>
        <w:t xml:space="preserve">3- السلطات </w:t>
      </w:r>
      <w:r>
        <w:rPr>
          <w:rFonts w:hint="cs"/>
          <w:b/>
          <w:bCs/>
          <w:rtl/>
        </w:rPr>
        <w:t>القضائية</w:t>
      </w:r>
    </w:p>
    <w:p w:rsidR="00000000" w:rsidRDefault="00AC31D5">
      <w:pPr>
        <w:jc w:val="left"/>
        <w:rPr>
          <w:rFonts w:hint="cs"/>
          <w:rtl/>
        </w:rPr>
      </w:pPr>
      <w:r>
        <w:rPr>
          <w:rFonts w:hint="cs"/>
          <w:rtl/>
        </w:rPr>
        <w:t>82-</w:t>
      </w:r>
      <w:r>
        <w:rPr>
          <w:rFonts w:hint="cs"/>
          <w:rtl/>
        </w:rPr>
        <w:tab/>
        <w:t>المحكمة الدستورية:</w:t>
      </w:r>
    </w:p>
    <w:p w:rsidR="00000000" w:rsidRDefault="00AC31D5">
      <w:pPr>
        <w:ind w:left="1440" w:hanging="720"/>
        <w:jc w:val="both"/>
        <w:rPr>
          <w:rFonts w:hint="cs"/>
          <w:rtl/>
        </w:rPr>
      </w:pPr>
      <w:r>
        <w:rPr>
          <w:rFonts w:hint="cs"/>
          <w:rtl/>
        </w:rPr>
        <w:t>-</w:t>
      </w:r>
      <w:r>
        <w:rPr>
          <w:rFonts w:hint="cs"/>
          <w:rtl/>
        </w:rPr>
        <w:tab/>
        <w:t>تحمي الحق الدستوري في محاكمة وفق الأصول القانونية (الفقرة (و) من المادة 131من الدستور). وللفرد الحق في الاستئناف أمام المحكمة الدستورية لانتهاكاتٍ مست حقه في محاكمةٍ وفق الأصول القانونية، بعد استنفاده جميع سبل التظلم؛</w:t>
      </w:r>
    </w:p>
    <w:p w:rsidR="00000000" w:rsidRDefault="00AC31D5">
      <w:pPr>
        <w:ind w:left="1440" w:hanging="720"/>
        <w:jc w:val="both"/>
        <w:rPr>
          <w:rFonts w:hint="cs"/>
          <w:rtl/>
        </w:rPr>
      </w:pPr>
      <w:r>
        <w:rPr>
          <w:rFonts w:hint="cs"/>
          <w:rtl/>
        </w:rPr>
        <w:t>-</w:t>
      </w:r>
      <w:r>
        <w:rPr>
          <w:rFonts w:hint="cs"/>
          <w:rtl/>
        </w:rPr>
        <w:tab/>
        <w:t>تن</w:t>
      </w:r>
      <w:r>
        <w:rPr>
          <w:rFonts w:hint="cs"/>
          <w:rtl/>
        </w:rPr>
        <w:t>ظر في الطلبات بإلغاء قوانين وتشريعات أخرى من شانها أن تنتهك حقوق الإنسان والحريات الأساسية، وذلك عندما يقدم هذه الشكاوى رئيس الجمهورية ورئيس الوزراء وخمس أعضاء البرلمان ورئيس هيئة الرقابة العليا للدولة وأمين المظالم وسلطات الحكم المحلي ومنظمات غير حكومية (</w:t>
      </w:r>
      <w:r>
        <w:rPr>
          <w:rFonts w:hint="cs"/>
          <w:rtl/>
        </w:rPr>
        <w:t>المادة 49 من القانون 8577/2000 الخاص بالمحكمة الدستورية).</w:t>
      </w:r>
    </w:p>
    <w:p w:rsidR="00000000" w:rsidRDefault="00AC31D5">
      <w:pPr>
        <w:jc w:val="both"/>
        <w:rPr>
          <w:rFonts w:hint="cs"/>
          <w:rtl/>
        </w:rPr>
      </w:pPr>
      <w:r>
        <w:rPr>
          <w:rFonts w:hint="cs"/>
          <w:rtl/>
        </w:rPr>
        <w:t>83-</w:t>
      </w:r>
      <w:r>
        <w:rPr>
          <w:rFonts w:hint="cs"/>
          <w:rtl/>
        </w:rPr>
        <w:tab/>
        <w:t xml:space="preserve">تتولى كل من المحكمة الابتدائية ومحكمة الاستئناف والمحكمة العليا حماية حقوق الأفراد وحرياتهم ومصالحهم القانونية التي يكفلها الدستور من خلال الشكاوى التي يقدمها الأفراد بشأن أي فعلٍ أو موقفٍ يصدر </w:t>
      </w:r>
      <w:r>
        <w:rPr>
          <w:rFonts w:hint="cs"/>
          <w:rtl/>
        </w:rPr>
        <w:t>عن الإدارة العامة ويعتبر انتهاكاً لحقوقهم وحرياتهم ومصالحهم الدستورية القانونية وبشأن تهمٍ وُجهت ضدهم.</w:t>
      </w:r>
    </w:p>
    <w:p w:rsidR="00000000" w:rsidRDefault="00AC31D5">
      <w:pPr>
        <w:jc w:val="center"/>
        <w:rPr>
          <w:rFonts w:hint="cs"/>
          <w:rtl/>
        </w:rPr>
      </w:pPr>
      <w:r>
        <w:rPr>
          <w:rFonts w:hint="cs"/>
          <w:b/>
          <w:bCs/>
          <w:rtl/>
        </w:rPr>
        <w:t>4- أمين المظالم</w:t>
      </w:r>
    </w:p>
    <w:p w:rsidR="00000000" w:rsidRDefault="00AC31D5">
      <w:pPr>
        <w:jc w:val="both"/>
        <w:rPr>
          <w:rFonts w:hint="cs"/>
          <w:rtl/>
        </w:rPr>
      </w:pPr>
      <w:r>
        <w:rPr>
          <w:rFonts w:hint="cs"/>
          <w:rtl/>
        </w:rPr>
        <w:t>84-</w:t>
      </w:r>
      <w:r>
        <w:rPr>
          <w:rFonts w:hint="cs"/>
          <w:rtl/>
        </w:rPr>
        <w:tab/>
        <w:t>مكتب محامي الشعب هو مؤسسة جديدة أُنشئت عملاً بدستور عام 1998، وبدأت أنشطتها خلال عام 2000. ويحمي أمين المظالم حقوق الأفراد وحرياتهم و</w:t>
      </w:r>
      <w:r>
        <w:rPr>
          <w:rFonts w:hint="cs"/>
          <w:rtl/>
        </w:rPr>
        <w:t>مصالحهم القانونية (الألبان أو الأجانب) من المخالفات والإجراءات غير المشروعة التي تتخذها مؤسسات الإدارة العامة أو من امتناعها عن اتخاذ الإجراءات اللازمة. ويتمتع أمين المظالم بالاستقلال في أداء مهامه (المادة 60 من الدستور).</w:t>
      </w:r>
    </w:p>
    <w:p w:rsidR="00000000" w:rsidRDefault="00AC31D5">
      <w:pPr>
        <w:jc w:val="both"/>
        <w:rPr>
          <w:rFonts w:hint="cs"/>
          <w:rtl/>
        </w:rPr>
      </w:pPr>
      <w:r>
        <w:rPr>
          <w:rFonts w:hint="cs"/>
          <w:rtl/>
        </w:rPr>
        <w:t>85-</w:t>
      </w:r>
      <w:r>
        <w:rPr>
          <w:rFonts w:hint="cs"/>
          <w:rtl/>
        </w:rPr>
        <w:tab/>
        <w:t>ويحدد القانون رقم 8454، الصادر</w:t>
      </w:r>
      <w:r>
        <w:rPr>
          <w:rFonts w:hint="cs"/>
          <w:rtl/>
        </w:rPr>
        <w:t xml:space="preserve"> في عام 1999 عن "أمين المظالم"، بالإضافة إلى الدستور، مهام مؤسسة أمين المظالم.</w:t>
      </w:r>
    </w:p>
    <w:p w:rsidR="00000000" w:rsidRDefault="00AC31D5">
      <w:pPr>
        <w:jc w:val="left"/>
        <w:rPr>
          <w:rFonts w:hint="cs"/>
          <w:rtl/>
        </w:rPr>
      </w:pPr>
      <w:r>
        <w:rPr>
          <w:rFonts w:hint="cs"/>
          <w:rtl/>
        </w:rPr>
        <w:t>86-</w:t>
      </w:r>
      <w:r>
        <w:rPr>
          <w:rFonts w:hint="cs"/>
          <w:rtl/>
        </w:rPr>
        <w:tab/>
        <w:t>وهذه المؤسسة:</w:t>
      </w:r>
    </w:p>
    <w:p w:rsidR="00000000" w:rsidRDefault="00AC31D5">
      <w:pPr>
        <w:jc w:val="both"/>
        <w:rPr>
          <w:rFonts w:hint="cs"/>
          <w:rtl/>
        </w:rPr>
      </w:pPr>
      <w:r>
        <w:rPr>
          <w:rFonts w:hint="cs"/>
          <w:rtl/>
        </w:rPr>
        <w:tab/>
        <w:t>(أ)</w:t>
      </w:r>
      <w:r>
        <w:rPr>
          <w:rFonts w:hint="cs"/>
          <w:rtl/>
        </w:rPr>
        <w:tab/>
        <w:t>تنظر في الشكاوى المقدمة من الأفراد أو من مجموعاتٍ من الأفراد بشأن انتهاكاتٍ مست حقوقهم؛</w:t>
      </w:r>
    </w:p>
    <w:p w:rsidR="00000000" w:rsidRDefault="00AC31D5">
      <w:pPr>
        <w:jc w:val="both"/>
        <w:rPr>
          <w:rFonts w:hint="cs"/>
          <w:rtl/>
        </w:rPr>
      </w:pPr>
      <w:r>
        <w:rPr>
          <w:rFonts w:hint="cs"/>
          <w:rtl/>
        </w:rPr>
        <w:tab/>
        <w:t>(ب)</w:t>
      </w:r>
      <w:r>
        <w:rPr>
          <w:rFonts w:hint="cs"/>
          <w:rtl/>
        </w:rPr>
        <w:tab/>
        <w:t>تلجأ إلى المحكمة الدستورية فيما يتعلق بالقوانين والتشريعات ال</w:t>
      </w:r>
      <w:r>
        <w:rPr>
          <w:rFonts w:hint="cs"/>
          <w:rtl/>
        </w:rPr>
        <w:t>أخرى التي تعتقد أنها تنتهك حقوق الإنسان وحرياته الأساسية؛</w:t>
      </w:r>
    </w:p>
    <w:p w:rsidR="00000000" w:rsidRDefault="00AC31D5">
      <w:pPr>
        <w:jc w:val="both"/>
        <w:rPr>
          <w:rFonts w:hint="cs"/>
          <w:rtl/>
        </w:rPr>
      </w:pPr>
      <w:r>
        <w:rPr>
          <w:rFonts w:hint="cs"/>
          <w:rtl/>
        </w:rPr>
        <w:tab/>
        <w:t>(ج)</w:t>
      </w:r>
      <w:r>
        <w:rPr>
          <w:rFonts w:hint="cs"/>
          <w:rtl/>
        </w:rPr>
        <w:tab/>
        <w:t xml:space="preserve">تقدم التوصيات إلى مؤسسات الإدارة العامة للرد على الشكاوى المقدمة من الأفراد أو من مجموعاتٍ من الأفراد؛ </w:t>
      </w:r>
    </w:p>
    <w:p w:rsidR="00000000" w:rsidRDefault="00AC31D5">
      <w:pPr>
        <w:jc w:val="both"/>
        <w:rPr>
          <w:rFonts w:hint="cs"/>
          <w:rtl/>
        </w:rPr>
      </w:pPr>
      <w:r>
        <w:rPr>
          <w:rFonts w:hint="cs"/>
          <w:rtl/>
        </w:rPr>
        <w:tab/>
        <w:t>(د)</w:t>
      </w:r>
      <w:r>
        <w:rPr>
          <w:rFonts w:hint="cs"/>
          <w:rtl/>
        </w:rPr>
        <w:tab/>
        <w:t xml:space="preserve">تقدم توصيات لمعالجة الانتهاك إلى السلطة المشرفة على الهيئة الإدارية التي ارتكبت هذا </w:t>
      </w:r>
      <w:r>
        <w:rPr>
          <w:rFonts w:hint="cs"/>
          <w:rtl/>
        </w:rPr>
        <w:t>الانتهاك.</w:t>
      </w:r>
    </w:p>
    <w:p w:rsidR="00000000" w:rsidRDefault="00AC31D5">
      <w:pPr>
        <w:jc w:val="both"/>
        <w:rPr>
          <w:rFonts w:hint="cs"/>
          <w:rtl/>
        </w:rPr>
      </w:pPr>
      <w:r>
        <w:rPr>
          <w:rFonts w:hint="cs"/>
          <w:rtl/>
        </w:rPr>
        <w:t>87-</w:t>
      </w:r>
      <w:r>
        <w:rPr>
          <w:rFonts w:hint="cs"/>
          <w:rtl/>
        </w:rPr>
        <w:tab/>
        <w:t xml:space="preserve">ومكتب أمين المظالم ليس بمؤسسةٍ تتخذ القرارات ولا يتمتع بسلطاتٍ تنفيذية. </w:t>
      </w:r>
    </w:p>
    <w:p w:rsidR="00000000" w:rsidRDefault="00AC31D5">
      <w:pPr>
        <w:jc w:val="center"/>
        <w:rPr>
          <w:rFonts w:hint="cs"/>
          <w:b/>
          <w:bCs/>
          <w:rtl/>
        </w:rPr>
      </w:pPr>
      <w:r>
        <w:rPr>
          <w:rFonts w:hint="cs"/>
          <w:b/>
          <w:bCs/>
          <w:rtl/>
        </w:rPr>
        <w:t xml:space="preserve">باء- سبل الانتصاف المتاحة للفرد الذي يدعي انتهاكاً لحقوقه </w:t>
      </w:r>
    </w:p>
    <w:p w:rsidR="00000000" w:rsidRDefault="00AC31D5">
      <w:pPr>
        <w:jc w:val="both"/>
        <w:rPr>
          <w:rFonts w:hint="cs"/>
          <w:rtl/>
        </w:rPr>
      </w:pPr>
      <w:r>
        <w:rPr>
          <w:rFonts w:hint="cs"/>
          <w:rtl/>
        </w:rPr>
        <w:t>88-</w:t>
      </w:r>
      <w:r>
        <w:rPr>
          <w:rFonts w:hint="cs"/>
          <w:rtl/>
        </w:rPr>
        <w:tab/>
        <w:t>لكل فردٍ الحق في الحماية وفي تقديم الشكاوى وفي رد الاعتبار و/أو في التعويض وفقاً لأحكام الدستور والتشريعات</w:t>
      </w:r>
      <w:r>
        <w:rPr>
          <w:rFonts w:hint="cs"/>
          <w:rtl/>
        </w:rPr>
        <w:t xml:space="preserve"> النافذة، في حالات تعرضه للأذى نتيجة إجراءٍ اتخذته المؤسسات الحكومية أو نتيجة امتناعها غير المشروع عن اتخاذ الإجراء اللازم (المادة 44 من الدستور).</w:t>
      </w:r>
    </w:p>
    <w:p w:rsidR="00000000" w:rsidRDefault="00AC31D5">
      <w:pPr>
        <w:jc w:val="both"/>
        <w:rPr>
          <w:rFonts w:hint="cs"/>
          <w:rtl/>
        </w:rPr>
      </w:pPr>
      <w:r>
        <w:rPr>
          <w:rFonts w:hint="cs"/>
          <w:rtl/>
        </w:rPr>
        <w:t>89-</w:t>
      </w:r>
      <w:r>
        <w:rPr>
          <w:rFonts w:hint="cs"/>
          <w:rtl/>
        </w:rPr>
        <w:tab/>
        <w:t>وتمنح الصكوك القانونية الحق في الطعن الإداري والطعن القانوني. فلكل مواطنٍ أو شخصٍ اعتباري الحق في أن يطلب</w:t>
      </w:r>
      <w:r>
        <w:rPr>
          <w:rFonts w:hint="cs"/>
          <w:rtl/>
        </w:rPr>
        <w:t xml:space="preserve"> من الإدارة العامة حماية مصالحه القانونية المباشرة، كما يحق لـه ذلك في الحالات التي لا تنتهك فيها مصالحه انتهاكاً مباشراً، إنما تكون لديه مصلحة عامة في المسألة، ومثال ذلك الحالات المتعلقة بالصحة العامة وبالتعليم والتراث الثقافي (القانون رقم 8485 الصادر في </w:t>
      </w:r>
      <w:r>
        <w:rPr>
          <w:rFonts w:hint="cs"/>
          <w:rtl/>
        </w:rPr>
        <w:t>12 أيار/مايو 1999، وقانون الإجراءات الإدارية لجمهورية ألبانيا).</w:t>
      </w:r>
    </w:p>
    <w:p w:rsidR="00000000" w:rsidRDefault="00AC31D5">
      <w:pPr>
        <w:jc w:val="both"/>
        <w:rPr>
          <w:rFonts w:hint="cs"/>
          <w:rtl/>
        </w:rPr>
      </w:pPr>
      <w:r>
        <w:rPr>
          <w:rFonts w:hint="cs"/>
          <w:rtl/>
        </w:rPr>
        <w:t>90-</w:t>
      </w:r>
      <w:r>
        <w:rPr>
          <w:rFonts w:hint="cs"/>
          <w:rtl/>
        </w:rPr>
        <w:tab/>
        <w:t>ويمنح التعويض لأي شخصٍ احتجز في السجن بصورةٍ غير مشروعة. وللمدعي العام الحق في أن يعلن عند انتهاء التحقيق حفظ الدعوى أو يطلب إعلان براءة الشخص المحتجز الذي خضع للاستجواب (المادة 328 من قان</w:t>
      </w:r>
      <w:r>
        <w:rPr>
          <w:rFonts w:hint="cs"/>
          <w:rtl/>
        </w:rPr>
        <w:t>ون الإجراءات الجنائية). وللشخص الذي أُعلنت براءته الحق في طلب التعويض عن احتجازه غير المشروع. وتبلغ قيمة التعويضات عن الاحتجاز غير المشروع 000 5 ليك.</w:t>
      </w:r>
    </w:p>
    <w:p w:rsidR="00000000" w:rsidRDefault="00AC31D5">
      <w:pPr>
        <w:jc w:val="both"/>
        <w:rPr>
          <w:rStyle w:val="FootnoteReference"/>
          <w:rFonts w:hint="cs"/>
          <w:bCs w:val="0"/>
          <w:spacing w:val="0"/>
          <w:vertAlign w:val="baseline"/>
          <w:rtl/>
        </w:rPr>
      </w:pPr>
      <w:r>
        <w:rPr>
          <w:rFonts w:hint="cs"/>
          <w:spacing w:val="0"/>
          <w:rtl/>
        </w:rPr>
        <w:t>91-</w:t>
      </w:r>
      <w:r>
        <w:rPr>
          <w:rFonts w:hint="cs"/>
          <w:spacing w:val="0"/>
          <w:rtl/>
        </w:rPr>
        <w:tab/>
        <w:t>ويمنح التعويض لأي شخص حتى في الحالات التي أُعلنت فيها براءته بعد تنفيذه الحكم. وينص قانون الإجراءات ال</w:t>
      </w:r>
      <w:r>
        <w:rPr>
          <w:rFonts w:hint="cs"/>
          <w:spacing w:val="0"/>
          <w:rtl/>
        </w:rPr>
        <w:t>جنائية (1996) على مراجعة الأحكام حتى في الحالات التي نُفذ فيها الحكم أو أُغلق فيها ملف القضية، وعلى الأخص الحالات المنصوص عليها في القانون. ولا يخضع الشخص المُدان أو أقرباؤه لمواعيد زمنية محددة لتقديم طلب إعادة نظر في القرار المتخذ. وللمدعي العام الحق في ا</w:t>
      </w:r>
      <w:r>
        <w:rPr>
          <w:rFonts w:hint="cs"/>
          <w:spacing w:val="0"/>
          <w:rtl/>
        </w:rPr>
        <w:t>لاستئناف لإعادة النظر في قضيةٍ ما ضمن إطارٍ زمني مدته خمس سنوات تبدأ منذ اليوم الذي أُعلنت فيه براءة أحد الأشخاص من جريمةٍ مرتكبة (المادة 449/2 من قانون الإجراءات الجنائية).</w:t>
      </w:r>
    </w:p>
    <w:p w:rsidR="00000000" w:rsidRDefault="00AC31D5">
      <w:pPr>
        <w:jc w:val="both"/>
        <w:rPr>
          <w:rFonts w:hint="cs"/>
          <w:rtl/>
        </w:rPr>
      </w:pPr>
      <w:r>
        <w:rPr>
          <w:rFonts w:hint="cs"/>
          <w:rtl/>
        </w:rPr>
        <w:t>92-</w:t>
      </w:r>
      <w:r>
        <w:rPr>
          <w:rFonts w:hint="cs"/>
          <w:rtl/>
        </w:rPr>
        <w:tab/>
        <w:t>وعندما تصدر المحكمة حكم البراءة بحق أي شخص، تأمر بأن تعاد إليه جميع المبالغ ال</w:t>
      </w:r>
      <w:r>
        <w:rPr>
          <w:rFonts w:hint="cs"/>
          <w:rtl/>
        </w:rPr>
        <w:t>تي دفعها كغرامة ولتغطية نفقات المحاكمة وللاحتجاز وبأن تلغى التدابير الأمنية، وأن تعاد إليه جميع الممتلكات الثمينة والأشياء التي صودرت منه، ما عدا الأشياء التي يشكل حملها أو تداولها أو استخدامها أو نقلها أو إنتاجها جرماً.</w:t>
      </w:r>
    </w:p>
    <w:p w:rsidR="00000000" w:rsidRDefault="00AC31D5">
      <w:pPr>
        <w:jc w:val="both"/>
        <w:rPr>
          <w:rFonts w:hint="cs"/>
          <w:rtl/>
        </w:rPr>
      </w:pPr>
      <w:r>
        <w:rPr>
          <w:rFonts w:hint="cs"/>
          <w:rtl/>
        </w:rPr>
        <w:t>93-</w:t>
      </w:r>
      <w:r>
        <w:rPr>
          <w:rFonts w:hint="cs"/>
          <w:rtl/>
        </w:rPr>
        <w:tab/>
        <w:t>وتنص المادة 459 من قانون الإجرا</w:t>
      </w:r>
      <w:r>
        <w:rPr>
          <w:rFonts w:hint="cs"/>
          <w:rtl/>
        </w:rPr>
        <w:t xml:space="preserve">ءات الجنائية على الحق في التعويض جراء حكم مجحف. ويحق للشخص الذي ثبتت براءته أثناء إعادة النظر في أحد الأحكام أن يحصل على تعويضٍ يناظر مدة العقوبة وما سببته من مشاكل أسرية. </w:t>
      </w:r>
    </w:p>
    <w:p w:rsidR="00000000" w:rsidRDefault="00AC31D5">
      <w:pPr>
        <w:jc w:val="center"/>
        <w:rPr>
          <w:rFonts w:hint="cs"/>
          <w:b/>
          <w:bCs/>
          <w:rtl/>
        </w:rPr>
      </w:pPr>
      <w:r>
        <w:rPr>
          <w:rFonts w:hint="cs"/>
          <w:b/>
          <w:bCs/>
          <w:rtl/>
        </w:rPr>
        <w:t>جيم - حقوق الإنسان والحريات الأساسية والدستور</w:t>
      </w:r>
    </w:p>
    <w:p w:rsidR="00000000" w:rsidRDefault="00AC31D5">
      <w:pPr>
        <w:jc w:val="both"/>
        <w:rPr>
          <w:rFonts w:hint="cs"/>
          <w:rtl/>
        </w:rPr>
      </w:pPr>
      <w:r>
        <w:rPr>
          <w:rFonts w:hint="cs"/>
          <w:rtl/>
        </w:rPr>
        <w:t>94-</w:t>
      </w:r>
      <w:r>
        <w:rPr>
          <w:rFonts w:hint="cs"/>
          <w:rtl/>
        </w:rPr>
        <w:tab/>
        <w:t>يعترف النظام القانوني الألباني بج</w:t>
      </w:r>
      <w:r>
        <w:rPr>
          <w:rFonts w:hint="cs"/>
          <w:rtl/>
        </w:rPr>
        <w:t>ميع الحقوق والحريات الأساسية المنصوص عليها في الصكوك الدولية لحقوق الإنسان ويكفل إعمالها. وقد أُقرت هذه الحقوق للمرة الأولى بعد التعديلات الديموقراطية التي أُدخلت على قانون الأحكام الدستورية العامة في عام 1991 (الذي عدل في عام 1993)، وفيما بعد باعتماد دستو</w:t>
      </w:r>
      <w:r>
        <w:rPr>
          <w:rFonts w:hint="cs"/>
          <w:rtl/>
        </w:rPr>
        <w:t>ر عام 1998. كما أُقرت من خلال تصديق جمهورية ألبانيا على مجموعةٍ كاملة من الاتفاقيات الدولية والقوانين التي اعتمدتها من أجل تطبيق أحكامها.</w:t>
      </w:r>
    </w:p>
    <w:p w:rsidR="00000000" w:rsidRDefault="00AC31D5">
      <w:pPr>
        <w:jc w:val="both"/>
        <w:rPr>
          <w:rFonts w:hint="cs"/>
          <w:rtl/>
        </w:rPr>
      </w:pPr>
      <w:r>
        <w:rPr>
          <w:rFonts w:hint="cs"/>
          <w:rtl/>
        </w:rPr>
        <w:t>95-</w:t>
      </w:r>
      <w:r>
        <w:rPr>
          <w:rFonts w:hint="cs"/>
          <w:rtl/>
        </w:rPr>
        <w:tab/>
        <w:t>وينص الدستور على دعم الدولة لحقوق الإنسان وحرياته وحمايتها واحترامها لها (المادة 3):</w:t>
      </w:r>
    </w:p>
    <w:p w:rsidR="00000000" w:rsidRDefault="00AC31D5">
      <w:pPr>
        <w:ind w:left="1434" w:hanging="720"/>
        <w:jc w:val="both"/>
        <w:rPr>
          <w:rFonts w:hint="cs"/>
          <w:rtl/>
        </w:rPr>
      </w:pPr>
      <w:r>
        <w:rPr>
          <w:rFonts w:hint="cs"/>
          <w:rtl/>
        </w:rPr>
        <w:t>-</w:t>
      </w:r>
      <w:r>
        <w:rPr>
          <w:rFonts w:hint="cs"/>
          <w:rtl/>
        </w:rPr>
        <w:tab/>
        <w:t xml:space="preserve">المادة 15: تنص على أن حقوق </w:t>
      </w:r>
      <w:r>
        <w:rPr>
          <w:rFonts w:hint="cs"/>
          <w:rtl/>
        </w:rPr>
        <w:t>الإنسان وحرياته هي حقوق وحريات متلازمة ولا يجوز تغييرها وانتهاكها، وأنها تمثل الأساس الذي يستند إليه النظام القانوني برمته؛</w:t>
      </w:r>
    </w:p>
    <w:p w:rsidR="00000000" w:rsidRDefault="00AC31D5">
      <w:pPr>
        <w:ind w:left="1434" w:hanging="720"/>
        <w:jc w:val="both"/>
        <w:rPr>
          <w:rFonts w:hint="cs"/>
          <w:rtl/>
        </w:rPr>
      </w:pPr>
      <w:r>
        <w:rPr>
          <w:rFonts w:hint="cs"/>
          <w:rtl/>
        </w:rPr>
        <w:t>-</w:t>
      </w:r>
      <w:r>
        <w:rPr>
          <w:rFonts w:hint="cs"/>
          <w:rtl/>
        </w:rPr>
        <w:tab/>
        <w:t xml:space="preserve">المادة 18: تنص على أن "الجميع متساوون أمام القانون" ولا يجوز التمييز ضد أي فرد على أساس الجنس أو العرق أو العقيدة أو الأصل الإثني </w:t>
      </w:r>
      <w:r>
        <w:rPr>
          <w:rFonts w:hint="cs"/>
          <w:rtl/>
        </w:rPr>
        <w:t>أو اللغة أو المعتقدات السياسية أو الدينية أو الفلسفية أو الوضع الثقافي أو الاقتصادي أو الاجتماعي. وهذه المادة لا تحظر التمييز الإيجابي وتجيز المعاملة الخاصة أو الدعم الخاص لفئاتٍ محددة من الأفراد، مثل الدعم التعليمي للطلاب الموهوبين من الأسر منخفضة الدخل؛</w:t>
      </w:r>
    </w:p>
    <w:p w:rsidR="00000000" w:rsidRDefault="00AC31D5">
      <w:pPr>
        <w:ind w:left="1434" w:hanging="720"/>
        <w:jc w:val="both"/>
        <w:rPr>
          <w:rFonts w:hint="cs"/>
          <w:rtl/>
        </w:rPr>
      </w:pPr>
      <w:r>
        <w:rPr>
          <w:rFonts w:hint="cs"/>
          <w:rtl/>
        </w:rPr>
        <w:t>-</w:t>
      </w:r>
      <w:r>
        <w:rPr>
          <w:rFonts w:hint="cs"/>
          <w:rtl/>
        </w:rPr>
        <w:tab/>
        <w:t>المادة 20: تنص على حماية الأقليات وتكفل لها "المساواة في الحقوق أمام القانون". كما تنص على أنه "يحق لها أن تظهر بحرية، ودون منع أو إكراه، أصلها الإثني وثقافتها وديانتها ولغتها"؛</w:t>
      </w:r>
    </w:p>
    <w:p w:rsidR="00000000" w:rsidRDefault="00AC31D5">
      <w:pPr>
        <w:ind w:left="1434" w:hanging="720"/>
        <w:jc w:val="both"/>
        <w:rPr>
          <w:rFonts w:hint="cs"/>
          <w:rtl/>
        </w:rPr>
      </w:pPr>
      <w:r>
        <w:rPr>
          <w:rFonts w:hint="cs"/>
          <w:rtl/>
        </w:rPr>
        <w:t>-</w:t>
      </w:r>
      <w:r>
        <w:rPr>
          <w:rFonts w:hint="cs"/>
          <w:rtl/>
        </w:rPr>
        <w:tab/>
        <w:t>المواد من 15 إلى 58: تكفل الحقوق المدنية والسياسية والثقافية والاقتصادية ل</w:t>
      </w:r>
      <w:r>
        <w:rPr>
          <w:rFonts w:hint="cs"/>
          <w:rtl/>
        </w:rPr>
        <w:t>كل فرد دون تحديدٍ لمعنى التمييز.</w:t>
      </w:r>
    </w:p>
    <w:p w:rsidR="00000000" w:rsidRDefault="00AC31D5">
      <w:pPr>
        <w:jc w:val="center"/>
        <w:rPr>
          <w:rFonts w:hint="cs"/>
          <w:b/>
          <w:bCs/>
          <w:rtl/>
        </w:rPr>
      </w:pPr>
      <w:r>
        <w:rPr>
          <w:rFonts w:hint="cs"/>
          <w:b/>
          <w:bCs/>
          <w:rtl/>
        </w:rPr>
        <w:t>1- الحقوق والحريات الفردية</w:t>
      </w:r>
    </w:p>
    <w:p w:rsidR="00000000" w:rsidRDefault="00AC31D5">
      <w:pPr>
        <w:jc w:val="both"/>
        <w:rPr>
          <w:rFonts w:hint="cs"/>
          <w:rtl/>
        </w:rPr>
      </w:pPr>
      <w:r>
        <w:rPr>
          <w:rFonts w:hint="cs"/>
          <w:rtl/>
        </w:rPr>
        <w:t>96- يكفل الدستور الحقوق الفردية التالية:</w:t>
      </w:r>
    </w:p>
    <w:p w:rsidR="00000000" w:rsidRDefault="00AC31D5">
      <w:pPr>
        <w:jc w:val="both"/>
        <w:rPr>
          <w:rFonts w:hint="cs"/>
          <w:rtl/>
        </w:rPr>
      </w:pPr>
      <w:r>
        <w:rPr>
          <w:rFonts w:hint="cs"/>
          <w:rtl/>
        </w:rPr>
        <w:tab/>
        <w:t>-</w:t>
      </w:r>
      <w:r>
        <w:rPr>
          <w:rFonts w:hint="cs"/>
          <w:rtl/>
        </w:rPr>
        <w:tab/>
        <w:t>المادة 21: الحق في الحياة؛</w:t>
      </w:r>
    </w:p>
    <w:p w:rsidR="00000000" w:rsidRDefault="00AC31D5">
      <w:pPr>
        <w:jc w:val="both"/>
        <w:rPr>
          <w:rFonts w:hint="cs"/>
          <w:rtl/>
        </w:rPr>
      </w:pPr>
      <w:r>
        <w:rPr>
          <w:rFonts w:hint="cs"/>
          <w:rtl/>
        </w:rPr>
        <w:tab/>
        <w:t>-</w:t>
      </w:r>
      <w:r>
        <w:rPr>
          <w:rFonts w:hint="cs"/>
          <w:rtl/>
        </w:rPr>
        <w:tab/>
        <w:t>المادتان 22 و23: حرية التعبير والحق في الحصول على المعلومات؛</w:t>
      </w:r>
    </w:p>
    <w:p w:rsidR="00000000" w:rsidRDefault="00AC31D5">
      <w:pPr>
        <w:jc w:val="both"/>
        <w:rPr>
          <w:rFonts w:hint="cs"/>
          <w:rtl/>
        </w:rPr>
      </w:pPr>
      <w:r>
        <w:rPr>
          <w:rFonts w:hint="cs"/>
          <w:rtl/>
        </w:rPr>
        <w:tab/>
        <w:t>-</w:t>
      </w:r>
      <w:r>
        <w:rPr>
          <w:rFonts w:hint="cs"/>
          <w:rtl/>
        </w:rPr>
        <w:tab/>
        <w:t>المادة 24: حرية الدين؛</w:t>
      </w:r>
    </w:p>
    <w:p w:rsidR="00000000" w:rsidRDefault="00AC31D5">
      <w:pPr>
        <w:jc w:val="both"/>
        <w:rPr>
          <w:rFonts w:hint="cs"/>
          <w:rtl/>
        </w:rPr>
      </w:pPr>
      <w:r>
        <w:rPr>
          <w:rFonts w:hint="cs"/>
          <w:rtl/>
        </w:rPr>
        <w:tab/>
        <w:t>-</w:t>
      </w:r>
      <w:r>
        <w:rPr>
          <w:rFonts w:hint="cs"/>
          <w:rtl/>
        </w:rPr>
        <w:tab/>
        <w:t>المادة 25: منع التعذيب أو المعام</w:t>
      </w:r>
      <w:r>
        <w:rPr>
          <w:rFonts w:hint="cs"/>
          <w:rtl/>
        </w:rPr>
        <w:t>لة اللاإنسانية أو المهينة؛</w:t>
      </w:r>
    </w:p>
    <w:p w:rsidR="00000000" w:rsidRDefault="00AC31D5">
      <w:pPr>
        <w:jc w:val="both"/>
        <w:rPr>
          <w:rFonts w:hint="cs"/>
          <w:rtl/>
        </w:rPr>
      </w:pPr>
      <w:r>
        <w:rPr>
          <w:rFonts w:hint="cs"/>
          <w:rtl/>
        </w:rPr>
        <w:tab/>
        <w:t>-</w:t>
      </w:r>
      <w:r>
        <w:rPr>
          <w:rFonts w:hint="cs"/>
          <w:rtl/>
        </w:rPr>
        <w:tab/>
        <w:t>المادة 26: منع العمل القسري؛</w:t>
      </w:r>
    </w:p>
    <w:p w:rsidR="00000000" w:rsidRDefault="00AC31D5">
      <w:pPr>
        <w:jc w:val="both"/>
        <w:rPr>
          <w:rFonts w:hint="cs"/>
          <w:rtl/>
        </w:rPr>
      </w:pPr>
      <w:r>
        <w:rPr>
          <w:rFonts w:hint="cs"/>
          <w:rtl/>
        </w:rPr>
        <w:tab/>
        <w:t>-</w:t>
      </w:r>
      <w:r>
        <w:rPr>
          <w:rFonts w:hint="cs"/>
          <w:rtl/>
        </w:rPr>
        <w:tab/>
        <w:t>المادة 27: الحرية الشخصية، باستثناء الحالات الواردة في القانون؛</w:t>
      </w:r>
    </w:p>
    <w:p w:rsidR="00000000" w:rsidRDefault="00AC31D5">
      <w:pPr>
        <w:ind w:left="1434" w:hanging="720"/>
        <w:jc w:val="both"/>
        <w:rPr>
          <w:rFonts w:hint="cs"/>
          <w:rtl/>
        </w:rPr>
      </w:pPr>
      <w:r>
        <w:rPr>
          <w:rFonts w:hint="cs"/>
          <w:rtl/>
        </w:rPr>
        <w:t>-</w:t>
      </w:r>
      <w:r>
        <w:rPr>
          <w:rFonts w:hint="cs"/>
          <w:rtl/>
        </w:rPr>
        <w:tab/>
      </w:r>
      <w:r>
        <w:rPr>
          <w:rFonts w:hint="cs"/>
          <w:spacing w:val="0"/>
          <w:rtl/>
        </w:rPr>
        <w:t>المادتان 28 و29: الحق في محاكمة عادلة وفي حصول الفرد المحروم من حريته على الحماية القانونية</w:t>
      </w:r>
      <w:r>
        <w:rPr>
          <w:rFonts w:hint="cs"/>
          <w:rtl/>
        </w:rPr>
        <w:t>؛</w:t>
      </w:r>
    </w:p>
    <w:p w:rsidR="00000000" w:rsidRDefault="00AC31D5">
      <w:pPr>
        <w:jc w:val="both"/>
        <w:rPr>
          <w:rFonts w:hint="cs"/>
          <w:rtl/>
        </w:rPr>
      </w:pPr>
      <w:r>
        <w:rPr>
          <w:rFonts w:hint="cs"/>
          <w:rtl/>
        </w:rPr>
        <w:tab/>
        <w:t>-</w:t>
      </w:r>
      <w:r>
        <w:rPr>
          <w:rFonts w:hint="cs"/>
          <w:rtl/>
        </w:rPr>
        <w:tab/>
        <w:t>المادة 30: قرينة البراءة للمتهم؛</w:t>
      </w:r>
    </w:p>
    <w:p w:rsidR="00000000" w:rsidRDefault="00AC31D5">
      <w:pPr>
        <w:jc w:val="both"/>
        <w:rPr>
          <w:rFonts w:hint="cs"/>
          <w:rtl/>
        </w:rPr>
      </w:pPr>
      <w:r>
        <w:rPr>
          <w:rFonts w:hint="cs"/>
          <w:rtl/>
        </w:rPr>
        <w:tab/>
        <w:t>-</w:t>
      </w:r>
      <w:r>
        <w:rPr>
          <w:rFonts w:hint="cs"/>
          <w:rtl/>
        </w:rPr>
        <w:tab/>
        <w:t>المواد من 31 إلى 35: حقوق المتهم أثناء المحاكمة؛</w:t>
      </w:r>
    </w:p>
    <w:p w:rsidR="00000000" w:rsidRDefault="00AC31D5">
      <w:pPr>
        <w:jc w:val="both"/>
        <w:rPr>
          <w:rFonts w:hint="cs"/>
          <w:rtl/>
        </w:rPr>
      </w:pPr>
      <w:r>
        <w:rPr>
          <w:rFonts w:hint="cs"/>
          <w:rtl/>
        </w:rPr>
        <w:tab/>
        <w:t>-</w:t>
      </w:r>
      <w:r>
        <w:rPr>
          <w:rFonts w:hint="cs"/>
          <w:rtl/>
        </w:rPr>
        <w:tab/>
        <w:t>المادة 36: حرية المراسلة وضمان سريتها؛</w:t>
      </w:r>
    </w:p>
    <w:p w:rsidR="00000000" w:rsidRDefault="00AC31D5">
      <w:pPr>
        <w:jc w:val="both"/>
        <w:rPr>
          <w:rFonts w:hint="cs"/>
          <w:rtl/>
        </w:rPr>
      </w:pPr>
      <w:r>
        <w:rPr>
          <w:rFonts w:hint="cs"/>
          <w:rtl/>
        </w:rPr>
        <w:tab/>
        <w:t>-</w:t>
      </w:r>
      <w:r>
        <w:rPr>
          <w:rFonts w:hint="cs"/>
          <w:rtl/>
        </w:rPr>
        <w:tab/>
        <w:t>المادة 37: حرمة المنازل؛</w:t>
      </w:r>
    </w:p>
    <w:p w:rsidR="00000000" w:rsidRDefault="00AC31D5">
      <w:pPr>
        <w:jc w:val="both"/>
        <w:rPr>
          <w:rFonts w:hint="cs"/>
          <w:rtl/>
        </w:rPr>
      </w:pPr>
      <w:r>
        <w:rPr>
          <w:rFonts w:hint="cs"/>
          <w:rtl/>
        </w:rPr>
        <w:tab/>
        <w:t>-</w:t>
      </w:r>
      <w:r>
        <w:rPr>
          <w:rFonts w:hint="cs"/>
          <w:rtl/>
        </w:rPr>
        <w:tab/>
        <w:t xml:space="preserve">المادة 38: الحق في حرية التنقل واختيار مكان الإقامة؛ </w:t>
      </w:r>
    </w:p>
    <w:p w:rsidR="00000000" w:rsidRDefault="00AC31D5">
      <w:pPr>
        <w:ind w:left="1434" w:hanging="720"/>
        <w:jc w:val="both"/>
        <w:rPr>
          <w:rFonts w:hint="cs"/>
          <w:rtl/>
        </w:rPr>
      </w:pPr>
      <w:r>
        <w:rPr>
          <w:rFonts w:hint="cs"/>
          <w:rtl/>
        </w:rPr>
        <w:t>-</w:t>
      </w:r>
      <w:r>
        <w:rPr>
          <w:rFonts w:hint="cs"/>
          <w:rtl/>
        </w:rPr>
        <w:tab/>
        <w:t xml:space="preserve">المادة 39: حق الأفراد الحاملين للجنسية الألبانية أو لأي جنسيةٍ أجنبية، في </w:t>
      </w:r>
      <w:r>
        <w:rPr>
          <w:rFonts w:hint="cs"/>
          <w:rtl/>
        </w:rPr>
        <w:t>عدم طردهم أفراداً أو جماعات من البلد إلا في الحالات التي يحددها القانون؛</w:t>
      </w:r>
    </w:p>
    <w:p w:rsidR="00000000" w:rsidRDefault="00AC31D5">
      <w:pPr>
        <w:jc w:val="both"/>
        <w:rPr>
          <w:rFonts w:hint="cs"/>
          <w:rtl/>
        </w:rPr>
      </w:pPr>
      <w:r>
        <w:rPr>
          <w:rFonts w:hint="cs"/>
          <w:rtl/>
        </w:rPr>
        <w:tab/>
        <w:t>-</w:t>
      </w:r>
      <w:r>
        <w:rPr>
          <w:rFonts w:hint="cs"/>
          <w:rtl/>
        </w:rPr>
        <w:tab/>
        <w:t>المادة 40: الحق في المسكن؛</w:t>
      </w:r>
    </w:p>
    <w:p w:rsidR="00000000" w:rsidRDefault="00AC31D5">
      <w:pPr>
        <w:jc w:val="both"/>
        <w:rPr>
          <w:rFonts w:hint="cs"/>
          <w:rtl/>
        </w:rPr>
      </w:pPr>
      <w:r>
        <w:rPr>
          <w:rFonts w:hint="cs"/>
          <w:rtl/>
        </w:rPr>
        <w:tab/>
        <w:t>-</w:t>
      </w:r>
      <w:r>
        <w:rPr>
          <w:rFonts w:hint="cs"/>
          <w:rtl/>
        </w:rPr>
        <w:tab/>
        <w:t>المادة 41: الحق في الملكية؛</w:t>
      </w:r>
    </w:p>
    <w:p w:rsidR="00000000" w:rsidRDefault="00AC31D5">
      <w:pPr>
        <w:jc w:val="both"/>
        <w:rPr>
          <w:rFonts w:hint="cs"/>
          <w:rtl/>
        </w:rPr>
      </w:pPr>
      <w:r>
        <w:rPr>
          <w:rFonts w:hint="cs"/>
          <w:rtl/>
        </w:rPr>
        <w:tab/>
        <w:t>-</w:t>
      </w:r>
      <w:r>
        <w:rPr>
          <w:rFonts w:hint="cs"/>
          <w:rtl/>
        </w:rPr>
        <w:tab/>
        <w:t xml:space="preserve">المادة 43: الحق في استئناف حكم قانوني؛ </w:t>
      </w:r>
    </w:p>
    <w:p w:rsidR="00000000" w:rsidRDefault="00AC31D5">
      <w:pPr>
        <w:jc w:val="both"/>
        <w:rPr>
          <w:rFonts w:hint="cs"/>
          <w:rtl/>
        </w:rPr>
      </w:pPr>
      <w:r>
        <w:rPr>
          <w:rFonts w:hint="cs"/>
          <w:rtl/>
        </w:rPr>
        <w:tab/>
        <w:t>-</w:t>
      </w:r>
      <w:r>
        <w:rPr>
          <w:rFonts w:hint="cs"/>
          <w:rtl/>
        </w:rPr>
        <w:tab/>
        <w:t>المادة 44: الحق في رد الاعتبار أو التعويض.</w:t>
      </w:r>
    </w:p>
    <w:p w:rsidR="00000000" w:rsidRDefault="00AC31D5">
      <w:pPr>
        <w:jc w:val="center"/>
        <w:rPr>
          <w:rFonts w:hint="cs"/>
          <w:b/>
          <w:bCs/>
          <w:rtl/>
        </w:rPr>
      </w:pPr>
      <w:r>
        <w:rPr>
          <w:rFonts w:hint="cs"/>
          <w:b/>
          <w:bCs/>
          <w:rtl/>
        </w:rPr>
        <w:t>2- الحقوق والحريات السياسية</w:t>
      </w:r>
    </w:p>
    <w:p w:rsidR="00000000" w:rsidRDefault="00AC31D5">
      <w:pPr>
        <w:jc w:val="both"/>
        <w:rPr>
          <w:rFonts w:hint="cs"/>
          <w:rtl/>
        </w:rPr>
      </w:pPr>
      <w:r>
        <w:rPr>
          <w:rFonts w:hint="cs"/>
          <w:rtl/>
        </w:rPr>
        <w:t>97-</w:t>
      </w:r>
      <w:r>
        <w:rPr>
          <w:rFonts w:hint="cs"/>
          <w:rtl/>
        </w:rPr>
        <w:tab/>
        <w:t>ت</w:t>
      </w:r>
      <w:r>
        <w:rPr>
          <w:rFonts w:hint="cs"/>
          <w:rtl/>
        </w:rPr>
        <w:t>شمل هذه الحقوق ما يلي:</w:t>
      </w:r>
    </w:p>
    <w:p w:rsidR="00000000" w:rsidRDefault="00AC31D5">
      <w:pPr>
        <w:jc w:val="both"/>
        <w:rPr>
          <w:rFonts w:hint="cs"/>
          <w:rtl/>
        </w:rPr>
      </w:pPr>
      <w:r>
        <w:rPr>
          <w:rFonts w:hint="cs"/>
          <w:rtl/>
        </w:rPr>
        <w:tab/>
        <w:t>-</w:t>
      </w:r>
      <w:r>
        <w:rPr>
          <w:rFonts w:hint="cs"/>
          <w:rtl/>
        </w:rPr>
        <w:tab/>
        <w:t>المادة 45: حق الفرد في أن ينتخب ويُنتخب؛</w:t>
      </w:r>
    </w:p>
    <w:p w:rsidR="00000000" w:rsidRDefault="00AC31D5">
      <w:pPr>
        <w:jc w:val="both"/>
        <w:rPr>
          <w:rFonts w:hint="cs"/>
          <w:rtl/>
        </w:rPr>
      </w:pPr>
      <w:r>
        <w:rPr>
          <w:rFonts w:hint="cs"/>
          <w:rtl/>
        </w:rPr>
        <w:tab/>
        <w:t>-</w:t>
      </w:r>
      <w:r>
        <w:rPr>
          <w:rFonts w:hint="cs"/>
          <w:rtl/>
        </w:rPr>
        <w:tab/>
        <w:t>المادة 46: الحق في تنظيم الجمعيات لأغراضٍ قانونية؛</w:t>
      </w:r>
    </w:p>
    <w:p w:rsidR="00000000" w:rsidRDefault="00AC31D5">
      <w:pPr>
        <w:jc w:val="both"/>
        <w:rPr>
          <w:rFonts w:hint="cs"/>
          <w:rtl/>
        </w:rPr>
      </w:pPr>
      <w:r>
        <w:rPr>
          <w:rFonts w:hint="cs"/>
          <w:rtl/>
        </w:rPr>
        <w:tab/>
        <w:t>-</w:t>
      </w:r>
      <w:r>
        <w:rPr>
          <w:rFonts w:hint="cs"/>
          <w:rtl/>
        </w:rPr>
        <w:tab/>
        <w:t>المادة 47: الحق في إقامة تجمعات سلمية وغير مسلحة والمشاركة فيها؛</w:t>
      </w:r>
    </w:p>
    <w:p w:rsidR="00000000" w:rsidRDefault="00AC31D5">
      <w:pPr>
        <w:jc w:val="both"/>
        <w:rPr>
          <w:rFonts w:hint="cs"/>
          <w:rtl/>
        </w:rPr>
      </w:pPr>
      <w:r>
        <w:rPr>
          <w:rFonts w:hint="cs"/>
          <w:rtl/>
        </w:rPr>
        <w:tab/>
        <w:t>-</w:t>
      </w:r>
      <w:r>
        <w:rPr>
          <w:rFonts w:hint="cs"/>
          <w:rtl/>
        </w:rPr>
        <w:tab/>
        <w:t>المادة 48: الحق في التماس سبل التظلم القانونية.</w:t>
      </w:r>
    </w:p>
    <w:p w:rsidR="00000000" w:rsidRDefault="00AC31D5">
      <w:pPr>
        <w:jc w:val="center"/>
        <w:rPr>
          <w:rFonts w:hint="cs"/>
          <w:b/>
          <w:bCs/>
          <w:rtl/>
        </w:rPr>
      </w:pPr>
      <w:r>
        <w:rPr>
          <w:b/>
          <w:bCs/>
          <w:rtl/>
        </w:rPr>
        <w:br w:type="page"/>
      </w:r>
      <w:r>
        <w:rPr>
          <w:rFonts w:hint="cs"/>
          <w:b/>
          <w:bCs/>
          <w:rtl/>
        </w:rPr>
        <w:t>3- الحقوق والحر</w:t>
      </w:r>
      <w:r>
        <w:rPr>
          <w:rFonts w:hint="cs"/>
          <w:b/>
          <w:bCs/>
          <w:rtl/>
        </w:rPr>
        <w:t>يات الاقتصادية والاجتماعية والثقافية</w:t>
      </w:r>
    </w:p>
    <w:p w:rsidR="00000000" w:rsidRDefault="00AC31D5">
      <w:pPr>
        <w:jc w:val="both"/>
        <w:rPr>
          <w:rFonts w:hint="cs"/>
          <w:rtl/>
        </w:rPr>
      </w:pPr>
      <w:r>
        <w:rPr>
          <w:rFonts w:hint="cs"/>
          <w:rtl/>
        </w:rPr>
        <w:t>98-</w:t>
      </w:r>
      <w:r>
        <w:rPr>
          <w:rFonts w:hint="cs"/>
          <w:rtl/>
        </w:rPr>
        <w:tab/>
        <w:t>تشمل هذه الحقوق ما يلي:</w:t>
      </w:r>
    </w:p>
    <w:p w:rsidR="00000000" w:rsidRDefault="00AC31D5">
      <w:pPr>
        <w:jc w:val="both"/>
        <w:rPr>
          <w:rFonts w:hint="cs"/>
          <w:rtl/>
        </w:rPr>
      </w:pPr>
      <w:r>
        <w:rPr>
          <w:rFonts w:hint="cs"/>
          <w:rtl/>
        </w:rPr>
        <w:tab/>
        <w:t>-</w:t>
      </w:r>
      <w:r>
        <w:rPr>
          <w:rFonts w:hint="cs"/>
          <w:rtl/>
        </w:rPr>
        <w:tab/>
        <w:t>المادة 49: الحرية في اختيار المهنة ومكان العمل والنظام الشخصي للتدريب المهني؛</w:t>
      </w:r>
    </w:p>
    <w:p w:rsidR="00000000" w:rsidRDefault="00AC31D5">
      <w:pPr>
        <w:jc w:val="both"/>
        <w:rPr>
          <w:rFonts w:hint="cs"/>
          <w:rtl/>
        </w:rPr>
      </w:pPr>
      <w:r>
        <w:rPr>
          <w:rFonts w:hint="cs"/>
          <w:rtl/>
        </w:rPr>
        <w:tab/>
        <w:t>-</w:t>
      </w:r>
      <w:r>
        <w:rPr>
          <w:rFonts w:hint="cs"/>
          <w:rtl/>
        </w:rPr>
        <w:tab/>
        <w:t>المادة 50: حق العاملين في التجمع في اتحاداتٍ لحماية مصالحهم في العمل؛</w:t>
      </w:r>
    </w:p>
    <w:p w:rsidR="00000000" w:rsidRDefault="00AC31D5">
      <w:pPr>
        <w:ind w:left="1434" w:hanging="720"/>
        <w:jc w:val="both"/>
        <w:rPr>
          <w:rFonts w:hint="cs"/>
          <w:rtl/>
        </w:rPr>
      </w:pPr>
      <w:r>
        <w:rPr>
          <w:rFonts w:hint="cs"/>
          <w:rtl/>
        </w:rPr>
        <w:t>-</w:t>
      </w:r>
      <w:r>
        <w:rPr>
          <w:rFonts w:hint="cs"/>
          <w:rtl/>
        </w:rPr>
        <w:tab/>
        <w:t>المادة 51: الحق في الإضراب؛</w:t>
      </w:r>
    </w:p>
    <w:p w:rsidR="00000000" w:rsidRDefault="00AC31D5">
      <w:pPr>
        <w:ind w:left="1434" w:hanging="720"/>
        <w:jc w:val="both"/>
        <w:rPr>
          <w:rFonts w:hint="cs"/>
          <w:rtl/>
        </w:rPr>
      </w:pPr>
      <w:r>
        <w:rPr>
          <w:rFonts w:hint="cs"/>
          <w:rtl/>
        </w:rPr>
        <w:t>-</w:t>
      </w:r>
      <w:r>
        <w:rPr>
          <w:rFonts w:hint="cs"/>
          <w:rtl/>
        </w:rPr>
        <w:tab/>
        <w:t>الماد</w:t>
      </w:r>
      <w:r>
        <w:rPr>
          <w:rFonts w:hint="cs"/>
          <w:rtl/>
        </w:rPr>
        <w:t>ة 52: الحق في التأمين الاجتماعي؛</w:t>
      </w:r>
    </w:p>
    <w:p w:rsidR="00000000" w:rsidRDefault="00AC31D5">
      <w:pPr>
        <w:ind w:left="1434" w:hanging="720"/>
        <w:jc w:val="both"/>
        <w:rPr>
          <w:rFonts w:hint="cs"/>
          <w:rtl/>
        </w:rPr>
      </w:pPr>
      <w:r>
        <w:rPr>
          <w:rFonts w:hint="cs"/>
          <w:rtl/>
        </w:rPr>
        <w:t>-</w:t>
      </w:r>
      <w:r>
        <w:rPr>
          <w:rFonts w:hint="cs"/>
          <w:rtl/>
        </w:rPr>
        <w:tab/>
        <w:t>المادة 53: الحق في الزواج وفي تكوين أسرة؛</w:t>
      </w:r>
    </w:p>
    <w:p w:rsidR="00000000" w:rsidRDefault="00AC31D5">
      <w:pPr>
        <w:ind w:left="1434" w:hanging="720"/>
        <w:jc w:val="both"/>
        <w:rPr>
          <w:rFonts w:hint="cs"/>
          <w:rtl/>
        </w:rPr>
      </w:pPr>
      <w:r>
        <w:rPr>
          <w:rFonts w:hint="cs"/>
          <w:rtl/>
        </w:rPr>
        <w:t>-</w:t>
      </w:r>
      <w:r>
        <w:rPr>
          <w:rFonts w:hint="cs"/>
          <w:rtl/>
        </w:rPr>
        <w:tab/>
        <w:t>المادتان 53 و54: الحق في أن توفر الدولة حماية خاصة للزواج والأسرة والأطفال والشباب والنساء الحوامل والأمهات الشابات؛</w:t>
      </w:r>
    </w:p>
    <w:p w:rsidR="00000000" w:rsidRDefault="00AC31D5">
      <w:pPr>
        <w:ind w:left="1434" w:hanging="720"/>
        <w:jc w:val="both"/>
        <w:rPr>
          <w:rFonts w:hint="cs"/>
          <w:rtl/>
        </w:rPr>
      </w:pPr>
      <w:r>
        <w:rPr>
          <w:rFonts w:hint="cs"/>
          <w:rtl/>
        </w:rPr>
        <w:t>-</w:t>
      </w:r>
      <w:r>
        <w:rPr>
          <w:rFonts w:hint="cs"/>
          <w:rtl/>
        </w:rPr>
        <w:tab/>
        <w:t>المادة 54: حق الأطفال في الحماية من العنف وسوء المعاملة وا</w:t>
      </w:r>
      <w:r>
        <w:rPr>
          <w:rFonts w:hint="cs"/>
          <w:rtl/>
        </w:rPr>
        <w:t>لاستغلال واستخدامهم في العمل، لا سيما الذين لم يبلغوا السن القانونية للعمل وقد يسبب تشغيلهم أضراراً صحية أو نفسية أو يعرض حياتهم للخطر أو يعيق نموهم الطبيعي؛</w:t>
      </w:r>
    </w:p>
    <w:p w:rsidR="00000000" w:rsidRDefault="00AC31D5">
      <w:pPr>
        <w:ind w:left="1434" w:hanging="720"/>
        <w:jc w:val="both"/>
        <w:rPr>
          <w:rFonts w:hint="cs"/>
          <w:rtl/>
        </w:rPr>
      </w:pPr>
      <w:r>
        <w:rPr>
          <w:rFonts w:hint="cs"/>
          <w:rtl/>
        </w:rPr>
        <w:t>-</w:t>
      </w:r>
      <w:r>
        <w:rPr>
          <w:rFonts w:hint="cs"/>
          <w:rtl/>
        </w:rPr>
        <w:tab/>
        <w:t>المادة 55: الحق في الرعاية الطبية الحكومية وفي التأمين الصحي؛</w:t>
      </w:r>
    </w:p>
    <w:p w:rsidR="00000000" w:rsidRDefault="00AC31D5">
      <w:pPr>
        <w:jc w:val="both"/>
        <w:rPr>
          <w:rFonts w:hint="cs"/>
          <w:rtl/>
        </w:rPr>
      </w:pPr>
      <w:r>
        <w:rPr>
          <w:rFonts w:hint="cs"/>
          <w:rtl/>
        </w:rPr>
        <w:tab/>
        <w:t>-</w:t>
      </w:r>
      <w:r>
        <w:rPr>
          <w:rFonts w:hint="cs"/>
          <w:rtl/>
        </w:rPr>
        <w:tab/>
        <w:t>المادة 56: حق الفرد في اطلاعه ب</w:t>
      </w:r>
      <w:r>
        <w:rPr>
          <w:rFonts w:hint="cs"/>
          <w:rtl/>
        </w:rPr>
        <w:t>انتظام على حالة البيئة وسبل حمايتها؛</w:t>
      </w:r>
    </w:p>
    <w:p w:rsidR="00000000" w:rsidRDefault="00AC31D5">
      <w:pPr>
        <w:jc w:val="both"/>
        <w:rPr>
          <w:rFonts w:hint="cs"/>
          <w:rtl/>
        </w:rPr>
      </w:pPr>
      <w:r>
        <w:rPr>
          <w:rFonts w:hint="cs"/>
          <w:rtl/>
        </w:rPr>
        <w:tab/>
        <w:t>-</w:t>
      </w:r>
      <w:r>
        <w:rPr>
          <w:rFonts w:hint="cs"/>
          <w:rtl/>
        </w:rPr>
        <w:tab/>
        <w:t>المادة 57: الحق في التعليم؛</w:t>
      </w:r>
    </w:p>
    <w:p w:rsidR="00000000" w:rsidRDefault="00AC31D5">
      <w:pPr>
        <w:jc w:val="both"/>
        <w:rPr>
          <w:rFonts w:hint="cs"/>
          <w:rtl/>
        </w:rPr>
      </w:pPr>
      <w:r>
        <w:rPr>
          <w:rFonts w:hint="cs"/>
          <w:rtl/>
        </w:rPr>
        <w:tab/>
        <w:t>-</w:t>
      </w:r>
      <w:r>
        <w:rPr>
          <w:rFonts w:hint="cs"/>
          <w:rtl/>
        </w:rPr>
        <w:tab/>
        <w:t>المادة 58: الحق في الإبداع الفني والبحث العلمي وفي حمايتهما بحقوق المؤلف.</w:t>
      </w:r>
    </w:p>
    <w:p w:rsidR="00000000" w:rsidRDefault="00AC31D5">
      <w:pPr>
        <w:jc w:val="both"/>
        <w:rPr>
          <w:rFonts w:hint="cs"/>
          <w:rtl/>
        </w:rPr>
      </w:pPr>
      <w:r>
        <w:rPr>
          <w:rFonts w:hint="cs"/>
          <w:rtl/>
        </w:rPr>
        <w:t>99-</w:t>
      </w:r>
      <w:r>
        <w:rPr>
          <w:rFonts w:hint="cs"/>
          <w:rtl/>
        </w:rPr>
        <w:tab/>
        <w:t>ولا ينص الدستور الألباني على أي أحكام عن حالات الاستثناء من الصكوك الدولية لحقوق الإنسان. فهذا الاستثناء لا</w:t>
      </w:r>
      <w:r>
        <w:rPr>
          <w:rFonts w:hint="cs"/>
          <w:rtl/>
        </w:rPr>
        <w:t xml:space="preserve"> يُلجأ إليه إلا وفقاً للأحكام الخاصة به التي حددتها هذه الاتفاقيات. </w:t>
      </w:r>
    </w:p>
    <w:p w:rsidR="00000000" w:rsidRDefault="00AC31D5">
      <w:pPr>
        <w:jc w:val="center"/>
        <w:rPr>
          <w:rFonts w:hint="cs"/>
          <w:b/>
          <w:bCs/>
          <w:rtl/>
        </w:rPr>
      </w:pPr>
      <w:r>
        <w:rPr>
          <w:rFonts w:hint="cs"/>
          <w:b/>
          <w:bCs/>
          <w:rtl/>
        </w:rPr>
        <w:t>دال - القوانين الخاصة بحماية واحترام حقوق الإنسان الأساسية</w:t>
      </w:r>
    </w:p>
    <w:p w:rsidR="00000000" w:rsidRDefault="00AC31D5">
      <w:pPr>
        <w:jc w:val="both"/>
        <w:rPr>
          <w:rFonts w:hint="cs"/>
          <w:rtl/>
        </w:rPr>
      </w:pPr>
      <w:r>
        <w:rPr>
          <w:rFonts w:hint="cs"/>
          <w:rtl/>
        </w:rPr>
        <w:t>100-</w:t>
      </w:r>
      <w:r>
        <w:rPr>
          <w:rFonts w:hint="cs"/>
          <w:rtl/>
        </w:rPr>
        <w:tab/>
        <w:t>امتثالاً للقانون الخاص بالأحكام الدستورية الرئيسية رقم 7491، الصادر في 29 نيسان/أبريل 1991، الذي استكمل بالفصل الخاص ب‍ "حق</w:t>
      </w:r>
      <w:r>
        <w:rPr>
          <w:rFonts w:hint="cs"/>
          <w:rtl/>
        </w:rPr>
        <w:t>وق الإنسان وحرياته الأساسية" (القانون رقم 7693، الصادر في 31 آذار/مارس 1993)، فقد وضعت قوانين هامة تتعلق بحماية واحترام حقوق الفرد وحرياته الأساسية. وفيما يلي بعض أهم القوانين في هذا المجال:</w:t>
      </w:r>
    </w:p>
    <w:p w:rsidR="00000000" w:rsidRDefault="00AC31D5">
      <w:pPr>
        <w:ind w:left="1434" w:hanging="720"/>
        <w:jc w:val="both"/>
        <w:rPr>
          <w:rFonts w:hint="cs"/>
          <w:spacing w:val="0"/>
          <w:rtl/>
        </w:rPr>
      </w:pPr>
      <w:r>
        <w:rPr>
          <w:rFonts w:hint="cs"/>
          <w:rtl/>
        </w:rPr>
        <w:t>-</w:t>
      </w:r>
      <w:r>
        <w:rPr>
          <w:rFonts w:hint="cs"/>
          <w:rtl/>
        </w:rPr>
        <w:tab/>
      </w:r>
      <w:r>
        <w:rPr>
          <w:rFonts w:hint="cs"/>
          <w:spacing w:val="0"/>
          <w:rtl/>
        </w:rPr>
        <w:t>القانون رقم 7495، الصادر في 2 آب/أغسطس 1991، عن "تنظيم أجهزة اس</w:t>
      </w:r>
      <w:r>
        <w:rPr>
          <w:rFonts w:hint="cs"/>
          <w:spacing w:val="0"/>
          <w:rtl/>
        </w:rPr>
        <w:t>تخبارات الدولة"؛</w:t>
      </w:r>
    </w:p>
    <w:p w:rsidR="00000000" w:rsidRDefault="00AC31D5">
      <w:pPr>
        <w:ind w:left="1434" w:hanging="720"/>
        <w:jc w:val="both"/>
        <w:rPr>
          <w:rFonts w:hint="cs"/>
          <w:spacing w:val="0"/>
          <w:rtl/>
        </w:rPr>
      </w:pPr>
      <w:r>
        <w:rPr>
          <w:rFonts w:hint="cs"/>
          <w:rtl/>
        </w:rPr>
        <w:t>-</w:t>
      </w:r>
      <w:r>
        <w:rPr>
          <w:rFonts w:hint="cs"/>
          <w:rtl/>
        </w:rPr>
        <w:tab/>
      </w:r>
      <w:r>
        <w:rPr>
          <w:rFonts w:hint="cs"/>
          <w:spacing w:val="0"/>
          <w:rtl/>
        </w:rPr>
        <w:t xml:space="preserve">القانون رقم 7574، الصادر في 24 حزيران/يونيه 1992، المعنون "تنظيم شؤون الجهاز القانوني وإدخال بعض التعديلات على قانوني الإجراءات المدنية والإجراءات الجنائية"؛ </w:t>
      </w:r>
    </w:p>
    <w:p w:rsidR="00000000" w:rsidRDefault="00AC31D5">
      <w:pPr>
        <w:ind w:left="1434" w:hanging="720"/>
        <w:jc w:val="both"/>
        <w:rPr>
          <w:rFonts w:hint="cs"/>
          <w:spacing w:val="0"/>
          <w:rtl/>
        </w:rPr>
      </w:pPr>
      <w:r>
        <w:rPr>
          <w:rFonts w:hint="cs"/>
          <w:spacing w:val="0"/>
          <w:rtl/>
        </w:rPr>
        <w:t>-</w:t>
      </w:r>
      <w:r>
        <w:rPr>
          <w:rFonts w:hint="cs"/>
          <w:spacing w:val="0"/>
          <w:rtl/>
        </w:rPr>
        <w:tab/>
        <w:t>القانون رقم 7824، الصادر في 31 أيار/مايو 1994، عن "مؤسسة محامي الدفاع في جمه</w:t>
      </w:r>
      <w:r>
        <w:rPr>
          <w:rFonts w:hint="cs"/>
          <w:spacing w:val="0"/>
          <w:rtl/>
        </w:rPr>
        <w:t>ورية ألبانيا"؛</w:t>
      </w:r>
    </w:p>
    <w:p w:rsidR="00000000" w:rsidRDefault="00AC31D5">
      <w:pPr>
        <w:ind w:left="1434" w:hanging="720"/>
        <w:jc w:val="both"/>
        <w:rPr>
          <w:rFonts w:hint="cs"/>
          <w:rtl/>
        </w:rPr>
      </w:pPr>
      <w:r>
        <w:rPr>
          <w:rFonts w:hint="cs"/>
          <w:rtl/>
        </w:rPr>
        <w:t>-</w:t>
      </w:r>
      <w:r>
        <w:rPr>
          <w:rFonts w:hint="cs"/>
          <w:rtl/>
        </w:rPr>
        <w:tab/>
        <w:t>القانون الجنائي رقم 7895، الصادر في 21 تموز/يوليه 1995؛</w:t>
      </w:r>
    </w:p>
    <w:p w:rsidR="00000000" w:rsidRDefault="00AC31D5">
      <w:pPr>
        <w:ind w:left="1434" w:hanging="720"/>
        <w:jc w:val="both"/>
        <w:rPr>
          <w:rFonts w:hint="cs"/>
          <w:rtl/>
        </w:rPr>
      </w:pPr>
      <w:r>
        <w:rPr>
          <w:rFonts w:hint="cs"/>
          <w:rtl/>
        </w:rPr>
        <w:t>-</w:t>
      </w:r>
      <w:r>
        <w:rPr>
          <w:rFonts w:hint="cs"/>
          <w:rtl/>
        </w:rPr>
        <w:tab/>
        <w:t>قانون الإجراءات الجنائية رقم 7905، الصادر في 21 آذار/مارس 1995؛</w:t>
      </w:r>
    </w:p>
    <w:p w:rsidR="00000000" w:rsidRDefault="00AC31D5">
      <w:pPr>
        <w:ind w:left="1434" w:hanging="720"/>
        <w:jc w:val="both"/>
        <w:rPr>
          <w:rFonts w:hint="cs"/>
          <w:rtl/>
        </w:rPr>
      </w:pPr>
      <w:r>
        <w:rPr>
          <w:rFonts w:hint="cs"/>
          <w:rtl/>
        </w:rPr>
        <w:t>-</w:t>
      </w:r>
      <w:r>
        <w:rPr>
          <w:rFonts w:hint="cs"/>
          <w:rtl/>
        </w:rPr>
        <w:tab/>
        <w:t>القانون المدني رقم 7850، الصادر في 27 تموز/يوليه 1996؛</w:t>
      </w:r>
    </w:p>
    <w:p w:rsidR="00000000" w:rsidRDefault="00AC31D5">
      <w:pPr>
        <w:ind w:left="1434" w:hanging="720"/>
        <w:jc w:val="both"/>
        <w:rPr>
          <w:rFonts w:hint="cs"/>
          <w:rtl/>
        </w:rPr>
      </w:pPr>
      <w:r>
        <w:rPr>
          <w:rFonts w:hint="cs"/>
          <w:rtl/>
        </w:rPr>
        <w:t>-</w:t>
      </w:r>
      <w:r>
        <w:rPr>
          <w:rFonts w:hint="cs"/>
          <w:rtl/>
        </w:rPr>
        <w:tab/>
        <w:t>قانون الإجراءات المدنية رقم 8116، الصادر في 25 آذار/مارس 1</w:t>
      </w:r>
      <w:r>
        <w:rPr>
          <w:rFonts w:hint="cs"/>
          <w:rtl/>
        </w:rPr>
        <w:t>996؛</w:t>
      </w:r>
    </w:p>
    <w:p w:rsidR="00000000" w:rsidRDefault="00AC31D5">
      <w:pPr>
        <w:jc w:val="both"/>
        <w:rPr>
          <w:rFonts w:hint="cs"/>
          <w:rtl/>
        </w:rPr>
      </w:pPr>
      <w:r>
        <w:rPr>
          <w:rFonts w:hint="cs"/>
          <w:rtl/>
        </w:rPr>
        <w:tab/>
        <w:t>-</w:t>
      </w:r>
      <w:r>
        <w:rPr>
          <w:rFonts w:hint="cs"/>
          <w:rtl/>
        </w:rPr>
        <w:tab/>
        <w:t>قانون العمل رقم 7961، الصادر في 12 تموز/يوليه 1995؛</w:t>
      </w:r>
    </w:p>
    <w:p w:rsidR="00000000" w:rsidRDefault="00AC31D5">
      <w:pPr>
        <w:jc w:val="both"/>
        <w:rPr>
          <w:rFonts w:hint="cs"/>
          <w:rtl/>
        </w:rPr>
      </w:pPr>
      <w:r>
        <w:rPr>
          <w:rFonts w:hint="cs"/>
          <w:rtl/>
        </w:rPr>
        <w:tab/>
        <w:t>-</w:t>
      </w:r>
      <w:r>
        <w:rPr>
          <w:rFonts w:hint="cs"/>
          <w:rtl/>
        </w:rPr>
        <w:tab/>
        <w:t>قانون الانتخاب رقم 8609، الصادر في 8 أيار/مايو 2000؛</w:t>
      </w:r>
    </w:p>
    <w:p w:rsidR="00000000" w:rsidRDefault="00AC31D5">
      <w:pPr>
        <w:jc w:val="both"/>
        <w:rPr>
          <w:rFonts w:hint="cs"/>
          <w:rtl/>
        </w:rPr>
      </w:pPr>
      <w:r>
        <w:rPr>
          <w:rFonts w:hint="cs"/>
          <w:rtl/>
        </w:rPr>
        <w:tab/>
        <w:t>-</w:t>
      </w:r>
      <w:r>
        <w:rPr>
          <w:rFonts w:hint="cs"/>
          <w:rtl/>
        </w:rPr>
        <w:tab/>
        <w:t xml:space="preserve">القانون رقم 7502، الصادر في 25 تموز/يوليه1991 عن "الأحزاب السياسية"؛ </w:t>
      </w:r>
    </w:p>
    <w:p w:rsidR="00000000" w:rsidRDefault="00AC31D5">
      <w:pPr>
        <w:jc w:val="both"/>
        <w:rPr>
          <w:rFonts w:hint="cs"/>
          <w:rtl/>
        </w:rPr>
      </w:pPr>
      <w:r>
        <w:rPr>
          <w:rFonts w:hint="cs"/>
          <w:rtl/>
        </w:rPr>
        <w:tab/>
        <w:t>-</w:t>
      </w:r>
      <w:r>
        <w:rPr>
          <w:rFonts w:hint="cs"/>
          <w:rtl/>
        </w:rPr>
        <w:tab/>
        <w:t>القانون رقم 8553، الصادر في 25 تشرين الثاني/نوفمبر 1999 عن "الشر</w:t>
      </w:r>
      <w:r>
        <w:rPr>
          <w:rFonts w:hint="cs"/>
          <w:rtl/>
        </w:rPr>
        <w:t>طة الوطنية"؛</w:t>
      </w:r>
    </w:p>
    <w:p w:rsidR="00000000" w:rsidRDefault="00AC31D5">
      <w:pPr>
        <w:jc w:val="both"/>
        <w:rPr>
          <w:rFonts w:hint="cs"/>
          <w:rtl/>
        </w:rPr>
      </w:pPr>
      <w:r>
        <w:rPr>
          <w:rFonts w:hint="cs"/>
          <w:rtl/>
        </w:rPr>
        <w:tab/>
        <w:t>-</w:t>
      </w:r>
      <w:r>
        <w:rPr>
          <w:rFonts w:hint="cs"/>
          <w:rtl/>
        </w:rPr>
        <w:tab/>
        <w:t>القانون رقم 8389، الصادر في 5 آب/أغسطس 1998 عن "الجنسية الألبانية"؛</w:t>
      </w:r>
    </w:p>
    <w:p w:rsidR="00000000" w:rsidRDefault="00AC31D5">
      <w:pPr>
        <w:jc w:val="both"/>
        <w:rPr>
          <w:rFonts w:hint="cs"/>
          <w:spacing w:val="0"/>
          <w:rtl/>
        </w:rPr>
      </w:pPr>
      <w:r>
        <w:rPr>
          <w:rFonts w:hint="cs"/>
          <w:rtl/>
        </w:rPr>
        <w:tab/>
        <w:t>-</w:t>
      </w:r>
      <w:r>
        <w:rPr>
          <w:rFonts w:hint="cs"/>
          <w:rtl/>
        </w:rPr>
        <w:tab/>
      </w:r>
      <w:r>
        <w:rPr>
          <w:rFonts w:hint="cs"/>
          <w:spacing w:val="0"/>
          <w:rtl/>
        </w:rPr>
        <w:t>القانون رقم 8432، الصادر في 14 كانون الأول/ديسمبر 1998 عن "اللجوء إلى جمهورية ألبانيا"؛</w:t>
      </w:r>
    </w:p>
    <w:p w:rsidR="00000000" w:rsidRDefault="00AC31D5">
      <w:pPr>
        <w:jc w:val="both"/>
        <w:rPr>
          <w:rFonts w:hint="cs"/>
          <w:rtl/>
        </w:rPr>
      </w:pPr>
      <w:r>
        <w:rPr>
          <w:rFonts w:hint="cs"/>
          <w:rtl/>
        </w:rPr>
        <w:tab/>
        <w:t>-</w:t>
      </w:r>
      <w:r>
        <w:rPr>
          <w:rFonts w:hint="cs"/>
          <w:rtl/>
        </w:rPr>
        <w:tab/>
        <w:t>القانون رقم 8492، الصادر في 27 أيار/مايو 1999 عن "الأجانب"؛</w:t>
      </w:r>
    </w:p>
    <w:p w:rsidR="00000000" w:rsidRDefault="00AC31D5">
      <w:pPr>
        <w:ind w:left="1434" w:hanging="720"/>
        <w:jc w:val="both"/>
        <w:rPr>
          <w:rFonts w:hint="cs"/>
          <w:rtl/>
        </w:rPr>
      </w:pPr>
      <w:r>
        <w:rPr>
          <w:rFonts w:hint="cs"/>
          <w:rtl/>
        </w:rPr>
        <w:t>-</w:t>
      </w:r>
      <w:r>
        <w:rPr>
          <w:rFonts w:hint="cs"/>
          <w:rtl/>
        </w:rPr>
        <w:tab/>
        <w:t>القانون رقم 8668</w:t>
      </w:r>
      <w:r>
        <w:rPr>
          <w:rFonts w:hint="cs"/>
          <w:rtl/>
        </w:rPr>
        <w:t>، الصادر في 23 تشرين الثاني/نوفمبر 2000 عن "إصدار جوازات السفر للمواطنين الألبان"؛</w:t>
      </w:r>
    </w:p>
    <w:p w:rsidR="00000000" w:rsidRDefault="00AC31D5">
      <w:pPr>
        <w:ind w:left="1434" w:hanging="720"/>
        <w:jc w:val="both"/>
        <w:rPr>
          <w:rFonts w:hint="cs"/>
          <w:rtl/>
        </w:rPr>
      </w:pPr>
      <w:r>
        <w:rPr>
          <w:rFonts w:hint="cs"/>
          <w:rtl/>
        </w:rPr>
        <w:t>-</w:t>
      </w:r>
      <w:r>
        <w:rPr>
          <w:rFonts w:hint="cs"/>
          <w:rtl/>
        </w:rPr>
        <w:tab/>
        <w:t xml:space="preserve">القانون رقم 8773، الصادر في 23 نيسان/أبريل 2001 عن "التجمعات"؛ </w:t>
      </w:r>
    </w:p>
    <w:p w:rsidR="00000000" w:rsidRDefault="00AC31D5">
      <w:pPr>
        <w:ind w:left="1434" w:hanging="720"/>
        <w:jc w:val="both"/>
        <w:rPr>
          <w:rFonts w:hint="cs"/>
          <w:rtl/>
        </w:rPr>
      </w:pPr>
      <w:r>
        <w:rPr>
          <w:rFonts w:hint="cs"/>
          <w:rtl/>
        </w:rPr>
        <w:t>-</w:t>
      </w:r>
      <w:r>
        <w:rPr>
          <w:rFonts w:hint="cs"/>
          <w:rtl/>
        </w:rPr>
        <w:tab/>
        <w:t>القانون رقم 8378، الصادر في 30 تموز/يوليه 1998 عن "نظام التعليم العالي"؛</w:t>
      </w:r>
    </w:p>
    <w:p w:rsidR="00000000" w:rsidRDefault="00AC31D5">
      <w:pPr>
        <w:ind w:left="1434" w:hanging="720"/>
        <w:jc w:val="both"/>
        <w:rPr>
          <w:rFonts w:hint="cs"/>
          <w:spacing w:val="0"/>
          <w:rtl/>
        </w:rPr>
      </w:pPr>
      <w:r>
        <w:rPr>
          <w:rFonts w:hint="cs"/>
          <w:rtl/>
        </w:rPr>
        <w:t>-</w:t>
      </w:r>
      <w:r>
        <w:rPr>
          <w:rFonts w:hint="cs"/>
          <w:rtl/>
        </w:rPr>
        <w:tab/>
      </w:r>
      <w:r>
        <w:rPr>
          <w:rFonts w:hint="cs"/>
          <w:spacing w:val="0"/>
          <w:rtl/>
        </w:rPr>
        <w:t xml:space="preserve">القانون رقم 7810، الصادر في 6 </w:t>
      </w:r>
      <w:r>
        <w:rPr>
          <w:rFonts w:hint="cs"/>
          <w:spacing w:val="0"/>
          <w:rtl/>
        </w:rPr>
        <w:t>نيسان/أبريل 1994 عن "التعليم الجامعي في جمهورية ألبانيا".</w:t>
      </w:r>
    </w:p>
    <w:p w:rsidR="00000000" w:rsidRDefault="00AC31D5">
      <w:pPr>
        <w:jc w:val="both"/>
        <w:rPr>
          <w:rFonts w:hint="cs"/>
          <w:rtl/>
        </w:rPr>
      </w:pPr>
      <w:r>
        <w:rPr>
          <w:rFonts w:hint="cs"/>
          <w:rtl/>
        </w:rPr>
        <w:t>101-</w:t>
      </w:r>
      <w:r>
        <w:rPr>
          <w:rFonts w:hint="cs"/>
          <w:rtl/>
        </w:rPr>
        <w:tab/>
        <w:t>وينص قانون الأسرة، رغم أنه اعتمد في عام 1982، على المساواة بين الرجل والمرأة في الحقوق والواجبات داخل الأسرة.</w:t>
      </w:r>
    </w:p>
    <w:p w:rsidR="00000000" w:rsidRDefault="00AC31D5">
      <w:pPr>
        <w:jc w:val="center"/>
        <w:rPr>
          <w:rFonts w:hint="cs"/>
          <w:b/>
          <w:bCs/>
          <w:rtl/>
        </w:rPr>
      </w:pPr>
      <w:r>
        <w:rPr>
          <w:rFonts w:hint="cs"/>
          <w:b/>
          <w:bCs/>
          <w:rtl/>
        </w:rPr>
        <w:t>هاء - الاتفاقيات الدولية لحقوق الإنسان التي أصبحت ألبانيا طرفاً فيها</w:t>
      </w:r>
    </w:p>
    <w:p w:rsidR="00000000" w:rsidRDefault="00AC31D5">
      <w:pPr>
        <w:jc w:val="both"/>
        <w:rPr>
          <w:rFonts w:hint="cs"/>
          <w:rtl/>
        </w:rPr>
      </w:pPr>
      <w:r>
        <w:rPr>
          <w:rFonts w:hint="cs"/>
          <w:rtl/>
        </w:rPr>
        <w:t>102-</w:t>
      </w:r>
      <w:r>
        <w:rPr>
          <w:rFonts w:hint="cs"/>
          <w:rtl/>
        </w:rPr>
        <w:tab/>
        <w:t>أضحت ألبا</w:t>
      </w:r>
      <w:r>
        <w:rPr>
          <w:rFonts w:hint="cs"/>
          <w:rtl/>
        </w:rPr>
        <w:t xml:space="preserve">نيا عضواً في الأمم المتحدة منذ 14 كانون الأول/ديسمبر 1955 وصدَّقت على معظم اتفاقياتها الرئيسية المتعلقة بحماية حقوق الإنسان. وفيما يلي هذه الاتفاقيات (وترد سنة التصديق بين قوسين): </w:t>
      </w:r>
    </w:p>
    <w:p w:rsidR="00000000" w:rsidRDefault="00AC31D5">
      <w:pPr>
        <w:jc w:val="both"/>
        <w:rPr>
          <w:rFonts w:hint="cs"/>
          <w:rtl/>
        </w:rPr>
      </w:pPr>
      <w:r>
        <w:rPr>
          <w:rFonts w:hint="cs"/>
          <w:rtl/>
        </w:rPr>
        <w:tab/>
        <w:t>-</w:t>
      </w:r>
      <w:r>
        <w:rPr>
          <w:rFonts w:hint="cs"/>
          <w:rtl/>
        </w:rPr>
        <w:tab/>
        <w:t xml:space="preserve">اتفاقية جنيف لتحسين حال الجرحى والمرضى بالقوات المسلحة في الميدان، 1947 </w:t>
      </w:r>
      <w:r>
        <w:rPr>
          <w:rFonts w:hint="cs"/>
          <w:rtl/>
        </w:rPr>
        <w:t>(1957)؛</w:t>
      </w:r>
    </w:p>
    <w:p w:rsidR="00000000" w:rsidRDefault="00AC31D5">
      <w:pPr>
        <w:jc w:val="both"/>
        <w:rPr>
          <w:rFonts w:hint="cs"/>
          <w:rtl/>
        </w:rPr>
      </w:pPr>
      <w:r>
        <w:rPr>
          <w:rFonts w:hint="cs"/>
          <w:rtl/>
        </w:rPr>
        <w:tab/>
        <w:t>-</w:t>
      </w:r>
      <w:r>
        <w:rPr>
          <w:rFonts w:hint="cs"/>
          <w:rtl/>
        </w:rPr>
        <w:tab/>
        <w:t>اتفاقية منع جريمة الإبادة الجماعية والمعاقبة عليها، 1948 (1955)؛</w:t>
      </w:r>
    </w:p>
    <w:p w:rsidR="00000000" w:rsidRDefault="00AC31D5">
      <w:pPr>
        <w:jc w:val="both"/>
        <w:rPr>
          <w:rFonts w:hint="cs"/>
          <w:spacing w:val="0"/>
          <w:rtl/>
        </w:rPr>
      </w:pPr>
      <w:r>
        <w:rPr>
          <w:rFonts w:hint="cs"/>
          <w:rtl/>
        </w:rPr>
        <w:tab/>
        <w:t>-</w:t>
      </w:r>
      <w:r>
        <w:rPr>
          <w:rFonts w:hint="cs"/>
          <w:rtl/>
        </w:rPr>
        <w:tab/>
      </w:r>
      <w:r>
        <w:rPr>
          <w:rFonts w:hint="cs"/>
          <w:spacing w:val="0"/>
          <w:rtl/>
        </w:rPr>
        <w:t>اتفاقية جنيف لتحسين حال جرحى ومرضى وغرقى القوات المسلحة في البحار، 1949 (1957)؛</w:t>
      </w:r>
    </w:p>
    <w:p w:rsidR="00000000" w:rsidRDefault="00AC31D5">
      <w:pPr>
        <w:jc w:val="both"/>
        <w:rPr>
          <w:rFonts w:hint="cs"/>
          <w:rtl/>
        </w:rPr>
      </w:pPr>
      <w:r>
        <w:rPr>
          <w:rFonts w:hint="cs"/>
          <w:rtl/>
        </w:rPr>
        <w:tab/>
        <w:t>-</w:t>
      </w:r>
      <w:r>
        <w:rPr>
          <w:rFonts w:hint="cs"/>
          <w:rtl/>
        </w:rPr>
        <w:tab/>
        <w:t>اتفاقية جنيف بشأن معاملة أسرى الحرب، 1949 (1957)؛</w:t>
      </w:r>
    </w:p>
    <w:p w:rsidR="00000000" w:rsidRDefault="00AC31D5">
      <w:pPr>
        <w:jc w:val="both"/>
        <w:rPr>
          <w:rFonts w:hint="cs"/>
          <w:rtl/>
        </w:rPr>
      </w:pPr>
      <w:r>
        <w:rPr>
          <w:rFonts w:hint="cs"/>
          <w:rtl/>
        </w:rPr>
        <w:tab/>
        <w:t>-</w:t>
      </w:r>
      <w:r>
        <w:rPr>
          <w:rFonts w:hint="cs"/>
          <w:rtl/>
        </w:rPr>
        <w:tab/>
        <w:t xml:space="preserve">اتفاقية جنيف بشأن حماية الأشخاص المدنيين </w:t>
      </w:r>
      <w:r>
        <w:rPr>
          <w:rFonts w:hint="cs"/>
          <w:rtl/>
        </w:rPr>
        <w:t>في وقت الحرب، 1949 (1957)؛</w:t>
      </w:r>
    </w:p>
    <w:p w:rsidR="00000000" w:rsidRDefault="00AC31D5">
      <w:pPr>
        <w:jc w:val="both"/>
        <w:rPr>
          <w:rFonts w:hint="cs"/>
          <w:rtl/>
        </w:rPr>
      </w:pPr>
      <w:r>
        <w:rPr>
          <w:rFonts w:hint="cs"/>
          <w:rtl/>
        </w:rPr>
        <w:tab/>
        <w:t>-</w:t>
      </w:r>
      <w:r>
        <w:rPr>
          <w:rFonts w:hint="cs"/>
          <w:rtl/>
        </w:rPr>
        <w:tab/>
        <w:t>اتفاقية حظر الاتجار بالأشخاص واستغلال دعارة الغير، 1951 (1958)؛</w:t>
      </w:r>
    </w:p>
    <w:p w:rsidR="00000000" w:rsidRDefault="00AC31D5">
      <w:pPr>
        <w:jc w:val="both"/>
        <w:rPr>
          <w:rFonts w:hint="cs"/>
          <w:rtl/>
        </w:rPr>
      </w:pPr>
      <w:r>
        <w:rPr>
          <w:rFonts w:hint="cs"/>
          <w:rtl/>
        </w:rPr>
        <w:tab/>
        <w:t>-</w:t>
      </w:r>
      <w:r>
        <w:rPr>
          <w:rFonts w:hint="cs"/>
          <w:rtl/>
        </w:rPr>
        <w:tab/>
        <w:t>الاتفاقية الخاصة بوضع اللاجئين، 1951؛</w:t>
      </w:r>
    </w:p>
    <w:p w:rsidR="00000000" w:rsidRDefault="00AC31D5">
      <w:pPr>
        <w:jc w:val="both"/>
        <w:rPr>
          <w:rFonts w:hint="cs"/>
          <w:rtl/>
        </w:rPr>
      </w:pPr>
      <w:r>
        <w:rPr>
          <w:rFonts w:hint="cs"/>
          <w:rtl/>
        </w:rPr>
        <w:tab/>
        <w:t>-</w:t>
      </w:r>
      <w:r>
        <w:rPr>
          <w:rFonts w:hint="cs"/>
          <w:rtl/>
        </w:rPr>
        <w:tab/>
        <w:t>اتفاقية بشأن جنسية المرأة المتزوجة، 1957 (1960)؛</w:t>
      </w:r>
    </w:p>
    <w:p w:rsidR="00000000" w:rsidRDefault="00AC31D5">
      <w:pPr>
        <w:jc w:val="both"/>
        <w:rPr>
          <w:rFonts w:hint="cs"/>
          <w:rtl/>
        </w:rPr>
      </w:pPr>
      <w:r>
        <w:rPr>
          <w:rFonts w:hint="cs"/>
          <w:rtl/>
        </w:rPr>
        <w:tab/>
        <w:t>-</w:t>
      </w:r>
      <w:r>
        <w:rPr>
          <w:rFonts w:hint="cs"/>
          <w:rtl/>
        </w:rPr>
        <w:tab/>
        <w:t xml:space="preserve">الاتفاقية التكميلية لإبطال الرق وتجارة الرقيق والأعراف والممارسات </w:t>
      </w:r>
      <w:r>
        <w:rPr>
          <w:rFonts w:hint="cs"/>
          <w:rtl/>
        </w:rPr>
        <w:t>الشبيهة بالرق، 1957؛</w:t>
      </w:r>
    </w:p>
    <w:p w:rsidR="00000000" w:rsidRDefault="00AC31D5">
      <w:pPr>
        <w:jc w:val="both"/>
        <w:rPr>
          <w:rFonts w:hint="cs"/>
          <w:rtl/>
        </w:rPr>
      </w:pPr>
      <w:r>
        <w:rPr>
          <w:rFonts w:hint="cs"/>
          <w:rtl/>
        </w:rPr>
        <w:tab/>
        <w:t>-</w:t>
      </w:r>
      <w:r>
        <w:rPr>
          <w:rFonts w:hint="cs"/>
          <w:rtl/>
        </w:rPr>
        <w:tab/>
        <w:t xml:space="preserve">اتفاقية مناهضة التمييز في التعليم ( اليونسكو)، 1960 (1963)؛ </w:t>
      </w:r>
    </w:p>
    <w:p w:rsidR="00000000" w:rsidRDefault="00AC31D5">
      <w:pPr>
        <w:jc w:val="both"/>
        <w:rPr>
          <w:rFonts w:hint="cs"/>
          <w:rtl/>
        </w:rPr>
      </w:pPr>
      <w:r>
        <w:rPr>
          <w:rFonts w:hint="cs"/>
          <w:rtl/>
        </w:rPr>
        <w:tab/>
        <w:t>-</w:t>
      </w:r>
      <w:r>
        <w:rPr>
          <w:rFonts w:hint="cs"/>
          <w:rtl/>
        </w:rPr>
        <w:tab/>
        <w:t>العهد الدولي الخاص بالحقوق المدنية والسياسية، 1966؛</w:t>
      </w:r>
    </w:p>
    <w:p w:rsidR="00000000" w:rsidRDefault="00AC31D5">
      <w:pPr>
        <w:jc w:val="both"/>
        <w:rPr>
          <w:rFonts w:hint="cs"/>
          <w:rtl/>
        </w:rPr>
      </w:pPr>
      <w:r>
        <w:rPr>
          <w:rFonts w:hint="cs"/>
          <w:rtl/>
        </w:rPr>
        <w:tab/>
        <w:t>-</w:t>
      </w:r>
      <w:r>
        <w:rPr>
          <w:rFonts w:hint="cs"/>
          <w:rtl/>
        </w:rPr>
        <w:tab/>
        <w:t>البروتوكول الخاص بوضع اللاجئين، 1967؛</w:t>
      </w:r>
    </w:p>
    <w:p w:rsidR="00000000" w:rsidRDefault="00AC31D5">
      <w:pPr>
        <w:jc w:val="both"/>
        <w:rPr>
          <w:rFonts w:hint="cs"/>
          <w:rtl/>
        </w:rPr>
      </w:pPr>
      <w:r>
        <w:rPr>
          <w:rFonts w:hint="cs"/>
          <w:rtl/>
        </w:rPr>
        <w:tab/>
        <w:t>-</w:t>
      </w:r>
      <w:r>
        <w:rPr>
          <w:rFonts w:hint="cs"/>
          <w:rtl/>
        </w:rPr>
        <w:tab/>
        <w:t>اتفاقية عدم تقادم جرائم الحرب والجرائم المرتكبة ضد الإنسانية، 1968 (1971</w:t>
      </w:r>
      <w:r>
        <w:rPr>
          <w:rFonts w:hint="cs"/>
          <w:rtl/>
        </w:rPr>
        <w:t>)؛</w:t>
      </w:r>
    </w:p>
    <w:p w:rsidR="00000000" w:rsidRDefault="00AC31D5">
      <w:pPr>
        <w:jc w:val="both"/>
        <w:rPr>
          <w:rFonts w:hint="cs"/>
          <w:rtl/>
        </w:rPr>
      </w:pPr>
      <w:r>
        <w:rPr>
          <w:rFonts w:hint="cs"/>
          <w:rtl/>
        </w:rPr>
        <w:tab/>
        <w:t>-</w:t>
      </w:r>
      <w:r>
        <w:rPr>
          <w:rFonts w:hint="cs"/>
          <w:rtl/>
        </w:rPr>
        <w:tab/>
        <w:t>الاتفاقية الدولية للقضاء على جميع أشكال التمييز العنصري، 1969 (1994)؛</w:t>
      </w:r>
    </w:p>
    <w:p w:rsidR="00000000" w:rsidRDefault="00AC31D5">
      <w:pPr>
        <w:jc w:val="both"/>
        <w:rPr>
          <w:rFonts w:hint="cs"/>
          <w:rtl/>
        </w:rPr>
      </w:pPr>
      <w:r>
        <w:rPr>
          <w:rFonts w:hint="cs"/>
          <w:rtl/>
        </w:rPr>
        <w:tab/>
        <w:t>-</w:t>
      </w:r>
      <w:r>
        <w:rPr>
          <w:rFonts w:hint="cs"/>
          <w:rtl/>
        </w:rPr>
        <w:tab/>
        <w:t>العهد الدولي الخاص بالحقوق الاقتصادية والاجتماعية والثقافية، 1976 (1991)؛</w:t>
      </w:r>
    </w:p>
    <w:p w:rsidR="00000000" w:rsidRDefault="00AC31D5">
      <w:pPr>
        <w:jc w:val="both"/>
        <w:rPr>
          <w:rFonts w:hint="cs"/>
          <w:rtl/>
        </w:rPr>
      </w:pPr>
      <w:r>
        <w:rPr>
          <w:rFonts w:hint="cs"/>
          <w:rtl/>
        </w:rPr>
        <w:tab/>
        <w:t>-</w:t>
      </w:r>
      <w:r>
        <w:rPr>
          <w:rFonts w:hint="cs"/>
          <w:rtl/>
        </w:rPr>
        <w:tab/>
        <w:t>اتفاقية القضاء على جميع أشكال التمييز ضد المرأة، 1980 (1996)؛</w:t>
      </w:r>
    </w:p>
    <w:p w:rsidR="00000000" w:rsidRDefault="00AC31D5">
      <w:pPr>
        <w:ind w:left="1434" w:hanging="720"/>
        <w:jc w:val="both"/>
        <w:rPr>
          <w:rFonts w:hint="cs"/>
          <w:rtl/>
        </w:rPr>
      </w:pPr>
      <w:r>
        <w:rPr>
          <w:rFonts w:hint="cs"/>
          <w:rtl/>
        </w:rPr>
        <w:t>-</w:t>
      </w:r>
      <w:r>
        <w:rPr>
          <w:rFonts w:hint="cs"/>
          <w:rtl/>
        </w:rPr>
        <w:tab/>
        <w:t>اتفاقية مناهضة التعذيب وغيره من ضروب</w:t>
      </w:r>
      <w:r>
        <w:rPr>
          <w:rFonts w:hint="cs"/>
          <w:rtl/>
        </w:rPr>
        <w:t xml:space="preserve"> المعاملة أو العقوبة القاسية أو اللاإنسانية أو المهينة، 1987 (1994)؛ </w:t>
      </w:r>
    </w:p>
    <w:p w:rsidR="00000000" w:rsidRDefault="00AC31D5">
      <w:pPr>
        <w:jc w:val="both"/>
        <w:rPr>
          <w:rFonts w:hint="cs"/>
          <w:rtl/>
        </w:rPr>
      </w:pPr>
      <w:r>
        <w:rPr>
          <w:rFonts w:hint="cs"/>
          <w:rtl/>
        </w:rPr>
        <w:tab/>
        <w:t>-</w:t>
      </w:r>
      <w:r>
        <w:rPr>
          <w:rFonts w:hint="cs"/>
          <w:rtl/>
        </w:rPr>
        <w:tab/>
        <w:t>اتفاقية حقوق الطفل، 1989 (1992).</w:t>
      </w:r>
    </w:p>
    <w:p w:rsidR="00000000" w:rsidRDefault="00AC31D5">
      <w:pPr>
        <w:jc w:val="both"/>
        <w:rPr>
          <w:rFonts w:hint="cs"/>
          <w:rtl/>
        </w:rPr>
      </w:pPr>
      <w:r>
        <w:rPr>
          <w:rFonts w:hint="cs"/>
          <w:rtl/>
        </w:rPr>
        <w:t>103-</w:t>
      </w:r>
      <w:r>
        <w:rPr>
          <w:rFonts w:hint="cs"/>
          <w:rtl/>
        </w:rPr>
        <w:tab/>
        <w:t>وصدَّقت ألبانيا على اتفاقيات منظمة العمل الدولية التالية:</w:t>
      </w:r>
    </w:p>
    <w:p w:rsidR="00000000" w:rsidRDefault="00AC31D5">
      <w:pPr>
        <w:ind w:left="1434" w:hanging="720"/>
        <w:jc w:val="both"/>
        <w:rPr>
          <w:rFonts w:hint="cs"/>
          <w:spacing w:val="0"/>
          <w:rtl/>
        </w:rPr>
      </w:pPr>
      <w:r>
        <w:rPr>
          <w:rFonts w:hint="cs"/>
          <w:rtl/>
        </w:rPr>
        <w:t>-</w:t>
      </w:r>
      <w:r>
        <w:rPr>
          <w:rFonts w:hint="cs"/>
          <w:rtl/>
        </w:rPr>
        <w:tab/>
      </w:r>
      <w:r>
        <w:rPr>
          <w:rFonts w:hint="cs"/>
          <w:spacing w:val="0"/>
          <w:rtl/>
        </w:rPr>
        <w:t xml:space="preserve">اتفاقية عمل الأحداث ليلاً في الصناعة، 1919 (رقم 6)، وقد صدَّقت عليها في 17 آذار/مارس </w:t>
      </w:r>
      <w:r>
        <w:rPr>
          <w:rFonts w:hint="cs"/>
          <w:spacing w:val="0"/>
          <w:rtl/>
        </w:rPr>
        <w:t>1932؛</w:t>
      </w:r>
    </w:p>
    <w:p w:rsidR="00000000" w:rsidRDefault="00AC31D5">
      <w:pPr>
        <w:ind w:left="1434" w:hanging="720"/>
        <w:jc w:val="both"/>
        <w:rPr>
          <w:rFonts w:hint="cs"/>
          <w:rtl/>
        </w:rPr>
      </w:pPr>
      <w:r>
        <w:rPr>
          <w:rFonts w:hint="cs"/>
          <w:spacing w:val="0"/>
          <w:rtl/>
        </w:rPr>
        <w:t>-</w:t>
      </w:r>
      <w:r>
        <w:rPr>
          <w:rFonts w:hint="cs"/>
          <w:spacing w:val="0"/>
          <w:rtl/>
        </w:rPr>
        <w:tab/>
        <w:t>اتفاقية حق العمال الزراعيين في التجمع والاتحاد، 1921 (رقم 11)، وقد صدَّقت عليها في 3 حزيران/يونيه 1957</w:t>
      </w:r>
      <w:r>
        <w:rPr>
          <w:rFonts w:hint="cs"/>
          <w:rtl/>
        </w:rPr>
        <w:t>؛</w:t>
      </w:r>
    </w:p>
    <w:p w:rsidR="00000000" w:rsidRDefault="00AC31D5">
      <w:pPr>
        <w:ind w:left="1434" w:hanging="720"/>
        <w:jc w:val="both"/>
        <w:rPr>
          <w:rFonts w:hint="cs"/>
          <w:spacing w:val="0"/>
          <w:rtl/>
        </w:rPr>
      </w:pPr>
      <w:r>
        <w:rPr>
          <w:rFonts w:hint="cs"/>
          <w:spacing w:val="0"/>
          <w:rtl/>
        </w:rPr>
        <w:t>-</w:t>
      </w:r>
      <w:r>
        <w:rPr>
          <w:rFonts w:hint="cs"/>
          <w:spacing w:val="0"/>
          <w:rtl/>
        </w:rPr>
        <w:tab/>
        <w:t>اتفاقية الفحص الطبي الإجباري للأطفال والأحداث المستخدمين على ظهر السفن، 1921 (رقم 16)، وقد صدَّقت عليها في 3 حزيران/يونيه 1957؛</w:t>
      </w:r>
    </w:p>
    <w:p w:rsidR="00000000" w:rsidRDefault="00AC31D5">
      <w:pPr>
        <w:ind w:left="1434" w:hanging="720"/>
        <w:jc w:val="both"/>
        <w:rPr>
          <w:rFonts w:hint="cs"/>
          <w:spacing w:val="0"/>
          <w:rtl/>
        </w:rPr>
      </w:pPr>
      <w:r>
        <w:rPr>
          <w:rFonts w:hint="cs"/>
          <w:spacing w:val="0"/>
          <w:rtl/>
        </w:rPr>
        <w:t>-</w:t>
      </w:r>
      <w:r>
        <w:rPr>
          <w:rFonts w:hint="cs"/>
          <w:spacing w:val="0"/>
          <w:rtl/>
        </w:rPr>
        <w:tab/>
        <w:t>اتفاقية العم</w:t>
      </w:r>
      <w:r>
        <w:rPr>
          <w:rFonts w:hint="cs"/>
          <w:spacing w:val="0"/>
          <w:rtl/>
        </w:rPr>
        <w:t>ل الجبري أو الإلزامي، 1930 (رقم 29)، وقد صدَّقت عليها في 25 حزيران/يونيه</w:t>
      </w:r>
      <w:r>
        <w:rPr>
          <w:spacing w:val="0"/>
          <w:rtl/>
        </w:rPr>
        <w:br/>
      </w:r>
      <w:r>
        <w:rPr>
          <w:rFonts w:hint="cs"/>
          <w:spacing w:val="0"/>
          <w:rtl/>
        </w:rPr>
        <w:t>1957؛</w:t>
      </w:r>
    </w:p>
    <w:p w:rsidR="00000000" w:rsidRDefault="00AC31D5">
      <w:pPr>
        <w:ind w:left="1434" w:hanging="720"/>
        <w:jc w:val="both"/>
        <w:rPr>
          <w:rFonts w:hint="cs"/>
          <w:spacing w:val="0"/>
          <w:rtl/>
        </w:rPr>
      </w:pPr>
      <w:r>
        <w:rPr>
          <w:rFonts w:hint="cs"/>
          <w:spacing w:val="0"/>
          <w:rtl/>
        </w:rPr>
        <w:t>-</w:t>
      </w:r>
      <w:r>
        <w:rPr>
          <w:rFonts w:hint="cs"/>
          <w:spacing w:val="0"/>
          <w:rtl/>
        </w:rPr>
        <w:tab/>
        <w:t>اتفاقية الإجازات السنوية مدفوعة الأجر، 1936 (رقم 52)، وقد صدَّقت عليها في 3 حزيران/يونيه 1957؛</w:t>
      </w:r>
    </w:p>
    <w:p w:rsidR="00000000" w:rsidRDefault="00AC31D5">
      <w:pPr>
        <w:ind w:left="1434" w:hanging="720"/>
        <w:jc w:val="both"/>
        <w:rPr>
          <w:rFonts w:hint="cs"/>
          <w:spacing w:val="0"/>
          <w:rtl/>
        </w:rPr>
      </w:pPr>
      <w:r>
        <w:rPr>
          <w:rFonts w:hint="cs"/>
          <w:spacing w:val="0"/>
          <w:rtl/>
        </w:rPr>
        <w:t>-</w:t>
      </w:r>
      <w:r>
        <w:rPr>
          <w:rFonts w:hint="cs"/>
          <w:spacing w:val="0"/>
          <w:rtl/>
        </w:rPr>
        <w:tab/>
        <w:t>اتفاقية الفحص الطبي لتقرير لياقة الأحداث والشباب للعمل في الصناعة، 1946 (رقم 7</w:t>
      </w:r>
      <w:r>
        <w:rPr>
          <w:rFonts w:hint="cs"/>
          <w:spacing w:val="0"/>
          <w:rtl/>
        </w:rPr>
        <w:t>7)، وقد صدَّقت عليها في 3 حزيران/يونيه 1957؛</w:t>
      </w:r>
    </w:p>
    <w:p w:rsidR="00000000" w:rsidRDefault="00AC31D5">
      <w:pPr>
        <w:ind w:left="1434" w:hanging="720"/>
        <w:jc w:val="both"/>
        <w:rPr>
          <w:rFonts w:hint="cs"/>
          <w:spacing w:val="0"/>
          <w:rtl/>
        </w:rPr>
      </w:pPr>
      <w:r>
        <w:rPr>
          <w:rFonts w:hint="cs"/>
          <w:spacing w:val="0"/>
          <w:rtl/>
        </w:rPr>
        <w:t>-</w:t>
      </w:r>
      <w:r>
        <w:rPr>
          <w:rFonts w:hint="cs"/>
          <w:spacing w:val="0"/>
          <w:rtl/>
        </w:rPr>
        <w:tab/>
        <w:t>اتفاقية الفحص الطبي للياقة الأطفال والأحداث للاستخدام في المهن غير الصناعية، 1946 (رقم 78)، وقد صدَّقت عليها في 3 حزيران/يونيه 1957؛</w:t>
      </w:r>
    </w:p>
    <w:p w:rsidR="00000000" w:rsidRDefault="00AC31D5">
      <w:pPr>
        <w:ind w:left="1434" w:hanging="720"/>
        <w:jc w:val="both"/>
        <w:rPr>
          <w:rFonts w:hint="cs"/>
          <w:spacing w:val="0"/>
          <w:rtl/>
        </w:rPr>
      </w:pPr>
      <w:r>
        <w:rPr>
          <w:rFonts w:hint="cs"/>
          <w:spacing w:val="0"/>
          <w:rtl/>
        </w:rPr>
        <w:t>-</w:t>
      </w:r>
      <w:r>
        <w:rPr>
          <w:rFonts w:hint="cs"/>
          <w:spacing w:val="0"/>
          <w:rtl/>
        </w:rPr>
        <w:tab/>
        <w:t>اتفاقية الحرية النقابية وحماية حق التنظيم، 1948 (رقم 87)، وقد صدَّقت عليها</w:t>
      </w:r>
      <w:r>
        <w:rPr>
          <w:rFonts w:hint="cs"/>
          <w:spacing w:val="0"/>
          <w:rtl/>
        </w:rPr>
        <w:t xml:space="preserve"> في 3 حزيران/يونيه 1957؛</w:t>
      </w:r>
    </w:p>
    <w:p w:rsidR="00000000" w:rsidRDefault="00AC31D5">
      <w:pPr>
        <w:ind w:left="1434" w:hanging="720"/>
        <w:jc w:val="both"/>
        <w:rPr>
          <w:rFonts w:hint="cs"/>
          <w:spacing w:val="0"/>
          <w:rtl/>
        </w:rPr>
      </w:pPr>
      <w:r>
        <w:rPr>
          <w:rFonts w:hint="cs"/>
          <w:spacing w:val="0"/>
          <w:rtl/>
        </w:rPr>
        <w:t>-</w:t>
      </w:r>
      <w:r>
        <w:rPr>
          <w:rFonts w:hint="cs"/>
          <w:spacing w:val="0"/>
          <w:rtl/>
        </w:rPr>
        <w:tab/>
        <w:t>اتفاقية تطبيق مبادئ حق التنظيم والمفاوضة الجماعية، 1949 (رقم 98)، وقد صدَّقت عليها في 3 حزيران/يونيه 1957؛</w:t>
      </w:r>
    </w:p>
    <w:p w:rsidR="00000000" w:rsidRDefault="00AC31D5">
      <w:pPr>
        <w:ind w:left="1434" w:hanging="720"/>
        <w:jc w:val="both"/>
        <w:rPr>
          <w:rFonts w:hint="cs"/>
          <w:spacing w:val="0"/>
          <w:rtl/>
        </w:rPr>
      </w:pPr>
      <w:r>
        <w:rPr>
          <w:rFonts w:hint="cs"/>
          <w:spacing w:val="0"/>
          <w:rtl/>
        </w:rPr>
        <w:t>-</w:t>
      </w:r>
      <w:r>
        <w:rPr>
          <w:rFonts w:hint="cs"/>
          <w:spacing w:val="0"/>
          <w:rtl/>
        </w:rPr>
        <w:tab/>
        <w:t>اتفاقية مساواة العمال والعاملات في الأجر عن عملٍ ذي قيمة متساوية، 1951 (رقم 100)، وقد صدَّقت عليها في 3 حزيران/يونيه 195</w:t>
      </w:r>
      <w:r>
        <w:rPr>
          <w:rFonts w:hint="cs"/>
          <w:spacing w:val="0"/>
          <w:rtl/>
        </w:rPr>
        <w:t>7؛</w:t>
      </w:r>
    </w:p>
    <w:p w:rsidR="00000000" w:rsidRDefault="00AC31D5">
      <w:pPr>
        <w:ind w:left="1434" w:hanging="720"/>
        <w:jc w:val="both"/>
        <w:rPr>
          <w:rFonts w:hint="cs"/>
          <w:spacing w:val="0"/>
          <w:rtl/>
        </w:rPr>
      </w:pPr>
      <w:r>
        <w:rPr>
          <w:rFonts w:hint="cs"/>
          <w:spacing w:val="0"/>
          <w:rtl/>
        </w:rPr>
        <w:t>-</w:t>
      </w:r>
      <w:r>
        <w:rPr>
          <w:rFonts w:hint="cs"/>
          <w:spacing w:val="0"/>
          <w:rtl/>
        </w:rPr>
        <w:tab/>
        <w:t>اتفاقية إلغاء العمل الجبري، 1957 (رقم 105)، وقد صدَّقت عليها في 27 شباط/فبراير 1997؛</w:t>
      </w:r>
    </w:p>
    <w:p w:rsidR="00000000" w:rsidRDefault="00AC31D5">
      <w:pPr>
        <w:ind w:left="1434" w:hanging="720"/>
        <w:jc w:val="both"/>
        <w:rPr>
          <w:rFonts w:hint="cs"/>
          <w:spacing w:val="0"/>
          <w:rtl/>
        </w:rPr>
      </w:pPr>
      <w:r>
        <w:rPr>
          <w:rFonts w:hint="cs"/>
          <w:spacing w:val="0"/>
          <w:rtl/>
        </w:rPr>
        <w:t>-</w:t>
      </w:r>
      <w:r>
        <w:rPr>
          <w:rFonts w:hint="cs"/>
          <w:spacing w:val="0"/>
          <w:rtl/>
        </w:rPr>
        <w:tab/>
        <w:t>اتفاقية التمييز في الاستخدام والمهنة، 1958 (رقم 111)، وقد صدَّقت عليها في 27 شباط/فبراير 1997؛</w:t>
      </w:r>
    </w:p>
    <w:p w:rsidR="00000000" w:rsidRDefault="00AC31D5">
      <w:pPr>
        <w:ind w:left="1434" w:hanging="720"/>
        <w:jc w:val="both"/>
        <w:rPr>
          <w:rFonts w:hint="cs"/>
          <w:spacing w:val="0"/>
          <w:rtl/>
        </w:rPr>
      </w:pPr>
      <w:r>
        <w:rPr>
          <w:rFonts w:hint="cs"/>
          <w:spacing w:val="0"/>
          <w:rtl/>
        </w:rPr>
        <w:t>-</w:t>
      </w:r>
      <w:r>
        <w:rPr>
          <w:rFonts w:hint="cs"/>
          <w:spacing w:val="0"/>
          <w:rtl/>
        </w:rPr>
        <w:tab/>
        <w:t>اتفاقية الحد الأدنى لسن الاستخدام، 1973 (رقم 138)، وقد صدَّقت عليها</w:t>
      </w:r>
      <w:r>
        <w:rPr>
          <w:rFonts w:hint="cs"/>
          <w:spacing w:val="0"/>
          <w:rtl/>
        </w:rPr>
        <w:t xml:space="preserve"> في 16 شباط/فبراير 1998.</w:t>
      </w:r>
    </w:p>
    <w:p w:rsidR="00000000" w:rsidRDefault="00AC31D5">
      <w:pPr>
        <w:jc w:val="both"/>
        <w:rPr>
          <w:rFonts w:hint="cs"/>
          <w:rtl/>
        </w:rPr>
      </w:pPr>
      <w:r>
        <w:rPr>
          <w:rFonts w:hint="cs"/>
          <w:rtl/>
        </w:rPr>
        <w:t>104-</w:t>
      </w:r>
      <w:r>
        <w:rPr>
          <w:rFonts w:hint="cs"/>
          <w:rtl/>
        </w:rPr>
        <w:tab/>
        <w:t>وأضحت ألبانيا عضواً في مجلس أوروبا اعتباراً من 13 تموز/يوليه 1995. ووقعت وصدَّقت على عددٍ كبير من الوثائق الهامة التي اعتمدها مجلس أوروبا، وكان منها:</w:t>
      </w:r>
    </w:p>
    <w:p w:rsidR="00000000" w:rsidRDefault="00AC31D5">
      <w:pPr>
        <w:ind w:left="1434" w:hanging="720"/>
        <w:jc w:val="both"/>
        <w:rPr>
          <w:rFonts w:hint="cs"/>
          <w:spacing w:val="0"/>
          <w:rtl/>
        </w:rPr>
      </w:pPr>
      <w:r>
        <w:rPr>
          <w:rFonts w:hint="cs"/>
          <w:spacing w:val="0"/>
          <w:rtl/>
        </w:rPr>
        <w:t>-</w:t>
      </w:r>
      <w:r>
        <w:rPr>
          <w:rFonts w:hint="cs"/>
          <w:spacing w:val="0"/>
          <w:rtl/>
        </w:rPr>
        <w:tab/>
        <w:t>اتفاقية حماية حقوق الإنسان والحريات الأساسية، 1951 (التي صدَّقت عليها ألبا</w:t>
      </w:r>
      <w:r>
        <w:rPr>
          <w:rFonts w:hint="cs"/>
          <w:spacing w:val="0"/>
          <w:rtl/>
        </w:rPr>
        <w:t>نيا بموجب القانون 8137، الصادر في 31 تموز/يوليه 1996) والبروتوكولات 1 و2 و4 و6 و7 و11 الملحقة بهذه الاتفاقية؛</w:t>
      </w:r>
    </w:p>
    <w:p w:rsidR="00000000" w:rsidRDefault="00AC31D5">
      <w:pPr>
        <w:ind w:left="1434" w:hanging="720"/>
        <w:jc w:val="both"/>
        <w:rPr>
          <w:rFonts w:hint="cs"/>
          <w:spacing w:val="0"/>
          <w:rtl/>
        </w:rPr>
      </w:pPr>
      <w:r>
        <w:rPr>
          <w:rFonts w:hint="cs"/>
          <w:spacing w:val="0"/>
          <w:rtl/>
        </w:rPr>
        <w:t>-</w:t>
      </w:r>
      <w:r>
        <w:rPr>
          <w:rFonts w:hint="cs"/>
          <w:spacing w:val="0"/>
          <w:rtl/>
        </w:rPr>
        <w:tab/>
        <w:t>الاتفاقية الإطارية لحماية الأقليات القومية، 1995 (التي صدَّقت عليها دون أي تحفظات بموجب القانون 8496، الصادر في 3 حزيران/يونيه 1999؛</w:t>
      </w:r>
    </w:p>
    <w:p w:rsidR="00000000" w:rsidRDefault="00AC31D5">
      <w:pPr>
        <w:ind w:left="1434" w:hanging="720"/>
        <w:jc w:val="both"/>
        <w:rPr>
          <w:rFonts w:hint="cs"/>
          <w:spacing w:val="0"/>
          <w:rtl/>
        </w:rPr>
      </w:pPr>
      <w:r>
        <w:rPr>
          <w:rFonts w:hint="cs"/>
          <w:spacing w:val="0"/>
          <w:rtl/>
        </w:rPr>
        <w:t>-</w:t>
      </w:r>
      <w:r>
        <w:rPr>
          <w:rFonts w:hint="cs"/>
          <w:spacing w:val="0"/>
          <w:rtl/>
        </w:rPr>
        <w:tab/>
        <w:t>الاتفاقية</w:t>
      </w:r>
      <w:r>
        <w:rPr>
          <w:rFonts w:hint="cs"/>
          <w:spacing w:val="0"/>
          <w:rtl/>
        </w:rPr>
        <w:t xml:space="preserve"> الأوروبية للبث التلفزيوني عبر الحدود، 1999 (التي صدَّقت عليها بموجب القانون رقم 8525، الصادر بتاريخ 9 أيلول/سبتمبر 1999؛</w:t>
      </w:r>
    </w:p>
    <w:p w:rsidR="00000000" w:rsidRDefault="00AC31D5">
      <w:pPr>
        <w:ind w:left="1434" w:hanging="720"/>
        <w:jc w:val="both"/>
        <w:rPr>
          <w:rFonts w:hint="cs"/>
          <w:spacing w:val="0"/>
          <w:rtl/>
        </w:rPr>
      </w:pPr>
      <w:r>
        <w:rPr>
          <w:rFonts w:hint="cs"/>
          <w:spacing w:val="0"/>
          <w:rtl/>
        </w:rPr>
        <w:t>-</w:t>
      </w:r>
      <w:r>
        <w:rPr>
          <w:rFonts w:hint="cs"/>
          <w:spacing w:val="0"/>
          <w:rtl/>
        </w:rPr>
        <w:tab/>
        <w:t>"الاتفاق الجزئي للمركز الأوروبي للغات المعاصرة" في غراز، النمسا (الذي صدَّقت عليه بموجب القانون رقم 8706، الصادر في 1 كانون الأول/دي</w:t>
      </w:r>
      <w:r>
        <w:rPr>
          <w:rFonts w:hint="cs"/>
          <w:spacing w:val="0"/>
          <w:rtl/>
        </w:rPr>
        <w:t>سمبر 2000).</w:t>
      </w:r>
    </w:p>
    <w:p w:rsidR="00000000" w:rsidRDefault="00AC31D5">
      <w:pPr>
        <w:jc w:val="center"/>
        <w:rPr>
          <w:rFonts w:hint="cs"/>
          <w:b/>
          <w:bCs/>
          <w:rtl/>
        </w:rPr>
      </w:pPr>
      <w:r>
        <w:rPr>
          <w:b/>
          <w:bCs/>
          <w:rtl/>
        </w:rPr>
        <w:br w:type="page"/>
      </w:r>
      <w:r>
        <w:rPr>
          <w:rFonts w:hint="cs"/>
          <w:b/>
          <w:bCs/>
          <w:rtl/>
        </w:rPr>
        <w:t>واو - الصكوك الخاصة بحماية حقوق الإنسان، بوصفها جزءاً من النظام القانوني الوطني</w:t>
      </w:r>
    </w:p>
    <w:p w:rsidR="00000000" w:rsidRDefault="00AC31D5">
      <w:pPr>
        <w:jc w:val="both"/>
        <w:rPr>
          <w:rFonts w:hint="cs"/>
          <w:rtl/>
        </w:rPr>
      </w:pPr>
      <w:r>
        <w:rPr>
          <w:rFonts w:hint="cs"/>
          <w:rtl/>
        </w:rPr>
        <w:t>105-</w:t>
      </w:r>
      <w:r>
        <w:rPr>
          <w:rFonts w:hint="cs"/>
          <w:rtl/>
        </w:rPr>
        <w:tab/>
        <w:t>يعد كل صك دولي أصبحت ألبانيا طرفاً فيه جزءاً من النظام القانوني المحلي. فالمادة 5 من الدستور تنص على واجب جمهورية ألبانيا تنفيذ القوانين الدولية الملزمة. وتعر</w:t>
      </w:r>
      <w:r>
        <w:rPr>
          <w:rFonts w:hint="cs"/>
          <w:rtl/>
        </w:rPr>
        <w:t>ِّف المادة 116 من الدستور الاتفاقات الدولية المصدق عليها بأنها "صكوك شارعة معيارية نافذة في جميع أرجاء جمهورية ألبانيا".</w:t>
      </w:r>
    </w:p>
    <w:p w:rsidR="00000000" w:rsidRDefault="00AC31D5">
      <w:pPr>
        <w:jc w:val="both"/>
        <w:rPr>
          <w:rFonts w:hint="cs"/>
          <w:rtl/>
        </w:rPr>
      </w:pPr>
      <w:r>
        <w:rPr>
          <w:rFonts w:hint="cs"/>
          <w:rtl/>
        </w:rPr>
        <w:t>106-</w:t>
      </w:r>
      <w:r>
        <w:rPr>
          <w:rFonts w:hint="cs"/>
          <w:rtl/>
        </w:rPr>
        <w:tab/>
        <w:t>وتنص المادة 122 من الدستور على أن كل اتفاقٍ دولي صدَّقت عليه ألبانيا "يصبح جزءاً من النظام القانوني المحلي بعد نشره في الجريدة الر</w:t>
      </w:r>
      <w:r>
        <w:rPr>
          <w:rFonts w:hint="cs"/>
          <w:rtl/>
        </w:rPr>
        <w:t>سمية". ووفقاً لهذه المادة، "تسود الاتفاقات الدولية التي صدقت عليها ألبانيا قوانين البلد المنافية لها، فهي اتفاقات ملزمة مباشرة". كما تسود المعايير الصادرة عن أي منظمةٍ دولية القوانين المحلية في حالة تنـازعها، إذا كان الاتفاق الذي صدَّقت عليه جمهورية ألباني</w:t>
      </w:r>
      <w:r>
        <w:rPr>
          <w:rFonts w:hint="cs"/>
          <w:rtl/>
        </w:rPr>
        <w:t xml:space="preserve">ا للاشتراك في تلك المنظمة ينص صراحة على الامتثال المباشر. </w:t>
      </w:r>
    </w:p>
    <w:p w:rsidR="00000000" w:rsidRDefault="00AC31D5">
      <w:pPr>
        <w:jc w:val="both"/>
        <w:rPr>
          <w:rFonts w:hint="cs"/>
          <w:rtl/>
        </w:rPr>
      </w:pPr>
      <w:r>
        <w:rPr>
          <w:rFonts w:hint="cs"/>
          <w:rtl/>
        </w:rPr>
        <w:t>107-</w:t>
      </w:r>
      <w:r>
        <w:rPr>
          <w:rFonts w:hint="cs"/>
          <w:rtl/>
        </w:rPr>
        <w:tab/>
        <w:t>وتنص المادة 121 من الدستور على الاتفاقات الدولية التي تستلزم التصديق يجب أن تتعلق ب‍ (أ) الإقليم والسلم والتحالفات والشؤون السياسية والعسكرية؛ (ب) وحقوق الإنسان وحرياته وواجبات الموطنين كما حد</w:t>
      </w:r>
      <w:r>
        <w:rPr>
          <w:rFonts w:hint="cs"/>
          <w:rtl/>
        </w:rPr>
        <w:t>دها الدستور؛ (ج) وعضوية جمهورية ألبانيا في المنظمات الدولية؛ (د) ووفاء جمهورية ألبانيا بالتزاماتها المالية؛ (ه‍) واعتماد القوانين أو تغييرها أو تعديلها.</w:t>
      </w:r>
    </w:p>
    <w:p w:rsidR="00000000" w:rsidRDefault="00AC31D5">
      <w:pPr>
        <w:jc w:val="both"/>
        <w:rPr>
          <w:rFonts w:hint="cs"/>
          <w:rtl/>
        </w:rPr>
      </w:pPr>
      <w:r>
        <w:rPr>
          <w:rFonts w:hint="cs"/>
          <w:rtl/>
        </w:rPr>
        <w:t>108-</w:t>
      </w:r>
      <w:r>
        <w:rPr>
          <w:rFonts w:hint="cs"/>
          <w:rtl/>
        </w:rPr>
        <w:tab/>
        <w:t xml:space="preserve">وتتضمن قوانين عديدة مثل القانون المدني أو قانون العقوبات أحكاماً عديدة من أحكام الاتفاقيات الخاصة </w:t>
      </w:r>
      <w:r>
        <w:rPr>
          <w:rFonts w:hint="cs"/>
          <w:rtl/>
        </w:rPr>
        <w:t>بحقوق الإنسان وحرياته الأساسية؛ فالمادة 86 من قانون العقوبات تُعرِّف التعذيب على أنه جريمة جنائية: "يُعاقب بالسجن من 5 إلى 10 سنوات كل من يمارس التعذيب أو يرتكب أي فعلٍ آخر لا إنساني أو مهين بحق الآخرين". وتقضي المادة 20 من العهد الدولي الخاص بالحقوق المدن</w:t>
      </w:r>
      <w:r>
        <w:rPr>
          <w:rFonts w:hint="cs"/>
          <w:rtl/>
        </w:rPr>
        <w:t>ية والسياسية بأن "تحظر القانون أية دعوة إلى الكراهية القومية أو العنصرية أو الدينية تشكل تحريضاً على التمييز أو العداوة أو العنف". وبالإشارة إلى هذا الحكم، فإن المادة 265 من قانون العقوبات تنص على أن "القانون يُعاقب بالغرامة أو بالسجن لمدةٍ أقصاها 10 سنوات</w:t>
      </w:r>
      <w:r>
        <w:rPr>
          <w:rFonts w:hint="cs"/>
          <w:rtl/>
        </w:rPr>
        <w:t xml:space="preserve"> كل من يحرض على الكراهية أو الخلافات العنصرية أو القومية أو الدينية أو يرعاها أو يوزع منشوراتٍ يحض محتواها على ذلك".</w:t>
      </w:r>
    </w:p>
    <w:p w:rsidR="00000000" w:rsidRDefault="00AC31D5">
      <w:pPr>
        <w:jc w:val="both"/>
        <w:rPr>
          <w:rFonts w:hint="cs"/>
          <w:rtl/>
        </w:rPr>
      </w:pPr>
      <w:r>
        <w:rPr>
          <w:rFonts w:hint="cs"/>
          <w:rtl/>
        </w:rPr>
        <w:t>109-</w:t>
      </w:r>
      <w:r>
        <w:rPr>
          <w:rFonts w:hint="cs"/>
          <w:rtl/>
        </w:rPr>
        <w:tab/>
        <w:t>وتشمل آليات مراقبة إعمال حقوق الإنسان البرلمان والمحاكم ومكتب المدعي العام وأمين المظالم ولجنة الخدمة المدنية وهيئة التفتيش الحكومية ع</w:t>
      </w:r>
      <w:r>
        <w:rPr>
          <w:rFonts w:hint="cs"/>
          <w:rtl/>
        </w:rPr>
        <w:t>لى العمل.</w:t>
      </w:r>
    </w:p>
    <w:p w:rsidR="00000000" w:rsidRDefault="00AC31D5">
      <w:pPr>
        <w:jc w:val="center"/>
        <w:rPr>
          <w:rFonts w:hint="cs"/>
          <w:b/>
          <w:bCs/>
          <w:sz w:val="38"/>
          <w:szCs w:val="36"/>
          <w:rtl/>
        </w:rPr>
      </w:pPr>
      <w:r>
        <w:rPr>
          <w:b/>
          <w:bCs/>
          <w:sz w:val="38"/>
          <w:szCs w:val="36"/>
          <w:rtl/>
        </w:rPr>
        <w:br w:type="page"/>
      </w:r>
      <w:r>
        <w:rPr>
          <w:rFonts w:hint="cs"/>
          <w:b/>
          <w:bCs/>
          <w:sz w:val="38"/>
          <w:szCs w:val="36"/>
          <w:rtl/>
        </w:rPr>
        <w:t>رابعاً - الإعلام والدعاية</w:t>
      </w:r>
    </w:p>
    <w:p w:rsidR="00000000" w:rsidRDefault="00AC31D5">
      <w:pPr>
        <w:jc w:val="center"/>
        <w:rPr>
          <w:rFonts w:hint="cs"/>
          <w:b/>
          <w:bCs/>
          <w:rtl/>
        </w:rPr>
      </w:pPr>
      <w:r>
        <w:rPr>
          <w:rFonts w:hint="cs"/>
          <w:b/>
          <w:bCs/>
          <w:rtl/>
        </w:rPr>
        <w:t>ألف - الارتقاء بمستوى الوعي لدى الجمهور والسلطات</w:t>
      </w:r>
    </w:p>
    <w:p w:rsidR="00000000" w:rsidRDefault="00AC31D5">
      <w:pPr>
        <w:jc w:val="both"/>
        <w:rPr>
          <w:rFonts w:hint="cs"/>
          <w:rtl/>
        </w:rPr>
      </w:pPr>
      <w:r>
        <w:rPr>
          <w:rFonts w:hint="cs"/>
          <w:rtl/>
        </w:rPr>
        <w:t>110-</w:t>
      </w:r>
      <w:r>
        <w:rPr>
          <w:rFonts w:hint="cs"/>
          <w:rtl/>
        </w:rPr>
        <w:tab/>
        <w:t>يستوجب التصديق على الاتفاقيات الدولية ترجمتها ترجمةً رسمية. لذلك، عُهد بترجمة جميع الاتفاقيات الدولية المتعلقة بحقوق الإنسان إلى منظماتٍ وطنية ودولية تعمل في ألبانيا</w:t>
      </w:r>
      <w:r>
        <w:rPr>
          <w:rFonts w:hint="cs"/>
          <w:rtl/>
        </w:rPr>
        <w:t>، إلا أن الترجمات الرسمية لم تجهز بعد.</w:t>
      </w:r>
    </w:p>
    <w:p w:rsidR="00000000" w:rsidRDefault="00AC31D5">
      <w:pPr>
        <w:jc w:val="both"/>
        <w:rPr>
          <w:rFonts w:hint="cs"/>
          <w:rtl/>
        </w:rPr>
      </w:pPr>
      <w:r>
        <w:rPr>
          <w:rFonts w:hint="cs"/>
          <w:rtl/>
        </w:rPr>
        <w:t>111- ويلزم القانون رقم 8678 الصادر في 14 أيار/مايو 2001 إدارة العلاقات الدولية والقانونية في وزارة العدل بأن تتولى أمر الترجمة الرسمية للصكوك الدولية.</w:t>
      </w:r>
    </w:p>
    <w:p w:rsidR="00000000" w:rsidRDefault="00AC31D5">
      <w:pPr>
        <w:jc w:val="both"/>
        <w:rPr>
          <w:rFonts w:hint="cs"/>
          <w:rtl/>
        </w:rPr>
      </w:pPr>
      <w:r>
        <w:rPr>
          <w:rFonts w:hint="cs"/>
          <w:rtl/>
        </w:rPr>
        <w:t>112-</w:t>
      </w:r>
      <w:r>
        <w:rPr>
          <w:rFonts w:hint="cs"/>
          <w:rtl/>
        </w:rPr>
        <w:tab/>
        <w:t>بيد أن الجريدة الرسمية لم تنشر حتى عام 1999 سوى القوانين اللا</w:t>
      </w:r>
      <w:r>
        <w:rPr>
          <w:rFonts w:hint="cs"/>
          <w:rtl/>
        </w:rPr>
        <w:t xml:space="preserve">زمة دون أن ترفق نص الصك المصدَّق عليه باللغة الألبانية. ثم نُشرت هذه الصكوك بعد عام 1999 في الجريدة الرسمية التي طُبع منها 200 4 نسخة. وقد وُزعت هذه النسخ في جميع المؤسسات الحكومية على الصعيدين المركزي والمحلي، وفي جميع المحاكم وعلى الجمهور. </w:t>
      </w:r>
    </w:p>
    <w:p w:rsidR="00000000" w:rsidRDefault="00AC31D5">
      <w:pPr>
        <w:jc w:val="both"/>
        <w:rPr>
          <w:rFonts w:hint="cs"/>
          <w:rtl/>
        </w:rPr>
      </w:pPr>
      <w:r>
        <w:rPr>
          <w:rFonts w:hint="cs"/>
          <w:rtl/>
        </w:rPr>
        <w:t>113-</w:t>
      </w:r>
      <w:r>
        <w:rPr>
          <w:rFonts w:hint="cs"/>
          <w:rtl/>
        </w:rPr>
        <w:tab/>
        <w:t>وأهم الم</w:t>
      </w:r>
      <w:r>
        <w:rPr>
          <w:rFonts w:hint="cs"/>
          <w:rtl/>
        </w:rPr>
        <w:t>نظمات غير الحكومية التي تضطلع بأنشطةٍ واسعة لزيادة وعي الجمهور بشأن قضايا تخص حماية حقوق الإنسان واحترامها هي: المركز الألباني لحقوق الإنسان، والمنتدى الألباني للمنظمات غير الحكومية، والمؤسسة الألبانية للمجتمع المدني، ومجلس الشباب الألباني، ولجنة هلسنكي ال</w:t>
      </w:r>
      <w:r>
        <w:rPr>
          <w:rFonts w:hint="cs"/>
          <w:rtl/>
        </w:rPr>
        <w:t>ألبانية، والفريق الألباني لحقوق الإنسان، والمعهد الألباني لوسائط الإعلام، والمنتدى المستقل للمرأة الألبانية، ومجلس المنظمات غير الحكومية النسائية، والمركز الاستشاري لشؤون المرأة.</w:t>
      </w:r>
    </w:p>
    <w:p w:rsidR="00000000" w:rsidRDefault="00AC31D5">
      <w:pPr>
        <w:jc w:val="center"/>
        <w:rPr>
          <w:rFonts w:hint="cs"/>
          <w:b/>
          <w:bCs/>
          <w:rtl/>
        </w:rPr>
      </w:pPr>
      <w:r>
        <w:rPr>
          <w:rFonts w:hint="cs"/>
          <w:b/>
          <w:bCs/>
          <w:rtl/>
        </w:rPr>
        <w:t>باء - المؤسسات الحكومية المسؤولة عن عملية الإبلاغ</w:t>
      </w:r>
    </w:p>
    <w:p w:rsidR="00000000" w:rsidRDefault="00AC31D5">
      <w:pPr>
        <w:jc w:val="both"/>
        <w:rPr>
          <w:rFonts w:hint="cs"/>
          <w:rtl/>
        </w:rPr>
      </w:pPr>
      <w:r>
        <w:rPr>
          <w:rFonts w:hint="cs"/>
          <w:rtl/>
        </w:rPr>
        <w:t>114-</w:t>
      </w:r>
      <w:r>
        <w:rPr>
          <w:rFonts w:hint="cs"/>
          <w:rtl/>
        </w:rPr>
        <w:tab/>
        <w:t>لم تنشئ ألبانيا حتى وق</w:t>
      </w:r>
      <w:r>
        <w:rPr>
          <w:rFonts w:hint="cs"/>
          <w:rtl/>
        </w:rPr>
        <w:t>تٍ قريب أي مؤسسة توكل إليها مهمة تجميع التقارير عن تنفيذ الاتفاقيات الدولية لحقوق الإنسان. لهذا السبب، قُدم التقرير الأول (عن تنفيذ اتفاقية القضاء على جميع أشكال التمييز ضد المرأة) في أيار/مايو 2002، ثم تبعه تقديم تقرير عن تنفيذ الاتفاقية الدولية للقضاء عل</w:t>
      </w:r>
      <w:r>
        <w:rPr>
          <w:rFonts w:hint="cs"/>
          <w:rtl/>
        </w:rPr>
        <w:t>ى جميع أشكال التمييز العنصري.</w:t>
      </w:r>
    </w:p>
    <w:p w:rsidR="00000000" w:rsidRDefault="00AC31D5">
      <w:pPr>
        <w:jc w:val="both"/>
        <w:rPr>
          <w:rFonts w:hint="cs"/>
          <w:rtl/>
        </w:rPr>
      </w:pPr>
      <w:r>
        <w:rPr>
          <w:rFonts w:hint="cs"/>
          <w:rtl/>
        </w:rPr>
        <w:t>115-</w:t>
      </w:r>
      <w:r>
        <w:rPr>
          <w:rFonts w:hint="cs"/>
          <w:rtl/>
        </w:rPr>
        <w:tab/>
        <w:t xml:space="preserve">وبناءً على القرار رقم 134 الذي أصدره رئيس الوزراء في 5 أيار/مايو 2000، أُوكلت مهمة إعداد التقارير الوطنية الخاصة باتفاقيات الأمم المتحدة لحقوق الإنسان إلى فريقٍ عاملٍ مشترك بين الوزارات تتولى وزارة الخارجية تنسيق أعماله. </w:t>
      </w:r>
      <w:r>
        <w:rPr>
          <w:rFonts w:hint="cs"/>
          <w:rtl/>
        </w:rPr>
        <w:t xml:space="preserve">وتشرع هذه الوزارة في إجراءات التصديق على مختلف الصكوك الدولية منذ اللحظة التي توافق فيها بلدان مختلفة على التوقيع عليها. </w:t>
      </w:r>
    </w:p>
    <w:p w:rsidR="00000000" w:rsidRDefault="00AC31D5">
      <w:pPr>
        <w:jc w:val="both"/>
        <w:rPr>
          <w:rFonts w:hint="cs"/>
          <w:rtl/>
        </w:rPr>
      </w:pPr>
      <w:r>
        <w:rPr>
          <w:rFonts w:hint="cs"/>
          <w:rtl/>
        </w:rPr>
        <w:t>116-</w:t>
      </w:r>
      <w:r>
        <w:rPr>
          <w:rFonts w:hint="cs"/>
          <w:rtl/>
        </w:rPr>
        <w:tab/>
        <w:t>وتتكون عضوية هذا الفريق من ممثلين عن وزاراتٍ مختلفة، هي: وزارة العدل، ووزارة النظام العام، ووزارة العمل والشؤون الاجتماعية، ووزار</w:t>
      </w:r>
      <w:r>
        <w:rPr>
          <w:rFonts w:hint="cs"/>
          <w:rtl/>
        </w:rPr>
        <w:t>ة التعليم والعلوم، ووزارة الحكم المحلي واللامركزية، ومعهد الإحصاء، واللجنة المعنية بتكافؤ الفرص، ومركز حقوق الإنسان للأطفال.</w:t>
      </w:r>
    </w:p>
    <w:p w:rsidR="00000000" w:rsidRDefault="00AC31D5">
      <w:pPr>
        <w:jc w:val="both"/>
        <w:rPr>
          <w:rFonts w:hint="cs"/>
          <w:rtl/>
        </w:rPr>
      </w:pPr>
      <w:r>
        <w:rPr>
          <w:rFonts w:hint="cs"/>
          <w:rtl/>
        </w:rPr>
        <w:t>117-</w:t>
      </w:r>
      <w:r>
        <w:rPr>
          <w:rFonts w:hint="cs"/>
          <w:rtl/>
        </w:rPr>
        <w:tab/>
        <w:t>ومن مسؤولية هذا الفريق تقديم البيانات اللازمة لإعداد التقارير وتنظيم عملية الاستشارة وإقامة اتصالات مستمرة مع الكيانات الطبيعي</w:t>
      </w:r>
      <w:r>
        <w:rPr>
          <w:rFonts w:hint="cs"/>
          <w:rtl/>
        </w:rPr>
        <w:t>ة والاعتبارية لضمان مساعدتها في وضع هذه التقارير.</w:t>
      </w:r>
    </w:p>
    <w:p w:rsidR="00000000" w:rsidRDefault="00AC31D5">
      <w:pPr>
        <w:jc w:val="both"/>
        <w:rPr>
          <w:rFonts w:hint="cs"/>
          <w:rtl/>
        </w:rPr>
      </w:pPr>
      <w:r>
        <w:rPr>
          <w:rFonts w:hint="cs"/>
          <w:rtl/>
        </w:rPr>
        <w:t>118-</w:t>
      </w:r>
      <w:r>
        <w:rPr>
          <w:rFonts w:hint="cs"/>
          <w:rtl/>
        </w:rPr>
        <w:tab/>
        <w:t>وسوف تقدم المنظمات غير الحكومية الناشطة في ميادين حقوق الإنسان المساعدة إلى السلطات المكلفة بهذه المهمة.</w:t>
      </w:r>
    </w:p>
    <w:p w:rsidR="00000000" w:rsidRDefault="00AC31D5">
      <w:pPr>
        <w:jc w:val="both"/>
        <w:rPr>
          <w:rFonts w:hint="cs"/>
          <w:rtl/>
        </w:rPr>
      </w:pPr>
      <w:r>
        <w:rPr>
          <w:rFonts w:hint="cs"/>
          <w:rtl/>
        </w:rPr>
        <w:t>119-</w:t>
      </w:r>
      <w:r>
        <w:rPr>
          <w:rFonts w:hint="cs"/>
          <w:rtl/>
        </w:rPr>
        <w:tab/>
        <w:t>وبما أن ألبانيا لا تزال في بداية عملية الإبلاغ، فإنها لم تصل بعد إلى مرحلة مناقشة مضمون هذه</w:t>
      </w:r>
      <w:r>
        <w:rPr>
          <w:rFonts w:hint="cs"/>
          <w:rtl/>
        </w:rPr>
        <w:t xml:space="preserve"> التقارير على نطاقٍ واسعٍ وعلني.</w:t>
      </w:r>
    </w:p>
    <w:p w:rsidR="00000000" w:rsidRDefault="00AC31D5">
      <w:pPr>
        <w:jc w:val="center"/>
        <w:rPr>
          <w:rFonts w:hint="cs"/>
          <w:rtl/>
        </w:rPr>
      </w:pPr>
      <w:r>
        <w:rPr>
          <w:rFonts w:hint="cs"/>
          <w:rtl/>
        </w:rPr>
        <w:t>- - - - -</w:t>
      </w:r>
    </w:p>
    <w:p w:rsidR="00000000" w:rsidRDefault="00AC31D5">
      <w:pPr>
        <w:jc w:val="left"/>
        <w:rPr>
          <w:sz w:val="30"/>
          <w:rtl/>
        </w:rPr>
      </w:pPr>
    </w:p>
    <w:sectPr w:rsidR="00000000">
      <w:headerReference w:type="even" r:id="rId10"/>
      <w:headerReference w:type="default" r:id="rId11"/>
      <w:headerReference w:type="first" r:id="rId12"/>
      <w:footerReference w:type="first" r:id="rId13"/>
      <w:type w:val="continuous"/>
      <w:pgSz w:w="11906" w:h="16838" w:code="9"/>
      <w:pgMar w:top="1701" w:right="1701" w:bottom="1984" w:left="850" w:header="567" w:footer="1417" w:gutter="0"/>
      <w:cols w:space="720"/>
      <w:formProt w:val="0"/>
      <w:titlePg/>
      <w:bidi/>
      <w:rtlGutter/>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C31D5">
    <w:pPr>
      <w:pStyle w:val="Footer"/>
      <w:bidi w:val="0"/>
      <w:jc w:val="right"/>
      <w:rPr>
        <w:rtl/>
        <w:lang w:eastAsia="en-US"/>
      </w:rPr>
    </w:pPr>
    <w:r>
      <w:rPr>
        <w:szCs w:val="22"/>
        <w:lang w:eastAsia="en-US"/>
      </w:rPr>
      <w:t>(A)     GE.03-43143    151003    221003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514"/>
    </w:tblGrid>
    <w:tr w:rsidR="00AC31D5" w:rsidTr="00AC31D5">
      <w:tblPrEx>
        <w:tblCellMar>
          <w:top w:w="0" w:type="dxa"/>
          <w:bottom w:w="0" w:type="dxa"/>
        </w:tblCellMar>
      </w:tblPrEx>
      <w:tc>
        <w:tcPr>
          <w:tcW w:w="2514" w:type="dxa"/>
        </w:tcPr>
        <w:p w:rsidR="00000000" w:rsidRDefault="00AC31D5">
          <w:pPr>
            <w:pStyle w:val="Header"/>
            <w:bidi w:val="0"/>
            <w:rPr>
              <w:lang w:val="fr-CH"/>
            </w:rPr>
          </w:pPr>
          <w:r>
            <w:rPr>
              <w:lang w:val="fr-CH"/>
            </w:rPr>
            <w:t>HRI/CORE/1/Add.124</w:t>
          </w:r>
        </w:p>
        <w:p w:rsidR="00000000" w:rsidRDefault="00AC31D5">
          <w:pPr>
            <w:pStyle w:val="Header"/>
            <w:bidi w:val="0"/>
            <w:rPr>
              <w:lang w:val="fr-CH"/>
            </w:rPr>
          </w:pPr>
          <w:r>
            <w:rPr>
              <w:lang w:val="fr-CH"/>
            </w:rPr>
            <w:t xml:space="preserve">Page </w:t>
          </w:r>
          <w:r>
            <w:fldChar w:fldCharType="begin"/>
          </w:r>
          <w:r>
            <w:rPr>
              <w:lang w:val="fr-CH"/>
            </w:rPr>
            <w:instrText xml:space="preserve"> PAGE  \* MERGEFORMAT </w:instrText>
          </w:r>
          <w:r>
            <w:fldChar w:fldCharType="separate"/>
          </w:r>
          <w:r>
            <w:rPr>
              <w:lang w:val="fr-CH"/>
            </w:rPr>
            <w:t>30</w:t>
          </w:r>
          <w:r>
            <w:fldChar w:fldCharType="end"/>
          </w:r>
        </w:p>
      </w:tc>
    </w:tr>
  </w:tbl>
  <w:p w:rsidR="00000000" w:rsidRDefault="00AC31D5">
    <w:pPr>
      <w:pStyle w:val="Header"/>
      <w:rPr>
        <w:rtl/>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C31D5">
    <w:pPr>
      <w:pStyle w:val="Header"/>
      <w:bidi w:val="0"/>
      <w:rPr>
        <w:lang w:val="fr-CH"/>
      </w:rPr>
    </w:pPr>
    <w:r>
      <w:rPr>
        <w:lang w:val="fr-CH"/>
      </w:rPr>
      <w:t>HRI/CORE/1/Add.124</w:t>
    </w:r>
  </w:p>
  <w:p w:rsidR="00000000" w:rsidRDefault="00AC31D5">
    <w:pPr>
      <w:pStyle w:val="Header"/>
      <w:bidi w:val="0"/>
      <w:rPr>
        <w:lang w:val="fr-CH"/>
      </w:rPr>
    </w:pPr>
    <w:r>
      <w:rPr>
        <w:lang w:val="fr-CH"/>
      </w:rPr>
      <w:t xml:space="preserve">Page </w:t>
    </w:r>
    <w:r>
      <w:fldChar w:fldCharType="begin"/>
    </w:r>
    <w:r>
      <w:rPr>
        <w:lang w:val="fr-CH"/>
      </w:rPr>
      <w:instrText xml:space="preserve"> PAGE  \* MERGEFORMAT </w:instrText>
    </w:r>
    <w:r>
      <w:fldChar w:fldCharType="separate"/>
    </w:r>
    <w:r>
      <w:rPr>
        <w:lang w:val="fr-CH"/>
      </w:rPr>
      <w:t>31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C31D5">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HRI</w:t>
    </w:r>
  </w:p>
  <w:p w:rsidR="00000000" w:rsidRDefault="00AC31D5">
    <w:pPr>
      <w:pBdr>
        <w:bottom w:val="single" w:sz="6" w:space="1" w:color="auto"/>
      </w:pBdr>
      <w:bidi w:val="0"/>
      <w:spacing w:before="0" w:after="0"/>
      <w:rPr>
        <w:rFonts w:cs="Times New Roman"/>
        <w:szCs w:val="22"/>
        <w:lang w:eastAsia="en-US"/>
      </w:rPr>
    </w:pPr>
  </w:p>
  <w:p w:rsidR="00000000" w:rsidRDefault="00AC31D5">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5885130" r:id="rId2"/>
      </w:pict>
    </w:r>
  </w:p>
  <w:p w:rsidR="00000000" w:rsidRDefault="00AC31D5">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7.85pt;width:173.4pt;height:72.8pt;z-index:-2;mso-wrap-edited:f;mso-position-horizontal-relative:page" wrapcoords="-80 -372 -80 21972 21761 21972 21761 -372 -80 -372" filled="f" stroked="f" strokeweight="2.25pt">
          <v:textbox style="mso-next-textbox:#_x0000_s1026" inset="0,0,0,0">
            <w:txbxContent>
              <w:p w:rsidR="00000000" w:rsidRDefault="00AC31D5">
                <w:pPr>
                  <w:spacing w:before="0" w:after="0" w:line="640" w:lineRule="exact"/>
                  <w:jc w:val="left"/>
                  <w:rPr>
                    <w:rFonts w:hint="cs"/>
                    <w:b/>
                    <w:bCs/>
                    <w:spacing w:val="0"/>
                    <w:sz w:val="60"/>
                    <w:szCs w:val="60"/>
                    <w:rtl/>
                  </w:rPr>
                </w:pPr>
                <w:r>
                  <w:rPr>
                    <w:rFonts w:hint="cs"/>
                    <w:b/>
                    <w:bCs/>
                    <w:spacing w:val="0"/>
                    <w:sz w:val="60"/>
                    <w:szCs w:val="60"/>
                    <w:rtl/>
                  </w:rPr>
                  <w:t>الصكوك الدوليـة</w:t>
                </w:r>
              </w:p>
              <w:p w:rsidR="00000000" w:rsidRDefault="00AC31D5">
                <w:pPr>
                  <w:spacing w:before="0" w:after="0" w:line="640" w:lineRule="exact"/>
                  <w:jc w:val="left"/>
                  <w:rPr>
                    <w:rFonts w:hint="cs"/>
                    <w:b/>
                    <w:bCs/>
                    <w:spacing w:val="0"/>
                    <w:sz w:val="60"/>
                    <w:szCs w:val="60"/>
                    <w:rtl/>
                  </w:rPr>
                </w:pPr>
                <w:r>
                  <w:rPr>
                    <w:rFonts w:hint="cs"/>
                    <w:b/>
                    <w:bCs/>
                    <w:spacing w:val="0"/>
                    <w:sz w:val="60"/>
                    <w:szCs w:val="60"/>
                    <w:rtl/>
                  </w:rPr>
                  <w:t>لحقوق الإنسـان</w:t>
                </w:r>
              </w:p>
            </w:txbxContent>
          </v:textbox>
          <w10:wrap type="tight" anchorx="page"/>
        </v:shape>
      </w:pict>
    </w:r>
  </w:p>
  <w:p w:rsidR="00000000" w:rsidRDefault="00AC31D5">
    <w:pPr>
      <w:pStyle w:val="Header"/>
      <w:bidi w:val="0"/>
      <w:rPr>
        <w:szCs w:val="22"/>
        <w:lang w:eastAsia="en-US"/>
      </w:rPr>
    </w:pPr>
  </w:p>
  <w:p w:rsidR="00000000" w:rsidRDefault="00AC31D5">
    <w:pPr>
      <w:pStyle w:val="Header"/>
      <w:bidi w:val="0"/>
      <w:rPr>
        <w:szCs w:val="22"/>
        <w:lang w:eastAsia="en-US"/>
      </w:rPr>
    </w:pPr>
  </w:p>
  <w:p w:rsidR="00000000" w:rsidRDefault="00AC31D5">
    <w:pPr>
      <w:pStyle w:val="Header"/>
      <w:bidi w:val="0"/>
      <w:rPr>
        <w:szCs w:val="22"/>
        <w:lang w:eastAsia="en-US"/>
      </w:rPr>
    </w:pPr>
  </w:p>
  <w:p w:rsidR="00000000" w:rsidRDefault="00AC31D5">
    <w:pPr>
      <w:pStyle w:val="Header"/>
      <w:bidi w:val="0"/>
      <w:rPr>
        <w:szCs w:val="22"/>
        <w:lang w:eastAsia="en-US"/>
      </w:rPr>
    </w:pPr>
  </w:p>
  <w:p w:rsidR="00000000" w:rsidRDefault="00AC31D5">
    <w:pPr>
      <w:pStyle w:val="Header"/>
      <w:bidi w:val="0"/>
      <w:rPr>
        <w:rtl/>
        <w:lang w:eastAsia="en-US"/>
      </w:rPr>
    </w:pPr>
  </w:p>
  <w:p w:rsidR="00000000" w:rsidRDefault="00AC31D5">
    <w:pPr>
      <w:pStyle w:val="Header"/>
      <w:bidi w:val="0"/>
      <w:rPr>
        <w:rtl/>
        <w:lang w:eastAsia="en-US"/>
      </w:rPr>
    </w:pPr>
  </w:p>
  <w:p w:rsidR="00000000" w:rsidRDefault="00AC31D5">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82"/>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Microsoft_Excel_97-2003_Worksheet1.xls"/><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32</Pages>
  <Words>7079</Words>
  <Characters>40354</Characters>
  <Application>Microsoft Office Word</Application>
  <DocSecurity>4</DocSecurity>
  <Lines>336</Lines>
  <Paragraphs>80</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49557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غادة</dc:creator>
  <cp:keywords/>
  <dc:description/>
  <cp:lastModifiedBy>TPS</cp:lastModifiedBy>
  <cp:revision>2</cp:revision>
  <cp:lastPrinted>2003-10-22T08:36:00Z</cp:lastPrinted>
  <dcterms:created xsi:type="dcterms:W3CDTF">2003-10-22T08:39:00Z</dcterms:created>
  <dcterms:modified xsi:type="dcterms:W3CDTF">2003-10-22T08:39:00Z</dcterms:modified>
</cp:coreProperties>
</file>