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F124C6" w:rsidTr="00DC68EC">
        <w:trPr>
          <w:trHeight w:hRule="exact" w:val="851"/>
        </w:trPr>
        <w:tc>
          <w:tcPr>
            <w:tcW w:w="1280" w:type="dxa"/>
            <w:tcBorders>
              <w:bottom w:val="single" w:sz="4" w:space="0" w:color="auto"/>
            </w:tcBorders>
          </w:tcPr>
          <w:p w:rsidR="00164236" w:rsidRPr="00F124C6" w:rsidRDefault="00164236" w:rsidP="00DC68EC">
            <w:pPr>
              <w:pStyle w:val="H23GC"/>
            </w:pPr>
          </w:p>
        </w:tc>
        <w:tc>
          <w:tcPr>
            <w:tcW w:w="2273" w:type="dxa"/>
            <w:tcBorders>
              <w:bottom w:val="single" w:sz="4" w:space="0" w:color="auto"/>
            </w:tcBorders>
            <w:vAlign w:val="bottom"/>
          </w:tcPr>
          <w:p w:rsidR="00164236" w:rsidRPr="0050687F" w:rsidRDefault="00164236" w:rsidP="00DC68E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64236" w:rsidRPr="00D45C12" w:rsidRDefault="00D45C12" w:rsidP="00DC68EC">
            <w:pPr>
              <w:spacing w:line="240" w:lineRule="atLeast"/>
              <w:jc w:val="right"/>
              <w:rPr>
                <w:sz w:val="20"/>
                <w:szCs w:val="21"/>
              </w:rPr>
            </w:pPr>
            <w:r w:rsidRPr="00D45C12">
              <w:rPr>
                <w:sz w:val="40"/>
                <w:szCs w:val="21"/>
              </w:rPr>
              <w:t>HRI</w:t>
            </w:r>
            <w:r>
              <w:rPr>
                <w:sz w:val="20"/>
                <w:szCs w:val="21"/>
              </w:rPr>
              <w:t>/CORE/SSD/2020</w:t>
            </w:r>
          </w:p>
        </w:tc>
      </w:tr>
      <w:tr w:rsidR="00164236" w:rsidRPr="00F124C6" w:rsidTr="00DC68EC">
        <w:trPr>
          <w:trHeight w:hRule="exact" w:val="2835"/>
        </w:trPr>
        <w:tc>
          <w:tcPr>
            <w:tcW w:w="1280" w:type="dxa"/>
            <w:tcBorders>
              <w:top w:val="single" w:sz="4" w:space="0" w:color="auto"/>
              <w:bottom w:val="single" w:sz="12" w:space="0" w:color="auto"/>
            </w:tcBorders>
          </w:tcPr>
          <w:p w:rsidR="00164236" w:rsidRPr="00F124C6" w:rsidRDefault="00164236" w:rsidP="00DC68EC">
            <w:pPr>
              <w:spacing w:line="120" w:lineRule="atLeast"/>
              <w:rPr>
                <w:sz w:val="10"/>
                <w:szCs w:val="10"/>
              </w:rPr>
            </w:pPr>
          </w:p>
          <w:p w:rsidR="00164236" w:rsidRPr="00F124C6" w:rsidRDefault="00164236" w:rsidP="00DC68EC">
            <w:pPr>
              <w:spacing w:line="120" w:lineRule="atLeast"/>
              <w:rPr>
                <w:sz w:val="10"/>
                <w:szCs w:val="10"/>
              </w:rPr>
            </w:pPr>
            <w:r>
              <w:rPr>
                <w:rFonts w:hint="eastAsia"/>
                <w:noProof/>
                <w:snapToGrid/>
              </w:rPr>
              <w:drawing>
                <wp:inline distT="0" distB="0" distL="0" distR="0" wp14:anchorId="2A0295D0" wp14:editId="403A073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64236" w:rsidRDefault="00164236" w:rsidP="00DC68EC">
            <w:pPr>
              <w:spacing w:before="160" w:line="240" w:lineRule="auto"/>
              <w:rPr>
                <w:rFonts w:eastAsia="黑体"/>
                <w:spacing w:val="4"/>
                <w:sz w:val="36"/>
                <w:szCs w:val="36"/>
              </w:rPr>
            </w:pPr>
            <w:r>
              <w:rPr>
                <w:rFonts w:eastAsia="黑体" w:hint="eastAsia"/>
                <w:spacing w:val="4"/>
                <w:sz w:val="36"/>
                <w:szCs w:val="36"/>
              </w:rPr>
              <w:t>国际人权文书</w:t>
            </w:r>
          </w:p>
        </w:tc>
        <w:tc>
          <w:tcPr>
            <w:tcW w:w="2819" w:type="dxa"/>
            <w:tcBorders>
              <w:top w:val="single" w:sz="4" w:space="0" w:color="auto"/>
              <w:bottom w:val="single" w:sz="12" w:space="0" w:color="auto"/>
            </w:tcBorders>
          </w:tcPr>
          <w:p w:rsidR="00164236" w:rsidRPr="0004600B" w:rsidRDefault="00164236" w:rsidP="00DC68EC">
            <w:pPr>
              <w:spacing w:before="240" w:line="240" w:lineRule="atLeast"/>
              <w:rPr>
                <w:sz w:val="20"/>
              </w:rPr>
            </w:pPr>
            <w:r w:rsidRPr="00F124C6">
              <w:rPr>
                <w:sz w:val="20"/>
              </w:rPr>
              <w:t xml:space="preserve">Distr.: </w:t>
            </w:r>
            <w:r w:rsidRPr="008935DA">
              <w:rPr>
                <w:sz w:val="20"/>
              </w:rPr>
              <w:t>General</w:t>
            </w:r>
          </w:p>
          <w:p w:rsidR="00164236" w:rsidRPr="00F124C6" w:rsidRDefault="0087156E" w:rsidP="00DC68EC">
            <w:pPr>
              <w:spacing w:line="240" w:lineRule="atLeast"/>
              <w:rPr>
                <w:sz w:val="20"/>
              </w:rPr>
            </w:pPr>
            <w:r w:rsidRPr="0087156E">
              <w:rPr>
                <w:sz w:val="20"/>
              </w:rPr>
              <w:t>28 February 2020</w:t>
            </w:r>
          </w:p>
          <w:p w:rsidR="00164236" w:rsidRPr="00F124C6" w:rsidRDefault="00164236" w:rsidP="00DC68EC">
            <w:pPr>
              <w:spacing w:line="240" w:lineRule="atLeast"/>
              <w:rPr>
                <w:sz w:val="20"/>
              </w:rPr>
            </w:pPr>
            <w:r w:rsidRPr="00F124C6">
              <w:rPr>
                <w:sz w:val="20"/>
              </w:rPr>
              <w:t xml:space="preserve">Chinese </w:t>
            </w:r>
          </w:p>
          <w:p w:rsidR="00164236" w:rsidRPr="00F124C6" w:rsidRDefault="00164236" w:rsidP="00DC68EC">
            <w:pPr>
              <w:spacing w:line="240" w:lineRule="atLeast"/>
            </w:pPr>
            <w:r w:rsidRPr="00F124C6">
              <w:rPr>
                <w:sz w:val="20"/>
              </w:rPr>
              <w:t>Original: English</w:t>
            </w:r>
          </w:p>
        </w:tc>
      </w:tr>
    </w:tbl>
    <w:p w:rsidR="00D45C12" w:rsidRDefault="00D45C12" w:rsidP="0087156E">
      <w:pPr>
        <w:pStyle w:val="HMGC"/>
      </w:pPr>
      <w:r>
        <w:rPr>
          <w:rFonts w:hint="eastAsia"/>
        </w:rPr>
        <w:tab/>
      </w:r>
      <w:r>
        <w:rPr>
          <w:rFonts w:hint="eastAsia"/>
        </w:rPr>
        <w:tab/>
      </w:r>
      <w:r>
        <w:rPr>
          <w:rFonts w:hint="eastAsia"/>
        </w:rPr>
        <w:t>作为缔约国报告组</w:t>
      </w:r>
      <w:bookmarkStart w:id="0" w:name="_GoBack"/>
      <w:bookmarkEnd w:id="0"/>
      <w:r>
        <w:rPr>
          <w:rFonts w:hint="eastAsia"/>
        </w:rPr>
        <w:t>成部分的共同核心文件</w:t>
      </w:r>
    </w:p>
    <w:p w:rsidR="00D45C12" w:rsidRDefault="00D45C12" w:rsidP="0087156E">
      <w:pPr>
        <w:pStyle w:val="HMGC"/>
      </w:pPr>
      <w:r>
        <w:rPr>
          <w:rFonts w:hint="eastAsia"/>
        </w:rPr>
        <w:tab/>
      </w:r>
      <w:r>
        <w:rPr>
          <w:rFonts w:hint="eastAsia"/>
        </w:rPr>
        <w:tab/>
      </w:r>
      <w:r>
        <w:rPr>
          <w:rFonts w:hint="eastAsia"/>
        </w:rPr>
        <w:t>南苏丹</w:t>
      </w:r>
      <w:r w:rsidR="0087156E" w:rsidRPr="00BE0A3E">
        <w:rPr>
          <w:rStyle w:val="a8"/>
          <w:rFonts w:eastAsia="黑体"/>
          <w:sz w:val="34"/>
          <w:vertAlign w:val="baseline"/>
        </w:rPr>
        <w:footnoteReference w:customMarkFollows="1" w:id="2"/>
        <w:t>*</w:t>
      </w:r>
    </w:p>
    <w:p w:rsidR="00D45C12" w:rsidRDefault="00D45C12" w:rsidP="0087156E">
      <w:pPr>
        <w:pStyle w:val="SingleTxtGC"/>
        <w:ind w:left="0" w:right="0"/>
        <w:jc w:val="right"/>
      </w:pPr>
      <w:r>
        <w:rPr>
          <w:rFonts w:hint="eastAsia"/>
        </w:rPr>
        <w:t>[</w:t>
      </w:r>
      <w:r>
        <w:rPr>
          <w:rFonts w:hint="eastAsia"/>
        </w:rPr>
        <w:t>收到日期：</w:t>
      </w:r>
      <w:r>
        <w:rPr>
          <w:rFonts w:hint="eastAsia"/>
        </w:rPr>
        <w:t>2020</w:t>
      </w:r>
      <w:r>
        <w:rPr>
          <w:rFonts w:hint="eastAsia"/>
        </w:rPr>
        <w:t>年</w:t>
      </w:r>
      <w:r>
        <w:rPr>
          <w:rFonts w:hint="eastAsia"/>
        </w:rPr>
        <w:t>1</w:t>
      </w:r>
      <w:r>
        <w:rPr>
          <w:rFonts w:hint="eastAsia"/>
        </w:rPr>
        <w:t>月</w:t>
      </w:r>
      <w:r>
        <w:rPr>
          <w:rFonts w:hint="eastAsia"/>
        </w:rPr>
        <w:t>30</w:t>
      </w:r>
      <w:r>
        <w:rPr>
          <w:rFonts w:hint="eastAsia"/>
        </w:rPr>
        <w:t>日</w:t>
      </w:r>
      <w:r>
        <w:rPr>
          <w:rFonts w:hint="eastAsia"/>
        </w:rPr>
        <w:t>]</w:t>
      </w:r>
    </w:p>
    <w:p w:rsidR="00BE0A3E" w:rsidRDefault="00BE0A3E">
      <w:pPr>
        <w:tabs>
          <w:tab w:val="clear" w:pos="431"/>
        </w:tabs>
        <w:overflowPunct/>
        <w:adjustRightInd/>
        <w:snapToGrid/>
        <w:spacing w:line="240" w:lineRule="auto"/>
        <w:jc w:val="left"/>
      </w:pPr>
      <w:r>
        <w:br w:type="page"/>
      </w:r>
    </w:p>
    <w:p w:rsidR="00E96E16" w:rsidRPr="007E24E0" w:rsidRDefault="00E96E16" w:rsidP="00E96E16">
      <w:pPr>
        <w:pStyle w:val="HChGC"/>
      </w:pPr>
      <w:r w:rsidRPr="007E24E0">
        <w:rPr>
          <w:lang w:val="fr-CH"/>
        </w:rPr>
        <w:lastRenderedPageBreak/>
        <w:tab/>
      </w:r>
      <w:r w:rsidRPr="007E24E0">
        <w:rPr>
          <w:lang w:val="fr-CH"/>
        </w:rPr>
        <w:tab/>
      </w:r>
      <w:r w:rsidRPr="007E24E0">
        <w:rPr>
          <w:bCs/>
          <w:lang w:val="fr-CH"/>
        </w:rPr>
        <w:t>导言</w:t>
      </w:r>
    </w:p>
    <w:p w:rsidR="00E96E16" w:rsidRPr="007E24E0" w:rsidRDefault="00E96E16" w:rsidP="00E96E16">
      <w:pPr>
        <w:pStyle w:val="SingleTxtGC"/>
      </w:pPr>
      <w:r w:rsidRPr="007E24E0">
        <w:rPr>
          <w:lang w:val="fr-CH"/>
        </w:rPr>
        <w:t>1.</w:t>
      </w:r>
      <w:r w:rsidRPr="007E24E0">
        <w:rPr>
          <w:lang w:val="fr-CH"/>
        </w:rPr>
        <w:tab/>
      </w:r>
      <w:r w:rsidRPr="007E24E0">
        <w:rPr>
          <w:lang w:val="fr-CH"/>
        </w:rPr>
        <w:t>本共同核心文件根据人权事务委员会关于缔约国提交定期报告的形式和内容的统一准则编写。</w:t>
      </w:r>
    </w:p>
    <w:p w:rsidR="00E96E16" w:rsidRPr="007E24E0" w:rsidRDefault="00E96E16" w:rsidP="00E96E16">
      <w:pPr>
        <w:pStyle w:val="SingleTxtGC"/>
      </w:pPr>
      <w:r w:rsidRPr="007E24E0">
        <w:rPr>
          <w:lang w:val="fr-CH"/>
        </w:rPr>
        <w:t>2.</w:t>
      </w:r>
      <w:r w:rsidRPr="007E24E0">
        <w:rPr>
          <w:lang w:val="fr-CH"/>
        </w:rPr>
        <w:tab/>
      </w:r>
      <w:r w:rsidRPr="007E24E0">
        <w:rPr>
          <w:lang w:val="fr-CH"/>
        </w:rPr>
        <w:t>本文件介绍了旨在保护和促进该国人权的法律框架，以及为消除在享有公民、政治、经济、社会和文化权利方面的任何形式歧视而采取的措施。</w:t>
      </w:r>
    </w:p>
    <w:p w:rsidR="00E96E16" w:rsidRPr="007E24E0" w:rsidRDefault="00E96E16" w:rsidP="00E96E16">
      <w:pPr>
        <w:pStyle w:val="SingleTxtGC"/>
      </w:pPr>
      <w:r w:rsidRPr="007E24E0">
        <w:rPr>
          <w:lang w:val="fr-CH"/>
        </w:rPr>
        <w:t>3.</w:t>
      </w:r>
      <w:r w:rsidRPr="007E24E0">
        <w:rPr>
          <w:lang w:val="fr-CH"/>
        </w:rPr>
        <w:tab/>
      </w:r>
      <w:r w:rsidRPr="007E24E0">
        <w:rPr>
          <w:lang w:val="fr-CH"/>
        </w:rPr>
        <w:t>根据编制共同核心文件的标准指南，本文件分为三个部分：南苏丹概况；保护和促进人权的体制框架；以及为消除在享有公民、政治、社会、经济和文化权利方面的一切形式歧视而采取的措施。</w:t>
      </w:r>
    </w:p>
    <w:p w:rsidR="00E96E16" w:rsidRPr="007E24E0" w:rsidRDefault="00E96E16" w:rsidP="00E96E16">
      <w:pPr>
        <w:pStyle w:val="H1GC"/>
      </w:pPr>
      <w:r w:rsidRPr="007E24E0">
        <w:tab/>
      </w:r>
      <w:r w:rsidRPr="007E24E0">
        <w:rPr>
          <w:lang w:val="fr-CH"/>
        </w:rPr>
        <w:t>A.</w:t>
      </w:r>
      <w:r w:rsidRPr="007E24E0">
        <w:rPr>
          <w:lang w:val="fr-CH"/>
        </w:rPr>
        <w:tab/>
      </w:r>
      <w:r w:rsidRPr="007E24E0">
        <w:rPr>
          <w:lang w:val="fr-CH"/>
        </w:rPr>
        <w:t>南苏丹共和国概况</w:t>
      </w:r>
    </w:p>
    <w:p w:rsidR="00E96E16" w:rsidRPr="007E24E0" w:rsidRDefault="00E96E16" w:rsidP="00E96E16">
      <w:pPr>
        <w:pStyle w:val="H23GC"/>
      </w:pPr>
      <w:r w:rsidRPr="007E24E0">
        <w:rPr>
          <w:lang w:val="fr-CH"/>
        </w:rPr>
        <w:tab/>
      </w:r>
      <w:r w:rsidRPr="007E24E0">
        <w:rPr>
          <w:lang w:val="fr-CH"/>
        </w:rPr>
        <w:tab/>
      </w:r>
      <w:r w:rsidRPr="007E24E0">
        <w:rPr>
          <w:lang w:val="fr-CH"/>
        </w:rPr>
        <w:t>地理信息</w:t>
      </w:r>
    </w:p>
    <w:p w:rsidR="00E96E16" w:rsidRPr="007E24E0" w:rsidRDefault="00E96E16" w:rsidP="00E96E16">
      <w:pPr>
        <w:pStyle w:val="SingleTxtGC"/>
      </w:pPr>
      <w:r w:rsidRPr="007E24E0">
        <w:rPr>
          <w:lang w:val="fr-CH"/>
        </w:rPr>
        <w:t>4.</w:t>
      </w:r>
      <w:r w:rsidRPr="007E24E0">
        <w:rPr>
          <w:lang w:val="fr-CH"/>
        </w:rPr>
        <w:tab/>
      </w:r>
      <w:r w:rsidRPr="007E24E0">
        <w:rPr>
          <w:lang w:val="fr-CH"/>
        </w:rPr>
        <w:t>南苏丹位于北纬</w:t>
      </w:r>
      <w:r w:rsidRPr="007E24E0">
        <w:rPr>
          <w:lang w:val="fr-CH"/>
        </w:rPr>
        <w:t>3°</w:t>
      </w:r>
      <w:r w:rsidRPr="007E24E0">
        <w:rPr>
          <w:lang w:val="fr-CH"/>
        </w:rPr>
        <w:t>至</w:t>
      </w:r>
      <w:r w:rsidRPr="007E24E0">
        <w:rPr>
          <w:lang w:val="fr-CH"/>
        </w:rPr>
        <w:t>13°</w:t>
      </w:r>
      <w:r w:rsidRPr="007E24E0">
        <w:rPr>
          <w:lang w:val="fr-CH"/>
        </w:rPr>
        <w:t>，东经</w:t>
      </w:r>
      <w:r w:rsidRPr="007E24E0">
        <w:rPr>
          <w:lang w:val="fr-CH"/>
        </w:rPr>
        <w:t>24°</w:t>
      </w:r>
      <w:r w:rsidRPr="007E24E0">
        <w:rPr>
          <w:lang w:val="fr-CH"/>
        </w:rPr>
        <w:t>至</w:t>
      </w:r>
      <w:r w:rsidRPr="007E24E0">
        <w:rPr>
          <w:lang w:val="fr-CH"/>
        </w:rPr>
        <w:t>36°</w:t>
      </w:r>
      <w:r w:rsidRPr="007E24E0">
        <w:rPr>
          <w:lang w:val="fr-CH"/>
        </w:rPr>
        <w:t>之间，面积为</w:t>
      </w:r>
      <w:r w:rsidRPr="007E24E0">
        <w:rPr>
          <w:lang w:val="fr-CH"/>
        </w:rPr>
        <w:t>239,285</w:t>
      </w:r>
      <w:r w:rsidRPr="007E24E0">
        <w:rPr>
          <w:lang w:val="fr-CH"/>
        </w:rPr>
        <w:t>平方英里。南苏丹北邻苏丹，东接埃塞俄比亚，南邻乌干达，东南接肯尼亚，西南邻刚果民主共和国，西接中非共和国。南苏丹位于赤道附近，地貌以热带雨林、沼泽和草原为主。</w:t>
      </w:r>
    </w:p>
    <w:p w:rsidR="00E96E16" w:rsidRPr="007E24E0" w:rsidRDefault="00E96E16" w:rsidP="00E96E16">
      <w:pPr>
        <w:pStyle w:val="SingleTxtGC"/>
      </w:pPr>
      <w:r w:rsidRPr="007E24E0">
        <w:rPr>
          <w:lang w:val="fr-CH"/>
        </w:rPr>
        <w:t>5.</w:t>
      </w:r>
      <w:r w:rsidRPr="007E24E0">
        <w:rPr>
          <w:lang w:val="fr-CH"/>
        </w:rPr>
        <w:tab/>
      </w:r>
      <w:r w:rsidRPr="007E24E0">
        <w:rPr>
          <w:lang w:val="fr-CH"/>
        </w:rPr>
        <w:t>该国属热带气候，</w:t>
      </w:r>
      <w:r w:rsidRPr="007E24E0">
        <w:rPr>
          <w:lang w:val="fr-CH"/>
        </w:rPr>
        <w:t>4</w:t>
      </w:r>
      <w:r w:rsidRPr="007E24E0">
        <w:rPr>
          <w:lang w:val="fr-CH"/>
        </w:rPr>
        <w:t>月至</w:t>
      </w:r>
      <w:r w:rsidRPr="007E24E0">
        <w:rPr>
          <w:lang w:val="fr-CH"/>
        </w:rPr>
        <w:t>10</w:t>
      </w:r>
      <w:r w:rsidRPr="007E24E0">
        <w:rPr>
          <w:lang w:val="fr-CH"/>
        </w:rPr>
        <w:t>月为雨季，湿度高，降雨量大，年均降雨量约为</w:t>
      </w:r>
      <w:r w:rsidRPr="007E24E0">
        <w:rPr>
          <w:lang w:val="fr-CH"/>
        </w:rPr>
        <w:t>953</w:t>
      </w:r>
      <w:r w:rsidRPr="007E24E0">
        <w:rPr>
          <w:lang w:val="fr-CH"/>
        </w:rPr>
        <w:t>毫米。南苏丹是白尼罗河流经的</w:t>
      </w:r>
      <w:r w:rsidRPr="007E24E0">
        <w:rPr>
          <w:lang w:val="fr-CH"/>
        </w:rPr>
        <w:t>11</w:t>
      </w:r>
      <w:r w:rsidRPr="007E24E0">
        <w:rPr>
          <w:lang w:val="fr-CH"/>
        </w:rPr>
        <w:t>个国家之一。其热带雨林是许多野生动物的家园，融合了中非和东非的森林和大草原动物物种。该国也会受极端天气条件的影响，在某些年份该国不同地区经历过洪水和干旱。</w:t>
      </w:r>
    </w:p>
    <w:p w:rsidR="00E96E16" w:rsidRDefault="00E96E16" w:rsidP="00E96E16">
      <w:pPr>
        <w:pStyle w:val="H23GC"/>
        <w:rPr>
          <w:lang w:val="fr-CH"/>
        </w:rPr>
      </w:pPr>
      <w:r w:rsidRPr="007E24E0">
        <w:rPr>
          <w:lang w:val="fr-CH"/>
        </w:rPr>
        <w:tab/>
      </w:r>
      <w:r w:rsidRPr="007E24E0">
        <w:rPr>
          <w:lang w:val="fr-CH"/>
        </w:rPr>
        <w:tab/>
      </w:r>
      <w:r w:rsidRPr="007E24E0">
        <w:rPr>
          <w:lang w:val="fr-CH"/>
        </w:rPr>
        <w:t>南苏丹及其邻国地图</w:t>
      </w:r>
      <w:r w:rsidRPr="007E24E0">
        <w:rPr>
          <w:vertAlign w:val="superscript"/>
          <w:lang w:val="fr-CH"/>
        </w:rPr>
        <w:footnoteReference w:id="3"/>
      </w:r>
    </w:p>
    <w:p w:rsidR="00A24F6F" w:rsidRPr="00A24F6F" w:rsidRDefault="00A24F6F" w:rsidP="00A24F6F">
      <w:pPr>
        <w:pStyle w:val="SingleTxtGC"/>
        <w:spacing w:line="240" w:lineRule="auto"/>
      </w:pPr>
      <w:r w:rsidRPr="0038738C">
        <w:rPr>
          <w:noProof/>
        </w:rPr>
        <w:drawing>
          <wp:inline distT="0" distB="0" distL="0" distR="0" wp14:anchorId="1A03A955" wp14:editId="1983D176">
            <wp:extent cx="4495411" cy="2074985"/>
            <wp:effectExtent l="0" t="0" r="635" b="1905"/>
            <wp:docPr id="5" name="Picture 5" descr="D:\Users\dokot\AppData\Local\Microsoft\Windows\INetCache\Content.MSO\4F5660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dokot\AppData\Local\Microsoft\Windows\INetCache\Content.MSO\4F56600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1700" cy="2087120"/>
                    </a:xfrm>
                    <a:prstGeom prst="rect">
                      <a:avLst/>
                    </a:prstGeom>
                    <a:noFill/>
                    <a:ln>
                      <a:noFill/>
                    </a:ln>
                  </pic:spPr>
                </pic:pic>
              </a:graphicData>
            </a:graphic>
          </wp:inline>
        </w:drawing>
      </w:r>
    </w:p>
    <w:p w:rsidR="00E96E16" w:rsidRPr="007E24E0" w:rsidRDefault="00E96E16" w:rsidP="00A24F6F">
      <w:pPr>
        <w:pStyle w:val="H23GC"/>
      </w:pPr>
      <w:r w:rsidRPr="007E24E0">
        <w:tab/>
      </w:r>
      <w:r w:rsidRPr="007E24E0">
        <w:tab/>
      </w:r>
      <w:r w:rsidRPr="007E24E0">
        <w:t>国家简史</w:t>
      </w:r>
    </w:p>
    <w:p w:rsidR="00E96E16" w:rsidRPr="00015ECE" w:rsidRDefault="00E96E16" w:rsidP="00E96E16">
      <w:pPr>
        <w:pStyle w:val="SingleTxtGC"/>
        <w:rPr>
          <w:spacing w:val="-2"/>
        </w:rPr>
      </w:pPr>
      <w:r w:rsidRPr="00015ECE">
        <w:rPr>
          <w:spacing w:val="-2"/>
        </w:rPr>
        <w:t>6.</w:t>
      </w:r>
      <w:r w:rsidRPr="00015ECE">
        <w:rPr>
          <w:spacing w:val="-2"/>
        </w:rPr>
        <w:tab/>
        <w:t>1820</w:t>
      </w:r>
      <w:r w:rsidRPr="00015ECE">
        <w:rPr>
          <w:spacing w:val="-2"/>
        </w:rPr>
        <w:t>年，奥斯曼帝国时期的埃及总督穆罕默德</w:t>
      </w:r>
      <w:r w:rsidR="00015ECE" w:rsidRPr="00015ECE">
        <w:rPr>
          <w:rFonts w:hint="eastAsia"/>
          <w:spacing w:val="-2"/>
          <w:lang w:val="fr-CH"/>
        </w:rPr>
        <w:t>·</w:t>
      </w:r>
      <w:r w:rsidRPr="00015ECE">
        <w:rPr>
          <w:spacing w:val="-2"/>
        </w:rPr>
        <w:t>阿里</w:t>
      </w:r>
      <w:r w:rsidR="00015ECE" w:rsidRPr="00015ECE">
        <w:rPr>
          <w:rFonts w:hint="eastAsia"/>
          <w:spacing w:val="-2"/>
          <w:lang w:val="fr-CH"/>
        </w:rPr>
        <w:t>·</w:t>
      </w:r>
      <w:r w:rsidRPr="00015ECE">
        <w:rPr>
          <w:spacing w:val="-2"/>
        </w:rPr>
        <w:t>帕夏入侵苏丹</w:t>
      </w:r>
      <w:r w:rsidRPr="00015ECE">
        <w:rPr>
          <w:spacing w:val="-2"/>
        </w:rPr>
        <w:t>(</w:t>
      </w:r>
      <w:r w:rsidRPr="00015ECE">
        <w:rPr>
          <w:spacing w:val="-2"/>
        </w:rPr>
        <w:t>当时南苏丹是苏丹的一部分</w:t>
      </w:r>
      <w:r w:rsidRPr="00015ECE">
        <w:rPr>
          <w:spacing w:val="-2"/>
        </w:rPr>
        <w:t>)</w:t>
      </w:r>
      <w:r w:rsidRPr="00015ECE">
        <w:rPr>
          <w:spacing w:val="-2"/>
        </w:rPr>
        <w:t>，目的是贩卖奴隶。到</w:t>
      </w:r>
      <w:r w:rsidRPr="00015ECE">
        <w:rPr>
          <w:spacing w:val="-2"/>
        </w:rPr>
        <w:t>19</w:t>
      </w:r>
      <w:r w:rsidRPr="00015ECE">
        <w:rPr>
          <w:spacing w:val="-2"/>
        </w:rPr>
        <w:t>世纪末，苏丹已处于英国</w:t>
      </w:r>
      <w:r w:rsidR="001F7E48">
        <w:rPr>
          <w:rFonts w:hint="eastAsia"/>
          <w:spacing w:val="-2"/>
        </w:rPr>
        <w:t>－</w:t>
      </w:r>
      <w:r w:rsidRPr="00015ECE">
        <w:rPr>
          <w:spacing w:val="-2"/>
        </w:rPr>
        <w:t>埃及的共同统治之下，而英国殖民当局作为保护国继续统治苏丹南部，直到</w:t>
      </w:r>
      <w:r w:rsidRPr="00015ECE">
        <w:rPr>
          <w:spacing w:val="-2"/>
        </w:rPr>
        <w:t>1956</w:t>
      </w:r>
      <w:r w:rsidRPr="00015ECE">
        <w:rPr>
          <w:spacing w:val="-2"/>
        </w:rPr>
        <w:t>年。</w:t>
      </w:r>
    </w:p>
    <w:p w:rsidR="00E96E16" w:rsidRPr="007E24E0" w:rsidRDefault="00E96E16" w:rsidP="00E96E16">
      <w:pPr>
        <w:pStyle w:val="SingleTxtGC"/>
      </w:pPr>
      <w:r w:rsidRPr="007E24E0">
        <w:t>7.</w:t>
      </w:r>
      <w:r w:rsidRPr="007E24E0">
        <w:tab/>
        <w:t>1956</w:t>
      </w:r>
      <w:r w:rsidRPr="007E24E0">
        <w:t>年，苏丹从英国</w:t>
      </w:r>
      <w:r w:rsidRPr="007E24E0">
        <w:t>-</w:t>
      </w:r>
      <w:r w:rsidRPr="007E24E0">
        <w:t>埃及统治下获得独立，但是，苏丹独立后，苏丹北部和南部之间发生冲突，原因是资源分配不平，苏丹当时的统治者对南方实行歧视政策，最终于</w:t>
      </w:r>
      <w:r w:rsidRPr="007E24E0">
        <w:t>1972</w:t>
      </w:r>
      <w:r w:rsidRPr="007E24E0">
        <w:t>年在亚的斯亚贝巴签署了一项协议，苏丹南部依据该协议建立了自治政府。遗憾的是，这一协议持续到</w:t>
      </w:r>
      <w:r w:rsidRPr="007E24E0">
        <w:t>1983</w:t>
      </w:r>
      <w:r w:rsidRPr="007E24E0">
        <w:t>年时，苏丹宣布颁布《伊斯兰教法》</w:t>
      </w:r>
      <w:r w:rsidRPr="007E24E0">
        <w:t>(Sharia law)</w:t>
      </w:r>
      <w:r w:rsidRPr="007E24E0">
        <w:t>，导致苏丹南部对北方发动第二次叛乱。不过，这场内战在</w:t>
      </w:r>
      <w:r w:rsidRPr="007E24E0">
        <w:t>2005</w:t>
      </w:r>
      <w:r w:rsidRPr="007E24E0">
        <w:t>年签署《全面和平协议》后结束，南苏丹于</w:t>
      </w:r>
      <w:r w:rsidRPr="007E24E0">
        <w:t>2011</w:t>
      </w:r>
      <w:r w:rsidRPr="007E24E0">
        <w:t>年</w:t>
      </w:r>
      <w:r w:rsidRPr="007E24E0">
        <w:t>1</w:t>
      </w:r>
      <w:r w:rsidRPr="007E24E0">
        <w:t>月举行全民公决，为</w:t>
      </w:r>
      <w:r w:rsidRPr="007E24E0">
        <w:t>2011</w:t>
      </w:r>
      <w:r w:rsidRPr="007E24E0">
        <w:t>年</w:t>
      </w:r>
      <w:r w:rsidRPr="007E24E0">
        <w:t>7</w:t>
      </w:r>
      <w:r w:rsidRPr="007E24E0">
        <w:t>月</w:t>
      </w:r>
      <w:r w:rsidRPr="007E24E0">
        <w:t>9</w:t>
      </w:r>
      <w:r w:rsidRPr="007E24E0">
        <w:t>日的独立铺平了道路。</w:t>
      </w:r>
    </w:p>
    <w:p w:rsidR="00E96E16" w:rsidRPr="007E24E0" w:rsidRDefault="00E96E16" w:rsidP="00E96E16">
      <w:pPr>
        <w:pStyle w:val="H1GC"/>
      </w:pPr>
      <w:r w:rsidRPr="007E24E0">
        <w:tab/>
        <w:t>B.</w:t>
      </w:r>
      <w:r w:rsidRPr="007E24E0">
        <w:tab/>
      </w:r>
      <w:r w:rsidRPr="007E24E0">
        <w:t>南苏丹的人口、经济、社会和文化特点</w:t>
      </w:r>
    </w:p>
    <w:p w:rsidR="00E96E16" w:rsidRPr="007E24E0" w:rsidRDefault="00E96E16" w:rsidP="00E96E16">
      <w:pPr>
        <w:pStyle w:val="H23GC"/>
      </w:pPr>
      <w:r w:rsidRPr="007E24E0">
        <w:tab/>
      </w:r>
      <w:r w:rsidRPr="007E24E0">
        <w:tab/>
      </w:r>
      <w:r w:rsidRPr="007E24E0">
        <w:rPr>
          <w:bCs/>
        </w:rPr>
        <w:t>人口</w:t>
      </w:r>
    </w:p>
    <w:p w:rsidR="00E96E16" w:rsidRPr="00C569FA" w:rsidRDefault="00E96E16" w:rsidP="00E96E16">
      <w:pPr>
        <w:pStyle w:val="SingleTxtGC"/>
        <w:rPr>
          <w:spacing w:val="2"/>
        </w:rPr>
      </w:pPr>
      <w:r w:rsidRPr="00C569FA">
        <w:rPr>
          <w:spacing w:val="2"/>
        </w:rPr>
        <w:t>8.</w:t>
      </w:r>
      <w:r w:rsidRPr="00C569FA">
        <w:rPr>
          <w:spacing w:val="2"/>
        </w:rPr>
        <w:tab/>
      </w:r>
      <w:r w:rsidRPr="00C569FA">
        <w:rPr>
          <w:spacing w:val="2"/>
        </w:rPr>
        <w:t>根据</w:t>
      </w:r>
      <w:r w:rsidRPr="00C569FA">
        <w:rPr>
          <w:spacing w:val="2"/>
        </w:rPr>
        <w:t>2008</w:t>
      </w:r>
      <w:r w:rsidRPr="00C569FA">
        <w:rPr>
          <w:spacing w:val="2"/>
        </w:rPr>
        <w:t>年最近一次在南苏丹</w:t>
      </w:r>
      <w:r w:rsidRPr="00C569FA">
        <w:rPr>
          <w:spacing w:val="2"/>
        </w:rPr>
        <w:t>(</w:t>
      </w:r>
      <w:r w:rsidRPr="00C569FA">
        <w:rPr>
          <w:spacing w:val="2"/>
        </w:rPr>
        <w:t>作为苏丹的一部分</w:t>
      </w:r>
      <w:r w:rsidRPr="00C569FA">
        <w:rPr>
          <w:spacing w:val="2"/>
        </w:rPr>
        <w:t>)</w:t>
      </w:r>
      <w:r w:rsidRPr="00C569FA">
        <w:rPr>
          <w:spacing w:val="2"/>
        </w:rPr>
        <w:t>进行的人口普查，该国人口据称为</w:t>
      </w:r>
      <w:r w:rsidRPr="00C569FA">
        <w:rPr>
          <w:spacing w:val="2"/>
        </w:rPr>
        <w:t>826</w:t>
      </w:r>
      <w:r w:rsidRPr="00C569FA">
        <w:rPr>
          <w:spacing w:val="2"/>
        </w:rPr>
        <w:t>万</w:t>
      </w:r>
      <w:r w:rsidRPr="00C569FA">
        <w:rPr>
          <w:spacing w:val="2"/>
        </w:rPr>
        <w:t>(</w:t>
      </w:r>
      <w:r w:rsidRPr="00C569FA">
        <w:rPr>
          <w:spacing w:val="2"/>
        </w:rPr>
        <w:t>男性</w:t>
      </w:r>
      <w:r w:rsidRPr="00C569FA">
        <w:rPr>
          <w:spacing w:val="2"/>
        </w:rPr>
        <w:t>429</w:t>
      </w:r>
      <w:r w:rsidRPr="00C569FA">
        <w:rPr>
          <w:spacing w:val="2"/>
        </w:rPr>
        <w:t>万，女性</w:t>
      </w:r>
      <w:r w:rsidRPr="00C569FA">
        <w:rPr>
          <w:spacing w:val="2"/>
        </w:rPr>
        <w:t>397</w:t>
      </w:r>
      <w:r w:rsidRPr="00C569FA">
        <w:rPr>
          <w:spacing w:val="2"/>
        </w:rPr>
        <w:t>万</w:t>
      </w:r>
      <w:r w:rsidRPr="00C569FA">
        <w:rPr>
          <w:spacing w:val="2"/>
        </w:rPr>
        <w:t>)</w:t>
      </w:r>
      <w:r w:rsidRPr="00C569FA">
        <w:rPr>
          <w:spacing w:val="2"/>
        </w:rPr>
        <w:t>。人口增长率为</w:t>
      </w:r>
      <w:r w:rsidRPr="00C569FA">
        <w:rPr>
          <w:spacing w:val="2"/>
        </w:rPr>
        <w:t>3.83%</w:t>
      </w:r>
      <w:r w:rsidRPr="00C569FA">
        <w:rPr>
          <w:spacing w:val="2"/>
        </w:rPr>
        <w:t>。但是，联合国机构最近的预测显示，该国人口为</w:t>
      </w:r>
      <w:r w:rsidRPr="00C569FA">
        <w:rPr>
          <w:spacing w:val="2"/>
        </w:rPr>
        <w:t>13</w:t>
      </w:r>
      <w:r w:rsidR="00C569FA" w:rsidRPr="00C569FA">
        <w:rPr>
          <w:spacing w:val="2"/>
        </w:rPr>
        <w:t>,</w:t>
      </w:r>
      <w:r w:rsidRPr="00C569FA">
        <w:rPr>
          <w:spacing w:val="2"/>
        </w:rPr>
        <w:t>026</w:t>
      </w:r>
      <w:r w:rsidR="00C569FA" w:rsidRPr="00C569FA">
        <w:rPr>
          <w:rFonts w:hint="eastAsia"/>
          <w:spacing w:val="2"/>
        </w:rPr>
        <w:t>,</w:t>
      </w:r>
      <w:r w:rsidRPr="00C569FA">
        <w:rPr>
          <w:spacing w:val="2"/>
        </w:rPr>
        <w:t>129</w:t>
      </w:r>
      <w:r w:rsidRPr="00C569FA">
        <w:rPr>
          <w:spacing w:val="2"/>
        </w:rPr>
        <w:t>万，其中妇女占</w:t>
      </w:r>
      <w:r w:rsidRPr="00C569FA">
        <w:rPr>
          <w:spacing w:val="2"/>
        </w:rPr>
        <w:t>49.6%</w:t>
      </w:r>
      <w:r w:rsidRPr="00C569FA">
        <w:rPr>
          <w:spacing w:val="2"/>
        </w:rPr>
        <w:t>以上。</w:t>
      </w:r>
      <w:r w:rsidRPr="00C569FA">
        <w:rPr>
          <w:spacing w:val="2"/>
          <w:vertAlign w:val="superscript"/>
        </w:rPr>
        <w:footnoteReference w:id="4"/>
      </w:r>
    </w:p>
    <w:p w:rsidR="00E96E16" w:rsidRPr="007E24E0" w:rsidRDefault="00E96E16" w:rsidP="00E96E16">
      <w:pPr>
        <w:pStyle w:val="SingleTxtGC"/>
      </w:pPr>
      <w:r w:rsidRPr="007E24E0">
        <w:t>9.</w:t>
      </w:r>
      <w:r w:rsidRPr="007E24E0">
        <w:tab/>
      </w:r>
      <w:r w:rsidRPr="007E24E0">
        <w:t>南苏丹拥有大量年轻人，</w:t>
      </w:r>
      <w:r w:rsidRPr="007E24E0">
        <w:t>51%</w:t>
      </w:r>
      <w:r w:rsidRPr="007E24E0">
        <w:t>的人口年龄在</w:t>
      </w:r>
      <w:r w:rsidRPr="007E24E0">
        <w:t>18</w:t>
      </w:r>
      <w:r w:rsidRPr="007E24E0">
        <w:t>岁以下，</w:t>
      </w:r>
      <w:r w:rsidRPr="007E24E0">
        <w:t>30</w:t>
      </w:r>
      <w:r w:rsidRPr="007E24E0">
        <w:t>岁以下的人口占</w:t>
      </w:r>
      <w:r w:rsidRPr="007E24E0">
        <w:t>72%</w:t>
      </w:r>
      <w:r w:rsidRPr="007E24E0">
        <w:t>。</w:t>
      </w:r>
      <w:r w:rsidRPr="007E24E0">
        <w:t>65</w:t>
      </w:r>
      <w:r w:rsidRPr="007E24E0">
        <w:t>岁及以上的人口比例只有</w:t>
      </w:r>
      <w:r w:rsidRPr="007E24E0">
        <w:t>2.1%</w:t>
      </w:r>
      <w:r w:rsidRPr="007E24E0">
        <w:t>。其总抚养比率估计为</w:t>
      </w:r>
      <w:r w:rsidRPr="007E24E0">
        <w:t>83.7,</w:t>
      </w:r>
      <w:r w:rsidR="00A24F6F">
        <w:t xml:space="preserve"> </w:t>
      </w:r>
      <w:r w:rsidRPr="007E24E0">
        <w:t>其中青年占</w:t>
      </w:r>
      <w:r w:rsidRPr="007E24E0">
        <w:t>77.3,</w:t>
      </w:r>
      <w:r w:rsidR="001F7E48">
        <w:t xml:space="preserve"> </w:t>
      </w:r>
      <w:r w:rsidRPr="007E24E0">
        <w:t>老年人占</w:t>
      </w:r>
      <w:r w:rsidRPr="007E24E0">
        <w:t>6.4</w:t>
      </w:r>
      <w:r w:rsidRPr="007E24E0">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1559"/>
        <w:gridCol w:w="1098"/>
        <w:gridCol w:w="1098"/>
        <w:gridCol w:w="1098"/>
        <w:gridCol w:w="1099"/>
      </w:tblGrid>
      <w:tr w:rsidR="00E96E16" w:rsidRPr="007E24E0" w:rsidTr="00E96E16">
        <w:trPr>
          <w:tblHeader/>
        </w:trPr>
        <w:tc>
          <w:tcPr>
            <w:tcW w:w="1418" w:type="dxa"/>
            <w:tcBorders>
              <w:top w:val="single" w:sz="4" w:space="0" w:color="auto"/>
              <w:bottom w:val="single" w:sz="12" w:space="0" w:color="auto"/>
            </w:tcBorders>
            <w:shd w:val="clear" w:color="auto" w:fill="auto"/>
            <w:vAlign w:val="bottom"/>
          </w:tcPr>
          <w:p w:rsidR="00E96E16" w:rsidRPr="007E24E0" w:rsidRDefault="00E96E16" w:rsidP="00E96E16">
            <w:pPr>
              <w:pStyle w:val="a4"/>
              <w:ind w:right="0"/>
              <w:jc w:val="left"/>
            </w:pPr>
            <w:r w:rsidRPr="007E24E0">
              <w:t>年龄段</w:t>
            </w:r>
            <w:r w:rsidRPr="007E24E0">
              <w:t>(</w:t>
            </w:r>
            <w:r w:rsidRPr="007E24E0">
              <w:t>岁</w:t>
            </w:r>
            <w:r w:rsidRPr="007E24E0">
              <w:t>)</w:t>
            </w:r>
          </w:p>
        </w:tc>
        <w:tc>
          <w:tcPr>
            <w:tcW w:w="1559" w:type="dxa"/>
            <w:tcBorders>
              <w:top w:val="single" w:sz="4" w:space="0" w:color="auto"/>
              <w:bottom w:val="single" w:sz="12" w:space="0" w:color="auto"/>
            </w:tcBorders>
            <w:shd w:val="clear" w:color="auto" w:fill="auto"/>
            <w:vAlign w:val="bottom"/>
          </w:tcPr>
          <w:p w:rsidR="00E96E16" w:rsidRPr="007E24E0" w:rsidRDefault="00E96E16" w:rsidP="00E96E16">
            <w:pPr>
              <w:pStyle w:val="a4"/>
              <w:ind w:right="0"/>
              <w:jc w:val="right"/>
            </w:pPr>
            <w:r w:rsidRPr="007E24E0">
              <w:t>占总人口的百分比</w:t>
            </w:r>
          </w:p>
        </w:tc>
        <w:tc>
          <w:tcPr>
            <w:tcW w:w="1098" w:type="dxa"/>
            <w:tcBorders>
              <w:top w:val="single" w:sz="4" w:space="0" w:color="auto"/>
              <w:bottom w:val="single" w:sz="12" w:space="0" w:color="auto"/>
            </w:tcBorders>
            <w:shd w:val="clear" w:color="auto" w:fill="auto"/>
            <w:vAlign w:val="bottom"/>
          </w:tcPr>
          <w:p w:rsidR="00E96E16" w:rsidRPr="007E24E0" w:rsidRDefault="00E96E16" w:rsidP="00E96E16">
            <w:pPr>
              <w:pStyle w:val="a4"/>
              <w:ind w:right="0"/>
              <w:jc w:val="right"/>
            </w:pPr>
            <w:r w:rsidRPr="007E24E0">
              <w:t>男性</w:t>
            </w:r>
          </w:p>
        </w:tc>
        <w:tc>
          <w:tcPr>
            <w:tcW w:w="1098" w:type="dxa"/>
            <w:tcBorders>
              <w:top w:val="single" w:sz="4" w:space="0" w:color="auto"/>
              <w:bottom w:val="single" w:sz="12" w:space="0" w:color="auto"/>
            </w:tcBorders>
            <w:shd w:val="clear" w:color="auto" w:fill="auto"/>
            <w:vAlign w:val="bottom"/>
          </w:tcPr>
          <w:p w:rsidR="00E96E16" w:rsidRPr="007E24E0" w:rsidRDefault="00E96E16" w:rsidP="00E96E16">
            <w:pPr>
              <w:pStyle w:val="a4"/>
              <w:ind w:right="0"/>
              <w:jc w:val="right"/>
            </w:pPr>
            <w:r w:rsidRPr="007E24E0">
              <w:t>男性占比</w:t>
            </w:r>
          </w:p>
        </w:tc>
        <w:tc>
          <w:tcPr>
            <w:tcW w:w="1098" w:type="dxa"/>
            <w:tcBorders>
              <w:top w:val="single" w:sz="4" w:space="0" w:color="auto"/>
              <w:bottom w:val="single" w:sz="12" w:space="0" w:color="auto"/>
            </w:tcBorders>
            <w:shd w:val="clear" w:color="auto" w:fill="auto"/>
            <w:vAlign w:val="bottom"/>
          </w:tcPr>
          <w:p w:rsidR="00E96E16" w:rsidRPr="007E24E0" w:rsidRDefault="00E96E16" w:rsidP="00E96E16">
            <w:pPr>
              <w:pStyle w:val="a4"/>
              <w:ind w:right="0"/>
              <w:jc w:val="right"/>
            </w:pPr>
            <w:r w:rsidRPr="007E24E0">
              <w:t>女性</w:t>
            </w:r>
          </w:p>
        </w:tc>
        <w:tc>
          <w:tcPr>
            <w:tcW w:w="1099" w:type="dxa"/>
            <w:tcBorders>
              <w:top w:val="single" w:sz="4" w:space="0" w:color="auto"/>
              <w:bottom w:val="single" w:sz="12" w:space="0" w:color="auto"/>
            </w:tcBorders>
            <w:shd w:val="clear" w:color="auto" w:fill="auto"/>
            <w:vAlign w:val="bottom"/>
          </w:tcPr>
          <w:p w:rsidR="00E96E16" w:rsidRPr="007E24E0" w:rsidRDefault="00E96E16" w:rsidP="00E96E16">
            <w:pPr>
              <w:pStyle w:val="a4"/>
              <w:ind w:right="0"/>
              <w:jc w:val="right"/>
            </w:pPr>
            <w:r w:rsidRPr="007E24E0">
              <w:t>女性占比</w:t>
            </w:r>
          </w:p>
        </w:tc>
      </w:tr>
      <w:tr w:rsidR="00E96E16" w:rsidRPr="007E24E0" w:rsidTr="00E96E16">
        <w:tc>
          <w:tcPr>
            <w:tcW w:w="1418" w:type="dxa"/>
            <w:tcBorders>
              <w:top w:val="single" w:sz="12" w:space="0" w:color="auto"/>
            </w:tcBorders>
            <w:shd w:val="clear" w:color="auto" w:fill="auto"/>
          </w:tcPr>
          <w:p w:rsidR="00E96E16" w:rsidRPr="007E24E0" w:rsidRDefault="00E96E16" w:rsidP="00E96E16">
            <w:pPr>
              <w:pStyle w:val="a3"/>
              <w:overflowPunct/>
              <w:ind w:right="0"/>
              <w:jc w:val="left"/>
            </w:pPr>
            <w:r w:rsidRPr="007E24E0">
              <w:t>0-14</w:t>
            </w:r>
            <w:r w:rsidRPr="007E24E0">
              <w:t>岁</w:t>
            </w:r>
          </w:p>
        </w:tc>
        <w:tc>
          <w:tcPr>
            <w:tcW w:w="1559" w:type="dxa"/>
            <w:tcBorders>
              <w:top w:val="single" w:sz="12" w:space="0" w:color="auto"/>
            </w:tcBorders>
            <w:shd w:val="clear" w:color="auto" w:fill="auto"/>
            <w:vAlign w:val="bottom"/>
          </w:tcPr>
          <w:p w:rsidR="00E96E16" w:rsidRPr="007E24E0" w:rsidRDefault="00E96E16" w:rsidP="00E96E16">
            <w:pPr>
              <w:pStyle w:val="a3"/>
              <w:overflowPunct/>
              <w:ind w:right="0"/>
              <w:jc w:val="right"/>
            </w:pPr>
            <w:r w:rsidRPr="007E24E0">
              <w:t>44.37</w:t>
            </w:r>
          </w:p>
        </w:tc>
        <w:tc>
          <w:tcPr>
            <w:tcW w:w="1098" w:type="dxa"/>
            <w:tcBorders>
              <w:top w:val="single" w:sz="12" w:space="0" w:color="auto"/>
            </w:tcBorders>
            <w:shd w:val="clear" w:color="auto" w:fill="auto"/>
            <w:vAlign w:val="bottom"/>
          </w:tcPr>
          <w:p w:rsidR="00E96E16" w:rsidRPr="007E24E0" w:rsidRDefault="00E96E16" w:rsidP="00E96E16">
            <w:pPr>
              <w:pStyle w:val="a3"/>
              <w:overflowPunct/>
              <w:ind w:right="0"/>
              <w:jc w:val="right"/>
            </w:pPr>
            <w:r w:rsidRPr="007E24E0">
              <w:t>2</w:t>
            </w:r>
            <w:r>
              <w:t>,</w:t>
            </w:r>
            <w:r w:rsidRPr="007E24E0">
              <w:t>947</w:t>
            </w:r>
            <w:r>
              <w:t>,</w:t>
            </w:r>
            <w:r w:rsidRPr="007E24E0">
              <w:t>277</w:t>
            </w:r>
          </w:p>
        </w:tc>
        <w:tc>
          <w:tcPr>
            <w:tcW w:w="1098" w:type="dxa"/>
            <w:tcBorders>
              <w:top w:val="single" w:sz="12" w:space="0" w:color="auto"/>
            </w:tcBorders>
            <w:shd w:val="clear" w:color="auto" w:fill="auto"/>
            <w:vAlign w:val="bottom"/>
          </w:tcPr>
          <w:p w:rsidR="00E96E16" w:rsidRPr="007E24E0" w:rsidRDefault="00E96E16" w:rsidP="00E96E16">
            <w:pPr>
              <w:pStyle w:val="a3"/>
              <w:overflowPunct/>
              <w:ind w:right="0"/>
              <w:jc w:val="right"/>
            </w:pPr>
            <w:r w:rsidRPr="007E24E0">
              <w:t>51.00</w:t>
            </w:r>
          </w:p>
        </w:tc>
        <w:tc>
          <w:tcPr>
            <w:tcW w:w="1098" w:type="dxa"/>
            <w:tcBorders>
              <w:top w:val="single" w:sz="12" w:space="0" w:color="auto"/>
            </w:tcBorders>
            <w:shd w:val="clear" w:color="auto" w:fill="auto"/>
            <w:vAlign w:val="bottom"/>
          </w:tcPr>
          <w:p w:rsidR="00E96E16" w:rsidRPr="007E24E0" w:rsidRDefault="00E96E16" w:rsidP="00E96E16">
            <w:pPr>
              <w:pStyle w:val="a3"/>
              <w:overflowPunct/>
              <w:ind w:right="0"/>
              <w:jc w:val="right"/>
            </w:pPr>
            <w:r w:rsidRPr="007E24E0">
              <w:t>2</w:t>
            </w:r>
            <w:r>
              <w:t>,</w:t>
            </w:r>
            <w:r w:rsidRPr="007E24E0">
              <w:t>831</w:t>
            </w:r>
            <w:r>
              <w:t>,</w:t>
            </w:r>
            <w:r w:rsidRPr="007E24E0">
              <w:t>822</w:t>
            </w:r>
          </w:p>
        </w:tc>
        <w:tc>
          <w:tcPr>
            <w:tcW w:w="1099" w:type="dxa"/>
            <w:tcBorders>
              <w:top w:val="single" w:sz="12" w:space="0" w:color="auto"/>
            </w:tcBorders>
            <w:shd w:val="clear" w:color="auto" w:fill="auto"/>
            <w:vAlign w:val="bottom"/>
          </w:tcPr>
          <w:p w:rsidR="00E96E16" w:rsidRPr="007E24E0" w:rsidRDefault="00E96E16" w:rsidP="00E96E16">
            <w:pPr>
              <w:pStyle w:val="a3"/>
              <w:overflowPunct/>
              <w:ind w:right="0"/>
              <w:jc w:val="right"/>
            </w:pPr>
            <w:r w:rsidRPr="007E24E0">
              <w:t>49.00</w:t>
            </w:r>
          </w:p>
        </w:tc>
      </w:tr>
      <w:tr w:rsidR="00E96E16" w:rsidRPr="007E24E0" w:rsidTr="00E96E16">
        <w:tc>
          <w:tcPr>
            <w:tcW w:w="1418" w:type="dxa"/>
            <w:shd w:val="clear" w:color="auto" w:fill="auto"/>
          </w:tcPr>
          <w:p w:rsidR="00E96E16" w:rsidRPr="007E24E0" w:rsidRDefault="00E96E16" w:rsidP="00E96E16">
            <w:pPr>
              <w:pStyle w:val="a3"/>
              <w:overflowPunct/>
              <w:ind w:right="0"/>
              <w:jc w:val="left"/>
            </w:pPr>
            <w:r w:rsidRPr="007E24E0">
              <w:t>15-24</w:t>
            </w:r>
            <w:r w:rsidRPr="007E24E0">
              <w:t>岁</w:t>
            </w:r>
          </w:p>
        </w:tc>
        <w:tc>
          <w:tcPr>
            <w:tcW w:w="1559" w:type="dxa"/>
            <w:shd w:val="clear" w:color="auto" w:fill="auto"/>
            <w:vAlign w:val="bottom"/>
          </w:tcPr>
          <w:p w:rsidR="00E96E16" w:rsidRPr="007E24E0" w:rsidRDefault="00E96E16" w:rsidP="00E96E16">
            <w:pPr>
              <w:pStyle w:val="a3"/>
              <w:overflowPunct/>
              <w:ind w:right="0"/>
              <w:jc w:val="right"/>
            </w:pPr>
            <w:r w:rsidRPr="007E24E0">
              <w:t>20.56</w:t>
            </w:r>
          </w:p>
        </w:tc>
        <w:tc>
          <w:tcPr>
            <w:tcW w:w="1098" w:type="dxa"/>
            <w:shd w:val="clear" w:color="auto" w:fill="auto"/>
            <w:vAlign w:val="bottom"/>
          </w:tcPr>
          <w:p w:rsidR="00E96E16" w:rsidRPr="007E24E0" w:rsidRDefault="00E96E16" w:rsidP="00E96E16">
            <w:pPr>
              <w:pStyle w:val="a3"/>
              <w:overflowPunct/>
              <w:ind w:right="0"/>
              <w:jc w:val="right"/>
            </w:pPr>
            <w:r w:rsidRPr="007E24E0">
              <w:t>1</w:t>
            </w:r>
            <w:r>
              <w:t>,</w:t>
            </w:r>
            <w:r w:rsidRPr="007E24E0">
              <w:t>402</w:t>
            </w:r>
            <w:r>
              <w:t>,</w:t>
            </w:r>
            <w:r w:rsidRPr="007E24E0">
              <w:t>746</w:t>
            </w:r>
          </w:p>
        </w:tc>
        <w:tc>
          <w:tcPr>
            <w:tcW w:w="1098" w:type="dxa"/>
            <w:shd w:val="clear" w:color="auto" w:fill="auto"/>
            <w:vAlign w:val="bottom"/>
          </w:tcPr>
          <w:p w:rsidR="00E96E16" w:rsidRPr="007E24E0" w:rsidRDefault="00E96E16" w:rsidP="00E96E16">
            <w:pPr>
              <w:pStyle w:val="a3"/>
              <w:overflowPunct/>
              <w:ind w:right="0"/>
              <w:jc w:val="right"/>
            </w:pPr>
            <w:r w:rsidRPr="007E24E0">
              <w:t>52.38</w:t>
            </w:r>
          </w:p>
        </w:tc>
        <w:tc>
          <w:tcPr>
            <w:tcW w:w="1098" w:type="dxa"/>
            <w:shd w:val="clear" w:color="auto" w:fill="auto"/>
            <w:vAlign w:val="bottom"/>
          </w:tcPr>
          <w:p w:rsidR="00E96E16" w:rsidRPr="007E24E0" w:rsidRDefault="00E96E16" w:rsidP="00E96E16">
            <w:pPr>
              <w:pStyle w:val="a3"/>
              <w:overflowPunct/>
              <w:ind w:right="0"/>
              <w:jc w:val="right"/>
            </w:pPr>
            <w:r w:rsidRPr="007E24E0">
              <w:t>1</w:t>
            </w:r>
            <w:r>
              <w:t>,</w:t>
            </w:r>
            <w:r w:rsidRPr="007E24E0">
              <w:t>275</w:t>
            </w:r>
            <w:r>
              <w:t>,</w:t>
            </w:r>
            <w:r w:rsidRPr="007E24E0">
              <w:t>276</w:t>
            </w:r>
          </w:p>
        </w:tc>
        <w:tc>
          <w:tcPr>
            <w:tcW w:w="1099" w:type="dxa"/>
            <w:shd w:val="clear" w:color="auto" w:fill="auto"/>
            <w:vAlign w:val="bottom"/>
          </w:tcPr>
          <w:p w:rsidR="00E96E16" w:rsidRPr="007E24E0" w:rsidRDefault="00E96E16" w:rsidP="00E96E16">
            <w:pPr>
              <w:pStyle w:val="a3"/>
              <w:overflowPunct/>
              <w:ind w:right="0"/>
              <w:jc w:val="right"/>
            </w:pPr>
            <w:r w:rsidRPr="007E24E0">
              <w:t>47.62</w:t>
            </w:r>
          </w:p>
        </w:tc>
      </w:tr>
      <w:tr w:rsidR="00E96E16" w:rsidRPr="007E24E0" w:rsidTr="00E96E16">
        <w:tc>
          <w:tcPr>
            <w:tcW w:w="1418" w:type="dxa"/>
            <w:shd w:val="clear" w:color="auto" w:fill="auto"/>
          </w:tcPr>
          <w:p w:rsidR="00E96E16" w:rsidRPr="007E24E0" w:rsidRDefault="00E96E16" w:rsidP="00E96E16">
            <w:pPr>
              <w:pStyle w:val="a3"/>
              <w:overflowPunct/>
              <w:ind w:right="0"/>
              <w:jc w:val="left"/>
            </w:pPr>
            <w:r w:rsidRPr="007E24E0">
              <w:t>25-54</w:t>
            </w:r>
            <w:r w:rsidRPr="007E24E0">
              <w:t>岁</w:t>
            </w:r>
          </w:p>
        </w:tc>
        <w:tc>
          <w:tcPr>
            <w:tcW w:w="1559" w:type="dxa"/>
            <w:shd w:val="clear" w:color="auto" w:fill="auto"/>
            <w:vAlign w:val="bottom"/>
          </w:tcPr>
          <w:p w:rsidR="00E96E16" w:rsidRPr="007E24E0" w:rsidRDefault="00E96E16" w:rsidP="00E96E16">
            <w:pPr>
              <w:pStyle w:val="a3"/>
              <w:overflowPunct/>
              <w:ind w:right="0"/>
              <w:jc w:val="right"/>
            </w:pPr>
            <w:r w:rsidRPr="007E24E0">
              <w:t>29.58</w:t>
            </w:r>
          </w:p>
        </w:tc>
        <w:tc>
          <w:tcPr>
            <w:tcW w:w="1098" w:type="dxa"/>
            <w:shd w:val="clear" w:color="auto" w:fill="auto"/>
            <w:vAlign w:val="bottom"/>
          </w:tcPr>
          <w:p w:rsidR="00E96E16" w:rsidRPr="007E24E0" w:rsidRDefault="00E96E16" w:rsidP="00E96E16">
            <w:pPr>
              <w:pStyle w:val="a3"/>
              <w:overflowPunct/>
              <w:ind w:right="0"/>
              <w:jc w:val="right"/>
            </w:pPr>
            <w:r w:rsidRPr="007E24E0">
              <w:t>1</w:t>
            </w:r>
            <w:r>
              <w:t>,</w:t>
            </w:r>
            <w:r w:rsidRPr="007E24E0">
              <w:t>869</w:t>
            </w:r>
            <w:r>
              <w:t>,</w:t>
            </w:r>
            <w:r w:rsidRPr="007E24E0">
              <w:t>480</w:t>
            </w:r>
          </w:p>
        </w:tc>
        <w:tc>
          <w:tcPr>
            <w:tcW w:w="1098" w:type="dxa"/>
            <w:shd w:val="clear" w:color="auto" w:fill="auto"/>
            <w:vAlign w:val="bottom"/>
          </w:tcPr>
          <w:p w:rsidR="00E96E16" w:rsidRPr="007E24E0" w:rsidRDefault="00E96E16" w:rsidP="00E96E16">
            <w:pPr>
              <w:pStyle w:val="a3"/>
              <w:overflowPunct/>
              <w:ind w:right="0"/>
              <w:jc w:val="right"/>
            </w:pPr>
            <w:r w:rsidRPr="007E24E0">
              <w:t>48.52</w:t>
            </w:r>
          </w:p>
        </w:tc>
        <w:tc>
          <w:tcPr>
            <w:tcW w:w="1098" w:type="dxa"/>
            <w:shd w:val="clear" w:color="auto" w:fill="auto"/>
            <w:vAlign w:val="bottom"/>
          </w:tcPr>
          <w:p w:rsidR="00E96E16" w:rsidRPr="007E24E0" w:rsidRDefault="00E96E16" w:rsidP="00E96E16">
            <w:pPr>
              <w:pStyle w:val="a3"/>
              <w:overflowPunct/>
              <w:ind w:right="0"/>
              <w:jc w:val="right"/>
            </w:pPr>
            <w:r w:rsidRPr="007E24E0">
              <w:t>1</w:t>
            </w:r>
            <w:r>
              <w:t>,</w:t>
            </w:r>
            <w:r w:rsidRPr="007E24E0">
              <w:t>983</w:t>
            </w:r>
            <w:r>
              <w:t>,</w:t>
            </w:r>
            <w:r w:rsidRPr="007E24E0">
              <w:t>504</w:t>
            </w:r>
          </w:p>
        </w:tc>
        <w:tc>
          <w:tcPr>
            <w:tcW w:w="1099" w:type="dxa"/>
            <w:shd w:val="clear" w:color="auto" w:fill="auto"/>
            <w:vAlign w:val="bottom"/>
          </w:tcPr>
          <w:p w:rsidR="00E96E16" w:rsidRPr="007E24E0" w:rsidRDefault="00E96E16" w:rsidP="00E96E16">
            <w:pPr>
              <w:pStyle w:val="a3"/>
              <w:overflowPunct/>
              <w:ind w:right="0"/>
              <w:jc w:val="right"/>
            </w:pPr>
            <w:r w:rsidRPr="007E24E0">
              <w:t>51.48</w:t>
            </w:r>
          </w:p>
        </w:tc>
      </w:tr>
      <w:tr w:rsidR="00E96E16" w:rsidRPr="007E24E0" w:rsidTr="00E96E16">
        <w:tc>
          <w:tcPr>
            <w:tcW w:w="1418" w:type="dxa"/>
            <w:shd w:val="clear" w:color="auto" w:fill="auto"/>
          </w:tcPr>
          <w:p w:rsidR="00E96E16" w:rsidRPr="007E24E0" w:rsidRDefault="00E96E16" w:rsidP="00E96E16">
            <w:pPr>
              <w:pStyle w:val="a3"/>
              <w:overflowPunct/>
              <w:ind w:right="0"/>
              <w:jc w:val="left"/>
            </w:pPr>
            <w:r w:rsidRPr="007E24E0">
              <w:t>55-64</w:t>
            </w:r>
            <w:r w:rsidRPr="007E24E0">
              <w:t>岁</w:t>
            </w:r>
          </w:p>
        </w:tc>
        <w:tc>
          <w:tcPr>
            <w:tcW w:w="1559" w:type="dxa"/>
            <w:shd w:val="clear" w:color="auto" w:fill="auto"/>
            <w:vAlign w:val="bottom"/>
          </w:tcPr>
          <w:p w:rsidR="00E96E16" w:rsidRPr="007E24E0" w:rsidRDefault="00E96E16" w:rsidP="00E96E16">
            <w:pPr>
              <w:pStyle w:val="a3"/>
              <w:overflowPunct/>
              <w:ind w:right="0"/>
              <w:jc w:val="right"/>
            </w:pPr>
            <w:r w:rsidRPr="007E24E0">
              <w:t>3.39</w:t>
            </w:r>
          </w:p>
        </w:tc>
        <w:tc>
          <w:tcPr>
            <w:tcW w:w="1098" w:type="dxa"/>
            <w:shd w:val="clear" w:color="auto" w:fill="auto"/>
            <w:vAlign w:val="bottom"/>
          </w:tcPr>
          <w:p w:rsidR="00E96E16" w:rsidRPr="007E24E0" w:rsidRDefault="00E96E16" w:rsidP="00E96E16">
            <w:pPr>
              <w:pStyle w:val="a3"/>
              <w:overflowPunct/>
              <w:ind w:right="0"/>
              <w:jc w:val="right"/>
            </w:pPr>
            <w:r w:rsidRPr="007E24E0">
              <w:t>2</w:t>
            </w:r>
            <w:r>
              <w:t>,</w:t>
            </w:r>
            <w:r w:rsidRPr="007E24E0">
              <w:t>35</w:t>
            </w:r>
            <w:r>
              <w:t>,</w:t>
            </w:r>
            <w:r w:rsidRPr="007E24E0">
              <w:t>546</w:t>
            </w:r>
          </w:p>
        </w:tc>
        <w:tc>
          <w:tcPr>
            <w:tcW w:w="1098" w:type="dxa"/>
            <w:shd w:val="clear" w:color="auto" w:fill="auto"/>
            <w:vAlign w:val="bottom"/>
          </w:tcPr>
          <w:p w:rsidR="00E96E16" w:rsidRPr="007E24E0" w:rsidRDefault="00E96E16" w:rsidP="00E96E16">
            <w:pPr>
              <w:pStyle w:val="a3"/>
              <w:overflowPunct/>
              <w:ind w:right="0"/>
              <w:jc w:val="right"/>
            </w:pPr>
            <w:r w:rsidRPr="007E24E0">
              <w:t>53.31</w:t>
            </w:r>
          </w:p>
        </w:tc>
        <w:tc>
          <w:tcPr>
            <w:tcW w:w="1098" w:type="dxa"/>
            <w:shd w:val="clear" w:color="auto" w:fill="auto"/>
            <w:vAlign w:val="bottom"/>
          </w:tcPr>
          <w:p w:rsidR="00E96E16" w:rsidRPr="007E24E0" w:rsidRDefault="00E96E16" w:rsidP="00E96E16">
            <w:pPr>
              <w:pStyle w:val="a3"/>
              <w:overflowPunct/>
              <w:ind w:right="0"/>
              <w:jc w:val="right"/>
            </w:pPr>
            <w:r w:rsidRPr="007E24E0">
              <w:t>206</w:t>
            </w:r>
            <w:r>
              <w:t>,</w:t>
            </w:r>
            <w:r w:rsidRPr="007E24E0">
              <w:t>304</w:t>
            </w:r>
          </w:p>
        </w:tc>
        <w:tc>
          <w:tcPr>
            <w:tcW w:w="1099" w:type="dxa"/>
            <w:shd w:val="clear" w:color="auto" w:fill="auto"/>
            <w:vAlign w:val="bottom"/>
          </w:tcPr>
          <w:p w:rsidR="00E96E16" w:rsidRPr="007E24E0" w:rsidRDefault="00E96E16" w:rsidP="00E96E16">
            <w:pPr>
              <w:pStyle w:val="a3"/>
              <w:overflowPunct/>
              <w:ind w:right="0"/>
              <w:jc w:val="right"/>
            </w:pPr>
            <w:r w:rsidRPr="007E24E0">
              <w:t>46.69</w:t>
            </w:r>
          </w:p>
        </w:tc>
      </w:tr>
      <w:tr w:rsidR="00E96E16" w:rsidRPr="007E24E0" w:rsidTr="00E96E16">
        <w:tc>
          <w:tcPr>
            <w:tcW w:w="1418" w:type="dxa"/>
            <w:shd w:val="clear" w:color="auto" w:fill="auto"/>
          </w:tcPr>
          <w:p w:rsidR="00E96E16" w:rsidRPr="007E24E0" w:rsidRDefault="00E96E16" w:rsidP="00E96E16">
            <w:pPr>
              <w:pStyle w:val="a3"/>
              <w:overflowPunct/>
              <w:ind w:right="0"/>
              <w:jc w:val="left"/>
            </w:pPr>
            <w:r w:rsidRPr="007E24E0">
              <w:t>65</w:t>
            </w:r>
            <w:r w:rsidRPr="007E24E0">
              <w:t>岁及以上</w:t>
            </w:r>
          </w:p>
        </w:tc>
        <w:tc>
          <w:tcPr>
            <w:tcW w:w="1559" w:type="dxa"/>
            <w:shd w:val="clear" w:color="auto" w:fill="auto"/>
            <w:vAlign w:val="bottom"/>
          </w:tcPr>
          <w:p w:rsidR="00E96E16" w:rsidRPr="007E24E0" w:rsidRDefault="00E96E16" w:rsidP="00E96E16">
            <w:pPr>
              <w:pStyle w:val="a3"/>
              <w:overflowPunct/>
              <w:ind w:right="0"/>
              <w:jc w:val="right"/>
            </w:pPr>
            <w:r w:rsidRPr="007E24E0">
              <w:t>2.1</w:t>
            </w:r>
          </w:p>
        </w:tc>
        <w:tc>
          <w:tcPr>
            <w:tcW w:w="1098" w:type="dxa"/>
            <w:shd w:val="clear" w:color="auto" w:fill="auto"/>
            <w:vAlign w:val="bottom"/>
          </w:tcPr>
          <w:p w:rsidR="00E96E16" w:rsidRPr="007E24E0" w:rsidRDefault="00E96E16" w:rsidP="00E96E16">
            <w:pPr>
              <w:pStyle w:val="a3"/>
              <w:overflowPunct/>
              <w:ind w:right="0"/>
              <w:jc w:val="right"/>
            </w:pPr>
            <w:r w:rsidRPr="007E24E0">
              <w:t>151</w:t>
            </w:r>
            <w:r>
              <w:t>,</w:t>
            </w:r>
            <w:r w:rsidRPr="007E24E0">
              <w:t>166</w:t>
            </w:r>
          </w:p>
        </w:tc>
        <w:tc>
          <w:tcPr>
            <w:tcW w:w="1098" w:type="dxa"/>
            <w:shd w:val="clear" w:color="auto" w:fill="auto"/>
            <w:vAlign w:val="bottom"/>
          </w:tcPr>
          <w:p w:rsidR="00E96E16" w:rsidRPr="007E24E0" w:rsidRDefault="00E96E16" w:rsidP="00E96E16">
            <w:pPr>
              <w:pStyle w:val="a3"/>
              <w:overflowPunct/>
              <w:ind w:right="0"/>
              <w:jc w:val="right"/>
            </w:pPr>
            <w:r w:rsidRPr="007E24E0">
              <w:t>55.14</w:t>
            </w:r>
          </w:p>
        </w:tc>
        <w:tc>
          <w:tcPr>
            <w:tcW w:w="1098" w:type="dxa"/>
            <w:shd w:val="clear" w:color="auto" w:fill="auto"/>
            <w:vAlign w:val="bottom"/>
          </w:tcPr>
          <w:p w:rsidR="00E96E16" w:rsidRPr="007E24E0" w:rsidRDefault="00E96E16" w:rsidP="00E96E16">
            <w:pPr>
              <w:pStyle w:val="a3"/>
              <w:overflowPunct/>
              <w:ind w:right="0"/>
              <w:jc w:val="right"/>
            </w:pPr>
            <w:r w:rsidRPr="007E24E0">
              <w:t>123</w:t>
            </w:r>
            <w:r>
              <w:t>,</w:t>
            </w:r>
            <w:r w:rsidRPr="007E24E0">
              <w:t>008</w:t>
            </w:r>
          </w:p>
        </w:tc>
        <w:tc>
          <w:tcPr>
            <w:tcW w:w="1099" w:type="dxa"/>
            <w:shd w:val="clear" w:color="auto" w:fill="auto"/>
            <w:vAlign w:val="bottom"/>
          </w:tcPr>
          <w:p w:rsidR="00E96E16" w:rsidRPr="007E24E0" w:rsidRDefault="00E96E16" w:rsidP="00E96E16">
            <w:pPr>
              <w:pStyle w:val="a3"/>
              <w:overflowPunct/>
              <w:ind w:right="0"/>
              <w:jc w:val="right"/>
            </w:pPr>
            <w:r w:rsidRPr="007E24E0">
              <w:t>44.86</w:t>
            </w:r>
          </w:p>
        </w:tc>
      </w:tr>
    </w:tbl>
    <w:p w:rsidR="00E96E16" w:rsidRPr="007E24E0" w:rsidRDefault="00E96E16" w:rsidP="00A24F6F">
      <w:pPr>
        <w:pStyle w:val="H23GC"/>
      </w:pPr>
      <w:bookmarkStart w:id="1" w:name="_Toc368821094"/>
      <w:r w:rsidRPr="007E24E0">
        <w:tab/>
      </w:r>
      <w:r w:rsidRPr="007E24E0">
        <w:tab/>
      </w:r>
      <w:r w:rsidRPr="007E24E0">
        <w:t>其他人口统计数据</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3247"/>
        <w:gridCol w:w="3414"/>
      </w:tblGrid>
      <w:tr w:rsidR="00E96E16" w:rsidRPr="007E24E0" w:rsidTr="007520CA">
        <w:trPr>
          <w:tblHeader/>
        </w:trPr>
        <w:tc>
          <w:tcPr>
            <w:tcW w:w="709" w:type="dxa"/>
            <w:tcBorders>
              <w:top w:val="single" w:sz="4" w:space="0" w:color="auto"/>
              <w:bottom w:val="single" w:sz="12" w:space="0" w:color="auto"/>
            </w:tcBorders>
            <w:shd w:val="clear" w:color="auto" w:fill="auto"/>
            <w:vAlign w:val="bottom"/>
          </w:tcPr>
          <w:p w:rsidR="00E96E16" w:rsidRPr="007E24E0" w:rsidRDefault="00E96E16" w:rsidP="00E96E16">
            <w:pPr>
              <w:pStyle w:val="a4"/>
            </w:pPr>
            <w:r w:rsidRPr="007E24E0">
              <w:t>序列号</w:t>
            </w:r>
          </w:p>
        </w:tc>
        <w:tc>
          <w:tcPr>
            <w:tcW w:w="3247" w:type="dxa"/>
            <w:tcBorders>
              <w:top w:val="single" w:sz="4" w:space="0" w:color="auto"/>
              <w:bottom w:val="single" w:sz="12" w:space="0" w:color="auto"/>
            </w:tcBorders>
            <w:shd w:val="clear" w:color="auto" w:fill="auto"/>
            <w:vAlign w:val="bottom"/>
          </w:tcPr>
          <w:p w:rsidR="00E96E16" w:rsidRPr="007E24E0" w:rsidRDefault="00E96E16" w:rsidP="00E96E16">
            <w:pPr>
              <w:pStyle w:val="a4"/>
            </w:pPr>
            <w:r w:rsidRPr="007E24E0">
              <w:t>指标</w:t>
            </w:r>
          </w:p>
        </w:tc>
        <w:tc>
          <w:tcPr>
            <w:tcW w:w="3414" w:type="dxa"/>
            <w:tcBorders>
              <w:top w:val="single" w:sz="4" w:space="0" w:color="auto"/>
              <w:bottom w:val="single" w:sz="12" w:space="0" w:color="auto"/>
            </w:tcBorders>
            <w:shd w:val="clear" w:color="auto" w:fill="auto"/>
            <w:vAlign w:val="bottom"/>
          </w:tcPr>
          <w:p w:rsidR="00E96E16" w:rsidRPr="007E24E0" w:rsidRDefault="00E96E16" w:rsidP="00C306E4">
            <w:pPr>
              <w:pStyle w:val="a4"/>
              <w:ind w:right="0"/>
              <w:jc w:val="right"/>
            </w:pPr>
            <w:r w:rsidRPr="007E24E0">
              <w:t>%</w:t>
            </w:r>
          </w:p>
        </w:tc>
      </w:tr>
      <w:tr w:rsidR="00E96E16" w:rsidRPr="007E24E0" w:rsidTr="007520CA">
        <w:tc>
          <w:tcPr>
            <w:tcW w:w="709" w:type="dxa"/>
            <w:tcBorders>
              <w:top w:val="single" w:sz="12" w:space="0" w:color="auto"/>
            </w:tcBorders>
            <w:shd w:val="clear" w:color="auto" w:fill="auto"/>
          </w:tcPr>
          <w:p w:rsidR="00E96E16" w:rsidRPr="007E24E0" w:rsidRDefault="00E96E16" w:rsidP="00E96E16">
            <w:pPr>
              <w:pStyle w:val="a5"/>
              <w:overflowPunct/>
              <w:spacing w:after="120"/>
              <w:jc w:val="left"/>
            </w:pPr>
            <w:r w:rsidRPr="007E24E0">
              <w:t>1</w:t>
            </w:r>
          </w:p>
        </w:tc>
        <w:tc>
          <w:tcPr>
            <w:tcW w:w="3247" w:type="dxa"/>
            <w:tcBorders>
              <w:top w:val="single" w:sz="12" w:space="0" w:color="auto"/>
            </w:tcBorders>
            <w:shd w:val="clear" w:color="auto" w:fill="auto"/>
            <w:vAlign w:val="bottom"/>
          </w:tcPr>
          <w:p w:rsidR="00E96E16" w:rsidRPr="007E24E0" w:rsidRDefault="00E96E16" w:rsidP="00E96E16">
            <w:pPr>
              <w:pStyle w:val="a5"/>
              <w:overflowPunct/>
              <w:spacing w:after="120"/>
              <w:jc w:val="left"/>
            </w:pPr>
            <w:r w:rsidRPr="007E24E0">
              <w:t>出生率</w:t>
            </w:r>
          </w:p>
        </w:tc>
        <w:tc>
          <w:tcPr>
            <w:tcW w:w="3414" w:type="dxa"/>
            <w:tcBorders>
              <w:top w:val="single" w:sz="12" w:space="0" w:color="auto"/>
            </w:tcBorders>
            <w:shd w:val="clear" w:color="auto" w:fill="auto"/>
            <w:vAlign w:val="bottom"/>
          </w:tcPr>
          <w:p w:rsidR="00E96E16" w:rsidRPr="007E24E0" w:rsidRDefault="00E96E16" w:rsidP="00C306E4">
            <w:pPr>
              <w:pStyle w:val="a5"/>
              <w:overflowPunct/>
              <w:spacing w:after="120"/>
              <w:ind w:right="0"/>
              <w:jc w:val="right"/>
            </w:pPr>
            <w:r w:rsidRPr="007E24E0">
              <w:t>35.5</w:t>
            </w:r>
            <w:r w:rsidRPr="007E24E0">
              <w:t>每千人</w:t>
            </w:r>
            <w:r w:rsidRPr="007E24E0">
              <w:t>(2017</w:t>
            </w:r>
            <w:r w:rsidRPr="007E24E0">
              <w:t>年估计值</w:t>
            </w:r>
            <w:r w:rsidRPr="007E24E0">
              <w:t>)</w:t>
            </w:r>
            <w:r w:rsidRPr="007E24E0">
              <w:rPr>
                <w:vertAlign w:val="superscript"/>
              </w:rPr>
              <w:footnoteReference w:id="5"/>
            </w:r>
          </w:p>
        </w:tc>
      </w:tr>
      <w:tr w:rsidR="00E96E16" w:rsidRPr="007E24E0" w:rsidTr="007520CA">
        <w:tc>
          <w:tcPr>
            <w:tcW w:w="709" w:type="dxa"/>
            <w:shd w:val="clear" w:color="auto" w:fill="auto"/>
          </w:tcPr>
          <w:p w:rsidR="00E96E16" w:rsidRPr="007E24E0" w:rsidRDefault="00E96E16" w:rsidP="00E96E16">
            <w:pPr>
              <w:pStyle w:val="a5"/>
              <w:overflowPunct/>
              <w:spacing w:after="120"/>
              <w:jc w:val="left"/>
            </w:pPr>
            <w:r w:rsidRPr="007E24E0">
              <w:t>2</w:t>
            </w:r>
          </w:p>
        </w:tc>
        <w:tc>
          <w:tcPr>
            <w:tcW w:w="3247" w:type="dxa"/>
            <w:shd w:val="clear" w:color="auto" w:fill="auto"/>
            <w:vAlign w:val="bottom"/>
          </w:tcPr>
          <w:p w:rsidR="00E96E16" w:rsidRPr="007E24E0" w:rsidRDefault="00E96E16" w:rsidP="00E96E16">
            <w:pPr>
              <w:pStyle w:val="a5"/>
              <w:overflowPunct/>
              <w:spacing w:after="120"/>
              <w:jc w:val="left"/>
            </w:pPr>
            <w:r w:rsidRPr="007E24E0">
              <w:t>死亡率</w:t>
            </w:r>
          </w:p>
        </w:tc>
        <w:tc>
          <w:tcPr>
            <w:tcW w:w="3414" w:type="dxa"/>
            <w:shd w:val="clear" w:color="auto" w:fill="auto"/>
            <w:vAlign w:val="bottom"/>
          </w:tcPr>
          <w:p w:rsidR="00E96E16" w:rsidRPr="007E24E0" w:rsidRDefault="00E96E16" w:rsidP="00C306E4">
            <w:pPr>
              <w:pStyle w:val="a5"/>
              <w:overflowPunct/>
              <w:spacing w:after="120"/>
              <w:ind w:right="0"/>
              <w:jc w:val="right"/>
            </w:pPr>
            <w:r w:rsidRPr="007E24E0">
              <w:t>7.7</w:t>
            </w:r>
            <w:r w:rsidRPr="007E24E0">
              <w:t>每千人</w:t>
            </w:r>
            <w:r w:rsidRPr="007E24E0">
              <w:t>(2017</w:t>
            </w:r>
            <w:r w:rsidRPr="007E24E0">
              <w:t>年估计值</w:t>
            </w:r>
            <w:r w:rsidRPr="007E24E0">
              <w:t>)</w:t>
            </w:r>
            <w:r w:rsidRPr="007E24E0">
              <w:rPr>
                <w:vertAlign w:val="superscript"/>
              </w:rPr>
              <w:footnoteReference w:id="6"/>
            </w:r>
          </w:p>
        </w:tc>
      </w:tr>
      <w:tr w:rsidR="00E96E16" w:rsidRPr="007E24E0" w:rsidTr="007520CA">
        <w:tc>
          <w:tcPr>
            <w:tcW w:w="709" w:type="dxa"/>
            <w:shd w:val="clear" w:color="auto" w:fill="auto"/>
          </w:tcPr>
          <w:p w:rsidR="00E96E16" w:rsidRPr="007E24E0" w:rsidRDefault="00E96E16" w:rsidP="00E96E16">
            <w:pPr>
              <w:pStyle w:val="a5"/>
              <w:overflowPunct/>
              <w:spacing w:after="120"/>
              <w:jc w:val="left"/>
            </w:pPr>
            <w:r w:rsidRPr="007E24E0">
              <w:t>3</w:t>
            </w:r>
          </w:p>
        </w:tc>
        <w:tc>
          <w:tcPr>
            <w:tcW w:w="3247" w:type="dxa"/>
            <w:shd w:val="clear" w:color="auto" w:fill="auto"/>
            <w:vAlign w:val="bottom"/>
          </w:tcPr>
          <w:p w:rsidR="00E96E16" w:rsidRPr="007E24E0" w:rsidRDefault="00E96E16" w:rsidP="00E96E16">
            <w:pPr>
              <w:pStyle w:val="a5"/>
              <w:overflowPunct/>
              <w:spacing w:after="120"/>
              <w:jc w:val="left"/>
            </w:pPr>
            <w:r w:rsidRPr="007E24E0">
              <w:t>预期寿命</w:t>
            </w:r>
          </w:p>
        </w:tc>
        <w:tc>
          <w:tcPr>
            <w:tcW w:w="3414" w:type="dxa"/>
            <w:shd w:val="clear" w:color="auto" w:fill="auto"/>
            <w:vAlign w:val="bottom"/>
          </w:tcPr>
          <w:p w:rsidR="00E96E16" w:rsidRPr="007E24E0" w:rsidRDefault="00E96E16" w:rsidP="00C306E4">
            <w:pPr>
              <w:pStyle w:val="a5"/>
              <w:overflowPunct/>
              <w:spacing w:after="120"/>
              <w:ind w:right="0"/>
              <w:jc w:val="right"/>
            </w:pPr>
            <w:r w:rsidRPr="007E24E0">
              <w:t>42</w:t>
            </w:r>
            <w:r w:rsidRPr="007E24E0">
              <w:t>岁</w:t>
            </w:r>
            <w:r w:rsidRPr="007E24E0">
              <w:rPr>
                <w:vertAlign w:val="superscript"/>
              </w:rPr>
              <w:footnoteReference w:id="7"/>
            </w:r>
          </w:p>
        </w:tc>
      </w:tr>
    </w:tbl>
    <w:p w:rsidR="00E96E16" w:rsidRPr="007E24E0" w:rsidRDefault="00E96E16" w:rsidP="00A24F6F">
      <w:pPr>
        <w:pStyle w:val="H23GC"/>
      </w:pPr>
      <w:r w:rsidRPr="007E24E0">
        <w:tab/>
      </w:r>
      <w:r w:rsidRPr="007E24E0">
        <w:tab/>
      </w:r>
      <w:r w:rsidRPr="007E24E0">
        <w:rPr>
          <w:bCs/>
        </w:rPr>
        <w:t>语言</w:t>
      </w:r>
    </w:p>
    <w:p w:rsidR="00E96E16" w:rsidRPr="007E24E0" w:rsidRDefault="00E96E16" w:rsidP="00E96E16">
      <w:pPr>
        <w:pStyle w:val="SingleTxtGC"/>
      </w:pPr>
      <w:r w:rsidRPr="007E24E0">
        <w:t>10.</w:t>
      </w:r>
      <w:r w:rsidRPr="007E24E0">
        <w:tab/>
      </w:r>
      <w:r w:rsidRPr="007E24E0">
        <w:t>南苏丹有若干语言群体，包括尼罗特人、尼罗哈米特人和苏丹人。尼罗特人讲尼罗</w:t>
      </w:r>
      <w:r w:rsidR="00402CED">
        <w:rPr>
          <w:rFonts w:hint="eastAsia"/>
        </w:rPr>
        <w:t>－</w:t>
      </w:r>
      <w:r w:rsidRPr="007E24E0">
        <w:t>撒哈拉语系东苏丹语支的各种语言，其他群体讲尼日尔</w:t>
      </w:r>
      <w:r w:rsidR="001F7E48">
        <w:rPr>
          <w:rFonts w:hint="eastAsia"/>
        </w:rPr>
        <w:t>－</w:t>
      </w:r>
      <w:r w:rsidRPr="007E24E0">
        <w:t>刚果语系阿达马瓦</w:t>
      </w:r>
      <w:r w:rsidR="00402CED">
        <w:rPr>
          <w:rFonts w:hint="eastAsia"/>
        </w:rPr>
        <w:t>－</w:t>
      </w:r>
      <w:r w:rsidRPr="007E24E0">
        <w:t>乌班吉语支的各种语言。根据</w:t>
      </w:r>
      <w:r w:rsidRPr="007E24E0">
        <w:t>2011</w:t>
      </w:r>
      <w:r w:rsidRPr="007E24E0">
        <w:t>年《过渡期宪法》</w:t>
      </w:r>
      <w:r w:rsidRPr="007E24E0">
        <w:t>(</w:t>
      </w:r>
      <w:r w:rsidRPr="007E24E0">
        <w:t>修订版</w:t>
      </w:r>
      <w:r w:rsidRPr="007E24E0">
        <w:t>)</w:t>
      </w:r>
      <w:r w:rsidRPr="007E24E0">
        <w:t>，英语是该国的官方工作语言，但人们也用阿拉伯语和其他当地语言沟通。</w:t>
      </w:r>
    </w:p>
    <w:p w:rsidR="00E96E16" w:rsidRPr="007E24E0" w:rsidRDefault="00E96E16" w:rsidP="00C306E4">
      <w:pPr>
        <w:pStyle w:val="H23GC"/>
      </w:pPr>
      <w:r w:rsidRPr="007E24E0">
        <w:tab/>
      </w:r>
      <w:r w:rsidRPr="007E24E0">
        <w:tab/>
      </w:r>
      <w:r w:rsidRPr="007E24E0">
        <w:rPr>
          <w:bCs/>
        </w:rPr>
        <w:t>经济</w:t>
      </w:r>
    </w:p>
    <w:p w:rsidR="00E96E16" w:rsidRPr="007E24E0" w:rsidRDefault="00E96E16" w:rsidP="00E96E16">
      <w:pPr>
        <w:pStyle w:val="SingleTxtGC"/>
      </w:pPr>
      <w:r w:rsidRPr="007E24E0">
        <w:t>11.</w:t>
      </w:r>
      <w:r w:rsidRPr="007E24E0">
        <w:tab/>
      </w:r>
      <w:r w:rsidRPr="007E24E0">
        <w:t>该国的主要收入来源是石油，占其国内生产总值的近</w:t>
      </w:r>
      <w:r w:rsidRPr="007E24E0">
        <w:t>90%</w:t>
      </w:r>
      <w:r w:rsidRPr="007E24E0">
        <w:t>。其他收入来源包括农业、贸易、渔业、林业、旅游业、水力发电和采矿业。但是，这些资源大部分没有得到充分开发。</w:t>
      </w:r>
    </w:p>
    <w:p w:rsidR="00E96E16" w:rsidRPr="007E24E0" w:rsidRDefault="00E96E16" w:rsidP="00E96E16">
      <w:pPr>
        <w:pStyle w:val="SingleTxtGC"/>
      </w:pPr>
      <w:r w:rsidRPr="007E24E0">
        <w:t>12.</w:t>
      </w:r>
      <w:r w:rsidRPr="007E24E0">
        <w:tab/>
      </w:r>
      <w:r w:rsidRPr="007E24E0">
        <w:t>南苏丹是世界上最不发达的国家之一。人口主要依靠农业维持生计，包括种植业、畜牧业、渔业和林业。</w:t>
      </w:r>
    </w:p>
    <w:p w:rsidR="00E96E16" w:rsidRPr="007E24E0" w:rsidRDefault="00E96E16" w:rsidP="00E96E16">
      <w:pPr>
        <w:pStyle w:val="SingleTxtGC"/>
      </w:pPr>
      <w:r w:rsidRPr="007E24E0">
        <w:t>13.</w:t>
      </w:r>
      <w:r w:rsidRPr="007E24E0">
        <w:tab/>
      </w:r>
      <w:r w:rsidRPr="007E24E0">
        <w:t>农民主要依靠降雨维持耕种，但一些地区越来越多地使用机械化耕作技术，例如该国北部的伦克镇。主要农作物包括高粱、玉米、咖啡、豌豆、芝麻、花生、小米、大米、木薯、红薯、水果和蔬菜。该国饲养了大量牲畜和家禽，包括山羊、绵羊、牛和鸡。该国的森林可生长软木树和硬木树，用作木材和药物，以及生产水果和阿拉伯树胶。鱼类主要来自尼罗河，但主要供当地消费。</w:t>
      </w:r>
    </w:p>
    <w:p w:rsidR="00E96E16" w:rsidRPr="007E24E0" w:rsidRDefault="00E96E16" w:rsidP="00C306E4">
      <w:pPr>
        <w:pStyle w:val="H1GC"/>
      </w:pPr>
      <w:r w:rsidRPr="007E24E0">
        <w:tab/>
        <w:t>C.</w:t>
      </w:r>
      <w:r w:rsidRPr="007E24E0">
        <w:tab/>
      </w:r>
      <w:r w:rsidRPr="007E24E0">
        <w:t>宪法和政治结构</w:t>
      </w:r>
    </w:p>
    <w:p w:rsidR="00E96E16" w:rsidRPr="007E24E0" w:rsidRDefault="00E96E16" w:rsidP="00C306E4">
      <w:pPr>
        <w:pStyle w:val="H23GC"/>
      </w:pPr>
      <w:r w:rsidRPr="007E24E0">
        <w:tab/>
      </w:r>
      <w:r w:rsidRPr="007E24E0">
        <w:tab/>
      </w:r>
      <w:r w:rsidRPr="007E24E0">
        <w:t>国家治理</w:t>
      </w:r>
    </w:p>
    <w:p w:rsidR="00E96E16" w:rsidRPr="007E24E0" w:rsidRDefault="00E96E16" w:rsidP="00E96E16">
      <w:pPr>
        <w:pStyle w:val="SingleTxtGC"/>
      </w:pPr>
      <w:r w:rsidRPr="007E24E0">
        <w:t>14.</w:t>
      </w:r>
      <w:r w:rsidRPr="007E24E0">
        <w:tab/>
      </w:r>
      <w:r w:rsidRPr="007E24E0">
        <w:t>朱巴是南苏丹的首都。该国实行分权治理体系，行政部门由总统领导。该国的基本规范是</w:t>
      </w:r>
      <w:r w:rsidRPr="007E24E0">
        <w:t>2011</w:t>
      </w:r>
      <w:r w:rsidRPr="007E24E0">
        <w:t>年《过渡期宪法》</w:t>
      </w:r>
      <w:r w:rsidRPr="007E24E0">
        <w:t>(</w:t>
      </w:r>
      <w:r w:rsidRPr="007E24E0">
        <w:t>修订版</w:t>
      </w:r>
      <w:r w:rsidRPr="007E24E0">
        <w:t>)</w:t>
      </w:r>
      <w:r w:rsidRPr="007E24E0">
        <w:t>，该宪法承认该国的族裔和文化多样性</w:t>
      </w:r>
      <w:r w:rsidRPr="007E24E0">
        <w:t>(</w:t>
      </w:r>
      <w:r w:rsidRPr="007E24E0">
        <w:t>第</w:t>
      </w:r>
      <w:r w:rsidRPr="007E24E0">
        <w:t>1</w:t>
      </w:r>
      <w:r w:rsidRPr="007E24E0">
        <w:t>条第</w:t>
      </w:r>
      <w:r w:rsidRPr="007E24E0">
        <w:t>4</w:t>
      </w:r>
      <w:r w:rsidRPr="007E24E0">
        <w:t>款</w:t>
      </w:r>
      <w:r w:rsidRPr="007E24E0">
        <w:t>)</w:t>
      </w:r>
      <w:r w:rsidRPr="007E24E0">
        <w:t>。南苏丹政府系统分为三级治理，即国家、州和地方政府。出于行政目的，除阿卜耶伊行政区外，南苏丹目前分为</w:t>
      </w:r>
      <w:r w:rsidRPr="007E24E0">
        <w:t>32</w:t>
      </w:r>
      <w:r w:rsidRPr="007E24E0">
        <w:t>个州和</w:t>
      </w:r>
      <w:r w:rsidRPr="007E24E0">
        <w:t>180</w:t>
      </w:r>
      <w:r w:rsidRPr="007E24E0">
        <w:t>个县。</w:t>
      </w:r>
    </w:p>
    <w:p w:rsidR="00E96E16" w:rsidRPr="007E24E0" w:rsidRDefault="00E96E16" w:rsidP="00E96E16">
      <w:pPr>
        <w:pStyle w:val="SingleTxtGC"/>
      </w:pPr>
      <w:r w:rsidRPr="007E24E0">
        <w:t>15.</w:t>
      </w:r>
      <w:r w:rsidRPr="007E24E0">
        <w:tab/>
      </w:r>
      <w:r w:rsidRPr="007E24E0">
        <w:t>政府的立法部门是两院制议会，由国家立法议会和州委员会组成。州委员会由来自</w:t>
      </w:r>
      <w:r w:rsidRPr="007E24E0">
        <w:t>50</w:t>
      </w:r>
      <w:r w:rsidRPr="007E24E0">
        <w:t>个选区的</w:t>
      </w:r>
      <w:r w:rsidRPr="007E24E0">
        <w:t>50</w:t>
      </w:r>
      <w:r w:rsidRPr="007E24E0">
        <w:t>名成员组成，而国家立法议会目前由</w:t>
      </w:r>
      <w:r w:rsidRPr="007E24E0">
        <w:t>450</w:t>
      </w:r>
      <w:r w:rsidRPr="007E24E0">
        <w:t>名成员组成。除了立法之外，立法机构还有监督国家政府运作的职能。它批准行政政策和预算，批准国际条约和协议，还可以通过对副总统和任何内阁部长的不信任投票。</w:t>
      </w:r>
    </w:p>
    <w:p w:rsidR="00E96E16" w:rsidRPr="007E24E0" w:rsidRDefault="00E96E16" w:rsidP="00C306E4">
      <w:pPr>
        <w:pStyle w:val="H23GC"/>
      </w:pPr>
      <w:r w:rsidRPr="007E24E0">
        <w:tab/>
      </w:r>
      <w:r w:rsidRPr="007E24E0">
        <w:tab/>
      </w:r>
      <w:r w:rsidRPr="007E24E0">
        <w:t>法律制度</w:t>
      </w:r>
    </w:p>
    <w:p w:rsidR="00E96E16" w:rsidRPr="007E24E0" w:rsidRDefault="00E96E16" w:rsidP="00E96E16">
      <w:pPr>
        <w:pStyle w:val="SingleTxtGC"/>
      </w:pPr>
      <w:r w:rsidRPr="007E24E0">
        <w:t>16.</w:t>
      </w:r>
      <w:r w:rsidRPr="007E24E0">
        <w:tab/>
      </w:r>
      <w:r w:rsidRPr="007E24E0">
        <w:t>南苏丹法律制度基于普通法传统，司法机构由首席大法官领导。司法机构预算由国家综合基金直接支付。最高法院是该国最高司法机构。该国所有其他法院都有民事和刑事管辖权。上诉法院和高等法院被视为二级法院。首席法官可以通过授权设立特别法庭，特别法庭根据需要审理具体案件。</w:t>
      </w:r>
    </w:p>
    <w:p w:rsidR="00E96E16" w:rsidRPr="007E24E0" w:rsidRDefault="00E96E16" w:rsidP="00C306E4">
      <w:pPr>
        <w:pStyle w:val="H23GC"/>
      </w:pPr>
      <w:r w:rsidRPr="007E24E0">
        <w:tab/>
      </w:r>
      <w:r w:rsidRPr="007E24E0">
        <w:tab/>
      </w:r>
      <w:r w:rsidRPr="007E24E0">
        <w:t>法律渊源</w:t>
      </w:r>
    </w:p>
    <w:p w:rsidR="00E96E16" w:rsidRPr="007E24E0" w:rsidRDefault="00E96E16" w:rsidP="00E96E16">
      <w:pPr>
        <w:pStyle w:val="SingleTxtGC"/>
      </w:pPr>
      <w:r w:rsidRPr="007E24E0">
        <w:t>17.</w:t>
      </w:r>
      <w:r w:rsidRPr="007E24E0">
        <w:tab/>
      </w:r>
      <w:r w:rsidRPr="007E24E0">
        <w:t>南苏丹有一个多元化的法律体系，有五个法律渊源：《过渡期宪法》、成文法、民风民俗、人民的意愿以及任何其他相关的来源。</w:t>
      </w:r>
      <w:r w:rsidRPr="007E24E0">
        <w:rPr>
          <w:vertAlign w:val="superscript"/>
        </w:rPr>
        <w:footnoteReference w:id="8"/>
      </w:r>
      <w:r w:rsidR="00015ECE">
        <w:rPr>
          <w:rFonts w:hint="eastAsia"/>
        </w:rPr>
        <w:t xml:space="preserve"> </w:t>
      </w:r>
      <w:r w:rsidRPr="007E24E0">
        <w:t>根据《过渡期宪法》，习惯法庭系统被确认为法律渊源，与法定司法系统一起运作。虽然该国许多族裔群体的习惯法往往具有共性，但每个习惯法庭都适用各自独立的习惯。</w:t>
      </w:r>
    </w:p>
    <w:p w:rsidR="00E96E16" w:rsidRPr="007E24E0" w:rsidRDefault="00E96E16" w:rsidP="00C306E4">
      <w:pPr>
        <w:pStyle w:val="H23GC"/>
      </w:pPr>
      <w:r w:rsidRPr="007E24E0">
        <w:tab/>
      </w:r>
      <w:r w:rsidRPr="007E24E0">
        <w:tab/>
      </w:r>
      <w:r w:rsidRPr="007E24E0">
        <w:t>选举制度</w:t>
      </w:r>
    </w:p>
    <w:p w:rsidR="00E96E16" w:rsidRPr="007E24E0" w:rsidRDefault="00E96E16" w:rsidP="00E96E16">
      <w:pPr>
        <w:pStyle w:val="SingleTxtGC"/>
      </w:pPr>
      <w:r w:rsidRPr="00015ECE">
        <w:rPr>
          <w:spacing w:val="-2"/>
        </w:rPr>
        <w:t>18.</w:t>
      </w:r>
      <w:r w:rsidRPr="00015ECE">
        <w:rPr>
          <w:spacing w:val="-2"/>
        </w:rPr>
        <w:tab/>
        <w:t>2012</w:t>
      </w:r>
      <w:r w:rsidRPr="00015ECE">
        <w:rPr>
          <w:spacing w:val="-2"/>
        </w:rPr>
        <w:t>年《国家选举法》规定了选举制度。尽管南苏丹自独立以来没有举行过选举，但设立了一个由八名成员组成的全国选举委员会，其中只有一名女性。</w:t>
      </w:r>
      <w:r w:rsidRPr="00015ECE">
        <w:rPr>
          <w:spacing w:val="-2"/>
          <w:vertAlign w:val="superscript"/>
        </w:rPr>
        <w:footnoteReference w:id="9"/>
      </w:r>
      <w:r w:rsidR="00015ECE">
        <w:rPr>
          <w:rFonts w:hint="eastAsia"/>
        </w:rPr>
        <w:t xml:space="preserve"> </w:t>
      </w:r>
      <w:r w:rsidRPr="007E24E0">
        <w:t>登记在册的政党有</w:t>
      </w:r>
      <w:r w:rsidRPr="007E24E0">
        <w:t>28</w:t>
      </w:r>
      <w:r w:rsidRPr="007E24E0">
        <w:t>个，其中只有</w:t>
      </w:r>
      <w:r w:rsidRPr="007E24E0">
        <w:t>2</w:t>
      </w:r>
      <w:r w:rsidRPr="007E24E0">
        <w:t>个政党由妇女领导。</w:t>
      </w:r>
    </w:p>
    <w:p w:rsidR="00E96E16" w:rsidRPr="007E24E0" w:rsidRDefault="00E96E16" w:rsidP="00C306E4">
      <w:pPr>
        <w:pStyle w:val="H23GC"/>
      </w:pPr>
      <w:r w:rsidRPr="007E24E0">
        <w:tab/>
      </w:r>
      <w:r w:rsidRPr="007E24E0">
        <w:tab/>
      </w:r>
      <w:r w:rsidRPr="007E24E0">
        <w:t>非政府组织</w:t>
      </w:r>
    </w:p>
    <w:p w:rsidR="00E96E16" w:rsidRPr="007E24E0" w:rsidRDefault="00E96E16" w:rsidP="00E96E16">
      <w:pPr>
        <w:pStyle w:val="SingleTxtGC"/>
      </w:pPr>
      <w:r w:rsidRPr="007E24E0">
        <w:t>19.</w:t>
      </w:r>
      <w:r w:rsidRPr="007E24E0">
        <w:tab/>
      </w:r>
      <w:r w:rsidRPr="007E24E0">
        <w:t>非政府组织的活动受</w:t>
      </w:r>
      <w:r w:rsidRPr="007E24E0">
        <w:t>2016</w:t>
      </w:r>
      <w:r w:rsidRPr="007E24E0">
        <w:t>年《非政府组织法》监管。该法案是对《过渡期宪法》第</w:t>
      </w:r>
      <w:r w:rsidRPr="007E24E0">
        <w:t>52</w:t>
      </w:r>
      <w:r w:rsidRPr="007E24E0">
        <w:t>条的直接实施。它为非政府组织的注册、协调和运作监督提供了一个监管框架。</w:t>
      </w:r>
    </w:p>
    <w:bookmarkEnd w:id="1"/>
    <w:p w:rsidR="00E96E16" w:rsidRPr="007E24E0" w:rsidRDefault="00E96E16" w:rsidP="00C306E4">
      <w:pPr>
        <w:pStyle w:val="H1GC"/>
      </w:pPr>
      <w:r w:rsidRPr="007E24E0">
        <w:tab/>
        <w:t>D.</w:t>
      </w:r>
      <w:r w:rsidRPr="007E24E0">
        <w:tab/>
      </w:r>
      <w:r w:rsidRPr="007E24E0">
        <w:t>国家执行人权条款的义务</w:t>
      </w:r>
    </w:p>
    <w:p w:rsidR="00E96E16" w:rsidRPr="007E24E0" w:rsidRDefault="00E96E16" w:rsidP="00E96E16">
      <w:pPr>
        <w:pStyle w:val="SingleTxtGC"/>
      </w:pPr>
      <w:r w:rsidRPr="007E24E0">
        <w:t>20.</w:t>
      </w:r>
      <w:r w:rsidRPr="007E24E0">
        <w:tab/>
      </w:r>
      <w:r w:rsidRPr="007E24E0">
        <w:t>政府批准或加入了各种区域和国际人权文书，旨在促进和保护所有公民的人权。根据《宪法》，政府已接受普遍公认的国际法原则的优先地位，并确保其立法符合这些原则。</w:t>
      </w:r>
    </w:p>
    <w:p w:rsidR="00E96E16" w:rsidRPr="007E24E0" w:rsidRDefault="00E96E16" w:rsidP="00E96E16">
      <w:pPr>
        <w:pStyle w:val="SingleTxtGC"/>
      </w:pPr>
      <w:r w:rsidRPr="007E24E0">
        <w:t>21.</w:t>
      </w:r>
      <w:r w:rsidRPr="007E24E0">
        <w:tab/>
        <w:t>2011</w:t>
      </w:r>
      <w:r w:rsidRPr="007E24E0">
        <w:t>年《过渡期宪法》</w:t>
      </w:r>
      <w:r w:rsidRPr="007E24E0">
        <w:t>(</w:t>
      </w:r>
      <w:r w:rsidRPr="007E24E0">
        <w:t>修订版</w:t>
      </w:r>
      <w:r w:rsidRPr="007E24E0">
        <w:t>)</w:t>
      </w:r>
      <w:r w:rsidRPr="007E24E0">
        <w:t>第二部分载有《权利法案》和源于该国批准或加入的国际和区域人权文书的基本自由。</w:t>
      </w:r>
    </w:p>
    <w:p w:rsidR="00E96E16" w:rsidRPr="007E24E0" w:rsidRDefault="00E96E16" w:rsidP="00C306E4">
      <w:pPr>
        <w:pStyle w:val="H23GC"/>
      </w:pPr>
      <w:r w:rsidRPr="007E24E0">
        <w:tab/>
      </w:r>
      <w:r w:rsidRPr="007E24E0">
        <w:tab/>
      </w:r>
      <w:r w:rsidRPr="007E24E0">
        <w:t>国家人权机构</w:t>
      </w:r>
    </w:p>
    <w:p w:rsidR="00E96E16" w:rsidRPr="007E24E0" w:rsidRDefault="00E96E16" w:rsidP="00E96E16">
      <w:pPr>
        <w:pStyle w:val="SingleTxtGC"/>
      </w:pPr>
      <w:r w:rsidRPr="007E24E0">
        <w:t>22.</w:t>
      </w:r>
      <w:r w:rsidRPr="007E24E0">
        <w:tab/>
      </w:r>
      <w:r w:rsidRPr="007E24E0">
        <w:t>南苏丹人权委员会是根据《过渡期宪法》第</w:t>
      </w:r>
      <w:r w:rsidRPr="007E24E0">
        <w:t>145</w:t>
      </w:r>
      <w:r w:rsidRPr="007E24E0">
        <w:t>条设立的，旨在通过教育和研究、监测和调查来促进和保护人权和基本自由。</w:t>
      </w:r>
      <w:r w:rsidRPr="007E24E0">
        <w:rPr>
          <w:vertAlign w:val="superscript"/>
        </w:rPr>
        <w:footnoteReference w:id="10"/>
      </w:r>
      <w:r w:rsidR="00FD4B8F">
        <w:rPr>
          <w:rFonts w:hint="eastAsia"/>
        </w:rPr>
        <w:t xml:space="preserve"> </w:t>
      </w:r>
      <w:r w:rsidRPr="007E24E0">
        <w:t>2009</w:t>
      </w:r>
      <w:r w:rsidRPr="007E24E0">
        <w:t>年《南苏丹人权委员会法》规定了该机构的任务并指导其运作。</w:t>
      </w:r>
    </w:p>
    <w:p w:rsidR="00E96E16" w:rsidRPr="007E24E0" w:rsidRDefault="00E96E16" w:rsidP="00E96E16">
      <w:pPr>
        <w:pStyle w:val="SingleTxtGC"/>
      </w:pPr>
      <w:r w:rsidRPr="007E24E0">
        <w:t>23.</w:t>
      </w:r>
      <w:r w:rsidRPr="007E24E0">
        <w:tab/>
      </w:r>
      <w:r w:rsidRPr="007E24E0">
        <w:t>以下是促进和保护人权的其他机构</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1299"/>
        <w:gridCol w:w="1299"/>
        <w:gridCol w:w="1300"/>
        <w:gridCol w:w="1299"/>
        <w:gridCol w:w="1299"/>
        <w:gridCol w:w="1300"/>
      </w:tblGrid>
      <w:tr w:rsidR="00E96E16" w:rsidRPr="007E24E0" w:rsidTr="00402CED">
        <w:trPr>
          <w:tblHeader/>
        </w:trPr>
        <w:tc>
          <w:tcPr>
            <w:tcW w:w="709" w:type="dxa"/>
            <w:tcBorders>
              <w:top w:val="single" w:sz="4" w:space="0" w:color="auto"/>
              <w:bottom w:val="single" w:sz="12" w:space="0" w:color="auto"/>
            </w:tcBorders>
            <w:shd w:val="clear" w:color="auto" w:fill="auto"/>
            <w:vAlign w:val="bottom"/>
          </w:tcPr>
          <w:p w:rsidR="00E96E16" w:rsidRPr="007E24E0" w:rsidRDefault="00E96E16" w:rsidP="00E96E16">
            <w:pPr>
              <w:pStyle w:val="a4"/>
            </w:pPr>
            <w:r w:rsidRPr="007E24E0">
              <w:t>序列号</w:t>
            </w:r>
          </w:p>
        </w:tc>
        <w:tc>
          <w:tcPr>
            <w:tcW w:w="1299" w:type="dxa"/>
            <w:tcBorders>
              <w:top w:val="single" w:sz="4" w:space="0" w:color="auto"/>
              <w:bottom w:val="single" w:sz="12" w:space="0" w:color="auto"/>
            </w:tcBorders>
            <w:shd w:val="clear" w:color="auto" w:fill="auto"/>
            <w:vAlign w:val="bottom"/>
          </w:tcPr>
          <w:p w:rsidR="00E96E16" w:rsidRPr="007E24E0" w:rsidRDefault="00E96E16" w:rsidP="00E96E16">
            <w:pPr>
              <w:pStyle w:val="a4"/>
            </w:pPr>
            <w:r w:rsidRPr="007E24E0">
              <w:t>机构名称</w:t>
            </w:r>
          </w:p>
        </w:tc>
        <w:tc>
          <w:tcPr>
            <w:tcW w:w="1299" w:type="dxa"/>
            <w:tcBorders>
              <w:top w:val="single" w:sz="4" w:space="0" w:color="auto"/>
              <w:bottom w:val="single" w:sz="12" w:space="0" w:color="auto"/>
            </w:tcBorders>
            <w:shd w:val="clear" w:color="auto" w:fill="auto"/>
            <w:vAlign w:val="bottom"/>
          </w:tcPr>
          <w:p w:rsidR="00E96E16" w:rsidRPr="007E24E0" w:rsidRDefault="00E96E16" w:rsidP="00E96E16">
            <w:pPr>
              <w:pStyle w:val="a4"/>
            </w:pPr>
            <w:r w:rsidRPr="007E24E0">
              <w:t>任务</w:t>
            </w:r>
          </w:p>
        </w:tc>
        <w:tc>
          <w:tcPr>
            <w:tcW w:w="1300" w:type="dxa"/>
            <w:tcBorders>
              <w:top w:val="single" w:sz="4" w:space="0" w:color="auto"/>
              <w:bottom w:val="single" w:sz="12" w:space="0" w:color="auto"/>
            </w:tcBorders>
            <w:shd w:val="clear" w:color="auto" w:fill="auto"/>
            <w:vAlign w:val="bottom"/>
          </w:tcPr>
          <w:p w:rsidR="00E96E16" w:rsidRPr="007E24E0" w:rsidRDefault="00E96E16" w:rsidP="00E96E16">
            <w:pPr>
              <w:pStyle w:val="a4"/>
            </w:pPr>
            <w:r w:rsidRPr="007E24E0">
              <w:t>组成</w:t>
            </w:r>
          </w:p>
        </w:tc>
        <w:tc>
          <w:tcPr>
            <w:tcW w:w="1299" w:type="dxa"/>
            <w:tcBorders>
              <w:top w:val="single" w:sz="4" w:space="0" w:color="auto"/>
              <w:bottom w:val="single" w:sz="12" w:space="0" w:color="auto"/>
            </w:tcBorders>
            <w:shd w:val="clear" w:color="auto" w:fill="auto"/>
            <w:vAlign w:val="bottom"/>
          </w:tcPr>
          <w:p w:rsidR="00E96E16" w:rsidRPr="007E24E0" w:rsidRDefault="00E96E16" w:rsidP="00E96E16">
            <w:pPr>
              <w:pStyle w:val="a4"/>
            </w:pPr>
            <w:r w:rsidRPr="007E24E0">
              <w:t>财政资源</w:t>
            </w:r>
          </w:p>
        </w:tc>
        <w:tc>
          <w:tcPr>
            <w:tcW w:w="1299" w:type="dxa"/>
            <w:tcBorders>
              <w:top w:val="single" w:sz="4" w:space="0" w:color="auto"/>
              <w:bottom w:val="single" w:sz="12" w:space="0" w:color="auto"/>
            </w:tcBorders>
            <w:shd w:val="clear" w:color="auto" w:fill="auto"/>
            <w:vAlign w:val="bottom"/>
          </w:tcPr>
          <w:p w:rsidR="00E96E16" w:rsidRPr="007E24E0" w:rsidRDefault="00E96E16" w:rsidP="00E96E16">
            <w:pPr>
              <w:pStyle w:val="a4"/>
            </w:pPr>
            <w:r w:rsidRPr="007E24E0">
              <w:t>活动</w:t>
            </w:r>
          </w:p>
        </w:tc>
        <w:tc>
          <w:tcPr>
            <w:tcW w:w="1300" w:type="dxa"/>
            <w:tcBorders>
              <w:top w:val="single" w:sz="4" w:space="0" w:color="auto"/>
              <w:bottom w:val="single" w:sz="12" w:space="0" w:color="auto"/>
            </w:tcBorders>
            <w:shd w:val="clear" w:color="auto" w:fill="auto"/>
            <w:vAlign w:val="bottom"/>
          </w:tcPr>
          <w:p w:rsidR="00E96E16" w:rsidRPr="007E24E0" w:rsidRDefault="00E96E16" w:rsidP="00E96E16">
            <w:pPr>
              <w:pStyle w:val="a4"/>
            </w:pPr>
            <w:r w:rsidRPr="007E24E0">
              <w:t>现状</w:t>
            </w:r>
          </w:p>
        </w:tc>
      </w:tr>
      <w:tr w:rsidR="00E96E16" w:rsidRPr="007E24E0" w:rsidTr="00402CED">
        <w:trPr>
          <w:trHeight w:hRule="exact" w:val="113"/>
          <w:tblHeader/>
        </w:trPr>
        <w:tc>
          <w:tcPr>
            <w:tcW w:w="709" w:type="dxa"/>
            <w:tcBorders>
              <w:top w:val="single" w:sz="12" w:space="0" w:color="auto"/>
            </w:tcBorders>
            <w:shd w:val="clear" w:color="auto" w:fill="auto"/>
          </w:tcPr>
          <w:p w:rsidR="00E96E16" w:rsidRPr="007E24E0" w:rsidRDefault="00E96E16" w:rsidP="00E96E16">
            <w:pPr>
              <w:pStyle w:val="a5"/>
              <w:overflowPunct/>
              <w:spacing w:after="120"/>
              <w:jc w:val="left"/>
            </w:pPr>
          </w:p>
        </w:tc>
        <w:tc>
          <w:tcPr>
            <w:tcW w:w="1299" w:type="dxa"/>
            <w:tcBorders>
              <w:top w:val="single" w:sz="12" w:space="0" w:color="auto"/>
            </w:tcBorders>
            <w:shd w:val="clear" w:color="auto" w:fill="auto"/>
          </w:tcPr>
          <w:p w:rsidR="00E96E16" w:rsidRPr="007E24E0" w:rsidRDefault="00E96E16" w:rsidP="00E96E16">
            <w:pPr>
              <w:pStyle w:val="a5"/>
              <w:overflowPunct/>
              <w:spacing w:after="120"/>
              <w:jc w:val="left"/>
            </w:pPr>
          </w:p>
        </w:tc>
        <w:tc>
          <w:tcPr>
            <w:tcW w:w="1299" w:type="dxa"/>
            <w:tcBorders>
              <w:top w:val="single" w:sz="12" w:space="0" w:color="auto"/>
            </w:tcBorders>
            <w:shd w:val="clear" w:color="auto" w:fill="auto"/>
          </w:tcPr>
          <w:p w:rsidR="00E96E16" w:rsidRPr="007E24E0" w:rsidRDefault="00E96E16" w:rsidP="00E96E16">
            <w:pPr>
              <w:pStyle w:val="a5"/>
              <w:overflowPunct/>
              <w:spacing w:after="120"/>
              <w:jc w:val="left"/>
            </w:pPr>
          </w:p>
        </w:tc>
        <w:tc>
          <w:tcPr>
            <w:tcW w:w="1300" w:type="dxa"/>
            <w:tcBorders>
              <w:top w:val="single" w:sz="12" w:space="0" w:color="auto"/>
            </w:tcBorders>
            <w:shd w:val="clear" w:color="auto" w:fill="auto"/>
          </w:tcPr>
          <w:p w:rsidR="00E96E16" w:rsidRPr="007E24E0" w:rsidRDefault="00E96E16" w:rsidP="00E96E16">
            <w:pPr>
              <w:pStyle w:val="a5"/>
              <w:overflowPunct/>
              <w:spacing w:after="120"/>
              <w:jc w:val="left"/>
            </w:pPr>
          </w:p>
        </w:tc>
        <w:tc>
          <w:tcPr>
            <w:tcW w:w="1299" w:type="dxa"/>
            <w:tcBorders>
              <w:top w:val="single" w:sz="12" w:space="0" w:color="auto"/>
            </w:tcBorders>
            <w:shd w:val="clear" w:color="auto" w:fill="auto"/>
          </w:tcPr>
          <w:p w:rsidR="00E96E16" w:rsidRPr="007E24E0" w:rsidRDefault="00E96E16" w:rsidP="00E96E16">
            <w:pPr>
              <w:pStyle w:val="a5"/>
              <w:overflowPunct/>
              <w:spacing w:after="120"/>
              <w:jc w:val="left"/>
            </w:pPr>
          </w:p>
        </w:tc>
        <w:tc>
          <w:tcPr>
            <w:tcW w:w="1299" w:type="dxa"/>
            <w:tcBorders>
              <w:top w:val="single" w:sz="12" w:space="0" w:color="auto"/>
            </w:tcBorders>
            <w:shd w:val="clear" w:color="auto" w:fill="auto"/>
          </w:tcPr>
          <w:p w:rsidR="00E96E16" w:rsidRPr="007E24E0" w:rsidRDefault="00E96E16" w:rsidP="00E96E16">
            <w:pPr>
              <w:pStyle w:val="a5"/>
              <w:overflowPunct/>
              <w:spacing w:after="120"/>
              <w:jc w:val="left"/>
            </w:pPr>
          </w:p>
        </w:tc>
        <w:tc>
          <w:tcPr>
            <w:tcW w:w="1300" w:type="dxa"/>
            <w:tcBorders>
              <w:top w:val="single" w:sz="12" w:space="0" w:color="auto"/>
            </w:tcBorders>
            <w:shd w:val="clear" w:color="auto" w:fill="auto"/>
          </w:tcPr>
          <w:p w:rsidR="00E96E16" w:rsidRPr="007E24E0" w:rsidRDefault="00E96E16" w:rsidP="00E96E16">
            <w:pPr>
              <w:pStyle w:val="a5"/>
              <w:overflowPunct/>
              <w:spacing w:after="120"/>
              <w:jc w:val="left"/>
            </w:pPr>
          </w:p>
        </w:tc>
      </w:tr>
      <w:tr w:rsidR="00E96E16" w:rsidRPr="007E24E0" w:rsidTr="00402CED">
        <w:tc>
          <w:tcPr>
            <w:tcW w:w="709" w:type="dxa"/>
            <w:shd w:val="clear" w:color="auto" w:fill="auto"/>
          </w:tcPr>
          <w:p w:rsidR="00E96E16" w:rsidRPr="007E24E0" w:rsidRDefault="00E96E16" w:rsidP="00E96E16">
            <w:pPr>
              <w:pStyle w:val="a5"/>
              <w:overflowPunct/>
              <w:spacing w:after="120"/>
              <w:jc w:val="left"/>
            </w:pPr>
            <w:r w:rsidRPr="007E24E0">
              <w:t>1</w:t>
            </w:r>
          </w:p>
        </w:tc>
        <w:tc>
          <w:tcPr>
            <w:tcW w:w="1299" w:type="dxa"/>
            <w:shd w:val="clear" w:color="auto" w:fill="auto"/>
          </w:tcPr>
          <w:p w:rsidR="00E96E16" w:rsidRPr="007E24E0" w:rsidRDefault="00E96E16" w:rsidP="00E96E16">
            <w:pPr>
              <w:pStyle w:val="a5"/>
              <w:overflowPunct/>
              <w:spacing w:after="120"/>
              <w:jc w:val="left"/>
            </w:pPr>
            <w:r w:rsidRPr="007E24E0">
              <w:t>司法和宪法事务部</w:t>
            </w:r>
          </w:p>
        </w:tc>
        <w:tc>
          <w:tcPr>
            <w:tcW w:w="1299" w:type="dxa"/>
            <w:shd w:val="clear" w:color="auto" w:fill="auto"/>
          </w:tcPr>
          <w:p w:rsidR="00E96E16" w:rsidRPr="007E24E0" w:rsidRDefault="00E96E16" w:rsidP="00E96E16">
            <w:pPr>
              <w:pStyle w:val="a5"/>
              <w:overflowPunct/>
              <w:spacing w:after="120"/>
              <w:jc w:val="left"/>
            </w:pPr>
            <w:r w:rsidRPr="007E24E0">
              <w:t>提供法律服务，包括法律援助</w:t>
            </w:r>
          </w:p>
        </w:tc>
        <w:tc>
          <w:tcPr>
            <w:tcW w:w="1300" w:type="dxa"/>
            <w:shd w:val="clear" w:color="auto" w:fill="auto"/>
          </w:tcPr>
          <w:p w:rsidR="00E96E16" w:rsidRPr="007E24E0" w:rsidRDefault="00E96E16" w:rsidP="00E96E16">
            <w:pPr>
              <w:pStyle w:val="a5"/>
              <w:overflowPunct/>
              <w:spacing w:after="120"/>
              <w:jc w:val="left"/>
            </w:pPr>
            <w:r w:rsidRPr="007E24E0">
              <w:t>国家和州一级的每个部都由一名部长领导</w:t>
            </w:r>
          </w:p>
        </w:tc>
        <w:tc>
          <w:tcPr>
            <w:tcW w:w="1299" w:type="dxa"/>
            <w:shd w:val="clear" w:color="auto" w:fill="auto"/>
          </w:tcPr>
          <w:p w:rsidR="00E96E16" w:rsidRPr="007E24E0" w:rsidRDefault="00E96E16" w:rsidP="00E96E16">
            <w:pPr>
              <w:pStyle w:val="a5"/>
              <w:overflowPunct/>
              <w:spacing w:after="120"/>
              <w:jc w:val="left"/>
            </w:pPr>
            <w:r w:rsidRPr="007E24E0">
              <w:t>政府预算，包括</w:t>
            </w:r>
            <w:r w:rsidRPr="007E24E0">
              <w:t>500</w:t>
            </w:r>
            <w:r w:rsidRPr="007E24E0">
              <w:t>万南苏丹镑种子基金用于法律援助</w:t>
            </w:r>
          </w:p>
        </w:tc>
        <w:tc>
          <w:tcPr>
            <w:tcW w:w="1299" w:type="dxa"/>
            <w:shd w:val="clear" w:color="auto" w:fill="auto"/>
          </w:tcPr>
          <w:p w:rsidR="00E96E16" w:rsidRPr="007E24E0" w:rsidRDefault="00E96E16" w:rsidP="00E96E16">
            <w:pPr>
              <w:pStyle w:val="a5"/>
              <w:overflowPunct/>
              <w:spacing w:after="120"/>
              <w:jc w:val="left"/>
            </w:pPr>
            <w:r w:rsidRPr="007E24E0">
              <w:t>起诉犯罪。</w:t>
            </w:r>
          </w:p>
          <w:p w:rsidR="00E96E16" w:rsidRPr="007E24E0" w:rsidRDefault="00E96E16" w:rsidP="00E96E16">
            <w:pPr>
              <w:pStyle w:val="a5"/>
              <w:overflowPunct/>
              <w:spacing w:after="120"/>
              <w:jc w:val="left"/>
            </w:pPr>
            <w:r w:rsidRPr="007E24E0">
              <w:t>提供法律援助。</w:t>
            </w:r>
          </w:p>
        </w:tc>
        <w:tc>
          <w:tcPr>
            <w:tcW w:w="1300" w:type="dxa"/>
            <w:shd w:val="clear" w:color="auto" w:fill="auto"/>
          </w:tcPr>
          <w:p w:rsidR="00E96E16" w:rsidRPr="007E24E0" w:rsidRDefault="00E96E16" w:rsidP="00E96E16">
            <w:pPr>
              <w:pStyle w:val="a5"/>
              <w:overflowPunct/>
              <w:spacing w:after="120"/>
              <w:jc w:val="left"/>
            </w:pPr>
            <w:r w:rsidRPr="007E24E0">
              <w:t>已确立</w:t>
            </w:r>
          </w:p>
        </w:tc>
      </w:tr>
      <w:tr w:rsidR="00E96E16" w:rsidRPr="007E24E0" w:rsidTr="00402CED">
        <w:tc>
          <w:tcPr>
            <w:tcW w:w="709" w:type="dxa"/>
            <w:shd w:val="clear" w:color="auto" w:fill="auto"/>
          </w:tcPr>
          <w:p w:rsidR="00E96E16" w:rsidRPr="007E24E0" w:rsidRDefault="00E96E16" w:rsidP="00E96E16">
            <w:pPr>
              <w:pStyle w:val="a5"/>
              <w:overflowPunct/>
              <w:spacing w:after="120"/>
              <w:jc w:val="left"/>
            </w:pPr>
            <w:r w:rsidRPr="007E24E0">
              <w:t>2</w:t>
            </w:r>
          </w:p>
        </w:tc>
        <w:tc>
          <w:tcPr>
            <w:tcW w:w="1299" w:type="dxa"/>
            <w:shd w:val="clear" w:color="auto" w:fill="auto"/>
          </w:tcPr>
          <w:p w:rsidR="00E96E16" w:rsidRPr="007E24E0" w:rsidRDefault="00E96E16" w:rsidP="00E96E16">
            <w:pPr>
              <w:pStyle w:val="a5"/>
              <w:overflowPunct/>
              <w:spacing w:after="120"/>
              <w:jc w:val="left"/>
            </w:pPr>
            <w:r w:rsidRPr="007E24E0">
              <w:t>国家和州性别、儿童和社会福利部</w:t>
            </w:r>
          </w:p>
        </w:tc>
        <w:tc>
          <w:tcPr>
            <w:tcW w:w="1299" w:type="dxa"/>
            <w:shd w:val="clear" w:color="auto" w:fill="auto"/>
          </w:tcPr>
          <w:p w:rsidR="00E96E16" w:rsidRPr="007E24E0" w:rsidRDefault="00E96E16" w:rsidP="00E96E16">
            <w:pPr>
              <w:pStyle w:val="a5"/>
              <w:overflowPunct/>
              <w:spacing w:after="120"/>
              <w:jc w:val="left"/>
            </w:pPr>
            <w:r w:rsidRPr="007E24E0">
              <w:t>促进和保护妇女、儿童和其他弱势群体的权利</w:t>
            </w:r>
          </w:p>
        </w:tc>
        <w:tc>
          <w:tcPr>
            <w:tcW w:w="1300" w:type="dxa"/>
            <w:shd w:val="clear" w:color="auto" w:fill="auto"/>
          </w:tcPr>
          <w:p w:rsidR="00E96E16" w:rsidRPr="007E24E0" w:rsidRDefault="00E96E16" w:rsidP="00E96E16">
            <w:pPr>
              <w:pStyle w:val="a5"/>
              <w:overflowPunct/>
              <w:spacing w:after="120"/>
              <w:jc w:val="left"/>
            </w:pPr>
            <w:r w:rsidRPr="007E24E0">
              <w:t>国家和州一级的每个部都由一名部长领导</w:t>
            </w:r>
          </w:p>
        </w:tc>
        <w:tc>
          <w:tcPr>
            <w:tcW w:w="1299" w:type="dxa"/>
            <w:shd w:val="clear" w:color="auto" w:fill="auto"/>
          </w:tcPr>
          <w:p w:rsidR="00E96E16" w:rsidRPr="007E24E0" w:rsidRDefault="00E96E16" w:rsidP="00E96E16">
            <w:pPr>
              <w:pStyle w:val="a5"/>
              <w:overflowPunct/>
              <w:spacing w:after="120"/>
              <w:jc w:val="left"/>
            </w:pPr>
            <w:r w:rsidRPr="007E24E0">
              <w:t>政府预算以及发展伙伴的巨大支持</w:t>
            </w:r>
          </w:p>
        </w:tc>
        <w:tc>
          <w:tcPr>
            <w:tcW w:w="1299" w:type="dxa"/>
            <w:shd w:val="clear" w:color="auto" w:fill="auto"/>
          </w:tcPr>
          <w:p w:rsidR="00E96E16" w:rsidRPr="007E24E0" w:rsidRDefault="00E96E16" w:rsidP="00E96E16">
            <w:pPr>
              <w:pStyle w:val="a5"/>
              <w:overflowPunct/>
              <w:spacing w:after="120"/>
              <w:jc w:val="left"/>
            </w:pPr>
            <w:r w:rsidRPr="007E24E0">
              <w:t>促进性别平等</w:t>
            </w:r>
          </w:p>
          <w:p w:rsidR="00E96E16" w:rsidRPr="007E24E0" w:rsidRDefault="00E96E16" w:rsidP="00E96E16">
            <w:pPr>
              <w:pStyle w:val="a5"/>
              <w:overflowPunct/>
              <w:spacing w:after="120"/>
              <w:jc w:val="left"/>
            </w:pPr>
            <w:r w:rsidRPr="007E24E0">
              <w:t>保护弱势者</w:t>
            </w:r>
          </w:p>
          <w:p w:rsidR="00E96E16" w:rsidRPr="007E24E0" w:rsidRDefault="00E96E16" w:rsidP="00E96E16">
            <w:pPr>
              <w:pStyle w:val="a5"/>
              <w:overflowPunct/>
              <w:spacing w:after="120"/>
              <w:jc w:val="left"/>
            </w:pPr>
            <w:r w:rsidRPr="007E24E0">
              <w:t>提高公众对有害习俗的认识。</w:t>
            </w:r>
          </w:p>
        </w:tc>
        <w:tc>
          <w:tcPr>
            <w:tcW w:w="1300" w:type="dxa"/>
            <w:shd w:val="clear" w:color="auto" w:fill="auto"/>
          </w:tcPr>
          <w:p w:rsidR="00E96E16" w:rsidRPr="007E24E0" w:rsidRDefault="00E96E16" w:rsidP="00E96E16">
            <w:pPr>
              <w:pStyle w:val="a5"/>
              <w:overflowPunct/>
              <w:spacing w:after="120"/>
              <w:jc w:val="left"/>
            </w:pPr>
            <w:r w:rsidRPr="007E24E0">
              <w:t>已确立</w:t>
            </w:r>
          </w:p>
        </w:tc>
      </w:tr>
    </w:tbl>
    <w:p w:rsidR="00E96E16" w:rsidRPr="007E24E0" w:rsidRDefault="00E96E16" w:rsidP="00402CED">
      <w:pPr>
        <w:pStyle w:val="H1GC"/>
      </w:pPr>
      <w:r w:rsidRPr="007E24E0">
        <w:tab/>
        <w:t>E.</w:t>
      </w:r>
      <w:r w:rsidRPr="007E24E0">
        <w:tab/>
      </w:r>
      <w:r w:rsidRPr="007E24E0">
        <w:t>该国批准或加入的公约和其他人权文书</w:t>
      </w:r>
    </w:p>
    <w:p w:rsidR="00E96E16" w:rsidRPr="007E24E0" w:rsidRDefault="00E96E16" w:rsidP="00402CED">
      <w:pPr>
        <w:pStyle w:val="H23GC"/>
      </w:pPr>
      <w:r w:rsidRPr="007E24E0">
        <w:tab/>
      </w:r>
      <w:r w:rsidRPr="007E24E0">
        <w:tab/>
      </w:r>
      <w:r w:rsidRPr="007E24E0">
        <w:t>南苏丹加入了下列国际人权文书</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6803"/>
      </w:tblGrid>
      <w:tr w:rsidR="00E96E16" w:rsidRPr="007520CA" w:rsidTr="00402CED">
        <w:trPr>
          <w:tblHeader/>
        </w:trPr>
        <w:tc>
          <w:tcPr>
            <w:tcW w:w="567" w:type="dxa"/>
            <w:tcBorders>
              <w:top w:val="single" w:sz="4" w:space="0" w:color="auto"/>
              <w:bottom w:val="single" w:sz="12" w:space="0" w:color="auto"/>
            </w:tcBorders>
            <w:shd w:val="clear" w:color="auto" w:fill="auto"/>
            <w:vAlign w:val="bottom"/>
          </w:tcPr>
          <w:p w:rsidR="00E96E16" w:rsidRPr="007520CA" w:rsidRDefault="00E96E16" w:rsidP="00E96E16">
            <w:pPr>
              <w:pStyle w:val="a4"/>
              <w:rPr>
                <w:sz w:val="21"/>
                <w:szCs w:val="21"/>
              </w:rPr>
            </w:pPr>
            <w:r w:rsidRPr="007520CA">
              <w:rPr>
                <w:sz w:val="21"/>
                <w:szCs w:val="21"/>
              </w:rPr>
              <w:t>编号</w:t>
            </w:r>
          </w:p>
        </w:tc>
        <w:tc>
          <w:tcPr>
            <w:tcW w:w="6803" w:type="dxa"/>
            <w:tcBorders>
              <w:top w:val="single" w:sz="4" w:space="0" w:color="auto"/>
              <w:bottom w:val="single" w:sz="12" w:space="0" w:color="auto"/>
            </w:tcBorders>
            <w:shd w:val="clear" w:color="auto" w:fill="auto"/>
            <w:vAlign w:val="bottom"/>
          </w:tcPr>
          <w:p w:rsidR="00E96E16" w:rsidRPr="007520CA" w:rsidRDefault="00E96E16" w:rsidP="00E96E16">
            <w:pPr>
              <w:pStyle w:val="a4"/>
              <w:rPr>
                <w:sz w:val="21"/>
                <w:szCs w:val="21"/>
              </w:rPr>
            </w:pPr>
            <w:r w:rsidRPr="007520CA">
              <w:rPr>
                <w:sz w:val="21"/>
                <w:szCs w:val="21"/>
              </w:rPr>
              <w:t>条约</w:t>
            </w:r>
            <w:r w:rsidRPr="007520CA">
              <w:rPr>
                <w:sz w:val="21"/>
                <w:szCs w:val="21"/>
              </w:rPr>
              <w:t>/</w:t>
            </w:r>
            <w:r w:rsidRPr="007520CA">
              <w:rPr>
                <w:sz w:val="21"/>
                <w:szCs w:val="21"/>
              </w:rPr>
              <w:t>公约</w:t>
            </w:r>
          </w:p>
        </w:tc>
      </w:tr>
      <w:tr w:rsidR="00E96E16" w:rsidRPr="007520CA" w:rsidTr="00402CED">
        <w:trPr>
          <w:trHeight w:hRule="exact" w:val="113"/>
        </w:trPr>
        <w:tc>
          <w:tcPr>
            <w:tcW w:w="567" w:type="dxa"/>
            <w:tcBorders>
              <w:top w:val="single" w:sz="12" w:space="0" w:color="auto"/>
            </w:tcBorders>
            <w:shd w:val="clear" w:color="auto" w:fill="auto"/>
          </w:tcPr>
          <w:p w:rsidR="00E96E16" w:rsidRPr="007520CA" w:rsidRDefault="00E96E16" w:rsidP="00E96E16">
            <w:pPr>
              <w:pStyle w:val="a5"/>
              <w:overflowPunct/>
              <w:spacing w:after="120"/>
              <w:jc w:val="left"/>
              <w:rPr>
                <w:sz w:val="21"/>
                <w:szCs w:val="21"/>
              </w:rPr>
            </w:pPr>
          </w:p>
        </w:tc>
        <w:tc>
          <w:tcPr>
            <w:tcW w:w="6803" w:type="dxa"/>
            <w:tcBorders>
              <w:top w:val="single" w:sz="12" w:space="0" w:color="auto"/>
            </w:tcBorders>
            <w:shd w:val="clear" w:color="auto" w:fill="auto"/>
          </w:tcPr>
          <w:p w:rsidR="00E96E16" w:rsidRPr="007520CA" w:rsidRDefault="00E96E16" w:rsidP="00E96E16">
            <w:pPr>
              <w:pStyle w:val="a5"/>
              <w:overflowPunct/>
              <w:spacing w:after="120"/>
              <w:jc w:val="left"/>
              <w:rPr>
                <w:sz w:val="21"/>
                <w:szCs w:val="21"/>
              </w:rPr>
            </w:pPr>
          </w:p>
        </w:tc>
      </w:tr>
      <w:tr w:rsidR="00E96E16" w:rsidRPr="007520CA" w:rsidTr="00402CED">
        <w:tc>
          <w:tcPr>
            <w:tcW w:w="567" w:type="dxa"/>
            <w:shd w:val="clear" w:color="auto" w:fill="auto"/>
          </w:tcPr>
          <w:p w:rsidR="00E96E16" w:rsidRPr="007520CA" w:rsidRDefault="00E96E16" w:rsidP="002E34ED">
            <w:pPr>
              <w:pStyle w:val="a5"/>
              <w:overflowPunct/>
              <w:spacing w:after="120" w:line="280" w:lineRule="atLeast"/>
              <w:jc w:val="left"/>
              <w:rPr>
                <w:sz w:val="21"/>
                <w:szCs w:val="21"/>
              </w:rPr>
            </w:pPr>
          </w:p>
        </w:tc>
        <w:tc>
          <w:tcPr>
            <w:tcW w:w="6803" w:type="dxa"/>
            <w:shd w:val="clear" w:color="auto" w:fill="auto"/>
          </w:tcPr>
          <w:p w:rsidR="00E96E16" w:rsidRPr="007520CA" w:rsidRDefault="00E96E16" w:rsidP="002E34ED">
            <w:pPr>
              <w:pStyle w:val="a5"/>
              <w:overflowPunct/>
              <w:spacing w:after="120" w:line="280" w:lineRule="atLeast"/>
              <w:jc w:val="left"/>
              <w:rPr>
                <w:sz w:val="21"/>
                <w:szCs w:val="21"/>
              </w:rPr>
            </w:pPr>
            <w:r w:rsidRPr="007520CA">
              <w:rPr>
                <w:sz w:val="21"/>
                <w:szCs w:val="21"/>
              </w:rPr>
              <w:t>《公民及政治权利国际公约》</w:t>
            </w:r>
            <w:r w:rsidRPr="007520CA">
              <w:rPr>
                <w:sz w:val="21"/>
                <w:szCs w:val="21"/>
              </w:rPr>
              <w:t>(ICCPR)</w:t>
            </w:r>
          </w:p>
        </w:tc>
      </w:tr>
      <w:tr w:rsidR="00E96E16" w:rsidRPr="007520CA" w:rsidTr="00402CED">
        <w:tc>
          <w:tcPr>
            <w:tcW w:w="567" w:type="dxa"/>
            <w:shd w:val="clear" w:color="auto" w:fill="auto"/>
          </w:tcPr>
          <w:p w:rsidR="00E96E16" w:rsidRPr="007520CA" w:rsidRDefault="00E96E16" w:rsidP="002E34ED">
            <w:pPr>
              <w:pStyle w:val="a5"/>
              <w:overflowPunct/>
              <w:spacing w:after="120" w:line="280" w:lineRule="atLeast"/>
              <w:jc w:val="left"/>
              <w:rPr>
                <w:sz w:val="21"/>
                <w:szCs w:val="21"/>
              </w:rPr>
            </w:pPr>
          </w:p>
        </w:tc>
        <w:tc>
          <w:tcPr>
            <w:tcW w:w="6803" w:type="dxa"/>
            <w:shd w:val="clear" w:color="auto" w:fill="auto"/>
          </w:tcPr>
          <w:p w:rsidR="00E96E16" w:rsidRPr="007520CA" w:rsidRDefault="00E96E16" w:rsidP="002E34ED">
            <w:pPr>
              <w:pStyle w:val="a5"/>
              <w:overflowPunct/>
              <w:spacing w:after="120" w:line="280" w:lineRule="atLeast"/>
              <w:jc w:val="left"/>
              <w:rPr>
                <w:sz w:val="21"/>
                <w:szCs w:val="21"/>
              </w:rPr>
            </w:pPr>
            <w:r w:rsidRPr="007520CA">
              <w:rPr>
                <w:sz w:val="21"/>
                <w:szCs w:val="21"/>
              </w:rPr>
              <w:t>《公民及政治权利国际公约任择议定书》</w:t>
            </w:r>
            <w:r w:rsidRPr="007520CA">
              <w:rPr>
                <w:sz w:val="21"/>
                <w:szCs w:val="21"/>
              </w:rPr>
              <w:t>(ICCPROP-1)</w:t>
            </w:r>
          </w:p>
        </w:tc>
      </w:tr>
      <w:tr w:rsidR="00E96E16" w:rsidRPr="007520CA" w:rsidTr="00402CED">
        <w:tc>
          <w:tcPr>
            <w:tcW w:w="567" w:type="dxa"/>
            <w:shd w:val="clear" w:color="auto" w:fill="auto"/>
          </w:tcPr>
          <w:p w:rsidR="00E96E16" w:rsidRPr="007520CA" w:rsidRDefault="00E96E16" w:rsidP="002E34ED">
            <w:pPr>
              <w:pStyle w:val="a5"/>
              <w:overflowPunct/>
              <w:spacing w:after="120" w:line="280" w:lineRule="atLeast"/>
              <w:jc w:val="left"/>
              <w:rPr>
                <w:sz w:val="21"/>
                <w:szCs w:val="21"/>
              </w:rPr>
            </w:pPr>
          </w:p>
        </w:tc>
        <w:tc>
          <w:tcPr>
            <w:tcW w:w="6803" w:type="dxa"/>
            <w:shd w:val="clear" w:color="auto" w:fill="auto"/>
          </w:tcPr>
          <w:p w:rsidR="00E96E16" w:rsidRPr="007520CA" w:rsidRDefault="00E96E16" w:rsidP="002E34ED">
            <w:pPr>
              <w:pStyle w:val="a5"/>
              <w:overflowPunct/>
              <w:spacing w:after="120" w:line="280" w:lineRule="atLeast"/>
              <w:jc w:val="left"/>
              <w:rPr>
                <w:sz w:val="21"/>
                <w:szCs w:val="21"/>
              </w:rPr>
            </w:pPr>
            <w:r w:rsidRPr="007520CA">
              <w:rPr>
                <w:sz w:val="21"/>
                <w:szCs w:val="21"/>
              </w:rPr>
              <w:t>《经济社会文化权利国际公约》</w:t>
            </w:r>
            <w:r w:rsidRPr="007520CA">
              <w:rPr>
                <w:sz w:val="21"/>
                <w:szCs w:val="21"/>
              </w:rPr>
              <w:t>(ICESCR)</w:t>
            </w:r>
          </w:p>
        </w:tc>
      </w:tr>
      <w:tr w:rsidR="00E96E16" w:rsidRPr="007520CA" w:rsidTr="00402CED">
        <w:tc>
          <w:tcPr>
            <w:tcW w:w="567" w:type="dxa"/>
            <w:shd w:val="clear" w:color="auto" w:fill="auto"/>
          </w:tcPr>
          <w:p w:rsidR="00E96E16" w:rsidRPr="007520CA" w:rsidRDefault="00E96E16" w:rsidP="002E34ED">
            <w:pPr>
              <w:pStyle w:val="a5"/>
              <w:overflowPunct/>
              <w:spacing w:after="120" w:line="280" w:lineRule="atLeast"/>
              <w:jc w:val="left"/>
              <w:rPr>
                <w:sz w:val="21"/>
                <w:szCs w:val="21"/>
              </w:rPr>
            </w:pPr>
          </w:p>
        </w:tc>
        <w:tc>
          <w:tcPr>
            <w:tcW w:w="6803" w:type="dxa"/>
            <w:shd w:val="clear" w:color="auto" w:fill="auto"/>
          </w:tcPr>
          <w:p w:rsidR="00E96E16" w:rsidRPr="007520CA" w:rsidRDefault="00E96E16" w:rsidP="002E34ED">
            <w:pPr>
              <w:pStyle w:val="a5"/>
              <w:overflowPunct/>
              <w:spacing w:after="120" w:line="280" w:lineRule="atLeast"/>
              <w:jc w:val="left"/>
              <w:rPr>
                <w:sz w:val="21"/>
                <w:szCs w:val="21"/>
              </w:rPr>
            </w:pPr>
            <w:r w:rsidRPr="007520CA">
              <w:rPr>
                <w:sz w:val="21"/>
                <w:szCs w:val="21"/>
              </w:rPr>
              <w:t>《消除对妇女一切形式歧视公约》</w:t>
            </w:r>
            <w:r w:rsidRPr="007520CA">
              <w:rPr>
                <w:sz w:val="21"/>
                <w:szCs w:val="21"/>
              </w:rPr>
              <w:t>(CEDAW)</w:t>
            </w:r>
          </w:p>
        </w:tc>
      </w:tr>
      <w:tr w:rsidR="00E96E16" w:rsidRPr="007520CA" w:rsidTr="00402CED">
        <w:tc>
          <w:tcPr>
            <w:tcW w:w="567" w:type="dxa"/>
            <w:shd w:val="clear" w:color="auto" w:fill="auto"/>
          </w:tcPr>
          <w:p w:rsidR="00E96E16" w:rsidRPr="007520CA" w:rsidRDefault="00E96E16" w:rsidP="002E34ED">
            <w:pPr>
              <w:pStyle w:val="a5"/>
              <w:overflowPunct/>
              <w:spacing w:after="120" w:line="280" w:lineRule="atLeast"/>
              <w:jc w:val="left"/>
              <w:rPr>
                <w:sz w:val="21"/>
                <w:szCs w:val="21"/>
              </w:rPr>
            </w:pPr>
          </w:p>
        </w:tc>
        <w:tc>
          <w:tcPr>
            <w:tcW w:w="6803" w:type="dxa"/>
            <w:shd w:val="clear" w:color="auto" w:fill="auto"/>
          </w:tcPr>
          <w:p w:rsidR="00E96E16" w:rsidRPr="007520CA" w:rsidRDefault="00E96E16" w:rsidP="002E34ED">
            <w:pPr>
              <w:pStyle w:val="a5"/>
              <w:overflowPunct/>
              <w:spacing w:after="120" w:line="280" w:lineRule="atLeast"/>
              <w:jc w:val="left"/>
              <w:rPr>
                <w:sz w:val="21"/>
                <w:szCs w:val="21"/>
              </w:rPr>
            </w:pPr>
            <w:r w:rsidRPr="007520CA">
              <w:rPr>
                <w:sz w:val="21"/>
                <w:szCs w:val="21"/>
              </w:rPr>
              <w:t>《消除对妇女一切形式歧视公约》任择议定书</w:t>
            </w:r>
            <w:r w:rsidRPr="007520CA">
              <w:rPr>
                <w:sz w:val="21"/>
                <w:szCs w:val="21"/>
              </w:rPr>
              <w:t>(CEDAW-OP)</w:t>
            </w:r>
          </w:p>
          <w:p w:rsidR="00E96E16" w:rsidRPr="007520CA" w:rsidRDefault="00E96E16" w:rsidP="002E34ED">
            <w:pPr>
              <w:pStyle w:val="a5"/>
              <w:overflowPunct/>
              <w:spacing w:after="120" w:line="280" w:lineRule="atLeast"/>
              <w:jc w:val="left"/>
              <w:rPr>
                <w:sz w:val="21"/>
                <w:szCs w:val="21"/>
              </w:rPr>
            </w:pPr>
            <w:r w:rsidRPr="007520CA">
              <w:rPr>
                <w:sz w:val="21"/>
                <w:szCs w:val="21"/>
              </w:rPr>
              <w:t>《关于难民地位的公约和议定书》</w:t>
            </w:r>
          </w:p>
        </w:tc>
      </w:tr>
      <w:tr w:rsidR="00E96E16" w:rsidRPr="007520CA" w:rsidTr="00402CED">
        <w:tc>
          <w:tcPr>
            <w:tcW w:w="567" w:type="dxa"/>
            <w:shd w:val="clear" w:color="auto" w:fill="auto"/>
          </w:tcPr>
          <w:p w:rsidR="00E96E16" w:rsidRPr="007520CA" w:rsidRDefault="00E96E16" w:rsidP="002E34ED">
            <w:pPr>
              <w:pStyle w:val="a5"/>
              <w:overflowPunct/>
              <w:spacing w:after="120" w:line="280" w:lineRule="atLeast"/>
              <w:jc w:val="left"/>
              <w:rPr>
                <w:sz w:val="21"/>
                <w:szCs w:val="21"/>
              </w:rPr>
            </w:pPr>
          </w:p>
        </w:tc>
        <w:tc>
          <w:tcPr>
            <w:tcW w:w="6803" w:type="dxa"/>
            <w:shd w:val="clear" w:color="auto" w:fill="auto"/>
          </w:tcPr>
          <w:p w:rsidR="00E96E16" w:rsidRPr="007520CA" w:rsidRDefault="00E96E16" w:rsidP="002E34ED">
            <w:pPr>
              <w:pStyle w:val="a5"/>
              <w:overflowPunct/>
              <w:spacing w:after="120" w:line="280" w:lineRule="atLeast"/>
              <w:jc w:val="left"/>
              <w:rPr>
                <w:sz w:val="21"/>
                <w:szCs w:val="21"/>
              </w:rPr>
            </w:pPr>
            <w:r w:rsidRPr="007520CA">
              <w:rPr>
                <w:sz w:val="21"/>
                <w:szCs w:val="21"/>
              </w:rPr>
              <w:t>《关于难民地位的公约和议定书》，</w:t>
            </w:r>
            <w:r w:rsidRPr="007520CA">
              <w:rPr>
                <w:sz w:val="21"/>
                <w:szCs w:val="21"/>
              </w:rPr>
              <w:t>1951</w:t>
            </w:r>
            <w:r w:rsidRPr="007520CA">
              <w:rPr>
                <w:sz w:val="21"/>
                <w:szCs w:val="21"/>
              </w:rPr>
              <w:t>年</w:t>
            </w:r>
          </w:p>
        </w:tc>
      </w:tr>
      <w:tr w:rsidR="00E96E16" w:rsidRPr="007520CA" w:rsidTr="00402CED">
        <w:tc>
          <w:tcPr>
            <w:tcW w:w="567" w:type="dxa"/>
            <w:shd w:val="clear" w:color="auto" w:fill="auto"/>
          </w:tcPr>
          <w:p w:rsidR="00E96E16" w:rsidRPr="007520CA" w:rsidRDefault="00E96E16" w:rsidP="002E34ED">
            <w:pPr>
              <w:pStyle w:val="a5"/>
              <w:overflowPunct/>
              <w:spacing w:after="120" w:line="280" w:lineRule="atLeast"/>
              <w:jc w:val="left"/>
              <w:rPr>
                <w:sz w:val="21"/>
                <w:szCs w:val="21"/>
              </w:rPr>
            </w:pPr>
          </w:p>
        </w:tc>
        <w:tc>
          <w:tcPr>
            <w:tcW w:w="6803" w:type="dxa"/>
            <w:shd w:val="clear" w:color="auto" w:fill="auto"/>
          </w:tcPr>
          <w:p w:rsidR="00E96E16" w:rsidRPr="007520CA" w:rsidRDefault="00E96E16" w:rsidP="002E34ED">
            <w:pPr>
              <w:pStyle w:val="a5"/>
              <w:overflowPunct/>
              <w:spacing w:after="120" w:line="280" w:lineRule="atLeast"/>
              <w:jc w:val="left"/>
              <w:rPr>
                <w:sz w:val="21"/>
                <w:szCs w:val="21"/>
              </w:rPr>
            </w:pPr>
            <w:r w:rsidRPr="007520CA">
              <w:rPr>
                <w:sz w:val="21"/>
                <w:szCs w:val="21"/>
              </w:rPr>
              <w:t>《禁止酷刑和其他残忍、不人道或有辱人格的待遇或处罚公约》</w:t>
            </w:r>
            <w:r w:rsidRPr="007520CA">
              <w:rPr>
                <w:sz w:val="21"/>
                <w:szCs w:val="21"/>
              </w:rPr>
              <w:t>(CAT)</w:t>
            </w:r>
            <w:r w:rsidR="002E34ED">
              <w:rPr>
                <w:sz w:val="21"/>
                <w:szCs w:val="21"/>
              </w:rPr>
              <w:br/>
            </w:r>
            <w:r w:rsidRPr="007520CA">
              <w:rPr>
                <w:sz w:val="21"/>
                <w:szCs w:val="21"/>
              </w:rPr>
              <w:t>及其《任择议定书》</w:t>
            </w:r>
            <w:r w:rsidRPr="007520CA">
              <w:rPr>
                <w:sz w:val="21"/>
                <w:szCs w:val="21"/>
              </w:rPr>
              <w:t>(OPCAT)</w:t>
            </w:r>
          </w:p>
        </w:tc>
      </w:tr>
      <w:tr w:rsidR="00E96E16" w:rsidRPr="007520CA" w:rsidTr="00402CED">
        <w:tc>
          <w:tcPr>
            <w:tcW w:w="567" w:type="dxa"/>
            <w:shd w:val="clear" w:color="auto" w:fill="auto"/>
          </w:tcPr>
          <w:p w:rsidR="00E96E16" w:rsidRPr="007520CA" w:rsidRDefault="00E96E16" w:rsidP="002E34ED">
            <w:pPr>
              <w:pStyle w:val="a5"/>
              <w:overflowPunct/>
              <w:spacing w:after="120" w:line="280" w:lineRule="atLeast"/>
              <w:jc w:val="left"/>
              <w:rPr>
                <w:sz w:val="21"/>
                <w:szCs w:val="21"/>
              </w:rPr>
            </w:pPr>
          </w:p>
        </w:tc>
        <w:tc>
          <w:tcPr>
            <w:tcW w:w="6803" w:type="dxa"/>
            <w:shd w:val="clear" w:color="auto" w:fill="auto"/>
          </w:tcPr>
          <w:p w:rsidR="00E96E16" w:rsidRPr="007520CA" w:rsidRDefault="00E96E16" w:rsidP="002E34ED">
            <w:pPr>
              <w:pStyle w:val="a5"/>
              <w:overflowPunct/>
              <w:spacing w:after="120" w:line="280" w:lineRule="atLeast"/>
              <w:jc w:val="left"/>
              <w:rPr>
                <w:sz w:val="21"/>
                <w:szCs w:val="21"/>
              </w:rPr>
            </w:pPr>
            <w:r w:rsidRPr="007520CA">
              <w:rPr>
                <w:sz w:val="21"/>
                <w:szCs w:val="21"/>
              </w:rPr>
              <w:t>《儿童权利公约》</w:t>
            </w:r>
            <w:r w:rsidRPr="007520CA">
              <w:rPr>
                <w:sz w:val="21"/>
                <w:szCs w:val="21"/>
              </w:rPr>
              <w:t>(CRC)</w:t>
            </w:r>
          </w:p>
        </w:tc>
      </w:tr>
      <w:tr w:rsidR="00E96E16" w:rsidRPr="007520CA" w:rsidTr="00402CED">
        <w:tc>
          <w:tcPr>
            <w:tcW w:w="567" w:type="dxa"/>
            <w:shd w:val="clear" w:color="auto" w:fill="auto"/>
          </w:tcPr>
          <w:p w:rsidR="00E96E16" w:rsidRPr="007520CA" w:rsidRDefault="00E96E16" w:rsidP="002E34ED">
            <w:pPr>
              <w:pStyle w:val="a5"/>
              <w:overflowPunct/>
              <w:spacing w:after="120" w:line="280" w:lineRule="atLeast"/>
              <w:jc w:val="left"/>
              <w:rPr>
                <w:sz w:val="21"/>
                <w:szCs w:val="21"/>
              </w:rPr>
            </w:pPr>
          </w:p>
        </w:tc>
        <w:tc>
          <w:tcPr>
            <w:tcW w:w="6803" w:type="dxa"/>
            <w:shd w:val="clear" w:color="auto" w:fill="auto"/>
          </w:tcPr>
          <w:p w:rsidR="00E96E16" w:rsidRPr="007520CA" w:rsidRDefault="00E96E16" w:rsidP="002E34ED">
            <w:pPr>
              <w:pStyle w:val="a5"/>
              <w:overflowPunct/>
              <w:spacing w:after="120" w:line="280" w:lineRule="atLeast"/>
              <w:jc w:val="left"/>
              <w:rPr>
                <w:sz w:val="21"/>
                <w:szCs w:val="21"/>
              </w:rPr>
            </w:pPr>
            <w:r w:rsidRPr="007520CA">
              <w:rPr>
                <w:sz w:val="21"/>
                <w:szCs w:val="21"/>
              </w:rPr>
              <w:t>《儿童权利公约关于买卖儿童、儿童卖淫和儿童色情制品问题的任择议定书》</w:t>
            </w:r>
            <w:r w:rsidRPr="007520CA">
              <w:rPr>
                <w:sz w:val="21"/>
                <w:szCs w:val="21"/>
              </w:rPr>
              <w:t>(CRC-OP-SC)</w:t>
            </w:r>
          </w:p>
        </w:tc>
      </w:tr>
      <w:tr w:rsidR="00E96E16" w:rsidRPr="007520CA" w:rsidTr="00402CED">
        <w:tc>
          <w:tcPr>
            <w:tcW w:w="567" w:type="dxa"/>
            <w:shd w:val="clear" w:color="auto" w:fill="auto"/>
          </w:tcPr>
          <w:p w:rsidR="00E96E16" w:rsidRPr="007520CA" w:rsidRDefault="00E96E16" w:rsidP="002E34ED">
            <w:pPr>
              <w:pStyle w:val="a5"/>
              <w:overflowPunct/>
              <w:spacing w:after="120" w:line="280" w:lineRule="atLeast"/>
              <w:jc w:val="left"/>
              <w:rPr>
                <w:sz w:val="21"/>
                <w:szCs w:val="21"/>
              </w:rPr>
            </w:pPr>
          </w:p>
        </w:tc>
        <w:tc>
          <w:tcPr>
            <w:tcW w:w="6803" w:type="dxa"/>
            <w:shd w:val="clear" w:color="auto" w:fill="auto"/>
          </w:tcPr>
          <w:p w:rsidR="00E96E16" w:rsidRPr="007520CA" w:rsidRDefault="00E96E16" w:rsidP="002E34ED">
            <w:pPr>
              <w:pStyle w:val="a5"/>
              <w:overflowPunct/>
              <w:spacing w:after="120" w:line="280" w:lineRule="atLeast"/>
              <w:jc w:val="left"/>
              <w:rPr>
                <w:sz w:val="21"/>
                <w:szCs w:val="21"/>
              </w:rPr>
            </w:pPr>
            <w:r w:rsidRPr="007520CA">
              <w:rPr>
                <w:sz w:val="21"/>
                <w:szCs w:val="21"/>
              </w:rPr>
              <w:t>《儿童权利公约关于儿童卷入武装冲突问题的任择议定书》</w:t>
            </w:r>
            <w:r w:rsidR="002E34ED">
              <w:rPr>
                <w:sz w:val="21"/>
                <w:szCs w:val="21"/>
              </w:rPr>
              <w:br/>
            </w:r>
            <w:r w:rsidRPr="007520CA">
              <w:rPr>
                <w:sz w:val="21"/>
                <w:szCs w:val="21"/>
              </w:rPr>
              <w:t>(CRC-OP-AC)</w:t>
            </w:r>
          </w:p>
        </w:tc>
      </w:tr>
      <w:tr w:rsidR="00E96E16" w:rsidRPr="007520CA" w:rsidTr="00402CED">
        <w:tc>
          <w:tcPr>
            <w:tcW w:w="567" w:type="dxa"/>
            <w:shd w:val="clear" w:color="auto" w:fill="auto"/>
          </w:tcPr>
          <w:p w:rsidR="00E96E16" w:rsidRPr="007520CA" w:rsidRDefault="00E96E16" w:rsidP="002E34ED">
            <w:pPr>
              <w:pStyle w:val="a5"/>
              <w:overflowPunct/>
              <w:spacing w:after="120" w:line="280" w:lineRule="atLeast"/>
              <w:jc w:val="left"/>
              <w:rPr>
                <w:sz w:val="21"/>
                <w:szCs w:val="21"/>
              </w:rPr>
            </w:pPr>
          </w:p>
        </w:tc>
        <w:tc>
          <w:tcPr>
            <w:tcW w:w="6803" w:type="dxa"/>
            <w:shd w:val="clear" w:color="auto" w:fill="auto"/>
          </w:tcPr>
          <w:p w:rsidR="00E96E16" w:rsidRPr="007520CA" w:rsidRDefault="00E96E16" w:rsidP="002E34ED">
            <w:pPr>
              <w:pStyle w:val="a5"/>
              <w:overflowPunct/>
              <w:spacing w:after="120" w:line="280" w:lineRule="atLeast"/>
              <w:jc w:val="left"/>
              <w:rPr>
                <w:sz w:val="21"/>
                <w:szCs w:val="21"/>
              </w:rPr>
            </w:pPr>
            <w:r w:rsidRPr="007520CA">
              <w:rPr>
                <w:sz w:val="21"/>
                <w:szCs w:val="21"/>
              </w:rPr>
              <w:t>《保护世界文化和自然遗产公约》</w:t>
            </w:r>
          </w:p>
        </w:tc>
      </w:tr>
      <w:tr w:rsidR="00E96E16" w:rsidRPr="007520CA" w:rsidTr="00402CED">
        <w:tc>
          <w:tcPr>
            <w:tcW w:w="567" w:type="dxa"/>
            <w:shd w:val="clear" w:color="auto" w:fill="auto"/>
          </w:tcPr>
          <w:p w:rsidR="00E96E16" w:rsidRPr="007520CA" w:rsidRDefault="00E96E16" w:rsidP="002E34ED">
            <w:pPr>
              <w:pStyle w:val="a5"/>
              <w:overflowPunct/>
              <w:spacing w:after="120" w:line="280" w:lineRule="atLeast"/>
              <w:jc w:val="left"/>
              <w:rPr>
                <w:sz w:val="21"/>
                <w:szCs w:val="21"/>
              </w:rPr>
            </w:pPr>
          </w:p>
        </w:tc>
        <w:tc>
          <w:tcPr>
            <w:tcW w:w="6803" w:type="dxa"/>
            <w:shd w:val="clear" w:color="auto" w:fill="auto"/>
          </w:tcPr>
          <w:p w:rsidR="00E96E16" w:rsidRPr="007520CA" w:rsidRDefault="00E96E16" w:rsidP="002E34ED">
            <w:pPr>
              <w:pStyle w:val="a5"/>
              <w:overflowPunct/>
              <w:spacing w:after="120" w:line="280" w:lineRule="atLeast"/>
              <w:jc w:val="left"/>
              <w:rPr>
                <w:sz w:val="21"/>
                <w:szCs w:val="21"/>
              </w:rPr>
            </w:pPr>
            <w:r w:rsidRPr="007520CA">
              <w:rPr>
                <w:sz w:val="21"/>
                <w:szCs w:val="21"/>
              </w:rPr>
              <w:t>《残疾人权利公约》</w:t>
            </w:r>
            <w:r w:rsidRPr="007520CA">
              <w:rPr>
                <w:sz w:val="21"/>
                <w:szCs w:val="21"/>
              </w:rPr>
              <w:t>(CRPD)</w:t>
            </w:r>
          </w:p>
        </w:tc>
      </w:tr>
      <w:tr w:rsidR="00E96E16" w:rsidRPr="007520CA" w:rsidTr="00402CED">
        <w:tc>
          <w:tcPr>
            <w:tcW w:w="567" w:type="dxa"/>
            <w:shd w:val="clear" w:color="auto" w:fill="auto"/>
          </w:tcPr>
          <w:p w:rsidR="00E96E16" w:rsidRPr="007520CA" w:rsidRDefault="00E96E16" w:rsidP="002E34ED">
            <w:pPr>
              <w:pStyle w:val="a5"/>
              <w:overflowPunct/>
              <w:spacing w:after="120" w:line="280" w:lineRule="atLeast"/>
              <w:jc w:val="left"/>
              <w:rPr>
                <w:sz w:val="21"/>
                <w:szCs w:val="21"/>
              </w:rPr>
            </w:pPr>
          </w:p>
        </w:tc>
        <w:tc>
          <w:tcPr>
            <w:tcW w:w="6803" w:type="dxa"/>
            <w:shd w:val="clear" w:color="auto" w:fill="auto"/>
          </w:tcPr>
          <w:p w:rsidR="00E96E16" w:rsidRPr="007520CA" w:rsidRDefault="00E96E16" w:rsidP="002E34ED">
            <w:pPr>
              <w:pStyle w:val="a5"/>
              <w:overflowPunct/>
              <w:spacing w:after="120" w:line="280" w:lineRule="atLeast"/>
              <w:jc w:val="left"/>
              <w:rPr>
                <w:sz w:val="21"/>
                <w:szCs w:val="21"/>
              </w:rPr>
            </w:pPr>
            <w:r w:rsidRPr="007520CA">
              <w:rPr>
                <w:sz w:val="21"/>
                <w:szCs w:val="21"/>
              </w:rPr>
              <w:t>《保护文化遗产公约》</w:t>
            </w:r>
          </w:p>
        </w:tc>
      </w:tr>
      <w:tr w:rsidR="00E96E16" w:rsidRPr="007520CA" w:rsidTr="00402CED">
        <w:tc>
          <w:tcPr>
            <w:tcW w:w="567" w:type="dxa"/>
            <w:shd w:val="clear" w:color="auto" w:fill="auto"/>
          </w:tcPr>
          <w:p w:rsidR="00E96E16" w:rsidRPr="007520CA" w:rsidRDefault="00E96E16" w:rsidP="002E34ED">
            <w:pPr>
              <w:pStyle w:val="a5"/>
              <w:overflowPunct/>
              <w:spacing w:after="120" w:line="280" w:lineRule="atLeast"/>
              <w:jc w:val="left"/>
              <w:rPr>
                <w:sz w:val="21"/>
                <w:szCs w:val="21"/>
              </w:rPr>
            </w:pPr>
          </w:p>
        </w:tc>
        <w:tc>
          <w:tcPr>
            <w:tcW w:w="6803" w:type="dxa"/>
            <w:shd w:val="clear" w:color="auto" w:fill="auto"/>
          </w:tcPr>
          <w:p w:rsidR="00E96E16" w:rsidRPr="007520CA" w:rsidRDefault="00E96E16" w:rsidP="002E34ED">
            <w:pPr>
              <w:pStyle w:val="a5"/>
              <w:overflowPunct/>
              <w:spacing w:after="120" w:line="280" w:lineRule="atLeast"/>
              <w:jc w:val="left"/>
              <w:rPr>
                <w:sz w:val="21"/>
                <w:szCs w:val="21"/>
              </w:rPr>
            </w:pPr>
            <w:r w:rsidRPr="007520CA">
              <w:rPr>
                <w:sz w:val="21"/>
                <w:szCs w:val="21"/>
              </w:rPr>
              <w:t>《保护和促进文化表现形式多样性公约》</w:t>
            </w:r>
          </w:p>
        </w:tc>
      </w:tr>
      <w:tr w:rsidR="00E96E16" w:rsidRPr="007520CA" w:rsidTr="00402CED">
        <w:tc>
          <w:tcPr>
            <w:tcW w:w="567" w:type="dxa"/>
            <w:shd w:val="clear" w:color="auto" w:fill="auto"/>
          </w:tcPr>
          <w:p w:rsidR="00E96E16" w:rsidRPr="007520CA" w:rsidRDefault="00E96E16" w:rsidP="002E34ED">
            <w:pPr>
              <w:pStyle w:val="a5"/>
              <w:overflowPunct/>
              <w:spacing w:after="120" w:line="280" w:lineRule="atLeast"/>
              <w:jc w:val="left"/>
              <w:rPr>
                <w:sz w:val="21"/>
                <w:szCs w:val="21"/>
              </w:rPr>
            </w:pPr>
          </w:p>
        </w:tc>
        <w:tc>
          <w:tcPr>
            <w:tcW w:w="6803" w:type="dxa"/>
            <w:shd w:val="clear" w:color="auto" w:fill="auto"/>
          </w:tcPr>
          <w:p w:rsidR="00E96E16" w:rsidRPr="007520CA" w:rsidRDefault="00E96E16" w:rsidP="002E34ED">
            <w:pPr>
              <w:pStyle w:val="a5"/>
              <w:overflowPunct/>
              <w:spacing w:after="120" w:line="280" w:lineRule="atLeast"/>
              <w:jc w:val="left"/>
              <w:rPr>
                <w:sz w:val="21"/>
                <w:szCs w:val="21"/>
              </w:rPr>
            </w:pPr>
            <w:r w:rsidRPr="007520CA">
              <w:rPr>
                <w:sz w:val="21"/>
                <w:szCs w:val="21"/>
              </w:rPr>
              <w:t>《关于非洲难民问题某些特定方面的公约》</w:t>
            </w:r>
          </w:p>
        </w:tc>
      </w:tr>
      <w:tr w:rsidR="00E96E16" w:rsidRPr="007520CA" w:rsidTr="00402CED">
        <w:tc>
          <w:tcPr>
            <w:tcW w:w="567" w:type="dxa"/>
            <w:shd w:val="clear" w:color="auto" w:fill="auto"/>
          </w:tcPr>
          <w:p w:rsidR="00E96E16" w:rsidRPr="007520CA" w:rsidRDefault="00E96E16" w:rsidP="002E34ED">
            <w:pPr>
              <w:pStyle w:val="a5"/>
              <w:overflowPunct/>
              <w:spacing w:after="120" w:line="280" w:lineRule="atLeast"/>
              <w:jc w:val="left"/>
              <w:rPr>
                <w:sz w:val="21"/>
                <w:szCs w:val="21"/>
              </w:rPr>
            </w:pPr>
          </w:p>
        </w:tc>
        <w:tc>
          <w:tcPr>
            <w:tcW w:w="6803" w:type="dxa"/>
            <w:shd w:val="clear" w:color="auto" w:fill="auto"/>
          </w:tcPr>
          <w:p w:rsidR="00E96E16" w:rsidRPr="007520CA" w:rsidRDefault="00E96E16" w:rsidP="002E34ED">
            <w:pPr>
              <w:pStyle w:val="a5"/>
              <w:overflowPunct/>
              <w:spacing w:after="120" w:line="280" w:lineRule="atLeast"/>
              <w:jc w:val="left"/>
              <w:rPr>
                <w:sz w:val="21"/>
                <w:szCs w:val="21"/>
              </w:rPr>
            </w:pPr>
            <w:r w:rsidRPr="007520CA">
              <w:rPr>
                <w:sz w:val="21"/>
                <w:szCs w:val="21"/>
              </w:rPr>
              <w:t>《非洲人权和民族权宪章》</w:t>
            </w:r>
            <w:r w:rsidRPr="007520CA">
              <w:rPr>
                <w:sz w:val="21"/>
                <w:szCs w:val="21"/>
              </w:rPr>
              <w:t>(ACHPR)</w:t>
            </w:r>
          </w:p>
        </w:tc>
      </w:tr>
      <w:tr w:rsidR="00E96E16" w:rsidRPr="007520CA" w:rsidTr="00402CED">
        <w:tc>
          <w:tcPr>
            <w:tcW w:w="567" w:type="dxa"/>
            <w:shd w:val="clear" w:color="auto" w:fill="auto"/>
          </w:tcPr>
          <w:p w:rsidR="00E96E16" w:rsidRPr="007520CA" w:rsidRDefault="00E96E16" w:rsidP="002E34ED">
            <w:pPr>
              <w:pStyle w:val="a5"/>
              <w:overflowPunct/>
              <w:spacing w:after="120" w:line="280" w:lineRule="atLeast"/>
              <w:jc w:val="left"/>
              <w:rPr>
                <w:sz w:val="21"/>
                <w:szCs w:val="21"/>
              </w:rPr>
            </w:pPr>
          </w:p>
        </w:tc>
        <w:tc>
          <w:tcPr>
            <w:tcW w:w="6803" w:type="dxa"/>
            <w:shd w:val="clear" w:color="auto" w:fill="auto"/>
          </w:tcPr>
          <w:p w:rsidR="00E96E16" w:rsidRPr="007520CA" w:rsidRDefault="00E96E16" w:rsidP="002E34ED">
            <w:pPr>
              <w:pStyle w:val="a5"/>
              <w:overflowPunct/>
              <w:spacing w:after="120" w:line="280" w:lineRule="atLeast"/>
              <w:jc w:val="left"/>
              <w:rPr>
                <w:sz w:val="21"/>
                <w:szCs w:val="21"/>
              </w:rPr>
            </w:pPr>
            <w:r w:rsidRPr="007520CA">
              <w:rPr>
                <w:sz w:val="21"/>
                <w:szCs w:val="21"/>
              </w:rPr>
              <w:t>《非洲儿童权利与福利宪章》</w:t>
            </w:r>
          </w:p>
        </w:tc>
      </w:tr>
      <w:tr w:rsidR="00E96E16" w:rsidRPr="007520CA" w:rsidTr="00402CED">
        <w:tc>
          <w:tcPr>
            <w:tcW w:w="567" w:type="dxa"/>
            <w:shd w:val="clear" w:color="auto" w:fill="auto"/>
          </w:tcPr>
          <w:p w:rsidR="00E96E16" w:rsidRPr="007520CA" w:rsidRDefault="00E96E16" w:rsidP="002E34ED">
            <w:pPr>
              <w:pStyle w:val="a5"/>
              <w:overflowPunct/>
              <w:spacing w:after="120" w:line="280" w:lineRule="atLeast"/>
              <w:jc w:val="left"/>
              <w:rPr>
                <w:sz w:val="21"/>
                <w:szCs w:val="21"/>
              </w:rPr>
            </w:pPr>
          </w:p>
        </w:tc>
        <w:tc>
          <w:tcPr>
            <w:tcW w:w="6803" w:type="dxa"/>
            <w:shd w:val="clear" w:color="auto" w:fill="auto"/>
          </w:tcPr>
          <w:p w:rsidR="00E96E16" w:rsidRPr="007520CA" w:rsidRDefault="00E96E16" w:rsidP="002E34ED">
            <w:pPr>
              <w:pStyle w:val="a5"/>
              <w:overflowPunct/>
              <w:spacing w:after="120" w:line="280" w:lineRule="atLeast"/>
              <w:jc w:val="left"/>
              <w:rPr>
                <w:sz w:val="21"/>
                <w:szCs w:val="21"/>
              </w:rPr>
            </w:pPr>
            <w:r w:rsidRPr="007520CA">
              <w:rPr>
                <w:sz w:val="21"/>
                <w:szCs w:val="21"/>
              </w:rPr>
              <w:t>《非洲保护和援助境内流离失所残疾人公约》</w:t>
            </w:r>
          </w:p>
        </w:tc>
      </w:tr>
      <w:tr w:rsidR="00E96E16" w:rsidRPr="007520CA" w:rsidTr="00402CED">
        <w:tc>
          <w:tcPr>
            <w:tcW w:w="567" w:type="dxa"/>
            <w:shd w:val="clear" w:color="auto" w:fill="auto"/>
          </w:tcPr>
          <w:p w:rsidR="00E96E16" w:rsidRPr="007520CA" w:rsidRDefault="00E96E16" w:rsidP="002E34ED">
            <w:pPr>
              <w:pStyle w:val="a5"/>
              <w:overflowPunct/>
              <w:spacing w:after="120" w:line="280" w:lineRule="atLeast"/>
              <w:jc w:val="left"/>
              <w:rPr>
                <w:sz w:val="21"/>
                <w:szCs w:val="21"/>
              </w:rPr>
            </w:pPr>
          </w:p>
        </w:tc>
        <w:tc>
          <w:tcPr>
            <w:tcW w:w="6803" w:type="dxa"/>
            <w:shd w:val="clear" w:color="auto" w:fill="auto"/>
          </w:tcPr>
          <w:p w:rsidR="00E96E16" w:rsidRPr="007520CA" w:rsidRDefault="00E96E16" w:rsidP="002E34ED">
            <w:pPr>
              <w:pStyle w:val="a5"/>
              <w:overflowPunct/>
              <w:spacing w:after="120" w:line="280" w:lineRule="atLeast"/>
              <w:jc w:val="left"/>
              <w:rPr>
                <w:sz w:val="21"/>
                <w:szCs w:val="21"/>
              </w:rPr>
            </w:pPr>
            <w:r w:rsidRPr="007520CA">
              <w:rPr>
                <w:sz w:val="21"/>
                <w:szCs w:val="21"/>
              </w:rPr>
              <w:t>《非洲人权和民族权宪章关于非洲妇女权利的议定书》</w:t>
            </w:r>
          </w:p>
        </w:tc>
      </w:tr>
      <w:tr w:rsidR="00E96E16" w:rsidRPr="007520CA" w:rsidTr="00402CED">
        <w:tc>
          <w:tcPr>
            <w:tcW w:w="567" w:type="dxa"/>
            <w:shd w:val="clear" w:color="auto" w:fill="auto"/>
          </w:tcPr>
          <w:p w:rsidR="00E96E16" w:rsidRPr="007520CA" w:rsidRDefault="00E96E16" w:rsidP="002E34ED">
            <w:pPr>
              <w:pStyle w:val="a5"/>
              <w:overflowPunct/>
              <w:spacing w:after="120" w:line="280" w:lineRule="atLeast"/>
              <w:jc w:val="left"/>
              <w:rPr>
                <w:sz w:val="21"/>
                <w:szCs w:val="21"/>
              </w:rPr>
            </w:pPr>
          </w:p>
        </w:tc>
        <w:tc>
          <w:tcPr>
            <w:tcW w:w="6803" w:type="dxa"/>
            <w:shd w:val="clear" w:color="auto" w:fill="auto"/>
          </w:tcPr>
          <w:p w:rsidR="00E96E16" w:rsidRPr="007520CA" w:rsidRDefault="00E96E16" w:rsidP="002E34ED">
            <w:pPr>
              <w:pStyle w:val="a5"/>
              <w:overflowPunct/>
              <w:spacing w:after="120" w:line="280" w:lineRule="atLeast"/>
              <w:jc w:val="left"/>
              <w:rPr>
                <w:sz w:val="21"/>
                <w:szCs w:val="21"/>
              </w:rPr>
            </w:pPr>
            <w:r w:rsidRPr="007520CA">
              <w:rPr>
                <w:sz w:val="21"/>
                <w:szCs w:val="21"/>
              </w:rPr>
              <w:t>日内瓦四公约及其议定书</w:t>
            </w:r>
          </w:p>
        </w:tc>
      </w:tr>
      <w:tr w:rsidR="00E96E16" w:rsidRPr="007520CA" w:rsidTr="00402CED">
        <w:tc>
          <w:tcPr>
            <w:tcW w:w="567" w:type="dxa"/>
            <w:shd w:val="clear" w:color="auto" w:fill="auto"/>
          </w:tcPr>
          <w:p w:rsidR="00E96E16" w:rsidRPr="007520CA" w:rsidRDefault="00E96E16" w:rsidP="002E34ED">
            <w:pPr>
              <w:pStyle w:val="a5"/>
              <w:overflowPunct/>
              <w:spacing w:after="120" w:line="280" w:lineRule="atLeast"/>
              <w:jc w:val="left"/>
              <w:rPr>
                <w:sz w:val="21"/>
                <w:szCs w:val="21"/>
              </w:rPr>
            </w:pPr>
          </w:p>
        </w:tc>
        <w:tc>
          <w:tcPr>
            <w:tcW w:w="6803" w:type="dxa"/>
            <w:shd w:val="clear" w:color="auto" w:fill="auto"/>
          </w:tcPr>
          <w:p w:rsidR="00E96E16" w:rsidRPr="007520CA" w:rsidRDefault="00E96E16" w:rsidP="002E34ED">
            <w:pPr>
              <w:pStyle w:val="a5"/>
              <w:overflowPunct/>
              <w:spacing w:after="120" w:line="280" w:lineRule="atLeast"/>
              <w:jc w:val="left"/>
              <w:rPr>
                <w:sz w:val="21"/>
                <w:szCs w:val="21"/>
              </w:rPr>
            </w:pPr>
            <w:r w:rsidRPr="007520CA">
              <w:rPr>
                <w:sz w:val="21"/>
                <w:szCs w:val="21"/>
              </w:rPr>
              <w:t>《禁止酷刑和其他残忍、不人道或有辱人格的待遇或处罚公约》，</w:t>
            </w:r>
            <w:r w:rsidRPr="007520CA">
              <w:rPr>
                <w:sz w:val="21"/>
                <w:szCs w:val="21"/>
              </w:rPr>
              <w:t>1987</w:t>
            </w:r>
            <w:r w:rsidRPr="007520CA">
              <w:rPr>
                <w:sz w:val="21"/>
                <w:szCs w:val="21"/>
              </w:rPr>
              <w:t>年。</w:t>
            </w:r>
          </w:p>
        </w:tc>
      </w:tr>
    </w:tbl>
    <w:p w:rsidR="00E96E16" w:rsidRPr="007E24E0" w:rsidRDefault="00E96E16" w:rsidP="00402CED">
      <w:pPr>
        <w:pStyle w:val="H1GC"/>
      </w:pPr>
      <w:r w:rsidRPr="007E24E0">
        <w:tab/>
        <w:t>F.</w:t>
      </w:r>
      <w:r w:rsidRPr="007E24E0">
        <w:tab/>
      </w:r>
      <w:r w:rsidRPr="007E24E0">
        <w:t>提高政府官员和其他专业人员的人权意识</w:t>
      </w:r>
    </w:p>
    <w:p w:rsidR="00E96E16" w:rsidRPr="007E24E0" w:rsidRDefault="00E96E16" w:rsidP="00402CED">
      <w:pPr>
        <w:pStyle w:val="H23GC"/>
      </w:pPr>
      <w:r w:rsidRPr="007E24E0">
        <w:tab/>
      </w:r>
      <w:r w:rsidRPr="007E24E0">
        <w:tab/>
      </w:r>
      <w:r w:rsidRPr="007E24E0">
        <w:t>公众意识</w:t>
      </w:r>
    </w:p>
    <w:p w:rsidR="00E96E16" w:rsidRPr="007E24E0" w:rsidRDefault="00E96E16" w:rsidP="00E96E16">
      <w:pPr>
        <w:pStyle w:val="SingleTxtGC"/>
      </w:pPr>
      <w:r w:rsidRPr="007E24E0">
        <w:t>24.</w:t>
      </w:r>
      <w:r w:rsidRPr="007E24E0">
        <w:tab/>
      </w:r>
      <w:r w:rsidRPr="007E24E0">
        <w:t>南苏丹警察局、监狱管理局和南苏丹人民国防军</w:t>
      </w:r>
      <w:r w:rsidRPr="007E24E0">
        <w:t>(SSPDF)</w:t>
      </w:r>
      <w:r w:rsidRPr="007E24E0">
        <w:t>的一些委任和非委任官员接受了关于处理性暴力和性别暴力案件</w:t>
      </w:r>
      <w:r w:rsidRPr="007E24E0">
        <w:t>(SGBV)</w:t>
      </w:r>
      <w:r w:rsidRPr="007E24E0">
        <w:t>以及一般人权案件的培训。作为培训和提高认识的一部分，还向这些官员分发了《妇女和儿童权利准则》的副本。在不同合作伙伴的支持下，其他培训正在进行中。</w:t>
      </w:r>
    </w:p>
    <w:p w:rsidR="00E96E16" w:rsidRPr="007E24E0" w:rsidRDefault="00E96E16" w:rsidP="00E96E16">
      <w:pPr>
        <w:pStyle w:val="SingleTxtGC"/>
      </w:pPr>
      <w:r w:rsidRPr="007E24E0">
        <w:t>25.</w:t>
      </w:r>
      <w:r w:rsidRPr="007E24E0">
        <w:tab/>
      </w:r>
      <w:r w:rsidRPr="007E24E0">
        <w:t>仅在马里迪州，</w:t>
      </w:r>
      <w:r w:rsidRPr="007E24E0">
        <w:t>2017</w:t>
      </w:r>
      <w:r w:rsidRPr="007E24E0">
        <w:t>年</w:t>
      </w:r>
      <w:r w:rsidRPr="007E24E0">
        <w:t>12</w:t>
      </w:r>
      <w:r w:rsidRPr="007E24E0">
        <w:t>月就有</w:t>
      </w:r>
      <w:r w:rsidRPr="007E24E0">
        <w:t>40</w:t>
      </w:r>
      <w:r w:rsidRPr="007E24E0">
        <w:t>名南苏丹人民国防军人员接受了人权培训。</w:t>
      </w:r>
    </w:p>
    <w:p w:rsidR="00E96E16" w:rsidRPr="007E24E0" w:rsidRDefault="00E96E16" w:rsidP="00E96E16">
      <w:pPr>
        <w:pStyle w:val="SingleTxtGC"/>
      </w:pPr>
      <w:r w:rsidRPr="007E24E0">
        <w:t>26.</w:t>
      </w:r>
      <w:r w:rsidRPr="007E24E0">
        <w:tab/>
        <w:t>2014</w:t>
      </w:r>
      <w:r w:rsidRPr="007E24E0">
        <w:t>年至</w:t>
      </w:r>
      <w:r w:rsidRPr="007E24E0">
        <w:t>2015</w:t>
      </w:r>
      <w:r w:rsidRPr="007E24E0">
        <w:t>年，开发署在该国不同地区为警务人员和社会工作者提供了培训。下表按性别和地点分列了此类培训的数量。</w:t>
      </w:r>
    </w:p>
    <w:p w:rsidR="00E96E16" w:rsidRPr="00D74084" w:rsidRDefault="00E96E16" w:rsidP="00E96E16">
      <w:pPr>
        <w:pStyle w:val="SingleTxtGC"/>
        <w:rPr>
          <w:rFonts w:ascii="Time New Roman" w:eastAsia="黑体" w:hAnsi="Time New Roman" w:hint="eastAsia"/>
        </w:rPr>
      </w:pPr>
      <w:r w:rsidRPr="00D74084">
        <w:rPr>
          <w:rFonts w:ascii="Time New Roman" w:eastAsia="黑体" w:hAnsi="Time New Roman"/>
        </w:rPr>
        <w:t>2014-2015</w:t>
      </w:r>
      <w:r w:rsidRPr="00D74084">
        <w:rPr>
          <w:rFonts w:ascii="Time New Roman" w:eastAsia="黑体" w:hAnsi="Time New Roman"/>
        </w:rPr>
        <w:t>年关于处理性暴力和性别暴力案件</w:t>
      </w:r>
      <w:r w:rsidRPr="00D74084">
        <w:rPr>
          <w:rFonts w:ascii="Time New Roman" w:eastAsia="黑体" w:hAnsi="Time New Roman"/>
        </w:rPr>
        <w:t>(SGBV)</w:t>
      </w:r>
      <w:r w:rsidRPr="00D74084">
        <w:rPr>
          <w:rFonts w:ascii="Time New Roman" w:eastAsia="黑体" w:hAnsi="Time New Roman"/>
        </w:rPr>
        <w:t>的培训</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72"/>
        <w:gridCol w:w="873"/>
        <w:gridCol w:w="1068"/>
        <w:gridCol w:w="984"/>
        <w:gridCol w:w="859"/>
        <w:gridCol w:w="1047"/>
        <w:gridCol w:w="967"/>
      </w:tblGrid>
      <w:tr w:rsidR="00E96E16" w:rsidRPr="007E24E0" w:rsidTr="00EB72B7">
        <w:tc>
          <w:tcPr>
            <w:tcW w:w="1572" w:type="dxa"/>
            <w:tcBorders>
              <w:top w:val="single" w:sz="4" w:space="0" w:color="auto"/>
              <w:bottom w:val="nil"/>
            </w:tcBorders>
            <w:shd w:val="clear" w:color="auto" w:fill="auto"/>
            <w:vAlign w:val="bottom"/>
          </w:tcPr>
          <w:p w:rsidR="00E96E16" w:rsidRPr="007E24E0" w:rsidRDefault="00E96E16" w:rsidP="00E96E16">
            <w:pPr>
              <w:pStyle w:val="a4"/>
              <w:ind w:right="0"/>
              <w:jc w:val="left"/>
            </w:pPr>
          </w:p>
        </w:tc>
        <w:tc>
          <w:tcPr>
            <w:tcW w:w="2925" w:type="dxa"/>
            <w:gridSpan w:val="3"/>
            <w:tcBorders>
              <w:top w:val="single" w:sz="4" w:space="0" w:color="auto"/>
              <w:bottom w:val="single" w:sz="4" w:space="0" w:color="auto"/>
              <w:right w:val="single" w:sz="36" w:space="0" w:color="FFFFFF" w:themeColor="background1"/>
            </w:tcBorders>
            <w:shd w:val="clear" w:color="auto" w:fill="auto"/>
            <w:vAlign w:val="bottom"/>
          </w:tcPr>
          <w:p w:rsidR="00E96E16" w:rsidRPr="007E24E0" w:rsidRDefault="00E96E16" w:rsidP="00FD4B8F">
            <w:pPr>
              <w:pStyle w:val="a4"/>
              <w:ind w:right="0"/>
              <w:jc w:val="center"/>
            </w:pPr>
            <w:r w:rsidRPr="007E24E0">
              <w:rPr>
                <w:iCs/>
              </w:rPr>
              <w:t>2014</w:t>
            </w:r>
            <w:r w:rsidRPr="007E24E0">
              <w:rPr>
                <w:iCs/>
              </w:rPr>
              <w:t>年</w:t>
            </w:r>
          </w:p>
        </w:tc>
        <w:tc>
          <w:tcPr>
            <w:tcW w:w="2873" w:type="dxa"/>
            <w:gridSpan w:val="3"/>
            <w:tcBorders>
              <w:top w:val="single" w:sz="4" w:space="0" w:color="auto"/>
              <w:left w:val="single" w:sz="36" w:space="0" w:color="FFFFFF" w:themeColor="background1"/>
              <w:bottom w:val="single" w:sz="4" w:space="0" w:color="auto"/>
            </w:tcBorders>
            <w:shd w:val="clear" w:color="auto" w:fill="auto"/>
            <w:vAlign w:val="bottom"/>
          </w:tcPr>
          <w:p w:rsidR="00E96E16" w:rsidRPr="007E24E0" w:rsidRDefault="00E96E16" w:rsidP="00FD4B8F">
            <w:pPr>
              <w:pStyle w:val="a4"/>
              <w:ind w:right="0"/>
              <w:jc w:val="center"/>
            </w:pPr>
            <w:r w:rsidRPr="007E24E0">
              <w:rPr>
                <w:iCs/>
              </w:rPr>
              <w:t>2015</w:t>
            </w:r>
            <w:r w:rsidRPr="007E24E0">
              <w:rPr>
                <w:iCs/>
              </w:rPr>
              <w:t>年</w:t>
            </w:r>
          </w:p>
        </w:tc>
      </w:tr>
      <w:tr w:rsidR="00E96E16" w:rsidRPr="007E24E0" w:rsidTr="00EB72B7">
        <w:tc>
          <w:tcPr>
            <w:tcW w:w="1572" w:type="dxa"/>
            <w:tcBorders>
              <w:top w:val="nil"/>
              <w:bottom w:val="single" w:sz="12" w:space="0" w:color="auto"/>
            </w:tcBorders>
            <w:shd w:val="clear" w:color="auto" w:fill="auto"/>
          </w:tcPr>
          <w:p w:rsidR="00E96E16" w:rsidRPr="00EB72B7" w:rsidRDefault="00E96E16" w:rsidP="00E96E16">
            <w:pPr>
              <w:pStyle w:val="a3"/>
              <w:overflowPunct/>
              <w:ind w:right="0"/>
              <w:jc w:val="left"/>
              <w:rPr>
                <w:rFonts w:ascii="Time New Roman" w:eastAsia="楷体" w:hAnsi="Time New Roman" w:hint="eastAsia"/>
              </w:rPr>
            </w:pPr>
            <w:r w:rsidRPr="00EB72B7">
              <w:rPr>
                <w:rFonts w:ascii="Time New Roman" w:eastAsia="楷体" w:hAnsi="Time New Roman"/>
                <w:iCs/>
              </w:rPr>
              <w:t>地点</w:t>
            </w:r>
          </w:p>
        </w:tc>
        <w:tc>
          <w:tcPr>
            <w:tcW w:w="873" w:type="dxa"/>
            <w:tcBorders>
              <w:top w:val="single" w:sz="4" w:space="0" w:color="auto"/>
              <w:bottom w:val="single" w:sz="12" w:space="0" w:color="auto"/>
            </w:tcBorders>
            <w:shd w:val="clear" w:color="auto" w:fill="auto"/>
          </w:tcPr>
          <w:p w:rsidR="00E96E16" w:rsidRPr="00EB72B7" w:rsidRDefault="00E96E16" w:rsidP="00E96E16">
            <w:pPr>
              <w:pStyle w:val="a3"/>
              <w:overflowPunct/>
              <w:ind w:right="0"/>
              <w:jc w:val="right"/>
              <w:rPr>
                <w:rFonts w:ascii="Time New Roman" w:eastAsia="楷体" w:hAnsi="Time New Roman" w:hint="eastAsia"/>
              </w:rPr>
            </w:pPr>
            <w:r w:rsidRPr="00EB72B7">
              <w:rPr>
                <w:rFonts w:ascii="Time New Roman" w:eastAsia="楷体" w:hAnsi="Time New Roman"/>
                <w:iCs/>
              </w:rPr>
              <w:t>男性</w:t>
            </w:r>
          </w:p>
        </w:tc>
        <w:tc>
          <w:tcPr>
            <w:tcW w:w="1068" w:type="dxa"/>
            <w:tcBorders>
              <w:top w:val="single" w:sz="4" w:space="0" w:color="auto"/>
              <w:bottom w:val="single" w:sz="12" w:space="0" w:color="auto"/>
            </w:tcBorders>
            <w:shd w:val="clear" w:color="auto" w:fill="auto"/>
          </w:tcPr>
          <w:p w:rsidR="00E96E16" w:rsidRPr="00EB72B7" w:rsidRDefault="00E96E16" w:rsidP="00E96E16">
            <w:pPr>
              <w:pStyle w:val="a3"/>
              <w:overflowPunct/>
              <w:ind w:right="0"/>
              <w:jc w:val="right"/>
              <w:rPr>
                <w:rFonts w:ascii="Time New Roman" w:eastAsia="楷体" w:hAnsi="Time New Roman" w:hint="eastAsia"/>
              </w:rPr>
            </w:pPr>
            <w:r w:rsidRPr="00EB72B7">
              <w:rPr>
                <w:rFonts w:ascii="Time New Roman" w:eastAsia="楷体" w:hAnsi="Time New Roman"/>
                <w:iCs/>
              </w:rPr>
              <w:t>女性</w:t>
            </w:r>
          </w:p>
        </w:tc>
        <w:tc>
          <w:tcPr>
            <w:tcW w:w="984" w:type="dxa"/>
            <w:tcBorders>
              <w:top w:val="single" w:sz="4" w:space="0" w:color="auto"/>
              <w:bottom w:val="single" w:sz="12" w:space="0" w:color="auto"/>
              <w:right w:val="single" w:sz="36" w:space="0" w:color="FFFFFF" w:themeColor="background1"/>
            </w:tcBorders>
            <w:shd w:val="clear" w:color="auto" w:fill="auto"/>
          </w:tcPr>
          <w:p w:rsidR="00E96E16" w:rsidRPr="00EB72B7" w:rsidRDefault="00E96E16" w:rsidP="00E96E16">
            <w:pPr>
              <w:pStyle w:val="a3"/>
              <w:overflowPunct/>
              <w:ind w:right="0"/>
              <w:jc w:val="right"/>
              <w:rPr>
                <w:rFonts w:ascii="Time New Roman" w:eastAsia="楷体" w:hAnsi="Time New Roman" w:hint="eastAsia"/>
              </w:rPr>
            </w:pPr>
            <w:r w:rsidRPr="00EB72B7">
              <w:rPr>
                <w:rFonts w:ascii="Time New Roman" w:eastAsia="楷体" w:hAnsi="Time New Roman"/>
                <w:iCs/>
              </w:rPr>
              <w:t>共计</w:t>
            </w:r>
          </w:p>
        </w:tc>
        <w:tc>
          <w:tcPr>
            <w:tcW w:w="859" w:type="dxa"/>
            <w:tcBorders>
              <w:top w:val="single" w:sz="4" w:space="0" w:color="auto"/>
              <w:left w:val="single" w:sz="36" w:space="0" w:color="FFFFFF" w:themeColor="background1"/>
              <w:bottom w:val="single" w:sz="12" w:space="0" w:color="auto"/>
            </w:tcBorders>
            <w:shd w:val="clear" w:color="auto" w:fill="auto"/>
          </w:tcPr>
          <w:p w:rsidR="00E96E16" w:rsidRPr="00EB72B7" w:rsidRDefault="00E96E16" w:rsidP="00E96E16">
            <w:pPr>
              <w:pStyle w:val="a3"/>
              <w:overflowPunct/>
              <w:ind w:right="0"/>
              <w:jc w:val="right"/>
              <w:rPr>
                <w:rFonts w:ascii="Time New Roman" w:eastAsia="楷体" w:hAnsi="Time New Roman" w:hint="eastAsia"/>
              </w:rPr>
            </w:pPr>
            <w:r w:rsidRPr="00EB72B7">
              <w:rPr>
                <w:rFonts w:ascii="Time New Roman" w:eastAsia="楷体" w:hAnsi="Time New Roman"/>
                <w:iCs/>
              </w:rPr>
              <w:t>男性</w:t>
            </w:r>
          </w:p>
        </w:tc>
        <w:tc>
          <w:tcPr>
            <w:tcW w:w="1047" w:type="dxa"/>
            <w:tcBorders>
              <w:top w:val="single" w:sz="4" w:space="0" w:color="auto"/>
              <w:bottom w:val="single" w:sz="12" w:space="0" w:color="auto"/>
            </w:tcBorders>
            <w:shd w:val="clear" w:color="auto" w:fill="auto"/>
          </w:tcPr>
          <w:p w:rsidR="00E96E16" w:rsidRPr="00EB72B7" w:rsidRDefault="00E96E16" w:rsidP="00E96E16">
            <w:pPr>
              <w:pStyle w:val="a3"/>
              <w:overflowPunct/>
              <w:ind w:right="0"/>
              <w:jc w:val="right"/>
              <w:rPr>
                <w:rFonts w:ascii="Time New Roman" w:eastAsia="楷体" w:hAnsi="Time New Roman" w:hint="eastAsia"/>
              </w:rPr>
            </w:pPr>
            <w:r w:rsidRPr="00EB72B7">
              <w:rPr>
                <w:rFonts w:ascii="Time New Roman" w:eastAsia="楷体" w:hAnsi="Time New Roman"/>
                <w:iCs/>
              </w:rPr>
              <w:t>女性</w:t>
            </w:r>
          </w:p>
        </w:tc>
        <w:tc>
          <w:tcPr>
            <w:tcW w:w="967" w:type="dxa"/>
            <w:tcBorders>
              <w:top w:val="single" w:sz="4" w:space="0" w:color="auto"/>
              <w:bottom w:val="single" w:sz="12" w:space="0" w:color="auto"/>
            </w:tcBorders>
            <w:shd w:val="clear" w:color="auto" w:fill="auto"/>
          </w:tcPr>
          <w:p w:rsidR="00E96E16" w:rsidRPr="00EB72B7" w:rsidRDefault="00E96E16" w:rsidP="00E96E16">
            <w:pPr>
              <w:pStyle w:val="a3"/>
              <w:overflowPunct/>
              <w:ind w:right="0"/>
              <w:jc w:val="right"/>
              <w:rPr>
                <w:rFonts w:ascii="Time New Roman" w:eastAsia="楷体" w:hAnsi="Time New Roman" w:hint="eastAsia"/>
              </w:rPr>
            </w:pPr>
            <w:r w:rsidRPr="00EB72B7">
              <w:rPr>
                <w:rFonts w:ascii="Time New Roman" w:eastAsia="楷体" w:hAnsi="Time New Roman"/>
                <w:iCs/>
              </w:rPr>
              <w:t>共计</w:t>
            </w:r>
          </w:p>
        </w:tc>
      </w:tr>
      <w:tr w:rsidR="00E96E16" w:rsidRPr="007E24E0" w:rsidTr="00FD4B8F">
        <w:tc>
          <w:tcPr>
            <w:tcW w:w="1572" w:type="dxa"/>
            <w:tcBorders>
              <w:top w:val="single" w:sz="12" w:space="0" w:color="auto"/>
            </w:tcBorders>
            <w:shd w:val="clear" w:color="auto" w:fill="auto"/>
          </w:tcPr>
          <w:p w:rsidR="00E96E16" w:rsidRPr="007E24E0" w:rsidRDefault="00E96E16" w:rsidP="00E96E16">
            <w:pPr>
              <w:pStyle w:val="a3"/>
              <w:overflowPunct/>
              <w:ind w:right="0"/>
              <w:jc w:val="left"/>
            </w:pPr>
            <w:r w:rsidRPr="007E24E0">
              <w:t>朱巴</w:t>
            </w:r>
          </w:p>
        </w:tc>
        <w:tc>
          <w:tcPr>
            <w:tcW w:w="873" w:type="dxa"/>
            <w:tcBorders>
              <w:top w:val="single" w:sz="12" w:space="0" w:color="auto"/>
            </w:tcBorders>
            <w:shd w:val="clear" w:color="auto" w:fill="auto"/>
          </w:tcPr>
          <w:p w:rsidR="00E96E16" w:rsidRPr="007E24E0" w:rsidRDefault="00E96E16" w:rsidP="00E96E16">
            <w:pPr>
              <w:pStyle w:val="a3"/>
              <w:overflowPunct/>
              <w:ind w:right="0"/>
              <w:jc w:val="right"/>
            </w:pPr>
            <w:r w:rsidRPr="007E24E0">
              <w:t>19</w:t>
            </w:r>
          </w:p>
        </w:tc>
        <w:tc>
          <w:tcPr>
            <w:tcW w:w="1068" w:type="dxa"/>
            <w:tcBorders>
              <w:top w:val="single" w:sz="12" w:space="0" w:color="auto"/>
            </w:tcBorders>
            <w:shd w:val="clear" w:color="auto" w:fill="auto"/>
          </w:tcPr>
          <w:p w:rsidR="00E96E16" w:rsidRPr="007E24E0" w:rsidRDefault="00E96E16" w:rsidP="00E96E16">
            <w:pPr>
              <w:pStyle w:val="a3"/>
              <w:overflowPunct/>
              <w:ind w:right="0"/>
              <w:jc w:val="right"/>
            </w:pPr>
            <w:r w:rsidRPr="007E24E0">
              <w:t>7</w:t>
            </w:r>
          </w:p>
        </w:tc>
        <w:tc>
          <w:tcPr>
            <w:tcW w:w="984" w:type="dxa"/>
            <w:tcBorders>
              <w:top w:val="single" w:sz="12" w:space="0" w:color="auto"/>
            </w:tcBorders>
            <w:shd w:val="clear" w:color="auto" w:fill="auto"/>
          </w:tcPr>
          <w:p w:rsidR="00E96E16" w:rsidRPr="007E24E0" w:rsidRDefault="00E96E16" w:rsidP="00E96E16">
            <w:pPr>
              <w:pStyle w:val="a3"/>
              <w:overflowPunct/>
              <w:ind w:right="0"/>
              <w:jc w:val="right"/>
            </w:pPr>
            <w:r w:rsidRPr="007E24E0">
              <w:t>26</w:t>
            </w:r>
          </w:p>
        </w:tc>
        <w:tc>
          <w:tcPr>
            <w:tcW w:w="859" w:type="dxa"/>
            <w:tcBorders>
              <w:top w:val="single" w:sz="12" w:space="0" w:color="auto"/>
            </w:tcBorders>
            <w:shd w:val="clear" w:color="auto" w:fill="auto"/>
          </w:tcPr>
          <w:p w:rsidR="00E96E16" w:rsidRPr="007E24E0" w:rsidRDefault="00E96E16" w:rsidP="00E96E16">
            <w:pPr>
              <w:pStyle w:val="a3"/>
              <w:overflowPunct/>
              <w:ind w:right="0"/>
              <w:jc w:val="right"/>
            </w:pPr>
            <w:r w:rsidRPr="007E24E0">
              <w:t>13</w:t>
            </w:r>
          </w:p>
        </w:tc>
        <w:tc>
          <w:tcPr>
            <w:tcW w:w="1047" w:type="dxa"/>
            <w:tcBorders>
              <w:top w:val="single" w:sz="12" w:space="0" w:color="auto"/>
            </w:tcBorders>
            <w:shd w:val="clear" w:color="auto" w:fill="auto"/>
          </w:tcPr>
          <w:p w:rsidR="00E96E16" w:rsidRPr="007E24E0" w:rsidRDefault="00E96E16" w:rsidP="00E96E16">
            <w:pPr>
              <w:pStyle w:val="a3"/>
              <w:overflowPunct/>
              <w:ind w:right="0"/>
              <w:jc w:val="right"/>
            </w:pPr>
            <w:r w:rsidRPr="007E24E0">
              <w:t>12</w:t>
            </w:r>
          </w:p>
        </w:tc>
        <w:tc>
          <w:tcPr>
            <w:tcW w:w="967" w:type="dxa"/>
            <w:tcBorders>
              <w:top w:val="single" w:sz="12" w:space="0" w:color="auto"/>
            </w:tcBorders>
            <w:shd w:val="clear" w:color="auto" w:fill="auto"/>
          </w:tcPr>
          <w:p w:rsidR="00E96E16" w:rsidRPr="007E24E0" w:rsidRDefault="00E96E16" w:rsidP="00E96E16">
            <w:pPr>
              <w:pStyle w:val="a3"/>
              <w:overflowPunct/>
              <w:ind w:right="0"/>
              <w:jc w:val="right"/>
            </w:pPr>
            <w:r w:rsidRPr="007E24E0">
              <w:t>25</w:t>
            </w:r>
          </w:p>
        </w:tc>
      </w:tr>
      <w:tr w:rsidR="00E96E16" w:rsidRPr="007E24E0" w:rsidTr="00E96E16">
        <w:tc>
          <w:tcPr>
            <w:tcW w:w="1572" w:type="dxa"/>
            <w:shd w:val="clear" w:color="auto" w:fill="auto"/>
          </w:tcPr>
          <w:p w:rsidR="00E96E16" w:rsidRPr="007E24E0" w:rsidRDefault="00E96E16" w:rsidP="00E96E16">
            <w:pPr>
              <w:pStyle w:val="a3"/>
              <w:overflowPunct/>
              <w:ind w:right="0"/>
              <w:jc w:val="left"/>
            </w:pPr>
            <w:r w:rsidRPr="007E24E0">
              <w:t>延比奥</w:t>
            </w:r>
          </w:p>
        </w:tc>
        <w:tc>
          <w:tcPr>
            <w:tcW w:w="873" w:type="dxa"/>
            <w:shd w:val="clear" w:color="auto" w:fill="auto"/>
          </w:tcPr>
          <w:p w:rsidR="00E96E16" w:rsidRPr="007E24E0" w:rsidRDefault="00E96E16" w:rsidP="00E96E16">
            <w:pPr>
              <w:pStyle w:val="a3"/>
              <w:overflowPunct/>
              <w:ind w:right="0"/>
              <w:jc w:val="right"/>
            </w:pPr>
            <w:r w:rsidRPr="007E24E0">
              <w:t>14</w:t>
            </w:r>
          </w:p>
        </w:tc>
        <w:tc>
          <w:tcPr>
            <w:tcW w:w="1068" w:type="dxa"/>
            <w:shd w:val="clear" w:color="auto" w:fill="auto"/>
          </w:tcPr>
          <w:p w:rsidR="00E96E16" w:rsidRPr="007E24E0" w:rsidRDefault="00E96E16" w:rsidP="00E96E16">
            <w:pPr>
              <w:pStyle w:val="a3"/>
              <w:overflowPunct/>
              <w:ind w:right="0"/>
              <w:jc w:val="right"/>
            </w:pPr>
            <w:r w:rsidRPr="007E24E0">
              <w:t>16</w:t>
            </w:r>
          </w:p>
        </w:tc>
        <w:tc>
          <w:tcPr>
            <w:tcW w:w="984" w:type="dxa"/>
            <w:shd w:val="clear" w:color="auto" w:fill="auto"/>
          </w:tcPr>
          <w:p w:rsidR="00E96E16" w:rsidRPr="007E24E0" w:rsidRDefault="00E96E16" w:rsidP="00E96E16">
            <w:pPr>
              <w:pStyle w:val="a3"/>
              <w:overflowPunct/>
              <w:ind w:right="0"/>
              <w:jc w:val="right"/>
            </w:pPr>
            <w:r w:rsidRPr="007E24E0">
              <w:t>30</w:t>
            </w:r>
          </w:p>
        </w:tc>
        <w:tc>
          <w:tcPr>
            <w:tcW w:w="859" w:type="dxa"/>
            <w:shd w:val="clear" w:color="auto" w:fill="auto"/>
          </w:tcPr>
          <w:p w:rsidR="00E96E16" w:rsidRPr="007E24E0" w:rsidRDefault="00E96E16" w:rsidP="00E96E16">
            <w:pPr>
              <w:pStyle w:val="a3"/>
              <w:overflowPunct/>
              <w:ind w:right="0"/>
              <w:jc w:val="right"/>
            </w:pPr>
            <w:r w:rsidRPr="007E24E0">
              <w:t>19</w:t>
            </w:r>
          </w:p>
        </w:tc>
        <w:tc>
          <w:tcPr>
            <w:tcW w:w="1047" w:type="dxa"/>
            <w:shd w:val="clear" w:color="auto" w:fill="auto"/>
          </w:tcPr>
          <w:p w:rsidR="00E96E16" w:rsidRPr="007E24E0" w:rsidRDefault="00E96E16" w:rsidP="00E96E16">
            <w:pPr>
              <w:pStyle w:val="a3"/>
              <w:overflowPunct/>
              <w:ind w:right="0"/>
              <w:jc w:val="right"/>
            </w:pPr>
            <w:r w:rsidRPr="007E24E0">
              <w:t>13</w:t>
            </w:r>
          </w:p>
        </w:tc>
        <w:tc>
          <w:tcPr>
            <w:tcW w:w="967" w:type="dxa"/>
            <w:shd w:val="clear" w:color="auto" w:fill="auto"/>
          </w:tcPr>
          <w:p w:rsidR="00E96E16" w:rsidRPr="007E24E0" w:rsidRDefault="00E96E16" w:rsidP="00E96E16">
            <w:pPr>
              <w:pStyle w:val="a3"/>
              <w:overflowPunct/>
              <w:ind w:right="0"/>
              <w:jc w:val="right"/>
            </w:pPr>
            <w:r w:rsidRPr="007E24E0">
              <w:t>32</w:t>
            </w:r>
          </w:p>
        </w:tc>
      </w:tr>
      <w:tr w:rsidR="00E96E16" w:rsidRPr="007E24E0" w:rsidTr="00E96E16">
        <w:tc>
          <w:tcPr>
            <w:tcW w:w="1572" w:type="dxa"/>
            <w:shd w:val="clear" w:color="auto" w:fill="auto"/>
          </w:tcPr>
          <w:p w:rsidR="00E96E16" w:rsidRPr="007E24E0" w:rsidRDefault="00E96E16" w:rsidP="00E96E16">
            <w:pPr>
              <w:pStyle w:val="a3"/>
              <w:overflowPunct/>
              <w:ind w:right="0"/>
              <w:jc w:val="left"/>
            </w:pPr>
            <w:r w:rsidRPr="007E24E0">
              <w:t>托里特</w:t>
            </w:r>
          </w:p>
        </w:tc>
        <w:tc>
          <w:tcPr>
            <w:tcW w:w="873" w:type="dxa"/>
            <w:shd w:val="clear" w:color="auto" w:fill="auto"/>
          </w:tcPr>
          <w:p w:rsidR="00E96E16" w:rsidRPr="007E24E0" w:rsidRDefault="00E96E16" w:rsidP="00E96E16">
            <w:pPr>
              <w:pStyle w:val="a3"/>
              <w:overflowPunct/>
              <w:ind w:right="0"/>
              <w:jc w:val="right"/>
            </w:pPr>
            <w:r w:rsidRPr="007E24E0">
              <w:t>28</w:t>
            </w:r>
          </w:p>
        </w:tc>
        <w:tc>
          <w:tcPr>
            <w:tcW w:w="1068" w:type="dxa"/>
            <w:shd w:val="clear" w:color="auto" w:fill="auto"/>
          </w:tcPr>
          <w:p w:rsidR="00E96E16" w:rsidRPr="007E24E0" w:rsidRDefault="00E96E16" w:rsidP="00E96E16">
            <w:pPr>
              <w:pStyle w:val="a3"/>
              <w:overflowPunct/>
              <w:ind w:right="0"/>
              <w:jc w:val="right"/>
            </w:pPr>
            <w:r w:rsidRPr="007E24E0">
              <w:t>15</w:t>
            </w:r>
          </w:p>
        </w:tc>
        <w:tc>
          <w:tcPr>
            <w:tcW w:w="984" w:type="dxa"/>
            <w:shd w:val="clear" w:color="auto" w:fill="auto"/>
          </w:tcPr>
          <w:p w:rsidR="00E96E16" w:rsidRPr="007E24E0" w:rsidRDefault="00E96E16" w:rsidP="00E96E16">
            <w:pPr>
              <w:pStyle w:val="a3"/>
              <w:overflowPunct/>
              <w:ind w:right="0"/>
              <w:jc w:val="right"/>
            </w:pPr>
            <w:r w:rsidRPr="007E24E0">
              <w:t>43</w:t>
            </w:r>
          </w:p>
        </w:tc>
        <w:tc>
          <w:tcPr>
            <w:tcW w:w="859" w:type="dxa"/>
            <w:shd w:val="clear" w:color="auto" w:fill="auto"/>
          </w:tcPr>
          <w:p w:rsidR="00E96E16" w:rsidRPr="007E24E0" w:rsidRDefault="00E96E16" w:rsidP="00E96E16">
            <w:pPr>
              <w:pStyle w:val="a3"/>
              <w:overflowPunct/>
              <w:ind w:right="0"/>
              <w:jc w:val="right"/>
            </w:pPr>
            <w:r w:rsidRPr="007E24E0">
              <w:t>16</w:t>
            </w:r>
          </w:p>
        </w:tc>
        <w:tc>
          <w:tcPr>
            <w:tcW w:w="1047" w:type="dxa"/>
            <w:shd w:val="clear" w:color="auto" w:fill="auto"/>
          </w:tcPr>
          <w:p w:rsidR="00E96E16" w:rsidRPr="007E24E0" w:rsidRDefault="00E96E16" w:rsidP="00E96E16">
            <w:pPr>
              <w:pStyle w:val="a3"/>
              <w:overflowPunct/>
              <w:ind w:right="0"/>
              <w:jc w:val="right"/>
            </w:pPr>
            <w:r w:rsidRPr="007E24E0">
              <w:t>14</w:t>
            </w:r>
          </w:p>
        </w:tc>
        <w:tc>
          <w:tcPr>
            <w:tcW w:w="967" w:type="dxa"/>
            <w:shd w:val="clear" w:color="auto" w:fill="auto"/>
          </w:tcPr>
          <w:p w:rsidR="00E96E16" w:rsidRPr="007E24E0" w:rsidRDefault="00E96E16" w:rsidP="00E96E16">
            <w:pPr>
              <w:pStyle w:val="a3"/>
              <w:overflowPunct/>
              <w:ind w:right="0"/>
              <w:jc w:val="right"/>
            </w:pPr>
            <w:r w:rsidRPr="007E24E0">
              <w:t>30</w:t>
            </w:r>
          </w:p>
        </w:tc>
      </w:tr>
      <w:tr w:rsidR="00E96E16" w:rsidRPr="007E24E0" w:rsidTr="00E96E16">
        <w:tc>
          <w:tcPr>
            <w:tcW w:w="1572" w:type="dxa"/>
            <w:shd w:val="clear" w:color="auto" w:fill="auto"/>
          </w:tcPr>
          <w:p w:rsidR="00E96E16" w:rsidRPr="007E24E0" w:rsidRDefault="00E96E16" w:rsidP="00E96E16">
            <w:pPr>
              <w:pStyle w:val="a3"/>
              <w:overflowPunct/>
              <w:ind w:right="0"/>
              <w:jc w:val="left"/>
            </w:pPr>
            <w:r w:rsidRPr="007E24E0">
              <w:t>瓦乌</w:t>
            </w:r>
          </w:p>
        </w:tc>
        <w:tc>
          <w:tcPr>
            <w:tcW w:w="873" w:type="dxa"/>
            <w:shd w:val="clear" w:color="auto" w:fill="auto"/>
          </w:tcPr>
          <w:p w:rsidR="00E96E16" w:rsidRPr="007E24E0" w:rsidRDefault="00E96E16" w:rsidP="00E96E16">
            <w:pPr>
              <w:pStyle w:val="a3"/>
              <w:overflowPunct/>
              <w:ind w:right="0"/>
              <w:jc w:val="right"/>
            </w:pPr>
            <w:r w:rsidRPr="007E24E0">
              <w:t>15</w:t>
            </w:r>
          </w:p>
        </w:tc>
        <w:tc>
          <w:tcPr>
            <w:tcW w:w="1068" w:type="dxa"/>
            <w:shd w:val="clear" w:color="auto" w:fill="auto"/>
          </w:tcPr>
          <w:p w:rsidR="00E96E16" w:rsidRPr="007E24E0" w:rsidRDefault="00E96E16" w:rsidP="00E96E16">
            <w:pPr>
              <w:pStyle w:val="a3"/>
              <w:overflowPunct/>
              <w:ind w:right="0"/>
              <w:jc w:val="right"/>
            </w:pPr>
            <w:r w:rsidRPr="007E24E0">
              <w:t>15</w:t>
            </w:r>
          </w:p>
        </w:tc>
        <w:tc>
          <w:tcPr>
            <w:tcW w:w="984" w:type="dxa"/>
            <w:shd w:val="clear" w:color="auto" w:fill="auto"/>
          </w:tcPr>
          <w:p w:rsidR="00E96E16" w:rsidRPr="007E24E0" w:rsidRDefault="00E96E16" w:rsidP="00E96E16">
            <w:pPr>
              <w:pStyle w:val="a3"/>
              <w:overflowPunct/>
              <w:ind w:right="0"/>
              <w:jc w:val="right"/>
            </w:pPr>
            <w:r w:rsidRPr="007E24E0">
              <w:t>30</w:t>
            </w:r>
          </w:p>
        </w:tc>
        <w:tc>
          <w:tcPr>
            <w:tcW w:w="859" w:type="dxa"/>
            <w:shd w:val="clear" w:color="auto" w:fill="auto"/>
          </w:tcPr>
          <w:p w:rsidR="00E96E16" w:rsidRPr="007E24E0" w:rsidRDefault="00E96E16" w:rsidP="00E96E16">
            <w:pPr>
              <w:pStyle w:val="a3"/>
              <w:overflowPunct/>
              <w:ind w:right="0"/>
              <w:jc w:val="right"/>
            </w:pPr>
            <w:r w:rsidRPr="007E24E0">
              <w:t>13</w:t>
            </w:r>
          </w:p>
        </w:tc>
        <w:tc>
          <w:tcPr>
            <w:tcW w:w="1047" w:type="dxa"/>
            <w:shd w:val="clear" w:color="auto" w:fill="auto"/>
          </w:tcPr>
          <w:p w:rsidR="00E96E16" w:rsidRPr="007E24E0" w:rsidRDefault="00E96E16" w:rsidP="00E96E16">
            <w:pPr>
              <w:pStyle w:val="a3"/>
              <w:overflowPunct/>
              <w:ind w:right="0"/>
              <w:jc w:val="right"/>
            </w:pPr>
            <w:r w:rsidRPr="007E24E0">
              <w:t>17</w:t>
            </w:r>
          </w:p>
        </w:tc>
        <w:tc>
          <w:tcPr>
            <w:tcW w:w="967" w:type="dxa"/>
            <w:shd w:val="clear" w:color="auto" w:fill="auto"/>
          </w:tcPr>
          <w:p w:rsidR="00E96E16" w:rsidRPr="007E24E0" w:rsidRDefault="00E96E16" w:rsidP="00E96E16">
            <w:pPr>
              <w:pStyle w:val="a3"/>
              <w:overflowPunct/>
              <w:ind w:right="0"/>
              <w:jc w:val="right"/>
            </w:pPr>
            <w:r w:rsidRPr="007E24E0">
              <w:t>30</w:t>
            </w:r>
          </w:p>
        </w:tc>
      </w:tr>
      <w:tr w:rsidR="00E96E16" w:rsidRPr="007E24E0" w:rsidTr="00E96E16">
        <w:tc>
          <w:tcPr>
            <w:tcW w:w="1572" w:type="dxa"/>
            <w:shd w:val="clear" w:color="auto" w:fill="auto"/>
          </w:tcPr>
          <w:p w:rsidR="00E96E16" w:rsidRPr="007E24E0" w:rsidRDefault="00E96E16" w:rsidP="00E96E16">
            <w:pPr>
              <w:pStyle w:val="a3"/>
              <w:overflowPunct/>
              <w:ind w:right="0"/>
              <w:jc w:val="left"/>
            </w:pPr>
            <w:r w:rsidRPr="007E24E0">
              <w:t>阿维尔</w:t>
            </w:r>
          </w:p>
        </w:tc>
        <w:tc>
          <w:tcPr>
            <w:tcW w:w="873" w:type="dxa"/>
            <w:shd w:val="clear" w:color="auto" w:fill="auto"/>
          </w:tcPr>
          <w:p w:rsidR="00E96E16" w:rsidRPr="007E24E0" w:rsidRDefault="00E96E16" w:rsidP="00E96E16">
            <w:pPr>
              <w:pStyle w:val="a3"/>
              <w:overflowPunct/>
              <w:ind w:right="0"/>
              <w:jc w:val="right"/>
            </w:pPr>
            <w:r w:rsidRPr="007E24E0">
              <w:t>25</w:t>
            </w:r>
          </w:p>
        </w:tc>
        <w:tc>
          <w:tcPr>
            <w:tcW w:w="1068" w:type="dxa"/>
            <w:shd w:val="clear" w:color="auto" w:fill="auto"/>
          </w:tcPr>
          <w:p w:rsidR="00E96E16" w:rsidRPr="007E24E0" w:rsidRDefault="00E96E16" w:rsidP="00E96E16">
            <w:pPr>
              <w:pStyle w:val="a3"/>
              <w:overflowPunct/>
              <w:ind w:right="0"/>
              <w:jc w:val="right"/>
            </w:pPr>
            <w:r w:rsidRPr="007E24E0">
              <w:t>5</w:t>
            </w:r>
          </w:p>
        </w:tc>
        <w:tc>
          <w:tcPr>
            <w:tcW w:w="984" w:type="dxa"/>
            <w:shd w:val="clear" w:color="auto" w:fill="auto"/>
          </w:tcPr>
          <w:p w:rsidR="00E96E16" w:rsidRPr="007E24E0" w:rsidRDefault="00E96E16" w:rsidP="00E96E16">
            <w:pPr>
              <w:pStyle w:val="a3"/>
              <w:overflowPunct/>
              <w:ind w:right="0"/>
              <w:jc w:val="right"/>
            </w:pPr>
            <w:r w:rsidRPr="007E24E0">
              <w:t>30</w:t>
            </w:r>
          </w:p>
        </w:tc>
        <w:tc>
          <w:tcPr>
            <w:tcW w:w="859" w:type="dxa"/>
            <w:shd w:val="clear" w:color="auto" w:fill="auto"/>
          </w:tcPr>
          <w:p w:rsidR="00E96E16" w:rsidRPr="007E24E0" w:rsidRDefault="00E96E16" w:rsidP="00E96E16">
            <w:pPr>
              <w:pStyle w:val="a3"/>
              <w:overflowPunct/>
              <w:ind w:right="0"/>
              <w:jc w:val="right"/>
            </w:pPr>
            <w:r w:rsidRPr="007E24E0">
              <w:t>21</w:t>
            </w:r>
          </w:p>
        </w:tc>
        <w:tc>
          <w:tcPr>
            <w:tcW w:w="1047" w:type="dxa"/>
            <w:shd w:val="clear" w:color="auto" w:fill="auto"/>
          </w:tcPr>
          <w:p w:rsidR="00E96E16" w:rsidRPr="007E24E0" w:rsidRDefault="00E96E16" w:rsidP="00E96E16">
            <w:pPr>
              <w:pStyle w:val="a3"/>
              <w:overflowPunct/>
              <w:ind w:right="0"/>
              <w:jc w:val="right"/>
            </w:pPr>
            <w:r w:rsidRPr="007E24E0">
              <w:t>9</w:t>
            </w:r>
          </w:p>
        </w:tc>
        <w:tc>
          <w:tcPr>
            <w:tcW w:w="967" w:type="dxa"/>
            <w:shd w:val="clear" w:color="auto" w:fill="auto"/>
          </w:tcPr>
          <w:p w:rsidR="00E96E16" w:rsidRPr="007E24E0" w:rsidRDefault="00E96E16" w:rsidP="00E96E16">
            <w:pPr>
              <w:pStyle w:val="a3"/>
              <w:overflowPunct/>
              <w:ind w:right="0"/>
              <w:jc w:val="right"/>
            </w:pPr>
            <w:r w:rsidRPr="007E24E0">
              <w:t>30</w:t>
            </w:r>
          </w:p>
        </w:tc>
      </w:tr>
      <w:tr w:rsidR="00E96E16" w:rsidRPr="007E24E0" w:rsidTr="00A445E5">
        <w:tc>
          <w:tcPr>
            <w:tcW w:w="1572" w:type="dxa"/>
            <w:tcBorders>
              <w:bottom w:val="single" w:sz="4" w:space="0" w:color="auto"/>
            </w:tcBorders>
            <w:shd w:val="clear" w:color="auto" w:fill="auto"/>
          </w:tcPr>
          <w:p w:rsidR="00E96E16" w:rsidRPr="007E24E0" w:rsidRDefault="00E96E16" w:rsidP="00E96E16">
            <w:pPr>
              <w:pStyle w:val="a3"/>
              <w:overflowPunct/>
              <w:ind w:right="0"/>
              <w:jc w:val="left"/>
            </w:pPr>
            <w:r w:rsidRPr="007E24E0">
              <w:t>明卡曼</w:t>
            </w:r>
          </w:p>
        </w:tc>
        <w:tc>
          <w:tcPr>
            <w:tcW w:w="873" w:type="dxa"/>
            <w:tcBorders>
              <w:bottom w:val="single" w:sz="4" w:space="0" w:color="auto"/>
            </w:tcBorders>
            <w:shd w:val="clear" w:color="auto" w:fill="auto"/>
          </w:tcPr>
          <w:p w:rsidR="00E96E16" w:rsidRPr="007E24E0" w:rsidRDefault="00E96E16" w:rsidP="00E96E16">
            <w:pPr>
              <w:pStyle w:val="a3"/>
              <w:overflowPunct/>
              <w:ind w:right="0"/>
              <w:jc w:val="right"/>
            </w:pPr>
            <w:r w:rsidRPr="007E24E0">
              <w:t>15</w:t>
            </w:r>
          </w:p>
        </w:tc>
        <w:tc>
          <w:tcPr>
            <w:tcW w:w="1068" w:type="dxa"/>
            <w:tcBorders>
              <w:bottom w:val="single" w:sz="4" w:space="0" w:color="auto"/>
            </w:tcBorders>
            <w:shd w:val="clear" w:color="auto" w:fill="auto"/>
          </w:tcPr>
          <w:p w:rsidR="00E96E16" w:rsidRPr="007E24E0" w:rsidRDefault="00E96E16" w:rsidP="00E96E16">
            <w:pPr>
              <w:pStyle w:val="a3"/>
              <w:overflowPunct/>
              <w:ind w:right="0"/>
              <w:jc w:val="right"/>
            </w:pPr>
            <w:r w:rsidRPr="007E24E0">
              <w:t>19</w:t>
            </w:r>
          </w:p>
        </w:tc>
        <w:tc>
          <w:tcPr>
            <w:tcW w:w="984" w:type="dxa"/>
            <w:tcBorders>
              <w:bottom w:val="single" w:sz="4" w:space="0" w:color="auto"/>
            </w:tcBorders>
            <w:shd w:val="clear" w:color="auto" w:fill="auto"/>
          </w:tcPr>
          <w:p w:rsidR="00E96E16" w:rsidRPr="007E24E0" w:rsidRDefault="00E96E16" w:rsidP="00E96E16">
            <w:pPr>
              <w:pStyle w:val="a3"/>
              <w:overflowPunct/>
              <w:ind w:right="0"/>
              <w:jc w:val="right"/>
            </w:pPr>
            <w:r w:rsidRPr="007E24E0">
              <w:t>34</w:t>
            </w:r>
          </w:p>
        </w:tc>
        <w:tc>
          <w:tcPr>
            <w:tcW w:w="859" w:type="dxa"/>
            <w:tcBorders>
              <w:bottom w:val="single" w:sz="4" w:space="0" w:color="auto"/>
            </w:tcBorders>
            <w:shd w:val="clear" w:color="auto" w:fill="auto"/>
          </w:tcPr>
          <w:p w:rsidR="00E96E16" w:rsidRPr="007E24E0" w:rsidRDefault="00E96E16" w:rsidP="00E96E16">
            <w:pPr>
              <w:pStyle w:val="a3"/>
              <w:overflowPunct/>
              <w:ind w:right="0"/>
              <w:jc w:val="right"/>
            </w:pPr>
            <w:r w:rsidRPr="007E24E0">
              <w:t>-</w:t>
            </w:r>
          </w:p>
        </w:tc>
        <w:tc>
          <w:tcPr>
            <w:tcW w:w="1047" w:type="dxa"/>
            <w:tcBorders>
              <w:bottom w:val="single" w:sz="4" w:space="0" w:color="auto"/>
            </w:tcBorders>
            <w:shd w:val="clear" w:color="auto" w:fill="auto"/>
          </w:tcPr>
          <w:p w:rsidR="00E96E16" w:rsidRPr="007E24E0" w:rsidRDefault="00E96E16" w:rsidP="00E96E16">
            <w:pPr>
              <w:pStyle w:val="a3"/>
              <w:overflowPunct/>
              <w:ind w:right="0"/>
              <w:jc w:val="right"/>
            </w:pPr>
            <w:r w:rsidRPr="007E24E0">
              <w:t>-</w:t>
            </w:r>
          </w:p>
        </w:tc>
        <w:tc>
          <w:tcPr>
            <w:tcW w:w="967" w:type="dxa"/>
            <w:tcBorders>
              <w:bottom w:val="single" w:sz="4" w:space="0" w:color="auto"/>
            </w:tcBorders>
            <w:shd w:val="clear" w:color="auto" w:fill="auto"/>
          </w:tcPr>
          <w:p w:rsidR="00E96E16" w:rsidRPr="007E24E0" w:rsidRDefault="00E96E16" w:rsidP="00E96E16">
            <w:pPr>
              <w:pStyle w:val="a3"/>
              <w:overflowPunct/>
              <w:ind w:right="0"/>
              <w:jc w:val="right"/>
            </w:pPr>
            <w:r w:rsidRPr="007E24E0">
              <w:t>-</w:t>
            </w:r>
          </w:p>
        </w:tc>
      </w:tr>
      <w:tr w:rsidR="00E96E16" w:rsidRPr="007E24E0" w:rsidTr="00A445E5">
        <w:tc>
          <w:tcPr>
            <w:tcW w:w="1572" w:type="dxa"/>
            <w:tcBorders>
              <w:top w:val="single" w:sz="4" w:space="0" w:color="auto"/>
              <w:bottom w:val="single" w:sz="12" w:space="0" w:color="auto"/>
            </w:tcBorders>
            <w:shd w:val="clear" w:color="auto" w:fill="auto"/>
          </w:tcPr>
          <w:p w:rsidR="00E96E16" w:rsidRPr="007A22E5" w:rsidRDefault="00E96E16" w:rsidP="00A445E5">
            <w:pPr>
              <w:pStyle w:val="a3"/>
              <w:overflowPunct/>
              <w:ind w:right="0"/>
              <w:jc w:val="center"/>
              <w:rPr>
                <w:rFonts w:ascii="Time New Roman" w:eastAsia="黑体" w:hAnsi="Time New Roman" w:hint="eastAsia"/>
              </w:rPr>
            </w:pPr>
            <w:r w:rsidRPr="007A22E5">
              <w:rPr>
                <w:rFonts w:ascii="Time New Roman" w:eastAsia="黑体" w:hAnsi="Time New Roman"/>
              </w:rPr>
              <w:t>共计</w:t>
            </w:r>
          </w:p>
        </w:tc>
        <w:tc>
          <w:tcPr>
            <w:tcW w:w="873" w:type="dxa"/>
            <w:tcBorders>
              <w:top w:val="single" w:sz="4" w:space="0" w:color="auto"/>
              <w:bottom w:val="single" w:sz="12" w:space="0" w:color="auto"/>
            </w:tcBorders>
            <w:shd w:val="clear" w:color="auto" w:fill="auto"/>
          </w:tcPr>
          <w:p w:rsidR="00E96E16" w:rsidRPr="007E24E0" w:rsidRDefault="00E96E16" w:rsidP="00E96E16">
            <w:pPr>
              <w:pStyle w:val="a3"/>
              <w:overflowPunct/>
              <w:ind w:right="0"/>
              <w:jc w:val="right"/>
              <w:rPr>
                <w:b/>
              </w:rPr>
            </w:pPr>
            <w:r w:rsidRPr="007E24E0">
              <w:rPr>
                <w:b/>
                <w:bCs/>
              </w:rPr>
              <w:t>116</w:t>
            </w:r>
          </w:p>
        </w:tc>
        <w:tc>
          <w:tcPr>
            <w:tcW w:w="1068" w:type="dxa"/>
            <w:tcBorders>
              <w:top w:val="single" w:sz="4" w:space="0" w:color="auto"/>
              <w:bottom w:val="single" w:sz="12" w:space="0" w:color="auto"/>
            </w:tcBorders>
            <w:shd w:val="clear" w:color="auto" w:fill="auto"/>
          </w:tcPr>
          <w:p w:rsidR="00E96E16" w:rsidRPr="007E24E0" w:rsidRDefault="00E96E16" w:rsidP="00E96E16">
            <w:pPr>
              <w:pStyle w:val="a3"/>
              <w:overflowPunct/>
              <w:ind w:right="0"/>
              <w:jc w:val="right"/>
              <w:rPr>
                <w:b/>
              </w:rPr>
            </w:pPr>
            <w:r w:rsidRPr="007E24E0">
              <w:rPr>
                <w:b/>
                <w:bCs/>
              </w:rPr>
              <w:t>77</w:t>
            </w:r>
          </w:p>
        </w:tc>
        <w:tc>
          <w:tcPr>
            <w:tcW w:w="984" w:type="dxa"/>
            <w:tcBorders>
              <w:top w:val="single" w:sz="4" w:space="0" w:color="auto"/>
              <w:bottom w:val="single" w:sz="12" w:space="0" w:color="auto"/>
            </w:tcBorders>
            <w:shd w:val="clear" w:color="auto" w:fill="auto"/>
          </w:tcPr>
          <w:p w:rsidR="00E96E16" w:rsidRPr="007E24E0" w:rsidRDefault="00E96E16" w:rsidP="00E96E16">
            <w:pPr>
              <w:pStyle w:val="a3"/>
              <w:overflowPunct/>
              <w:ind w:right="0"/>
              <w:jc w:val="right"/>
              <w:rPr>
                <w:b/>
              </w:rPr>
            </w:pPr>
            <w:r w:rsidRPr="007E24E0">
              <w:rPr>
                <w:b/>
                <w:bCs/>
              </w:rPr>
              <w:t>193</w:t>
            </w:r>
          </w:p>
        </w:tc>
        <w:tc>
          <w:tcPr>
            <w:tcW w:w="859" w:type="dxa"/>
            <w:tcBorders>
              <w:top w:val="single" w:sz="4" w:space="0" w:color="auto"/>
              <w:bottom w:val="single" w:sz="12" w:space="0" w:color="auto"/>
            </w:tcBorders>
            <w:shd w:val="clear" w:color="auto" w:fill="auto"/>
          </w:tcPr>
          <w:p w:rsidR="00E96E16" w:rsidRPr="007E24E0" w:rsidRDefault="00E96E16" w:rsidP="00E96E16">
            <w:pPr>
              <w:pStyle w:val="a3"/>
              <w:overflowPunct/>
              <w:ind w:right="0"/>
              <w:jc w:val="right"/>
              <w:rPr>
                <w:b/>
              </w:rPr>
            </w:pPr>
            <w:r w:rsidRPr="007E24E0">
              <w:rPr>
                <w:b/>
                <w:bCs/>
              </w:rPr>
              <w:t>82</w:t>
            </w:r>
          </w:p>
        </w:tc>
        <w:tc>
          <w:tcPr>
            <w:tcW w:w="1047" w:type="dxa"/>
            <w:tcBorders>
              <w:top w:val="single" w:sz="4" w:space="0" w:color="auto"/>
              <w:bottom w:val="single" w:sz="12" w:space="0" w:color="auto"/>
            </w:tcBorders>
            <w:shd w:val="clear" w:color="auto" w:fill="auto"/>
          </w:tcPr>
          <w:p w:rsidR="00E96E16" w:rsidRPr="007E24E0" w:rsidRDefault="00E96E16" w:rsidP="00E96E16">
            <w:pPr>
              <w:pStyle w:val="a3"/>
              <w:overflowPunct/>
              <w:ind w:right="0"/>
              <w:jc w:val="right"/>
              <w:rPr>
                <w:b/>
              </w:rPr>
            </w:pPr>
            <w:r w:rsidRPr="007E24E0">
              <w:rPr>
                <w:b/>
                <w:bCs/>
              </w:rPr>
              <w:t>65</w:t>
            </w:r>
          </w:p>
        </w:tc>
        <w:tc>
          <w:tcPr>
            <w:tcW w:w="967" w:type="dxa"/>
            <w:tcBorders>
              <w:top w:val="single" w:sz="4" w:space="0" w:color="auto"/>
              <w:bottom w:val="single" w:sz="12" w:space="0" w:color="auto"/>
            </w:tcBorders>
            <w:shd w:val="clear" w:color="auto" w:fill="auto"/>
          </w:tcPr>
          <w:p w:rsidR="00E96E16" w:rsidRPr="007E24E0" w:rsidRDefault="00E96E16" w:rsidP="00E96E16">
            <w:pPr>
              <w:pStyle w:val="a3"/>
              <w:overflowPunct/>
              <w:ind w:right="0"/>
              <w:jc w:val="right"/>
              <w:rPr>
                <w:b/>
              </w:rPr>
            </w:pPr>
            <w:r w:rsidRPr="007E24E0">
              <w:rPr>
                <w:b/>
                <w:bCs/>
              </w:rPr>
              <w:t>147</w:t>
            </w:r>
          </w:p>
        </w:tc>
      </w:tr>
    </w:tbl>
    <w:p w:rsidR="00E96E16" w:rsidRPr="007E24E0" w:rsidRDefault="00E96E16" w:rsidP="00A445E5">
      <w:pPr>
        <w:pStyle w:val="H23GC"/>
      </w:pPr>
      <w:r w:rsidRPr="007E24E0">
        <w:tab/>
      </w:r>
      <w:r w:rsidRPr="007E24E0">
        <w:tab/>
      </w:r>
      <w:r w:rsidRPr="007E24E0">
        <w:t>通过教育方案和政府赞助的公共信息促进人权意识</w:t>
      </w:r>
    </w:p>
    <w:p w:rsidR="00E96E16" w:rsidRPr="007E24E0" w:rsidRDefault="00E96E16" w:rsidP="00E96E16">
      <w:pPr>
        <w:pStyle w:val="SingleTxtGC"/>
      </w:pPr>
      <w:r w:rsidRPr="007E24E0">
        <w:t>27.</w:t>
      </w:r>
      <w:r w:rsidRPr="007E24E0">
        <w:tab/>
      </w:r>
      <w:r w:rsidRPr="007E24E0">
        <w:t>教育部通过《</w:t>
      </w:r>
      <w:r w:rsidRPr="007E24E0">
        <w:t>2017-2027</w:t>
      </w:r>
      <w:r w:rsidRPr="007E24E0">
        <w:t>年教育战略计划》和《国家课程》在该国的教育机构中引入了人权方案。南苏丹特派团通过为学校教师举办关于</w:t>
      </w:r>
      <w:r w:rsidRPr="007E24E0">
        <w:rPr>
          <w:rFonts w:hint="eastAsia"/>
        </w:rPr>
        <w:t>“</w:t>
      </w:r>
      <w:r w:rsidRPr="007E24E0">
        <w:t>基本人权教育</w:t>
      </w:r>
      <w:r w:rsidRPr="007E24E0">
        <w:rPr>
          <w:rFonts w:hint="eastAsia"/>
        </w:rPr>
        <w:t>”</w:t>
      </w:r>
      <w:r w:rsidRPr="007E24E0">
        <w:t>、</w:t>
      </w:r>
      <w:r w:rsidRPr="007E24E0">
        <w:rPr>
          <w:rFonts w:hint="eastAsia"/>
        </w:rPr>
        <w:t>“</w:t>
      </w:r>
      <w:r w:rsidRPr="007E24E0">
        <w:t>权利法案</w:t>
      </w:r>
      <w:r w:rsidRPr="007E24E0">
        <w:rPr>
          <w:rFonts w:hint="eastAsia"/>
        </w:rPr>
        <w:t>”</w:t>
      </w:r>
      <w:r w:rsidRPr="007E24E0">
        <w:t>以及</w:t>
      </w:r>
      <w:r w:rsidRPr="007E24E0">
        <w:rPr>
          <w:rFonts w:hint="eastAsia"/>
        </w:rPr>
        <w:t>“</w:t>
      </w:r>
      <w:r w:rsidRPr="007E24E0">
        <w:t>性别和公民义务</w:t>
      </w:r>
      <w:r w:rsidRPr="007E24E0">
        <w:rPr>
          <w:rFonts w:hint="eastAsia"/>
        </w:rPr>
        <w:t>”</w:t>
      </w:r>
      <w:r w:rsidRPr="007E24E0">
        <w:t>的培训讲习班，支持这一计划的成功实施。</w:t>
      </w:r>
    </w:p>
    <w:p w:rsidR="00E96E16" w:rsidRPr="007E24E0" w:rsidRDefault="00E96E16" w:rsidP="00A445E5">
      <w:pPr>
        <w:pStyle w:val="H23GC"/>
      </w:pPr>
      <w:r w:rsidRPr="007E24E0">
        <w:tab/>
      </w:r>
      <w:r w:rsidRPr="007E24E0">
        <w:tab/>
      </w:r>
      <w:r w:rsidRPr="007E24E0">
        <w:t>通过大众媒体提高人权意识</w:t>
      </w:r>
    </w:p>
    <w:p w:rsidR="00E96E16" w:rsidRPr="007E24E0" w:rsidRDefault="00E96E16" w:rsidP="00E96E16">
      <w:pPr>
        <w:pStyle w:val="SingleTxtGC"/>
      </w:pPr>
      <w:r w:rsidRPr="007E24E0">
        <w:t>28.</w:t>
      </w:r>
      <w:r w:rsidRPr="007E24E0">
        <w:tab/>
      </w:r>
      <w:r w:rsidRPr="007E24E0">
        <w:t>通过电子和印刷媒体</w:t>
      </w:r>
      <w:r w:rsidRPr="007E24E0">
        <w:t>(</w:t>
      </w:r>
      <w:r w:rsidRPr="007E24E0">
        <w:t>包括政府媒体</w:t>
      </w:r>
      <w:r w:rsidRPr="007E24E0">
        <w:t>)</w:t>
      </w:r>
      <w:r w:rsidRPr="007E24E0">
        <w:t>不断提高对人权问题的认识；南苏丹广播合作组织</w:t>
      </w:r>
      <w:r w:rsidRPr="007E24E0">
        <w:t>(</w:t>
      </w:r>
      <w:r w:rsidRPr="007E24E0">
        <w:t>广播和电视</w:t>
      </w:r>
      <w:r w:rsidRPr="007E24E0">
        <w:t>)</w:t>
      </w:r>
      <w:r w:rsidRPr="007E24E0">
        <w:t>，联合国米拉亚调频电台，以及私人电台：</w:t>
      </w:r>
      <w:r w:rsidRPr="007E24E0">
        <w:t>Eye Radio</w:t>
      </w:r>
      <w:r w:rsidRPr="007E24E0">
        <w:t>、</w:t>
      </w:r>
      <w:r w:rsidRPr="007E24E0">
        <w:t>Bakhita Radio</w:t>
      </w:r>
      <w:r w:rsidRPr="007E24E0">
        <w:t>和</w:t>
      </w:r>
      <w:r w:rsidRPr="007E24E0">
        <w:t>Radio One</w:t>
      </w:r>
      <w:r w:rsidRPr="007E24E0">
        <w:t>广播电台等。印刷媒体包括《朱巴观察报》</w:t>
      </w:r>
      <w:r w:rsidRPr="007E24E0">
        <w:t>(Juba Monitor)</w:t>
      </w:r>
      <w:r w:rsidRPr="007E24E0">
        <w:t>、《黎明报》</w:t>
      </w:r>
      <w:r w:rsidRPr="007E24E0">
        <w:t>(Dawn)</w:t>
      </w:r>
      <w:r w:rsidRPr="007E24E0">
        <w:t>和其他报纸，所有这些报纸都在促进该国人权意识方面发挥着关键作用。</w:t>
      </w:r>
    </w:p>
    <w:p w:rsidR="00E96E16" w:rsidRPr="007E24E0" w:rsidRDefault="00E96E16" w:rsidP="00A445E5">
      <w:pPr>
        <w:pStyle w:val="H23GC"/>
      </w:pPr>
      <w:r w:rsidRPr="007E24E0">
        <w:tab/>
      </w:r>
      <w:r w:rsidRPr="007E24E0">
        <w:tab/>
      </w:r>
      <w:r w:rsidRPr="007E24E0">
        <w:t>包括非政府组织在内的民间社会的作用</w:t>
      </w:r>
    </w:p>
    <w:p w:rsidR="00E96E16" w:rsidRPr="007E24E0" w:rsidRDefault="00E96E16" w:rsidP="00E96E16">
      <w:pPr>
        <w:pStyle w:val="SingleTxtGC"/>
      </w:pPr>
      <w:r w:rsidRPr="007E24E0">
        <w:t>29.</w:t>
      </w:r>
      <w:r w:rsidRPr="007E24E0">
        <w:tab/>
      </w:r>
      <w:r w:rsidRPr="007E24E0">
        <w:t>民间社会组织</w:t>
      </w:r>
      <w:r w:rsidRPr="007E24E0">
        <w:t>(CSOs)</w:t>
      </w:r>
      <w:r w:rsidRPr="007E24E0">
        <w:t>在积极促进该国人权。由部际委员会代表的政府与得到国际伙伴支持的民间社会组织合作，这些国际伙伴包括南苏丹特派团人权司、开发署、儿基会、人口基金、妇女署和世界路德会联合会等，一直在共同努力促进该国的人权保护。</w:t>
      </w:r>
    </w:p>
    <w:p w:rsidR="00E96E16" w:rsidRPr="007E24E0" w:rsidRDefault="00E96E16" w:rsidP="00A445E5">
      <w:pPr>
        <w:pStyle w:val="H23GC"/>
      </w:pPr>
      <w:r w:rsidRPr="007E24E0">
        <w:tab/>
      </w:r>
      <w:r w:rsidRPr="007E24E0">
        <w:tab/>
      </w:r>
      <w:r w:rsidRPr="007E24E0">
        <w:t>发展合作和援助</w:t>
      </w:r>
    </w:p>
    <w:p w:rsidR="00E96E16" w:rsidRPr="007E24E0" w:rsidRDefault="00E96E16" w:rsidP="00E96E16">
      <w:pPr>
        <w:pStyle w:val="SingleTxtGC"/>
      </w:pPr>
      <w:r w:rsidRPr="007E24E0">
        <w:t>30.</w:t>
      </w:r>
      <w:r w:rsidRPr="007E24E0">
        <w:tab/>
      </w:r>
      <w:r w:rsidRPr="007E24E0">
        <w:t>该国在促进和保护基本人权方面得到国际伙伴的支持。在该国工作的大多数联合国机构在全国范围内提供了各种关于性别战略和行动计划的培训，以指导应对活动。</w:t>
      </w:r>
    </w:p>
    <w:p w:rsidR="00E96E16" w:rsidRPr="007E24E0" w:rsidRDefault="00E96E16" w:rsidP="00A445E5">
      <w:pPr>
        <w:pStyle w:val="H1GC"/>
      </w:pPr>
      <w:r w:rsidRPr="007E24E0">
        <w:tab/>
        <w:t>G.</w:t>
      </w:r>
      <w:r w:rsidRPr="007E24E0">
        <w:tab/>
      </w:r>
      <w:r w:rsidRPr="007E24E0">
        <w:t>影响或阻碍执行国际人权文书的一般性挑战</w:t>
      </w:r>
    </w:p>
    <w:p w:rsidR="00E96E16" w:rsidRPr="007E24E0" w:rsidRDefault="00E96E16" w:rsidP="00A445E5">
      <w:pPr>
        <w:pStyle w:val="H23GC"/>
      </w:pPr>
      <w:r w:rsidRPr="007E24E0">
        <w:tab/>
      </w:r>
      <w:r w:rsidRPr="007E24E0">
        <w:tab/>
      </w:r>
      <w:r w:rsidRPr="007E24E0">
        <w:t>不安全</w:t>
      </w:r>
    </w:p>
    <w:p w:rsidR="00E96E16" w:rsidRPr="007E24E0" w:rsidRDefault="00E96E16" w:rsidP="00E96E16">
      <w:pPr>
        <w:pStyle w:val="SingleTxtGC"/>
      </w:pPr>
      <w:r w:rsidRPr="007E24E0">
        <w:t>31.</w:t>
      </w:r>
      <w:r w:rsidRPr="007E24E0">
        <w:tab/>
      </w:r>
      <w:r w:rsidRPr="007E24E0">
        <w:t>不安全是阻碍该国促进和保护人权的主要挑战之一。旷日持久的冲突阻碍了该国许多愿景的有效实现，也阻碍了南苏丹加入的人权文书的执行，这些文书载于若干法律框架和政策文件中。</w:t>
      </w:r>
    </w:p>
    <w:p w:rsidR="00E96E16" w:rsidRPr="007E24E0" w:rsidRDefault="00E96E16" w:rsidP="00A445E5">
      <w:pPr>
        <w:pStyle w:val="H1GC"/>
      </w:pPr>
      <w:r w:rsidRPr="007E24E0">
        <w:tab/>
        <w:t>H.</w:t>
      </w:r>
      <w:r w:rsidRPr="007E24E0">
        <w:tab/>
      </w:r>
      <w:r w:rsidRPr="007E24E0">
        <w:rPr>
          <w:bCs/>
        </w:rPr>
        <w:t>报告流程</w:t>
      </w:r>
      <w:bookmarkStart w:id="2" w:name="_Toc337026526"/>
    </w:p>
    <w:p w:rsidR="00E96E16" w:rsidRPr="007E24E0" w:rsidRDefault="00E96E16" w:rsidP="00E96E16">
      <w:pPr>
        <w:pStyle w:val="SingleTxtGC"/>
      </w:pPr>
      <w:r w:rsidRPr="007E24E0">
        <w:t>32.</w:t>
      </w:r>
      <w:r w:rsidRPr="007E24E0">
        <w:tab/>
      </w:r>
      <w:r w:rsidRPr="007E24E0">
        <w:t>根据报告的重点领域，指定负责报告的政府部门。该国还成立了一个政府部委</w:t>
      </w:r>
      <w:r w:rsidRPr="007E24E0">
        <w:t>/</w:t>
      </w:r>
      <w:r w:rsidRPr="007E24E0">
        <w:t>部门，即国际机制部际联合委员会，以协调各自的牵头部委起草相关国家报告。这份共同核心文件由部际联合委员会起草，相关政府部委、部门和合作伙伴提供了意见。</w:t>
      </w:r>
      <w:bookmarkEnd w:id="2"/>
    </w:p>
    <w:p w:rsidR="00E96E16" w:rsidRPr="007E24E0" w:rsidRDefault="00E96E16" w:rsidP="00E96E16">
      <w:pPr>
        <w:pStyle w:val="SingleTxtGC"/>
      </w:pPr>
      <w:r w:rsidRPr="007E24E0">
        <w:t>33.</w:t>
      </w:r>
      <w:r w:rsidRPr="007E24E0">
        <w:tab/>
      </w:r>
      <w:r w:rsidRPr="007E24E0">
        <w:t>在各种挑战中，政府在不同国际和国家伙伴的支持下，通过提交关于执行不同国际文书情况的国家报告，得以履行其条约义务，其中包括：</w:t>
      </w:r>
    </w:p>
    <w:p w:rsidR="00E96E16" w:rsidRPr="007E24E0" w:rsidRDefault="00E96E16" w:rsidP="00E96E16">
      <w:pPr>
        <w:pStyle w:val="SingleTxtGC"/>
      </w:pPr>
      <w:r w:rsidRPr="007E24E0">
        <w:tab/>
        <w:t>(a)</w:t>
      </w:r>
      <w:r w:rsidR="00A445E5">
        <w:tab/>
      </w:r>
      <w:r w:rsidRPr="007E24E0">
        <w:t>普遍定期审议；</w:t>
      </w:r>
    </w:p>
    <w:p w:rsidR="00E96E16" w:rsidRPr="007E24E0" w:rsidRDefault="00E96E16" w:rsidP="00E96E16">
      <w:pPr>
        <w:pStyle w:val="SingleTxtGC"/>
      </w:pPr>
      <w:r w:rsidRPr="007E24E0">
        <w:tab/>
        <w:t>(b)</w:t>
      </w:r>
      <w:r w:rsidR="00A445E5">
        <w:tab/>
      </w:r>
      <w:r w:rsidRPr="007E24E0">
        <w:t>关于《儿童权利公约》</w:t>
      </w:r>
      <w:r w:rsidRPr="007E24E0">
        <w:t>(UNCRC)</w:t>
      </w:r>
      <w:r w:rsidRPr="007E24E0">
        <w:t>执行情况的初次国家报告；</w:t>
      </w:r>
    </w:p>
    <w:p w:rsidR="00E96E16" w:rsidRPr="007E24E0" w:rsidRDefault="00E96E16" w:rsidP="00E96E16">
      <w:pPr>
        <w:pStyle w:val="SingleTxtGC"/>
      </w:pPr>
      <w:r w:rsidRPr="007E24E0">
        <w:tab/>
        <w:t>(c)</w:t>
      </w:r>
      <w:r w:rsidR="00A445E5">
        <w:tab/>
      </w:r>
      <w:r w:rsidRPr="007E24E0">
        <w:t>关于《消除对妇女一切形式歧视公约》</w:t>
      </w:r>
      <w:r w:rsidRPr="007E24E0">
        <w:t>(CEDAW)</w:t>
      </w:r>
      <w:r w:rsidRPr="007E24E0">
        <w:t>执行情况的初次报告；</w:t>
      </w:r>
    </w:p>
    <w:p w:rsidR="00E96E16" w:rsidRPr="007E24E0" w:rsidRDefault="00E96E16" w:rsidP="00E96E16">
      <w:pPr>
        <w:pStyle w:val="SingleTxtGC"/>
      </w:pPr>
      <w:r w:rsidRPr="007E24E0">
        <w:tab/>
        <w:t>(d)</w:t>
      </w:r>
      <w:r w:rsidR="00A445E5">
        <w:tab/>
      </w:r>
      <w:r w:rsidRPr="007E24E0">
        <w:t>《北京行动纲要》。</w:t>
      </w:r>
    </w:p>
    <w:p w:rsidR="00E96E16" w:rsidRPr="007E24E0" w:rsidRDefault="00E96E16" w:rsidP="00E96E16">
      <w:pPr>
        <w:pStyle w:val="SingleTxtGC"/>
      </w:pPr>
    </w:p>
    <w:p w:rsidR="00A445E5" w:rsidRPr="002D6A9C" w:rsidRDefault="00A445E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45C12" w:rsidRDefault="00D45C12" w:rsidP="00D45C12">
      <w:pPr>
        <w:pStyle w:val="SingleTxtGC"/>
      </w:pPr>
    </w:p>
    <w:sectPr w:rsidR="00D45C12" w:rsidSect="00457728">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E16" w:rsidRPr="000D319F" w:rsidRDefault="00E96E16" w:rsidP="000D319F">
      <w:pPr>
        <w:pStyle w:val="af0"/>
        <w:spacing w:after="240"/>
        <w:ind w:left="907"/>
        <w:rPr>
          <w:rFonts w:asciiTheme="majorBidi" w:eastAsia="宋体" w:hAnsiTheme="majorBidi" w:cstheme="majorBidi"/>
          <w:sz w:val="21"/>
          <w:szCs w:val="21"/>
          <w:lang w:val="en-US"/>
        </w:rPr>
      </w:pPr>
    </w:p>
    <w:p w:rsidR="00E96E16" w:rsidRPr="000D319F" w:rsidRDefault="00E96E1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96E16" w:rsidRPr="000D319F" w:rsidRDefault="00E96E16" w:rsidP="000D319F">
      <w:pPr>
        <w:pStyle w:val="af0"/>
      </w:pPr>
    </w:p>
  </w:endnote>
  <w:endnote w:type="continuationNotice" w:id="1">
    <w:p w:rsidR="00E96E16" w:rsidRDefault="00E96E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E16" w:rsidRPr="00D45C12" w:rsidRDefault="00E96E16" w:rsidP="00D45C1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D45C12">
      <w:rPr>
        <w:rStyle w:val="af2"/>
        <w:b w:val="0"/>
        <w:snapToGrid w:val="0"/>
        <w:sz w:val="16"/>
      </w:rPr>
      <w:t>GE.20-03139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E16" w:rsidRPr="00D45C12" w:rsidRDefault="00E96E16" w:rsidP="00D45C12">
    <w:pPr>
      <w:pStyle w:val="af0"/>
      <w:tabs>
        <w:tab w:val="clear" w:pos="431"/>
        <w:tab w:val="right" w:pos="9638"/>
      </w:tabs>
      <w:rPr>
        <w:rStyle w:val="af2"/>
      </w:rPr>
    </w:pPr>
    <w:r>
      <w:t>GE.20-03139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E16" w:rsidRPr="0013023B" w:rsidRDefault="00E96E16" w:rsidP="0021684B">
    <w:pPr>
      <w:pStyle w:val="af0"/>
      <w:tabs>
        <w:tab w:val="left" w:pos="1701"/>
        <w:tab w:val="left" w:pos="2552"/>
        <w:tab w:val="left" w:pos="8448"/>
      </w:tabs>
      <w:spacing w:before="360"/>
      <w:rPr>
        <w:rFonts w:eastAsiaTheme="minorEastAsia"/>
        <w:b/>
        <w:sz w:val="21"/>
        <w:lang w:eastAsia="zh-CN"/>
      </w:rPr>
    </w:pPr>
    <w:r>
      <w:rPr>
        <w:sz w:val="20"/>
        <w:lang w:eastAsia="zh-CN"/>
      </w:rPr>
      <w:t>GE.20-03139</w:t>
    </w:r>
    <w:r w:rsidRPr="00EE277A">
      <w:rPr>
        <w:sz w:val="20"/>
        <w:lang w:eastAsia="zh-CN"/>
      </w:rPr>
      <w:t xml:space="preserve"> (C)</w:t>
    </w:r>
    <w:r>
      <w:rPr>
        <w:sz w:val="20"/>
        <w:lang w:eastAsia="zh-CN"/>
      </w:rPr>
      <w:tab/>
      <w:t>030320</w:t>
    </w:r>
    <w:r>
      <w:rPr>
        <w:sz w:val="20"/>
        <w:lang w:eastAsia="zh-CN"/>
      </w:rPr>
      <w:tab/>
    </w:r>
    <w:r w:rsidR="001F7E48">
      <w:rPr>
        <w:sz w:val="20"/>
        <w:lang w:eastAsia="zh-CN"/>
      </w:rPr>
      <w:t>1</w:t>
    </w:r>
    <w:r w:rsidR="00C569FA">
      <w:rPr>
        <w:sz w:val="20"/>
        <w:lang w:eastAsia="zh-CN"/>
      </w:rPr>
      <w:t>2</w:t>
    </w:r>
    <w:r w:rsidR="001F7E48">
      <w:rPr>
        <w:sz w:val="20"/>
        <w:lang w:eastAsia="zh-CN"/>
      </w:rPr>
      <w:t>0320</w:t>
    </w:r>
  </w:p>
  <w:p w:rsidR="00E96E16" w:rsidRPr="00487939" w:rsidRDefault="00E96E16" w:rsidP="0021684B">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HRI/CORE/SSD/2020&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SSD/2020&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DD3A2E0" wp14:editId="1B1C424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E16" w:rsidRPr="000157B1" w:rsidRDefault="00E96E1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96E16" w:rsidRPr="000157B1" w:rsidRDefault="00E96E1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96E16" w:rsidRDefault="00E96E16"/>
  </w:footnote>
  <w:footnote w:id="2">
    <w:p w:rsidR="00E96E16" w:rsidRPr="0087156E" w:rsidRDefault="00E96E16">
      <w:pPr>
        <w:pStyle w:val="a6"/>
      </w:pPr>
      <w:r w:rsidRPr="0087156E">
        <w:rPr>
          <w:rStyle w:val="a8"/>
          <w:rFonts w:eastAsia="宋体"/>
          <w:vertAlign w:val="baseline"/>
        </w:rPr>
        <w:tab/>
        <w:t>*</w:t>
      </w:r>
      <w:r w:rsidRPr="0087156E">
        <w:tab/>
      </w:r>
      <w:r w:rsidRPr="0087156E">
        <w:rPr>
          <w:rFonts w:hint="eastAsia"/>
        </w:rPr>
        <w:t>本文件未经正式编辑而印发。</w:t>
      </w:r>
    </w:p>
  </w:footnote>
  <w:footnote w:id="3">
    <w:p w:rsidR="00E96E16" w:rsidRPr="00CE6955" w:rsidRDefault="00E96E16" w:rsidP="00E96E16">
      <w:pPr>
        <w:pStyle w:val="a6"/>
      </w:pPr>
      <w:r w:rsidRPr="00CE6955">
        <w:rPr>
          <w:lang w:val="zh-CN"/>
        </w:rPr>
        <w:tab/>
      </w:r>
      <w:r w:rsidRPr="0028015C">
        <w:rPr>
          <w:rStyle w:val="a8"/>
          <w:rFonts w:eastAsia="宋体"/>
          <w:lang w:val="zh-CN"/>
        </w:rPr>
        <w:footnoteRef/>
      </w:r>
      <w:r w:rsidRPr="001C71B2">
        <w:tab/>
        <w:t>https://www.google.com/search?q=map+of+south+sudan+and+surrounding+countries &amp;tbm=isch&amp;source=iu&amp;ictx=1&amp;fir=3qy3ymD-.</w:t>
      </w:r>
    </w:p>
  </w:footnote>
  <w:footnote w:id="4">
    <w:p w:rsidR="00E96E16" w:rsidRPr="00CE6955" w:rsidRDefault="00E96E16" w:rsidP="00E96E16">
      <w:pPr>
        <w:pStyle w:val="a6"/>
      </w:pPr>
      <w:r w:rsidRPr="001C71B2">
        <w:tab/>
      </w:r>
      <w:r w:rsidRPr="0028015C">
        <w:rPr>
          <w:rStyle w:val="a8"/>
          <w:rFonts w:eastAsia="宋体"/>
          <w:lang w:val="zh-CN"/>
        </w:rPr>
        <w:footnoteRef/>
      </w:r>
      <w:r w:rsidRPr="001C71B2">
        <w:tab/>
        <w:t>2018</w:t>
      </w:r>
      <w:r>
        <w:rPr>
          <w:lang w:val="zh-CN"/>
        </w:rPr>
        <w:t>年南苏丹人口统计概况</w:t>
      </w:r>
      <w:r w:rsidRPr="001C71B2">
        <w:t>，</w:t>
      </w:r>
      <w:r w:rsidR="00A24F6F">
        <w:br/>
      </w:r>
      <w:r w:rsidRPr="001C71B2">
        <w:t>https://www.indexmundi.com/south_sudan/demographics_profile.html</w:t>
      </w:r>
      <w:r>
        <w:rPr>
          <w:lang w:val="zh-CN"/>
        </w:rPr>
        <w:t>。</w:t>
      </w:r>
    </w:p>
  </w:footnote>
  <w:footnote w:id="5">
    <w:p w:rsidR="00E96E16" w:rsidRPr="00CE6955" w:rsidRDefault="00E96E16" w:rsidP="00E96E16">
      <w:pPr>
        <w:pStyle w:val="a6"/>
      </w:pPr>
      <w:r w:rsidRPr="001C71B2">
        <w:tab/>
      </w:r>
      <w:r w:rsidRPr="0028015C">
        <w:rPr>
          <w:rStyle w:val="a8"/>
          <w:rFonts w:eastAsia="宋体"/>
          <w:lang w:val="zh-CN"/>
        </w:rPr>
        <w:footnoteRef/>
      </w:r>
      <w:r w:rsidRPr="001C71B2">
        <w:tab/>
      </w:r>
      <w:r>
        <w:rPr>
          <w:lang w:val="zh-CN"/>
        </w:rPr>
        <w:t>同上。</w:t>
      </w:r>
    </w:p>
  </w:footnote>
  <w:footnote w:id="6">
    <w:p w:rsidR="00E96E16" w:rsidRPr="00CE6955" w:rsidRDefault="00E96E16" w:rsidP="00E96E16">
      <w:pPr>
        <w:pStyle w:val="a6"/>
      </w:pPr>
      <w:r w:rsidRPr="001C71B2">
        <w:tab/>
      </w:r>
      <w:r w:rsidRPr="0028015C">
        <w:rPr>
          <w:rStyle w:val="a8"/>
          <w:rFonts w:eastAsia="宋体"/>
          <w:lang w:val="zh-CN"/>
        </w:rPr>
        <w:footnoteRef/>
      </w:r>
      <w:r w:rsidRPr="001C71B2">
        <w:tab/>
      </w:r>
      <w:r>
        <w:rPr>
          <w:lang w:val="zh-CN"/>
        </w:rPr>
        <w:t>同上。</w:t>
      </w:r>
    </w:p>
  </w:footnote>
  <w:footnote w:id="7">
    <w:p w:rsidR="00E96E16" w:rsidRPr="00CE6955" w:rsidRDefault="00E96E16" w:rsidP="00E96E16">
      <w:pPr>
        <w:pStyle w:val="a6"/>
      </w:pPr>
      <w:r w:rsidRPr="001C71B2">
        <w:tab/>
      </w:r>
      <w:r w:rsidRPr="0028015C">
        <w:rPr>
          <w:rStyle w:val="a8"/>
          <w:rFonts w:eastAsia="宋体"/>
          <w:lang w:val="zh-CN"/>
        </w:rPr>
        <w:footnoteRef/>
      </w:r>
      <w:r w:rsidRPr="007E24E0">
        <w:tab/>
      </w:r>
      <w:r>
        <w:rPr>
          <w:lang w:val="zh-CN"/>
        </w:rPr>
        <w:t>南苏丹</w:t>
      </w:r>
      <w:r w:rsidRPr="007E24E0">
        <w:t>2010</w:t>
      </w:r>
      <w:r>
        <w:rPr>
          <w:lang w:val="zh-CN"/>
        </w:rPr>
        <w:t>年家庭健康调查</w:t>
      </w:r>
      <w:r w:rsidRPr="007E24E0">
        <w:t>，</w:t>
      </w:r>
      <w:r w:rsidRPr="007E24E0">
        <w:t>2010</w:t>
      </w:r>
      <w:r>
        <w:rPr>
          <w:lang w:val="zh-CN"/>
        </w:rPr>
        <w:t>年。</w:t>
      </w:r>
    </w:p>
  </w:footnote>
  <w:footnote w:id="8">
    <w:p w:rsidR="00E96E16" w:rsidRPr="00CE6955" w:rsidRDefault="00E96E16" w:rsidP="00E96E16">
      <w:pPr>
        <w:pStyle w:val="a6"/>
      </w:pPr>
      <w:r w:rsidRPr="007E24E0">
        <w:tab/>
      </w:r>
      <w:r w:rsidRPr="0028015C">
        <w:rPr>
          <w:rStyle w:val="a8"/>
          <w:rFonts w:eastAsia="宋体"/>
          <w:lang w:val="zh-CN"/>
        </w:rPr>
        <w:footnoteRef/>
      </w:r>
      <w:r>
        <w:rPr>
          <w:lang w:val="zh-CN"/>
        </w:rPr>
        <w:tab/>
      </w:r>
      <w:r>
        <w:rPr>
          <w:lang w:val="zh-CN"/>
        </w:rPr>
        <w:t>南苏丹</w:t>
      </w:r>
      <w:r>
        <w:rPr>
          <w:lang w:val="zh-CN"/>
        </w:rPr>
        <w:t>2011</w:t>
      </w:r>
      <w:r>
        <w:rPr>
          <w:lang w:val="zh-CN"/>
        </w:rPr>
        <w:t>年《过渡期宪法》第</w:t>
      </w:r>
      <w:r>
        <w:rPr>
          <w:lang w:val="zh-CN"/>
        </w:rPr>
        <w:t>5</w:t>
      </w:r>
      <w:r>
        <w:rPr>
          <w:lang w:val="zh-CN"/>
        </w:rPr>
        <w:t>条。</w:t>
      </w:r>
    </w:p>
  </w:footnote>
  <w:footnote w:id="9">
    <w:p w:rsidR="00E96E16" w:rsidRPr="00CE6955" w:rsidRDefault="00E96E16" w:rsidP="00E96E16">
      <w:pPr>
        <w:pStyle w:val="a6"/>
      </w:pPr>
      <w:r w:rsidRPr="00CE6955">
        <w:rPr>
          <w:lang w:val="zh-CN"/>
        </w:rPr>
        <w:tab/>
      </w:r>
      <w:r w:rsidRPr="0028015C">
        <w:rPr>
          <w:rStyle w:val="a8"/>
          <w:rFonts w:eastAsia="宋体"/>
          <w:lang w:val="zh-CN"/>
        </w:rPr>
        <w:footnoteRef/>
      </w:r>
      <w:r w:rsidRPr="001C71B2">
        <w:tab/>
        <w:t>Sudan Tribune, Plural News and Views on Sudan, National Elections Commission (NEC) – South Sudan, http://www.sudantribune.com/spip.php?mot1053.</w:t>
      </w:r>
    </w:p>
  </w:footnote>
  <w:footnote w:id="10">
    <w:p w:rsidR="00E96E16" w:rsidRPr="00CE6955" w:rsidRDefault="00E96E16" w:rsidP="00E96E16">
      <w:pPr>
        <w:pStyle w:val="a6"/>
      </w:pPr>
      <w:r w:rsidRPr="001C71B2">
        <w:tab/>
      </w:r>
      <w:r w:rsidRPr="0028015C">
        <w:rPr>
          <w:rStyle w:val="a8"/>
          <w:rFonts w:eastAsia="宋体"/>
          <w:lang w:val="zh-CN"/>
        </w:rPr>
        <w:footnoteRef/>
      </w:r>
      <w:r>
        <w:rPr>
          <w:lang w:val="zh-CN"/>
        </w:rPr>
        <w:tab/>
      </w:r>
      <w:r>
        <w:rPr>
          <w:lang w:val="zh-CN"/>
        </w:rPr>
        <w:t>第</w:t>
      </w:r>
      <w:r>
        <w:rPr>
          <w:lang w:val="zh-CN"/>
        </w:rPr>
        <w:t>145</w:t>
      </w:r>
      <w:r>
        <w:rPr>
          <w:lang w:val="zh-CN"/>
        </w:rPr>
        <w:t>条；</w:t>
      </w:r>
      <w:r>
        <w:rPr>
          <w:lang w:val="zh-CN"/>
        </w:rPr>
        <w:t>2011</w:t>
      </w:r>
      <w:r>
        <w:rPr>
          <w:lang w:val="zh-CN"/>
        </w:rPr>
        <w:t>年南苏丹共和国《过渡期宪法》。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E16" w:rsidRDefault="00E96E16" w:rsidP="00D45C12">
    <w:pPr>
      <w:pStyle w:val="af3"/>
    </w:pPr>
    <w:r>
      <w:t>HRI/CORE/SSD/2020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E16" w:rsidRPr="00202A30" w:rsidRDefault="00E96E16" w:rsidP="00D45C12">
    <w:pPr>
      <w:pStyle w:val="af3"/>
      <w:jc w:val="right"/>
    </w:pPr>
    <w:r>
      <w:t>HRI/CORE/SSD/2020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53D0D"/>
    <w:rsid w:val="00011483"/>
    <w:rsid w:val="00015ECE"/>
    <w:rsid w:val="0004121E"/>
    <w:rsid w:val="000853A6"/>
    <w:rsid w:val="000D319F"/>
    <w:rsid w:val="000E4D0E"/>
    <w:rsid w:val="00125AC6"/>
    <w:rsid w:val="0013023B"/>
    <w:rsid w:val="00144B69"/>
    <w:rsid w:val="00153E86"/>
    <w:rsid w:val="00164236"/>
    <w:rsid w:val="00197F40"/>
    <w:rsid w:val="001B1BD1"/>
    <w:rsid w:val="001C3EF2"/>
    <w:rsid w:val="001D17F6"/>
    <w:rsid w:val="001D2C3F"/>
    <w:rsid w:val="001F7E48"/>
    <w:rsid w:val="00204B42"/>
    <w:rsid w:val="002068D7"/>
    <w:rsid w:val="0021684B"/>
    <w:rsid w:val="002231C3"/>
    <w:rsid w:val="0023114C"/>
    <w:rsid w:val="0024417F"/>
    <w:rsid w:val="00250F8D"/>
    <w:rsid w:val="002E1C97"/>
    <w:rsid w:val="002E34ED"/>
    <w:rsid w:val="002F5834"/>
    <w:rsid w:val="00302858"/>
    <w:rsid w:val="00322F05"/>
    <w:rsid w:val="00326EBF"/>
    <w:rsid w:val="00327FE4"/>
    <w:rsid w:val="00392F6C"/>
    <w:rsid w:val="003D7D4D"/>
    <w:rsid w:val="00402CED"/>
    <w:rsid w:val="00410055"/>
    <w:rsid w:val="00413D23"/>
    <w:rsid w:val="00422057"/>
    <w:rsid w:val="00427F63"/>
    <w:rsid w:val="00457728"/>
    <w:rsid w:val="00475113"/>
    <w:rsid w:val="004A17D1"/>
    <w:rsid w:val="004A7FCE"/>
    <w:rsid w:val="004C4A0A"/>
    <w:rsid w:val="00543EBA"/>
    <w:rsid w:val="005E403A"/>
    <w:rsid w:val="00680656"/>
    <w:rsid w:val="006A6F41"/>
    <w:rsid w:val="006B1119"/>
    <w:rsid w:val="006E3E46"/>
    <w:rsid w:val="006E71B1"/>
    <w:rsid w:val="006F49C1"/>
    <w:rsid w:val="00705D89"/>
    <w:rsid w:val="00731A42"/>
    <w:rsid w:val="007520CA"/>
    <w:rsid w:val="00767E69"/>
    <w:rsid w:val="0077079A"/>
    <w:rsid w:val="007A22E5"/>
    <w:rsid w:val="007A5599"/>
    <w:rsid w:val="00816936"/>
    <w:rsid w:val="00856233"/>
    <w:rsid w:val="00860F27"/>
    <w:rsid w:val="0087156E"/>
    <w:rsid w:val="008B0560"/>
    <w:rsid w:val="008B2BFA"/>
    <w:rsid w:val="0090460E"/>
    <w:rsid w:val="00936F03"/>
    <w:rsid w:val="00943B69"/>
    <w:rsid w:val="00944CB3"/>
    <w:rsid w:val="00992BB2"/>
    <w:rsid w:val="009B09D7"/>
    <w:rsid w:val="009D0E6B"/>
    <w:rsid w:val="009D35ED"/>
    <w:rsid w:val="009E6C86"/>
    <w:rsid w:val="00A03CB6"/>
    <w:rsid w:val="00A1364C"/>
    <w:rsid w:val="00A21076"/>
    <w:rsid w:val="00A24F6F"/>
    <w:rsid w:val="00A3739A"/>
    <w:rsid w:val="00A445E5"/>
    <w:rsid w:val="00A52DAF"/>
    <w:rsid w:val="00A84072"/>
    <w:rsid w:val="00AD5497"/>
    <w:rsid w:val="00B16570"/>
    <w:rsid w:val="00B53320"/>
    <w:rsid w:val="00BC6522"/>
    <w:rsid w:val="00BE0A3E"/>
    <w:rsid w:val="00C121D5"/>
    <w:rsid w:val="00C17349"/>
    <w:rsid w:val="00C306E4"/>
    <w:rsid w:val="00C351AA"/>
    <w:rsid w:val="00C569FA"/>
    <w:rsid w:val="00C7253F"/>
    <w:rsid w:val="00CA51AF"/>
    <w:rsid w:val="00CD7ACE"/>
    <w:rsid w:val="00D26A05"/>
    <w:rsid w:val="00D45C12"/>
    <w:rsid w:val="00D74084"/>
    <w:rsid w:val="00D97B98"/>
    <w:rsid w:val="00DC671F"/>
    <w:rsid w:val="00DC68EC"/>
    <w:rsid w:val="00DE4DA7"/>
    <w:rsid w:val="00E33B38"/>
    <w:rsid w:val="00E47FE5"/>
    <w:rsid w:val="00E574AF"/>
    <w:rsid w:val="00E96E16"/>
    <w:rsid w:val="00EB72B7"/>
    <w:rsid w:val="00EF4E18"/>
    <w:rsid w:val="00F36168"/>
    <w:rsid w:val="00F53D0D"/>
    <w:rsid w:val="00F56024"/>
    <w:rsid w:val="00F714DA"/>
    <w:rsid w:val="00F90004"/>
    <w:rsid w:val="00FB456B"/>
    <w:rsid w:val="00FD4B8F"/>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5F080"/>
  <w15:docId w15:val="{BB14F38D-62DA-4C31-9265-2815F9F3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F56024"/>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F56024"/>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F56024"/>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CD7ACE"/>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56024"/>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F56024"/>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410055"/>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41005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410055"/>
    <w:pPr>
      <w:keepLines w:val="0"/>
      <w:spacing w:after="0"/>
    </w:pPr>
  </w:style>
  <w:style w:type="character" w:customStyle="1" w:styleId="ad">
    <w:name w:val="尾注文本 字符"/>
    <w:basedOn w:val="a0"/>
    <w:link w:val="ac"/>
    <w:rsid w:val="00410055"/>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90460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90460E"/>
    <w:rPr>
      <w:rFonts w:eastAsia="Times New Roman"/>
      <w:snapToGrid w:val="0"/>
      <w:sz w:val="16"/>
      <w:szCs w:val="16"/>
      <w:lang w:val="en-GB" w:eastAsia="en-US"/>
    </w:rPr>
  </w:style>
  <w:style w:type="character" w:styleId="af2">
    <w:name w:val="page number"/>
    <w:basedOn w:val="a0"/>
    <w:qFormat/>
    <w:rsid w:val="0090460E"/>
    <w:rPr>
      <w:rFonts w:ascii="Times New Roman" w:hAnsi="Times New Roman"/>
      <w:b/>
      <w:i w:val="0"/>
      <w:snapToGrid w:val="0"/>
      <w:spacing w:val="0"/>
      <w:kern w:val="0"/>
      <w:sz w:val="18"/>
      <w14:cntxtAlts w14:val="0"/>
    </w:rPr>
  </w:style>
  <w:style w:type="paragraph" w:styleId="af3">
    <w:name w:val="header"/>
    <w:basedOn w:val="a"/>
    <w:link w:val="af4"/>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90460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basedOn w:val="a0"/>
    <w:uiPriority w:val="99"/>
    <w:semiHidden/>
    <w:rsid w:val="00E96E16"/>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2E9CC-1AE1-4FE5-9A5B-873527F8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8</Pages>
  <Words>4328</Words>
  <Characters>4994</Characters>
  <Application>Microsoft Office Word</Application>
  <DocSecurity>0</DocSecurity>
  <Lines>372</Lines>
  <Paragraphs>231</Paragraphs>
  <ScaleCrop>false</ScaleCrop>
  <Company>DCM</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HRI/CORE/SSD/2020</dc:title>
  <dc:subject>2003139</dc:subject>
  <dc:creator>Ji</dc:creator>
  <cp:keywords/>
  <dc:description/>
  <cp:lastModifiedBy>Xiangli Ferschin-Ji</cp:lastModifiedBy>
  <cp:revision>2</cp:revision>
  <cp:lastPrinted>2014-05-09T11:28:00Z</cp:lastPrinted>
  <dcterms:created xsi:type="dcterms:W3CDTF">2020-03-12T14:37:00Z</dcterms:created>
  <dcterms:modified xsi:type="dcterms:W3CDTF">2020-03-12T14:37:00Z</dcterms:modified>
</cp:coreProperties>
</file>