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FA73168" w14:textId="77777777" w:rsidTr="00C057D5">
        <w:trPr>
          <w:trHeight w:hRule="exact" w:val="851"/>
        </w:trPr>
        <w:tc>
          <w:tcPr>
            <w:tcW w:w="1276" w:type="dxa"/>
            <w:tcBorders>
              <w:bottom w:val="single" w:sz="4" w:space="0" w:color="auto"/>
            </w:tcBorders>
          </w:tcPr>
          <w:p w14:paraId="152C7E83" w14:textId="77777777" w:rsidR="002D5AAC" w:rsidRDefault="002D5AAC" w:rsidP="00CE1680">
            <w:pPr>
              <w:kinsoku w:val="0"/>
              <w:overflowPunct w:val="0"/>
              <w:autoSpaceDE w:val="0"/>
              <w:autoSpaceDN w:val="0"/>
              <w:adjustRightInd w:val="0"/>
              <w:snapToGrid w:val="0"/>
            </w:pPr>
          </w:p>
        </w:tc>
        <w:tc>
          <w:tcPr>
            <w:tcW w:w="2268" w:type="dxa"/>
            <w:tcBorders>
              <w:bottom w:val="single" w:sz="4" w:space="0" w:color="auto"/>
            </w:tcBorders>
            <w:vAlign w:val="bottom"/>
          </w:tcPr>
          <w:p w14:paraId="66FE35AA" w14:textId="77777777" w:rsidR="002D5AAC" w:rsidRPr="00BD33EE" w:rsidRDefault="00BD33EE" w:rsidP="00C057D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15D9EF0" w14:textId="77777777" w:rsidR="002D5AAC" w:rsidRDefault="00CE1680" w:rsidP="00CE1680">
            <w:pPr>
              <w:jc w:val="right"/>
            </w:pPr>
            <w:r w:rsidRPr="00CE1680">
              <w:rPr>
                <w:sz w:val="40"/>
              </w:rPr>
              <w:t>HRI</w:t>
            </w:r>
            <w:r>
              <w:t>/CORE/SSD/2020</w:t>
            </w:r>
          </w:p>
        </w:tc>
      </w:tr>
      <w:tr w:rsidR="002D5AAC" w14:paraId="518E109E" w14:textId="77777777" w:rsidTr="00C057D5">
        <w:trPr>
          <w:trHeight w:hRule="exact" w:val="2835"/>
        </w:trPr>
        <w:tc>
          <w:tcPr>
            <w:tcW w:w="1276" w:type="dxa"/>
            <w:tcBorders>
              <w:top w:val="single" w:sz="4" w:space="0" w:color="auto"/>
              <w:bottom w:val="single" w:sz="12" w:space="0" w:color="auto"/>
            </w:tcBorders>
          </w:tcPr>
          <w:p w14:paraId="0C1F42EB" w14:textId="77777777" w:rsidR="002D5AAC" w:rsidRDefault="0095700F" w:rsidP="00C057D5">
            <w:pPr>
              <w:spacing w:before="120"/>
              <w:jc w:val="center"/>
            </w:pPr>
            <w:r>
              <w:rPr>
                <w:noProof/>
              </w:rPr>
              <w:drawing>
                <wp:inline distT="0" distB="0" distL="0" distR="0" wp14:anchorId="5973D1A7" wp14:editId="4B3ED51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56E692" w14:textId="77777777"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14:paraId="6ED84787" w14:textId="77777777" w:rsidR="002D5AAC" w:rsidRDefault="00CE1680" w:rsidP="00C057D5">
            <w:pPr>
              <w:spacing w:before="240"/>
            </w:pPr>
            <w:r>
              <w:t>Distr. general</w:t>
            </w:r>
          </w:p>
          <w:p w14:paraId="7A3CF3BC" w14:textId="77777777" w:rsidR="00CE1680" w:rsidRDefault="00CE1680" w:rsidP="00CE1680">
            <w:pPr>
              <w:spacing w:line="240" w:lineRule="exact"/>
            </w:pPr>
            <w:r>
              <w:t>28 de febrero de 2020</w:t>
            </w:r>
          </w:p>
          <w:p w14:paraId="0F5F7081" w14:textId="77777777" w:rsidR="00CE1680" w:rsidRDefault="00CE1680" w:rsidP="00CE1680">
            <w:pPr>
              <w:spacing w:line="240" w:lineRule="exact"/>
            </w:pPr>
            <w:r>
              <w:t>Español</w:t>
            </w:r>
          </w:p>
          <w:p w14:paraId="5B6BCC6B" w14:textId="77777777" w:rsidR="00CE1680" w:rsidRDefault="00CE1680" w:rsidP="00CE1680">
            <w:pPr>
              <w:spacing w:line="240" w:lineRule="exact"/>
            </w:pPr>
            <w:r>
              <w:t>Original: inglés</w:t>
            </w:r>
          </w:p>
        </w:tc>
      </w:tr>
    </w:tbl>
    <w:p w14:paraId="52205EE1" w14:textId="77777777" w:rsidR="00A24ECC" w:rsidRPr="00A24ECC" w:rsidRDefault="00E105E6" w:rsidP="00E105E6">
      <w:pPr>
        <w:pStyle w:val="HMG"/>
      </w:pPr>
      <w:r>
        <w:tab/>
      </w:r>
      <w:r w:rsidR="00A24ECC" w:rsidRPr="00A24ECC">
        <w:tab/>
        <w:t>Documento básico común que forma parte integrante de los informes de los Estados partes</w:t>
      </w:r>
    </w:p>
    <w:p w14:paraId="3EE4C3A4" w14:textId="77777777" w:rsidR="00A24ECC" w:rsidRPr="00A24ECC" w:rsidRDefault="00E105E6" w:rsidP="00E105E6">
      <w:pPr>
        <w:pStyle w:val="HMG"/>
      </w:pPr>
      <w:r>
        <w:tab/>
      </w:r>
      <w:r w:rsidR="00A24ECC" w:rsidRPr="00A24ECC">
        <w:tab/>
        <w:t>Sudán del Sur</w:t>
      </w:r>
      <w:r w:rsidRPr="00E105E6">
        <w:rPr>
          <w:rStyle w:val="Refdenotaalpie"/>
          <w:b w:val="0"/>
          <w:bCs/>
          <w:sz w:val="20"/>
          <w:vertAlign w:val="baseline"/>
        </w:rPr>
        <w:footnoteReference w:customMarkFollows="1" w:id="1"/>
        <w:t>*</w:t>
      </w:r>
    </w:p>
    <w:p w14:paraId="6932459D" w14:textId="77777777" w:rsidR="00A24ECC" w:rsidRPr="00A24ECC" w:rsidRDefault="00A24ECC" w:rsidP="00E105E6">
      <w:pPr>
        <w:pStyle w:val="SingleTxtG"/>
        <w:jc w:val="right"/>
      </w:pPr>
      <w:r w:rsidRPr="00A24ECC">
        <w:t>[Fecha de recepción: 30 de enero de 2020]</w:t>
      </w:r>
    </w:p>
    <w:p w14:paraId="48A58C79" w14:textId="77777777" w:rsidR="00A24ECC" w:rsidRPr="00A24ECC" w:rsidRDefault="00A24ECC" w:rsidP="00A24ECC">
      <w:pPr>
        <w:spacing w:line="240" w:lineRule="auto"/>
      </w:pPr>
      <w:r w:rsidRPr="00A24ECC">
        <w:br w:type="page"/>
      </w:r>
    </w:p>
    <w:p w14:paraId="120AE224" w14:textId="77777777" w:rsidR="00A24ECC" w:rsidRPr="00A24ECC" w:rsidRDefault="00E105E6" w:rsidP="00E105E6">
      <w:pPr>
        <w:pStyle w:val="HChG"/>
      </w:pPr>
      <w:r>
        <w:lastRenderedPageBreak/>
        <w:tab/>
      </w:r>
      <w:r w:rsidR="00A24ECC" w:rsidRPr="00A24ECC">
        <w:tab/>
        <w:t xml:space="preserve">Introducción </w:t>
      </w:r>
    </w:p>
    <w:p w14:paraId="46922CEF" w14:textId="77777777" w:rsidR="00A24ECC" w:rsidRPr="00A24ECC" w:rsidRDefault="00A24ECC" w:rsidP="00E105E6">
      <w:pPr>
        <w:pStyle w:val="SingleTxtG"/>
      </w:pPr>
      <w:r w:rsidRPr="00A24ECC">
        <w:t>1.</w:t>
      </w:r>
      <w:r w:rsidRPr="00A24ECC">
        <w:tab/>
        <w:t xml:space="preserve">Este documento básico común se ha preparado de conformidad con las directrices armonizadas del Comité de Derechos Humanos relativas a la forma y el contenido de los informes periódicos que deben presentar los Estados partes. </w:t>
      </w:r>
    </w:p>
    <w:p w14:paraId="70D2ACF4" w14:textId="77777777" w:rsidR="00A24ECC" w:rsidRPr="00A24ECC" w:rsidRDefault="00A24ECC" w:rsidP="00E105E6">
      <w:pPr>
        <w:pStyle w:val="SingleTxtG"/>
      </w:pPr>
      <w:r w:rsidRPr="00A24ECC">
        <w:t>2.</w:t>
      </w:r>
      <w:r w:rsidRPr="00A24ECC">
        <w:tab/>
        <w:t>En este documento se proporciona información sobre los marcos jurídicos destinados a la protección y promoción de los derechos humanos en el país y sobre las medidas adoptadas para eliminar toda forma de discriminación en el disfrute de los derechos civiles, políticos, económicos, sociales y culturales.</w:t>
      </w:r>
    </w:p>
    <w:p w14:paraId="5D420E91" w14:textId="77777777" w:rsidR="00A24ECC" w:rsidRPr="00A24ECC" w:rsidRDefault="00A24ECC" w:rsidP="00E105E6">
      <w:pPr>
        <w:pStyle w:val="SingleTxtG"/>
      </w:pPr>
      <w:r w:rsidRPr="00A24ECC">
        <w:t>3.</w:t>
      </w:r>
      <w:r w:rsidRPr="00A24ECC">
        <w:tab/>
        <w:t>De conformidad con las directrices estándar para la preparación del documento básico común, el presente documento se divide en tres partes: información general sobre Sudán del Sur; marco institucional de protección y promoción de los derechos humanos; y medidas adoptadas para eliminar todas las formas de discriminación en el disfrute de los derechos civiles, políticos, sociales, económicos y culturales.</w:t>
      </w:r>
    </w:p>
    <w:p w14:paraId="4A35A951" w14:textId="77777777" w:rsidR="00A24ECC" w:rsidRPr="00A24ECC" w:rsidRDefault="00A24ECC" w:rsidP="00E105E6">
      <w:pPr>
        <w:pStyle w:val="H1G"/>
      </w:pPr>
      <w:r w:rsidRPr="00A24ECC">
        <w:tab/>
        <w:t>A.</w:t>
      </w:r>
      <w:r w:rsidRPr="00A24ECC">
        <w:tab/>
        <w:t>Información general sobre la República de Sudán del Sur</w:t>
      </w:r>
    </w:p>
    <w:p w14:paraId="07AD5DB3" w14:textId="77777777" w:rsidR="00A24ECC" w:rsidRPr="00A24ECC" w:rsidRDefault="00E105E6" w:rsidP="00E105E6">
      <w:pPr>
        <w:pStyle w:val="H23G"/>
      </w:pPr>
      <w:r>
        <w:tab/>
      </w:r>
      <w:r w:rsidR="00A24ECC" w:rsidRPr="00A24ECC">
        <w:tab/>
        <w:t>Información geográfica</w:t>
      </w:r>
    </w:p>
    <w:p w14:paraId="20F04444" w14:textId="77777777" w:rsidR="00A24ECC" w:rsidRPr="00A24ECC" w:rsidRDefault="00A24ECC" w:rsidP="00E105E6">
      <w:pPr>
        <w:pStyle w:val="SingleTxtG"/>
      </w:pPr>
      <w:r w:rsidRPr="00A24ECC">
        <w:t>4.</w:t>
      </w:r>
      <w:r w:rsidRPr="00A24ECC">
        <w:tab/>
        <w:t>Sudán del Sur, con una superficie de unos 620.000 km</w:t>
      </w:r>
      <w:r w:rsidRPr="00A24ECC">
        <w:rPr>
          <w:vertAlign w:val="superscript"/>
        </w:rPr>
        <w:t>2</w:t>
      </w:r>
      <w:r w:rsidRPr="00A24ECC">
        <w:t>, se sitúa entre los 3</w:t>
      </w:r>
      <w:r w:rsidR="00E105E6">
        <w:t xml:space="preserve"> º</w:t>
      </w:r>
      <w:r w:rsidRPr="00A24ECC">
        <w:t xml:space="preserve"> y 13</w:t>
      </w:r>
      <w:r w:rsidR="00E105E6">
        <w:t xml:space="preserve"> º</w:t>
      </w:r>
      <w:r w:rsidRPr="00A24ECC">
        <w:t xml:space="preserve"> de latitud norte y los 24</w:t>
      </w:r>
      <w:r w:rsidR="00E105E6">
        <w:t xml:space="preserve"> º</w:t>
      </w:r>
      <w:r w:rsidRPr="00A24ECC">
        <w:t xml:space="preserve"> y 36</w:t>
      </w:r>
      <w:r w:rsidR="00E105E6">
        <w:t xml:space="preserve"> º</w:t>
      </w:r>
      <w:r w:rsidRPr="00A24ECC">
        <w:t xml:space="preserve"> de longitud este. Limita al norte con el Sudán, al este con Etiopía, al sur con Uganda, al sudeste con Kenya, al sudoeste con la República Democrática del Congo y al oeste con la República Centroafricana. Se encuentra cerca del Ecuador y su paisaje está compuesto principalmente por bosques tropicales, pantanos y praderas. </w:t>
      </w:r>
    </w:p>
    <w:p w14:paraId="3C77ACEF" w14:textId="77777777" w:rsidR="00A24ECC" w:rsidRPr="00A24ECC" w:rsidRDefault="00A24ECC" w:rsidP="00E105E6">
      <w:pPr>
        <w:pStyle w:val="SingleTxtG"/>
      </w:pPr>
      <w:r w:rsidRPr="00A24ECC">
        <w:t>5.</w:t>
      </w:r>
      <w:r w:rsidRPr="00A24ECC">
        <w:tab/>
        <w:t>El clima tropical del país se distingue por estaciones lluviosas que duran de abril a octubre, caracterizadas por una elevada humedad y precipitaciones abundantes, con un promedio anual de aproximadamente 953 mm de lluvia. Sudán del Sur es uno de los 11 países por los que discurre el Nilo Blanco. Sus bosques pluviales albergan multitud de especies de fauna y flora silvestres que constituyen una interesante mezcla de especies de los bosques y sabanas de África Central y Oriental. Las condiciones meteorológicas pueden llegar a ser extremas, de modo que en los últimos años varias zonas del país han sufrido inundaciones y sequías.</w:t>
      </w:r>
    </w:p>
    <w:p w14:paraId="56322A8F" w14:textId="77777777" w:rsidR="00A24ECC" w:rsidRPr="00A24ECC" w:rsidRDefault="00E105E6" w:rsidP="00E105E6">
      <w:pPr>
        <w:pStyle w:val="H23G"/>
      </w:pPr>
      <w:r>
        <w:tab/>
      </w:r>
      <w:r w:rsidR="00A24ECC" w:rsidRPr="00A24ECC">
        <w:tab/>
        <w:t>Mapa de Sudán del Sur y sus países limítrofes</w:t>
      </w:r>
      <w:r w:rsidRPr="007D34CA">
        <w:rPr>
          <w:rStyle w:val="Refdenotaalpie"/>
          <w:b w:val="0"/>
          <w:bCs/>
        </w:rPr>
        <w:footnoteReference w:id="2"/>
      </w:r>
    </w:p>
    <w:p w14:paraId="5D9792B4" w14:textId="77777777" w:rsidR="00A24ECC" w:rsidRPr="00A24ECC" w:rsidRDefault="00A24ECC" w:rsidP="00E105E6">
      <w:pPr>
        <w:spacing w:line="240" w:lineRule="auto"/>
        <w:ind w:left="1134"/>
        <w:rPr>
          <w:lang w:val="en-GB"/>
        </w:rPr>
      </w:pPr>
      <w:r w:rsidRPr="00A24ECC">
        <w:rPr>
          <w:noProof/>
        </w:rPr>
        <w:drawing>
          <wp:inline distT="0" distB="0" distL="0" distR="0" wp14:anchorId="448118D6" wp14:editId="27A2A8E7">
            <wp:extent cx="4495411" cy="2074985"/>
            <wp:effectExtent l="0" t="0" r="635" b="1905"/>
            <wp:docPr id="5" name="Picture 5" descr="D:\Users\dokot\AppData\Local\Microsoft\Windows\INetCache\Content.MSO\4F5660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dokot\AppData\Local\Microsoft\Windows\INetCache\Content.MSO\4F56600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700" cy="2087120"/>
                    </a:xfrm>
                    <a:prstGeom prst="rect">
                      <a:avLst/>
                    </a:prstGeom>
                    <a:noFill/>
                    <a:ln>
                      <a:noFill/>
                    </a:ln>
                  </pic:spPr>
                </pic:pic>
              </a:graphicData>
            </a:graphic>
          </wp:inline>
        </w:drawing>
      </w:r>
    </w:p>
    <w:p w14:paraId="1AE3ECAB" w14:textId="77777777" w:rsidR="00A24ECC" w:rsidRPr="00A24ECC" w:rsidRDefault="00E105E6" w:rsidP="00E105E6">
      <w:pPr>
        <w:pStyle w:val="H23G"/>
      </w:pPr>
      <w:r>
        <w:tab/>
      </w:r>
      <w:r w:rsidR="00A24ECC" w:rsidRPr="00A24ECC">
        <w:tab/>
        <w:t>Breve historia del país</w:t>
      </w:r>
    </w:p>
    <w:p w14:paraId="34FB1777" w14:textId="77777777" w:rsidR="00A24ECC" w:rsidRPr="00A24ECC" w:rsidRDefault="00A24ECC" w:rsidP="00E105E6">
      <w:pPr>
        <w:pStyle w:val="SingleTxtG"/>
      </w:pPr>
      <w:r w:rsidRPr="00A24ECC">
        <w:t>6.</w:t>
      </w:r>
      <w:r w:rsidRPr="00A24ECC">
        <w:tab/>
        <w:t xml:space="preserve">Sudán del Sur fue invadido como parte del Sudán en 1820 por Muhammad Ali Pasha (Mehmet Ali), Virrey de Egipto durante el Imperio Otomano, a fin de explotarlo para la trata de esclavos. A finales del siglo XIX, el Sudán ya se encontraba bajo el dominio </w:t>
      </w:r>
      <w:r w:rsidRPr="00A24ECC">
        <w:lastRenderedPageBreak/>
        <w:t xml:space="preserve">anglo-egipcio, y las autoridades coloniales británicas siguieron gobernando la parte meridional del Sudán como un protectorado hasta 1956. </w:t>
      </w:r>
    </w:p>
    <w:p w14:paraId="1FC004AD" w14:textId="77777777" w:rsidR="00A24ECC" w:rsidRPr="00A24ECC" w:rsidRDefault="00A24ECC" w:rsidP="001E5901">
      <w:pPr>
        <w:pStyle w:val="SingleTxtG"/>
      </w:pPr>
      <w:r w:rsidRPr="00A24ECC">
        <w:t>7.</w:t>
      </w:r>
      <w:r w:rsidRPr="00A24ECC">
        <w:tab/>
        <w:t>En 1956, el Sudán se independizó del dominio anglo-egipcio, si bien tras lograr la independencia estalló un conflicto entre el norte y el sur del país debido a la distribución desigual de los recursos y la discriminación por parte de los entonces gobernantes del Sudán. El conflicto terminó con la firma de un acuerdo en Addis Abeba en 1972, que dio lugar al establecimiento de un gobierno autónomo en Sudán del Sur. Lamentablemente, este acuerdo duró hasta 1983, cuando se impuso el derecho islámico (la sharía) en el Sudán, lo que dio lugar a la segunda rebelión de los sudaneses del sur contra el norte. Sin embargo, de nuevo la guerra civil terminó con la firma del Acuerdo General de Paz en 2005, al que siguió la celebración de un referéndum en enero de 2011 que allanó el camino para que Sudán del Sur declarase su independencia el 9 de julio de 2011.</w:t>
      </w:r>
    </w:p>
    <w:p w14:paraId="24802F86" w14:textId="77777777" w:rsidR="00A24ECC" w:rsidRPr="00A24ECC" w:rsidRDefault="00A24ECC" w:rsidP="001E5901">
      <w:pPr>
        <w:pStyle w:val="H1G"/>
      </w:pPr>
      <w:r w:rsidRPr="00A24ECC">
        <w:tab/>
        <w:t>B.</w:t>
      </w:r>
      <w:r w:rsidRPr="00A24ECC">
        <w:tab/>
        <w:t>Características demográficas, económicas, sociales y culturales de</w:t>
      </w:r>
      <w:r w:rsidR="001E5901">
        <w:t> </w:t>
      </w:r>
      <w:r w:rsidRPr="00A24ECC">
        <w:t>Sudán del Sur</w:t>
      </w:r>
    </w:p>
    <w:p w14:paraId="64ABF6E1" w14:textId="77777777" w:rsidR="00A24ECC" w:rsidRPr="00A24ECC" w:rsidRDefault="001E5901" w:rsidP="001E5901">
      <w:pPr>
        <w:pStyle w:val="H23G"/>
      </w:pPr>
      <w:r>
        <w:tab/>
      </w:r>
      <w:r w:rsidR="00A24ECC" w:rsidRPr="00A24ECC">
        <w:tab/>
        <w:t>Datos demográficos</w:t>
      </w:r>
    </w:p>
    <w:p w14:paraId="342AEF5B" w14:textId="77777777" w:rsidR="00A24ECC" w:rsidRPr="00A24ECC" w:rsidRDefault="00A24ECC" w:rsidP="001E5901">
      <w:pPr>
        <w:pStyle w:val="SingleTxtG"/>
      </w:pPr>
      <w:r w:rsidRPr="00A24ECC">
        <w:t>8.</w:t>
      </w:r>
      <w:r w:rsidRPr="00A24ECC">
        <w:tab/>
        <w:t>En el último censo de población realizado en Sudán del Sur en 2008, cuando todavía formaba parte del Sudán, se cifró su población en 8,26 millones de habitantes (4,29</w:t>
      </w:r>
      <w:r w:rsidR="001E5901">
        <w:t> </w:t>
      </w:r>
      <w:r w:rsidRPr="00A24ECC">
        <w:t>millones de hombres y 3,97 millones de mujeres). La tasa de crecimiento era del 3,83</w:t>
      </w:r>
      <w:r w:rsidR="001E5901">
        <w:t> </w:t>
      </w:r>
      <w:r w:rsidRPr="00A24ECC">
        <w:t>%. No obstante, las recientes proyecciones de los organismos de las Naciones Unidas sitúan la población del país en 13.026.129 habitantes</w:t>
      </w:r>
      <w:r w:rsidRPr="00A24ECC">
        <w:rPr>
          <w:rStyle w:val="Refdenotaalpie"/>
        </w:rPr>
        <w:footnoteReference w:id="3"/>
      </w:r>
      <w:r w:rsidRPr="00A24ECC">
        <w:t xml:space="preserve">, de los cuales más del 49,6 % son mujeres. </w:t>
      </w:r>
    </w:p>
    <w:p w14:paraId="6E2D32D3" w14:textId="77777777" w:rsidR="00A24ECC" w:rsidRDefault="00A24ECC" w:rsidP="001E5901">
      <w:pPr>
        <w:pStyle w:val="SingleTxtG"/>
      </w:pPr>
      <w:r w:rsidRPr="00A24ECC">
        <w:t>9.</w:t>
      </w:r>
      <w:r w:rsidRPr="00A24ECC">
        <w:tab/>
        <w:t>Gran parte de la población del país es joven: el 51 % es menor de 18 años y el 72 % tiene menos de 30 años. Solo el 2,1 % de la población tiene 65 años o más. Se estima que la razón de dependencia total es de 83,7: la juvenil es de 77,3 y la de las personas de edad es de 6,4.</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4"/>
        <w:gridCol w:w="1146"/>
        <w:gridCol w:w="1202"/>
        <w:gridCol w:w="1203"/>
        <w:gridCol w:w="1202"/>
        <w:gridCol w:w="1203"/>
      </w:tblGrid>
      <w:tr w:rsidR="00D10BF4" w:rsidRPr="00D10BF4" w14:paraId="755A24EB" w14:textId="77777777" w:rsidTr="00D10BF4">
        <w:tc>
          <w:tcPr>
            <w:tcW w:w="1414" w:type="dxa"/>
            <w:tcBorders>
              <w:top w:val="single" w:sz="4" w:space="0" w:color="auto"/>
              <w:bottom w:val="single" w:sz="12" w:space="0" w:color="auto"/>
            </w:tcBorders>
            <w:shd w:val="clear" w:color="auto" w:fill="auto"/>
            <w:vAlign w:val="bottom"/>
          </w:tcPr>
          <w:p w14:paraId="5703AE67" w14:textId="77777777" w:rsidR="00D10BF4" w:rsidRPr="00D10BF4" w:rsidRDefault="00D10BF4" w:rsidP="00D10BF4">
            <w:pPr>
              <w:pStyle w:val="SingleTxtG"/>
              <w:spacing w:before="80" w:after="80" w:line="200" w:lineRule="exact"/>
              <w:ind w:left="0" w:right="0"/>
              <w:jc w:val="left"/>
              <w:rPr>
                <w:i/>
                <w:sz w:val="16"/>
              </w:rPr>
            </w:pPr>
            <w:r w:rsidRPr="00A24ECC">
              <w:rPr>
                <w:i/>
                <w:sz w:val="16"/>
              </w:rPr>
              <w:t>Intervalo de edad (años)</w:t>
            </w:r>
          </w:p>
        </w:tc>
        <w:tc>
          <w:tcPr>
            <w:tcW w:w="1146" w:type="dxa"/>
            <w:tcBorders>
              <w:top w:val="single" w:sz="4" w:space="0" w:color="auto"/>
              <w:bottom w:val="single" w:sz="12" w:space="0" w:color="auto"/>
            </w:tcBorders>
            <w:shd w:val="clear" w:color="auto" w:fill="auto"/>
            <w:vAlign w:val="bottom"/>
          </w:tcPr>
          <w:p w14:paraId="43469908" w14:textId="77777777" w:rsidR="00D10BF4" w:rsidRPr="00A24ECC" w:rsidRDefault="00D10BF4" w:rsidP="00D10BF4">
            <w:pPr>
              <w:pStyle w:val="SingleTxtG"/>
              <w:spacing w:before="80" w:after="80" w:line="200" w:lineRule="exact"/>
              <w:ind w:left="0" w:right="0"/>
              <w:jc w:val="right"/>
              <w:rPr>
                <w:i/>
                <w:sz w:val="16"/>
              </w:rPr>
            </w:pPr>
            <w:r w:rsidRPr="00A24ECC">
              <w:rPr>
                <w:i/>
                <w:sz w:val="16"/>
              </w:rPr>
              <w:t>% del total de la población</w:t>
            </w:r>
          </w:p>
        </w:tc>
        <w:tc>
          <w:tcPr>
            <w:tcW w:w="1202" w:type="dxa"/>
            <w:tcBorders>
              <w:top w:val="single" w:sz="4" w:space="0" w:color="auto"/>
              <w:bottom w:val="single" w:sz="12" w:space="0" w:color="auto"/>
            </w:tcBorders>
            <w:shd w:val="clear" w:color="auto" w:fill="auto"/>
            <w:vAlign w:val="bottom"/>
          </w:tcPr>
          <w:p w14:paraId="0669AC2A" w14:textId="77777777" w:rsidR="00D10BF4" w:rsidRPr="00A24ECC" w:rsidRDefault="00D10BF4" w:rsidP="00D10BF4">
            <w:pPr>
              <w:pStyle w:val="SingleTxtG"/>
              <w:spacing w:before="80" w:after="80" w:line="200" w:lineRule="exact"/>
              <w:ind w:left="0" w:right="0"/>
              <w:jc w:val="right"/>
              <w:rPr>
                <w:i/>
                <w:sz w:val="16"/>
              </w:rPr>
            </w:pPr>
            <w:r w:rsidRPr="00A24ECC">
              <w:rPr>
                <w:i/>
                <w:sz w:val="16"/>
              </w:rPr>
              <w:t>Hombres</w:t>
            </w:r>
          </w:p>
        </w:tc>
        <w:tc>
          <w:tcPr>
            <w:tcW w:w="1203" w:type="dxa"/>
            <w:tcBorders>
              <w:top w:val="single" w:sz="4" w:space="0" w:color="auto"/>
              <w:bottom w:val="single" w:sz="12" w:space="0" w:color="auto"/>
            </w:tcBorders>
            <w:shd w:val="clear" w:color="auto" w:fill="auto"/>
            <w:vAlign w:val="bottom"/>
          </w:tcPr>
          <w:p w14:paraId="1EFE7C16" w14:textId="77777777" w:rsidR="00D10BF4" w:rsidRPr="00A24ECC" w:rsidRDefault="00D10BF4" w:rsidP="00D10BF4">
            <w:pPr>
              <w:pStyle w:val="SingleTxtG"/>
              <w:spacing w:before="80" w:after="80" w:line="200" w:lineRule="exact"/>
              <w:ind w:left="0" w:right="0"/>
              <w:jc w:val="right"/>
              <w:rPr>
                <w:i/>
                <w:sz w:val="16"/>
              </w:rPr>
            </w:pPr>
            <w:r w:rsidRPr="00A24ECC">
              <w:rPr>
                <w:i/>
                <w:sz w:val="16"/>
              </w:rPr>
              <w:t>% de hombres</w:t>
            </w:r>
          </w:p>
        </w:tc>
        <w:tc>
          <w:tcPr>
            <w:tcW w:w="1202" w:type="dxa"/>
            <w:tcBorders>
              <w:top w:val="single" w:sz="4" w:space="0" w:color="auto"/>
              <w:bottom w:val="single" w:sz="12" w:space="0" w:color="auto"/>
            </w:tcBorders>
            <w:shd w:val="clear" w:color="auto" w:fill="auto"/>
            <w:vAlign w:val="bottom"/>
          </w:tcPr>
          <w:p w14:paraId="23EB0DA5" w14:textId="77777777" w:rsidR="00D10BF4" w:rsidRPr="00A24ECC" w:rsidRDefault="00D10BF4" w:rsidP="00D10BF4">
            <w:pPr>
              <w:pStyle w:val="SingleTxtG"/>
              <w:spacing w:before="80" w:after="80" w:line="200" w:lineRule="exact"/>
              <w:ind w:left="0" w:right="0"/>
              <w:jc w:val="right"/>
              <w:rPr>
                <w:i/>
                <w:sz w:val="16"/>
              </w:rPr>
            </w:pPr>
            <w:r w:rsidRPr="00A24ECC">
              <w:rPr>
                <w:i/>
                <w:sz w:val="16"/>
              </w:rPr>
              <w:t>Mujeres</w:t>
            </w:r>
          </w:p>
        </w:tc>
        <w:tc>
          <w:tcPr>
            <w:tcW w:w="1203" w:type="dxa"/>
            <w:tcBorders>
              <w:top w:val="single" w:sz="4" w:space="0" w:color="auto"/>
              <w:bottom w:val="single" w:sz="12" w:space="0" w:color="auto"/>
            </w:tcBorders>
            <w:shd w:val="clear" w:color="auto" w:fill="auto"/>
            <w:vAlign w:val="bottom"/>
          </w:tcPr>
          <w:p w14:paraId="0B772885" w14:textId="77777777" w:rsidR="00D10BF4" w:rsidRPr="00A24ECC" w:rsidRDefault="00D10BF4" w:rsidP="00D10BF4">
            <w:pPr>
              <w:pStyle w:val="SingleTxtG"/>
              <w:spacing w:before="80" w:after="80" w:line="200" w:lineRule="exact"/>
              <w:ind w:left="0" w:right="0"/>
              <w:jc w:val="right"/>
              <w:rPr>
                <w:i/>
                <w:sz w:val="16"/>
              </w:rPr>
            </w:pPr>
            <w:r w:rsidRPr="00A24ECC">
              <w:rPr>
                <w:i/>
                <w:sz w:val="16"/>
              </w:rPr>
              <w:t>% de mujeres</w:t>
            </w:r>
          </w:p>
        </w:tc>
      </w:tr>
      <w:tr w:rsidR="00D10BF4" w:rsidRPr="00D10BF4" w14:paraId="6F269AF6" w14:textId="77777777" w:rsidTr="00D10BF4">
        <w:tc>
          <w:tcPr>
            <w:tcW w:w="1414" w:type="dxa"/>
            <w:tcBorders>
              <w:top w:val="single" w:sz="12" w:space="0" w:color="auto"/>
            </w:tcBorders>
            <w:shd w:val="clear" w:color="auto" w:fill="auto"/>
          </w:tcPr>
          <w:p w14:paraId="1E474AD4" w14:textId="77777777" w:rsidR="00D10BF4" w:rsidRPr="00A24ECC" w:rsidRDefault="00D10BF4" w:rsidP="00D10BF4">
            <w:pPr>
              <w:pStyle w:val="SingleTxtG"/>
              <w:spacing w:before="40" w:after="40" w:line="220" w:lineRule="exact"/>
              <w:ind w:left="0" w:right="0"/>
              <w:jc w:val="left"/>
              <w:rPr>
                <w:sz w:val="18"/>
              </w:rPr>
            </w:pPr>
            <w:r>
              <w:rPr>
                <w:sz w:val="18"/>
              </w:rPr>
              <w:t xml:space="preserve">De </w:t>
            </w:r>
            <w:r w:rsidRPr="00A24ECC">
              <w:rPr>
                <w:sz w:val="18"/>
              </w:rPr>
              <w:t xml:space="preserve">0 a 14 </w:t>
            </w:r>
          </w:p>
        </w:tc>
        <w:tc>
          <w:tcPr>
            <w:tcW w:w="1146" w:type="dxa"/>
            <w:tcBorders>
              <w:top w:val="single" w:sz="12" w:space="0" w:color="auto"/>
            </w:tcBorders>
            <w:shd w:val="clear" w:color="auto" w:fill="auto"/>
            <w:vAlign w:val="bottom"/>
          </w:tcPr>
          <w:p w14:paraId="300E5972" w14:textId="77777777" w:rsidR="00D10BF4" w:rsidRPr="00A24ECC" w:rsidRDefault="00D10BF4" w:rsidP="00D10BF4">
            <w:pPr>
              <w:pStyle w:val="SingleTxtG"/>
              <w:spacing w:before="40" w:after="40" w:line="220" w:lineRule="exact"/>
              <w:ind w:left="0" w:right="0"/>
              <w:jc w:val="right"/>
              <w:rPr>
                <w:sz w:val="18"/>
              </w:rPr>
            </w:pPr>
            <w:r w:rsidRPr="00A24ECC">
              <w:rPr>
                <w:sz w:val="18"/>
              </w:rPr>
              <w:t>44,37</w:t>
            </w:r>
          </w:p>
        </w:tc>
        <w:tc>
          <w:tcPr>
            <w:tcW w:w="1202" w:type="dxa"/>
            <w:tcBorders>
              <w:top w:val="single" w:sz="12" w:space="0" w:color="auto"/>
            </w:tcBorders>
            <w:shd w:val="clear" w:color="auto" w:fill="auto"/>
            <w:vAlign w:val="bottom"/>
          </w:tcPr>
          <w:p w14:paraId="318A2742" w14:textId="77777777" w:rsidR="00D10BF4" w:rsidRPr="00A24ECC" w:rsidRDefault="00D10BF4" w:rsidP="00D10BF4">
            <w:pPr>
              <w:pStyle w:val="SingleTxtG"/>
              <w:spacing w:before="40" w:after="40" w:line="220" w:lineRule="exact"/>
              <w:ind w:left="0" w:right="0"/>
              <w:jc w:val="right"/>
              <w:rPr>
                <w:sz w:val="18"/>
              </w:rPr>
            </w:pPr>
            <w:r w:rsidRPr="00A24ECC">
              <w:rPr>
                <w:sz w:val="18"/>
              </w:rPr>
              <w:t>2 947 277</w:t>
            </w:r>
          </w:p>
        </w:tc>
        <w:tc>
          <w:tcPr>
            <w:tcW w:w="1203" w:type="dxa"/>
            <w:tcBorders>
              <w:top w:val="single" w:sz="12" w:space="0" w:color="auto"/>
            </w:tcBorders>
            <w:shd w:val="clear" w:color="auto" w:fill="auto"/>
            <w:vAlign w:val="bottom"/>
          </w:tcPr>
          <w:p w14:paraId="1C10D556" w14:textId="77777777" w:rsidR="00D10BF4" w:rsidRPr="00A24ECC" w:rsidRDefault="00D10BF4" w:rsidP="00D10BF4">
            <w:pPr>
              <w:pStyle w:val="SingleTxtG"/>
              <w:spacing w:before="40" w:after="40" w:line="220" w:lineRule="exact"/>
              <w:ind w:left="0" w:right="0"/>
              <w:jc w:val="right"/>
              <w:rPr>
                <w:sz w:val="18"/>
              </w:rPr>
            </w:pPr>
            <w:r w:rsidRPr="00A24ECC">
              <w:rPr>
                <w:sz w:val="18"/>
              </w:rPr>
              <w:t>51,00</w:t>
            </w:r>
          </w:p>
        </w:tc>
        <w:tc>
          <w:tcPr>
            <w:tcW w:w="1202" w:type="dxa"/>
            <w:tcBorders>
              <w:top w:val="single" w:sz="12" w:space="0" w:color="auto"/>
            </w:tcBorders>
            <w:shd w:val="clear" w:color="auto" w:fill="auto"/>
            <w:vAlign w:val="bottom"/>
          </w:tcPr>
          <w:p w14:paraId="4CD50D39" w14:textId="77777777" w:rsidR="00D10BF4" w:rsidRPr="00A24ECC" w:rsidRDefault="00D10BF4" w:rsidP="00D10BF4">
            <w:pPr>
              <w:pStyle w:val="SingleTxtG"/>
              <w:spacing w:before="40" w:after="40" w:line="220" w:lineRule="exact"/>
              <w:ind w:left="0" w:right="0"/>
              <w:jc w:val="right"/>
              <w:rPr>
                <w:sz w:val="18"/>
              </w:rPr>
            </w:pPr>
            <w:r w:rsidRPr="00A24ECC">
              <w:rPr>
                <w:sz w:val="18"/>
              </w:rPr>
              <w:t>2 831 822</w:t>
            </w:r>
          </w:p>
        </w:tc>
        <w:tc>
          <w:tcPr>
            <w:tcW w:w="1203" w:type="dxa"/>
            <w:tcBorders>
              <w:top w:val="single" w:sz="12" w:space="0" w:color="auto"/>
            </w:tcBorders>
            <w:shd w:val="clear" w:color="auto" w:fill="auto"/>
            <w:vAlign w:val="bottom"/>
          </w:tcPr>
          <w:p w14:paraId="24691A67" w14:textId="77777777" w:rsidR="00D10BF4" w:rsidRPr="00A24ECC" w:rsidRDefault="00D10BF4" w:rsidP="00D10BF4">
            <w:pPr>
              <w:pStyle w:val="SingleTxtG"/>
              <w:spacing w:before="40" w:after="40" w:line="220" w:lineRule="exact"/>
              <w:ind w:left="0" w:right="0"/>
              <w:jc w:val="right"/>
              <w:rPr>
                <w:sz w:val="18"/>
              </w:rPr>
            </w:pPr>
            <w:r w:rsidRPr="00A24ECC">
              <w:rPr>
                <w:sz w:val="18"/>
              </w:rPr>
              <w:t>49,00</w:t>
            </w:r>
          </w:p>
        </w:tc>
      </w:tr>
      <w:tr w:rsidR="00D10BF4" w:rsidRPr="00D10BF4" w14:paraId="07E908DF" w14:textId="77777777" w:rsidTr="00D10BF4">
        <w:tc>
          <w:tcPr>
            <w:tcW w:w="1414" w:type="dxa"/>
            <w:shd w:val="clear" w:color="auto" w:fill="auto"/>
          </w:tcPr>
          <w:p w14:paraId="3713BC64" w14:textId="77777777" w:rsidR="00D10BF4" w:rsidRPr="00A24ECC" w:rsidRDefault="00D10BF4" w:rsidP="00D10BF4">
            <w:pPr>
              <w:pStyle w:val="SingleTxtG"/>
              <w:spacing w:before="40" w:after="40" w:line="220" w:lineRule="exact"/>
              <w:ind w:left="0" w:right="0"/>
              <w:jc w:val="left"/>
              <w:rPr>
                <w:sz w:val="18"/>
              </w:rPr>
            </w:pPr>
            <w:r>
              <w:rPr>
                <w:sz w:val="18"/>
              </w:rPr>
              <w:t xml:space="preserve">De </w:t>
            </w:r>
            <w:r w:rsidRPr="00A24ECC">
              <w:rPr>
                <w:sz w:val="18"/>
              </w:rPr>
              <w:t xml:space="preserve">15 a 24 </w:t>
            </w:r>
          </w:p>
        </w:tc>
        <w:tc>
          <w:tcPr>
            <w:tcW w:w="1146" w:type="dxa"/>
            <w:shd w:val="clear" w:color="auto" w:fill="auto"/>
            <w:vAlign w:val="bottom"/>
          </w:tcPr>
          <w:p w14:paraId="0B2F06E6" w14:textId="77777777" w:rsidR="00D10BF4" w:rsidRPr="00A24ECC" w:rsidRDefault="00D10BF4" w:rsidP="00D10BF4">
            <w:pPr>
              <w:pStyle w:val="SingleTxtG"/>
              <w:spacing w:before="40" w:after="40" w:line="220" w:lineRule="exact"/>
              <w:ind w:left="0" w:right="0"/>
              <w:jc w:val="right"/>
              <w:rPr>
                <w:sz w:val="18"/>
              </w:rPr>
            </w:pPr>
            <w:r w:rsidRPr="00A24ECC">
              <w:rPr>
                <w:sz w:val="18"/>
              </w:rPr>
              <w:t>20,56</w:t>
            </w:r>
          </w:p>
        </w:tc>
        <w:tc>
          <w:tcPr>
            <w:tcW w:w="1202" w:type="dxa"/>
            <w:shd w:val="clear" w:color="auto" w:fill="auto"/>
            <w:vAlign w:val="bottom"/>
          </w:tcPr>
          <w:p w14:paraId="26284C5F" w14:textId="77777777" w:rsidR="00D10BF4" w:rsidRPr="00A24ECC" w:rsidRDefault="00D10BF4" w:rsidP="00D10BF4">
            <w:pPr>
              <w:pStyle w:val="SingleTxtG"/>
              <w:spacing w:before="40" w:after="40" w:line="220" w:lineRule="exact"/>
              <w:ind w:left="0" w:right="0"/>
              <w:jc w:val="right"/>
              <w:rPr>
                <w:sz w:val="18"/>
              </w:rPr>
            </w:pPr>
            <w:r w:rsidRPr="00A24ECC">
              <w:rPr>
                <w:sz w:val="18"/>
              </w:rPr>
              <w:t>1 402 746</w:t>
            </w:r>
          </w:p>
        </w:tc>
        <w:tc>
          <w:tcPr>
            <w:tcW w:w="1203" w:type="dxa"/>
            <w:shd w:val="clear" w:color="auto" w:fill="auto"/>
            <w:vAlign w:val="bottom"/>
          </w:tcPr>
          <w:p w14:paraId="73068F6E" w14:textId="77777777" w:rsidR="00D10BF4" w:rsidRPr="00A24ECC" w:rsidRDefault="00D10BF4" w:rsidP="00D10BF4">
            <w:pPr>
              <w:pStyle w:val="SingleTxtG"/>
              <w:spacing w:before="40" w:after="40" w:line="220" w:lineRule="exact"/>
              <w:ind w:left="0" w:right="0"/>
              <w:jc w:val="right"/>
              <w:rPr>
                <w:sz w:val="18"/>
              </w:rPr>
            </w:pPr>
            <w:r w:rsidRPr="00A24ECC">
              <w:rPr>
                <w:sz w:val="18"/>
              </w:rPr>
              <w:t>52,38</w:t>
            </w:r>
          </w:p>
        </w:tc>
        <w:tc>
          <w:tcPr>
            <w:tcW w:w="1202" w:type="dxa"/>
            <w:shd w:val="clear" w:color="auto" w:fill="auto"/>
            <w:vAlign w:val="bottom"/>
          </w:tcPr>
          <w:p w14:paraId="5DB974A2" w14:textId="77777777" w:rsidR="00D10BF4" w:rsidRPr="00A24ECC" w:rsidRDefault="00D10BF4" w:rsidP="00D10BF4">
            <w:pPr>
              <w:pStyle w:val="SingleTxtG"/>
              <w:spacing w:before="40" w:after="40" w:line="220" w:lineRule="exact"/>
              <w:ind w:left="0" w:right="0"/>
              <w:jc w:val="right"/>
              <w:rPr>
                <w:sz w:val="18"/>
              </w:rPr>
            </w:pPr>
            <w:r w:rsidRPr="00A24ECC">
              <w:rPr>
                <w:sz w:val="18"/>
              </w:rPr>
              <w:t>1 275 276</w:t>
            </w:r>
          </w:p>
        </w:tc>
        <w:tc>
          <w:tcPr>
            <w:tcW w:w="1203" w:type="dxa"/>
            <w:shd w:val="clear" w:color="auto" w:fill="auto"/>
            <w:vAlign w:val="bottom"/>
          </w:tcPr>
          <w:p w14:paraId="2EBC467E" w14:textId="77777777" w:rsidR="00D10BF4" w:rsidRPr="00A24ECC" w:rsidRDefault="00D10BF4" w:rsidP="00D10BF4">
            <w:pPr>
              <w:pStyle w:val="SingleTxtG"/>
              <w:spacing w:before="40" w:after="40" w:line="220" w:lineRule="exact"/>
              <w:ind w:left="0" w:right="0"/>
              <w:jc w:val="right"/>
              <w:rPr>
                <w:sz w:val="18"/>
              </w:rPr>
            </w:pPr>
            <w:r w:rsidRPr="00A24ECC">
              <w:rPr>
                <w:sz w:val="18"/>
              </w:rPr>
              <w:t>47,62</w:t>
            </w:r>
          </w:p>
        </w:tc>
      </w:tr>
      <w:tr w:rsidR="00D10BF4" w:rsidRPr="00D10BF4" w14:paraId="45A5DAE3" w14:textId="77777777" w:rsidTr="00D10BF4">
        <w:tc>
          <w:tcPr>
            <w:tcW w:w="1414" w:type="dxa"/>
            <w:shd w:val="clear" w:color="auto" w:fill="auto"/>
          </w:tcPr>
          <w:p w14:paraId="1206163A" w14:textId="77777777" w:rsidR="00D10BF4" w:rsidRPr="00A24ECC" w:rsidRDefault="00D10BF4" w:rsidP="00D10BF4">
            <w:pPr>
              <w:pStyle w:val="SingleTxtG"/>
              <w:spacing w:before="40" w:after="40" w:line="220" w:lineRule="exact"/>
              <w:ind w:left="0" w:right="0"/>
              <w:jc w:val="left"/>
              <w:rPr>
                <w:sz w:val="18"/>
              </w:rPr>
            </w:pPr>
            <w:r>
              <w:rPr>
                <w:sz w:val="18"/>
              </w:rPr>
              <w:t xml:space="preserve">De </w:t>
            </w:r>
            <w:r w:rsidRPr="00A24ECC">
              <w:rPr>
                <w:sz w:val="18"/>
              </w:rPr>
              <w:t xml:space="preserve">25 a 54 </w:t>
            </w:r>
          </w:p>
        </w:tc>
        <w:tc>
          <w:tcPr>
            <w:tcW w:w="1146" w:type="dxa"/>
            <w:shd w:val="clear" w:color="auto" w:fill="auto"/>
            <w:vAlign w:val="bottom"/>
          </w:tcPr>
          <w:p w14:paraId="0E8F5FED" w14:textId="77777777" w:rsidR="00D10BF4" w:rsidRPr="00A24ECC" w:rsidRDefault="00D10BF4" w:rsidP="00D10BF4">
            <w:pPr>
              <w:pStyle w:val="SingleTxtG"/>
              <w:spacing w:before="40" w:after="40" w:line="220" w:lineRule="exact"/>
              <w:ind w:left="0" w:right="0"/>
              <w:jc w:val="right"/>
              <w:rPr>
                <w:sz w:val="18"/>
              </w:rPr>
            </w:pPr>
            <w:r w:rsidRPr="00A24ECC">
              <w:rPr>
                <w:sz w:val="18"/>
              </w:rPr>
              <w:t>29,58</w:t>
            </w:r>
          </w:p>
        </w:tc>
        <w:tc>
          <w:tcPr>
            <w:tcW w:w="1202" w:type="dxa"/>
            <w:shd w:val="clear" w:color="auto" w:fill="auto"/>
            <w:vAlign w:val="bottom"/>
          </w:tcPr>
          <w:p w14:paraId="2D5FCB0F" w14:textId="77777777" w:rsidR="00D10BF4" w:rsidRPr="00A24ECC" w:rsidRDefault="00D10BF4" w:rsidP="00D10BF4">
            <w:pPr>
              <w:pStyle w:val="SingleTxtG"/>
              <w:spacing w:before="40" w:after="40" w:line="220" w:lineRule="exact"/>
              <w:ind w:left="0" w:right="0"/>
              <w:jc w:val="right"/>
              <w:rPr>
                <w:sz w:val="18"/>
              </w:rPr>
            </w:pPr>
            <w:r w:rsidRPr="00A24ECC">
              <w:rPr>
                <w:sz w:val="18"/>
              </w:rPr>
              <w:t>1 869 480</w:t>
            </w:r>
          </w:p>
        </w:tc>
        <w:tc>
          <w:tcPr>
            <w:tcW w:w="1203" w:type="dxa"/>
            <w:shd w:val="clear" w:color="auto" w:fill="auto"/>
            <w:vAlign w:val="bottom"/>
          </w:tcPr>
          <w:p w14:paraId="4EFDCE9F" w14:textId="77777777" w:rsidR="00D10BF4" w:rsidRPr="00A24ECC" w:rsidRDefault="00D10BF4" w:rsidP="00D10BF4">
            <w:pPr>
              <w:pStyle w:val="SingleTxtG"/>
              <w:spacing w:before="40" w:after="40" w:line="220" w:lineRule="exact"/>
              <w:ind w:left="0" w:right="0"/>
              <w:jc w:val="right"/>
              <w:rPr>
                <w:sz w:val="18"/>
              </w:rPr>
            </w:pPr>
            <w:r w:rsidRPr="00A24ECC">
              <w:rPr>
                <w:sz w:val="18"/>
              </w:rPr>
              <w:t>48,52</w:t>
            </w:r>
          </w:p>
        </w:tc>
        <w:tc>
          <w:tcPr>
            <w:tcW w:w="1202" w:type="dxa"/>
            <w:shd w:val="clear" w:color="auto" w:fill="auto"/>
            <w:vAlign w:val="bottom"/>
          </w:tcPr>
          <w:p w14:paraId="79EC913C" w14:textId="77777777" w:rsidR="00D10BF4" w:rsidRPr="00A24ECC" w:rsidRDefault="00D10BF4" w:rsidP="00D10BF4">
            <w:pPr>
              <w:pStyle w:val="SingleTxtG"/>
              <w:spacing w:before="40" w:after="40" w:line="220" w:lineRule="exact"/>
              <w:ind w:left="0" w:right="0"/>
              <w:jc w:val="right"/>
              <w:rPr>
                <w:sz w:val="18"/>
              </w:rPr>
            </w:pPr>
            <w:r w:rsidRPr="00A24ECC">
              <w:rPr>
                <w:sz w:val="18"/>
              </w:rPr>
              <w:t>1 983 504</w:t>
            </w:r>
          </w:p>
        </w:tc>
        <w:tc>
          <w:tcPr>
            <w:tcW w:w="1203" w:type="dxa"/>
            <w:shd w:val="clear" w:color="auto" w:fill="auto"/>
            <w:vAlign w:val="bottom"/>
          </w:tcPr>
          <w:p w14:paraId="038CA515" w14:textId="77777777" w:rsidR="00D10BF4" w:rsidRPr="00A24ECC" w:rsidRDefault="00D10BF4" w:rsidP="00D10BF4">
            <w:pPr>
              <w:pStyle w:val="SingleTxtG"/>
              <w:spacing w:before="40" w:after="40" w:line="220" w:lineRule="exact"/>
              <w:ind w:left="0" w:right="0"/>
              <w:jc w:val="right"/>
              <w:rPr>
                <w:sz w:val="18"/>
              </w:rPr>
            </w:pPr>
            <w:r w:rsidRPr="00A24ECC">
              <w:rPr>
                <w:sz w:val="18"/>
              </w:rPr>
              <w:t>51,48</w:t>
            </w:r>
          </w:p>
        </w:tc>
      </w:tr>
      <w:tr w:rsidR="00D10BF4" w:rsidRPr="00D10BF4" w14:paraId="3665CF4A" w14:textId="77777777" w:rsidTr="00D10BF4">
        <w:tc>
          <w:tcPr>
            <w:tcW w:w="1414" w:type="dxa"/>
            <w:shd w:val="clear" w:color="auto" w:fill="auto"/>
          </w:tcPr>
          <w:p w14:paraId="06CB2284" w14:textId="77777777" w:rsidR="00D10BF4" w:rsidRPr="00A24ECC" w:rsidRDefault="00D10BF4" w:rsidP="00D10BF4">
            <w:pPr>
              <w:pStyle w:val="SingleTxtG"/>
              <w:spacing w:before="40" w:after="40" w:line="220" w:lineRule="exact"/>
              <w:ind w:left="0" w:right="0"/>
              <w:jc w:val="left"/>
              <w:rPr>
                <w:sz w:val="18"/>
              </w:rPr>
            </w:pPr>
            <w:r>
              <w:rPr>
                <w:sz w:val="18"/>
              </w:rPr>
              <w:t xml:space="preserve">De </w:t>
            </w:r>
            <w:r w:rsidRPr="00A24ECC">
              <w:rPr>
                <w:sz w:val="18"/>
              </w:rPr>
              <w:t xml:space="preserve">55 a 64 </w:t>
            </w:r>
          </w:p>
        </w:tc>
        <w:tc>
          <w:tcPr>
            <w:tcW w:w="1146" w:type="dxa"/>
            <w:shd w:val="clear" w:color="auto" w:fill="auto"/>
            <w:vAlign w:val="bottom"/>
          </w:tcPr>
          <w:p w14:paraId="39F7D295" w14:textId="77777777" w:rsidR="00D10BF4" w:rsidRPr="00A24ECC" w:rsidRDefault="00D10BF4" w:rsidP="00D10BF4">
            <w:pPr>
              <w:pStyle w:val="SingleTxtG"/>
              <w:spacing w:before="40" w:after="40" w:line="220" w:lineRule="exact"/>
              <w:ind w:left="0" w:right="0"/>
              <w:jc w:val="right"/>
              <w:rPr>
                <w:sz w:val="18"/>
              </w:rPr>
            </w:pPr>
            <w:r w:rsidRPr="00A24ECC">
              <w:rPr>
                <w:sz w:val="18"/>
              </w:rPr>
              <w:t>3,39</w:t>
            </w:r>
          </w:p>
        </w:tc>
        <w:tc>
          <w:tcPr>
            <w:tcW w:w="1202" w:type="dxa"/>
            <w:shd w:val="clear" w:color="auto" w:fill="auto"/>
            <w:vAlign w:val="bottom"/>
          </w:tcPr>
          <w:p w14:paraId="7356738B" w14:textId="77777777" w:rsidR="00D10BF4" w:rsidRPr="00A24ECC" w:rsidRDefault="00D10BF4" w:rsidP="00D10BF4">
            <w:pPr>
              <w:pStyle w:val="SingleTxtG"/>
              <w:spacing w:before="40" w:after="40" w:line="220" w:lineRule="exact"/>
              <w:ind w:left="0" w:right="0"/>
              <w:jc w:val="right"/>
              <w:rPr>
                <w:sz w:val="18"/>
              </w:rPr>
            </w:pPr>
            <w:r w:rsidRPr="00A24ECC">
              <w:rPr>
                <w:sz w:val="18"/>
              </w:rPr>
              <w:t>235 546</w:t>
            </w:r>
          </w:p>
        </w:tc>
        <w:tc>
          <w:tcPr>
            <w:tcW w:w="1203" w:type="dxa"/>
            <w:shd w:val="clear" w:color="auto" w:fill="auto"/>
            <w:vAlign w:val="bottom"/>
          </w:tcPr>
          <w:p w14:paraId="569B9E65" w14:textId="77777777" w:rsidR="00D10BF4" w:rsidRPr="00A24ECC" w:rsidRDefault="00D10BF4" w:rsidP="00D10BF4">
            <w:pPr>
              <w:pStyle w:val="SingleTxtG"/>
              <w:spacing w:before="40" w:after="40" w:line="220" w:lineRule="exact"/>
              <w:ind w:left="0" w:right="0"/>
              <w:jc w:val="right"/>
              <w:rPr>
                <w:sz w:val="18"/>
              </w:rPr>
            </w:pPr>
            <w:r w:rsidRPr="00A24ECC">
              <w:rPr>
                <w:sz w:val="18"/>
              </w:rPr>
              <w:t>53,31</w:t>
            </w:r>
          </w:p>
        </w:tc>
        <w:tc>
          <w:tcPr>
            <w:tcW w:w="1202" w:type="dxa"/>
            <w:shd w:val="clear" w:color="auto" w:fill="auto"/>
            <w:vAlign w:val="bottom"/>
          </w:tcPr>
          <w:p w14:paraId="2B186F1F" w14:textId="77777777" w:rsidR="00D10BF4" w:rsidRPr="00A24ECC" w:rsidRDefault="00D10BF4" w:rsidP="00D10BF4">
            <w:pPr>
              <w:pStyle w:val="SingleTxtG"/>
              <w:spacing w:before="40" w:after="40" w:line="220" w:lineRule="exact"/>
              <w:ind w:left="0" w:right="0"/>
              <w:jc w:val="right"/>
              <w:rPr>
                <w:sz w:val="18"/>
              </w:rPr>
            </w:pPr>
            <w:r w:rsidRPr="00A24ECC">
              <w:rPr>
                <w:sz w:val="18"/>
              </w:rPr>
              <w:t>206 304</w:t>
            </w:r>
          </w:p>
        </w:tc>
        <w:tc>
          <w:tcPr>
            <w:tcW w:w="1203" w:type="dxa"/>
            <w:shd w:val="clear" w:color="auto" w:fill="auto"/>
            <w:vAlign w:val="bottom"/>
          </w:tcPr>
          <w:p w14:paraId="636BB759" w14:textId="77777777" w:rsidR="00D10BF4" w:rsidRPr="00A24ECC" w:rsidRDefault="00D10BF4" w:rsidP="00D10BF4">
            <w:pPr>
              <w:pStyle w:val="SingleTxtG"/>
              <w:spacing w:before="40" w:after="40" w:line="220" w:lineRule="exact"/>
              <w:ind w:left="0" w:right="0"/>
              <w:jc w:val="right"/>
              <w:rPr>
                <w:sz w:val="18"/>
              </w:rPr>
            </w:pPr>
            <w:r w:rsidRPr="00A24ECC">
              <w:rPr>
                <w:sz w:val="18"/>
              </w:rPr>
              <w:t>46,69</w:t>
            </w:r>
          </w:p>
        </w:tc>
      </w:tr>
      <w:tr w:rsidR="00D10BF4" w:rsidRPr="00D10BF4" w14:paraId="2C3E3852" w14:textId="77777777" w:rsidTr="00D10BF4">
        <w:tc>
          <w:tcPr>
            <w:tcW w:w="1414" w:type="dxa"/>
            <w:tcBorders>
              <w:bottom w:val="single" w:sz="12" w:space="0" w:color="auto"/>
            </w:tcBorders>
            <w:shd w:val="clear" w:color="auto" w:fill="auto"/>
          </w:tcPr>
          <w:p w14:paraId="7ACE0A51" w14:textId="77777777" w:rsidR="00D10BF4" w:rsidRPr="00A24ECC" w:rsidRDefault="00D10BF4" w:rsidP="00D10BF4">
            <w:pPr>
              <w:pStyle w:val="SingleTxtG"/>
              <w:spacing w:before="40" w:after="40" w:line="220" w:lineRule="exact"/>
              <w:ind w:left="0" w:right="0"/>
              <w:jc w:val="left"/>
              <w:rPr>
                <w:sz w:val="18"/>
              </w:rPr>
            </w:pPr>
            <w:r w:rsidRPr="00A24ECC">
              <w:rPr>
                <w:sz w:val="18"/>
              </w:rPr>
              <w:t>De 65 en adelante</w:t>
            </w:r>
          </w:p>
        </w:tc>
        <w:tc>
          <w:tcPr>
            <w:tcW w:w="1146" w:type="dxa"/>
            <w:tcBorders>
              <w:bottom w:val="single" w:sz="12" w:space="0" w:color="auto"/>
            </w:tcBorders>
            <w:shd w:val="clear" w:color="auto" w:fill="auto"/>
            <w:vAlign w:val="bottom"/>
          </w:tcPr>
          <w:p w14:paraId="4D6ECDB8" w14:textId="77777777" w:rsidR="00D10BF4" w:rsidRPr="00A24ECC" w:rsidRDefault="00D10BF4" w:rsidP="00D10BF4">
            <w:pPr>
              <w:pStyle w:val="SingleTxtG"/>
              <w:spacing w:before="40" w:after="40" w:line="220" w:lineRule="exact"/>
              <w:ind w:left="0" w:right="0"/>
              <w:jc w:val="right"/>
              <w:rPr>
                <w:sz w:val="18"/>
              </w:rPr>
            </w:pPr>
            <w:r w:rsidRPr="00A24ECC">
              <w:rPr>
                <w:sz w:val="18"/>
              </w:rPr>
              <w:t>2,1</w:t>
            </w:r>
          </w:p>
        </w:tc>
        <w:tc>
          <w:tcPr>
            <w:tcW w:w="1202" w:type="dxa"/>
            <w:tcBorders>
              <w:bottom w:val="single" w:sz="12" w:space="0" w:color="auto"/>
            </w:tcBorders>
            <w:shd w:val="clear" w:color="auto" w:fill="auto"/>
            <w:vAlign w:val="bottom"/>
          </w:tcPr>
          <w:p w14:paraId="2ED6F545" w14:textId="77777777" w:rsidR="00D10BF4" w:rsidRPr="00A24ECC" w:rsidRDefault="00D10BF4" w:rsidP="00D10BF4">
            <w:pPr>
              <w:pStyle w:val="SingleTxtG"/>
              <w:spacing w:before="40" w:after="40" w:line="220" w:lineRule="exact"/>
              <w:ind w:left="0" w:right="0"/>
              <w:jc w:val="right"/>
              <w:rPr>
                <w:sz w:val="18"/>
              </w:rPr>
            </w:pPr>
            <w:r w:rsidRPr="00A24ECC">
              <w:rPr>
                <w:sz w:val="18"/>
              </w:rPr>
              <w:t>151 166</w:t>
            </w:r>
          </w:p>
        </w:tc>
        <w:tc>
          <w:tcPr>
            <w:tcW w:w="1203" w:type="dxa"/>
            <w:tcBorders>
              <w:bottom w:val="single" w:sz="12" w:space="0" w:color="auto"/>
            </w:tcBorders>
            <w:shd w:val="clear" w:color="auto" w:fill="auto"/>
            <w:vAlign w:val="bottom"/>
          </w:tcPr>
          <w:p w14:paraId="078C215A" w14:textId="77777777" w:rsidR="00D10BF4" w:rsidRPr="00A24ECC" w:rsidRDefault="00D10BF4" w:rsidP="00D10BF4">
            <w:pPr>
              <w:pStyle w:val="SingleTxtG"/>
              <w:spacing w:before="40" w:after="40" w:line="220" w:lineRule="exact"/>
              <w:ind w:left="0" w:right="0"/>
              <w:jc w:val="right"/>
              <w:rPr>
                <w:sz w:val="18"/>
              </w:rPr>
            </w:pPr>
            <w:r w:rsidRPr="00A24ECC">
              <w:rPr>
                <w:sz w:val="18"/>
              </w:rPr>
              <w:t>55,14</w:t>
            </w:r>
          </w:p>
        </w:tc>
        <w:tc>
          <w:tcPr>
            <w:tcW w:w="1202" w:type="dxa"/>
            <w:tcBorders>
              <w:bottom w:val="single" w:sz="12" w:space="0" w:color="auto"/>
            </w:tcBorders>
            <w:shd w:val="clear" w:color="auto" w:fill="auto"/>
            <w:vAlign w:val="bottom"/>
          </w:tcPr>
          <w:p w14:paraId="25E81F89" w14:textId="77777777" w:rsidR="00D10BF4" w:rsidRPr="00A24ECC" w:rsidRDefault="00D10BF4" w:rsidP="00D10BF4">
            <w:pPr>
              <w:pStyle w:val="SingleTxtG"/>
              <w:spacing w:before="40" w:after="40" w:line="220" w:lineRule="exact"/>
              <w:ind w:left="0" w:right="0"/>
              <w:jc w:val="right"/>
              <w:rPr>
                <w:sz w:val="18"/>
              </w:rPr>
            </w:pPr>
            <w:r w:rsidRPr="00A24ECC">
              <w:rPr>
                <w:sz w:val="18"/>
              </w:rPr>
              <w:t>123 008</w:t>
            </w:r>
          </w:p>
        </w:tc>
        <w:tc>
          <w:tcPr>
            <w:tcW w:w="1203" w:type="dxa"/>
            <w:tcBorders>
              <w:bottom w:val="single" w:sz="12" w:space="0" w:color="auto"/>
            </w:tcBorders>
            <w:shd w:val="clear" w:color="auto" w:fill="auto"/>
            <w:vAlign w:val="bottom"/>
          </w:tcPr>
          <w:p w14:paraId="550E9A31" w14:textId="77777777" w:rsidR="00D10BF4" w:rsidRPr="00A24ECC" w:rsidRDefault="00D10BF4" w:rsidP="00D10BF4">
            <w:pPr>
              <w:pStyle w:val="SingleTxtG"/>
              <w:spacing w:before="40" w:after="40" w:line="220" w:lineRule="exact"/>
              <w:ind w:left="0" w:right="0"/>
              <w:jc w:val="right"/>
              <w:rPr>
                <w:sz w:val="18"/>
              </w:rPr>
            </w:pPr>
            <w:r w:rsidRPr="00A24ECC">
              <w:rPr>
                <w:sz w:val="18"/>
              </w:rPr>
              <w:t>44,86</w:t>
            </w:r>
          </w:p>
        </w:tc>
      </w:tr>
    </w:tbl>
    <w:p w14:paraId="6A03788E" w14:textId="77777777" w:rsidR="00A24ECC" w:rsidRDefault="00D10BF4" w:rsidP="00D10BF4">
      <w:pPr>
        <w:pStyle w:val="H23G"/>
      </w:pPr>
      <w:bookmarkStart w:id="0" w:name="_Toc368821094"/>
      <w:r>
        <w:tab/>
      </w:r>
      <w:r w:rsidR="00A24ECC" w:rsidRPr="00A24ECC">
        <w:tab/>
        <w:t>Otros datos demográficos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8"/>
        <w:gridCol w:w="2506"/>
        <w:gridCol w:w="4136"/>
      </w:tblGrid>
      <w:tr w:rsidR="006947E7" w:rsidRPr="006947E7" w14:paraId="60C78602" w14:textId="77777777" w:rsidTr="006947E7">
        <w:tc>
          <w:tcPr>
            <w:tcW w:w="728" w:type="dxa"/>
            <w:tcBorders>
              <w:top w:val="single" w:sz="4" w:space="0" w:color="auto"/>
              <w:bottom w:val="single" w:sz="12" w:space="0" w:color="auto"/>
            </w:tcBorders>
            <w:shd w:val="clear" w:color="auto" w:fill="auto"/>
            <w:vAlign w:val="bottom"/>
          </w:tcPr>
          <w:p w14:paraId="2234C677" w14:textId="77777777" w:rsidR="006947E7" w:rsidRPr="006947E7" w:rsidRDefault="006947E7" w:rsidP="006947E7">
            <w:pPr>
              <w:spacing w:before="80" w:after="80" w:line="200" w:lineRule="exact"/>
              <w:rPr>
                <w:i/>
                <w:sz w:val="16"/>
              </w:rPr>
            </w:pPr>
          </w:p>
        </w:tc>
        <w:tc>
          <w:tcPr>
            <w:tcW w:w="2506" w:type="dxa"/>
            <w:tcBorders>
              <w:top w:val="single" w:sz="4" w:space="0" w:color="auto"/>
              <w:bottom w:val="single" w:sz="12" w:space="0" w:color="auto"/>
            </w:tcBorders>
            <w:shd w:val="clear" w:color="auto" w:fill="auto"/>
            <w:vAlign w:val="bottom"/>
          </w:tcPr>
          <w:p w14:paraId="5DAE85C4" w14:textId="77777777" w:rsidR="006947E7" w:rsidRPr="006947E7" w:rsidRDefault="006947E7" w:rsidP="006947E7">
            <w:pPr>
              <w:spacing w:before="80" w:after="80" w:line="200" w:lineRule="exact"/>
              <w:rPr>
                <w:i/>
                <w:sz w:val="16"/>
              </w:rPr>
            </w:pPr>
            <w:r w:rsidRPr="00A24ECC">
              <w:rPr>
                <w:i/>
                <w:sz w:val="16"/>
              </w:rPr>
              <w:t>Indicador</w:t>
            </w:r>
          </w:p>
        </w:tc>
        <w:tc>
          <w:tcPr>
            <w:tcW w:w="4136" w:type="dxa"/>
            <w:tcBorders>
              <w:top w:val="single" w:sz="4" w:space="0" w:color="auto"/>
              <w:bottom w:val="single" w:sz="12" w:space="0" w:color="auto"/>
            </w:tcBorders>
            <w:shd w:val="clear" w:color="auto" w:fill="auto"/>
            <w:vAlign w:val="bottom"/>
          </w:tcPr>
          <w:p w14:paraId="0B4E956F" w14:textId="77777777" w:rsidR="006947E7" w:rsidRPr="006947E7" w:rsidRDefault="006947E7" w:rsidP="006947E7">
            <w:pPr>
              <w:spacing w:before="80" w:after="80" w:line="200" w:lineRule="exact"/>
              <w:jc w:val="right"/>
              <w:rPr>
                <w:i/>
                <w:sz w:val="16"/>
              </w:rPr>
            </w:pPr>
          </w:p>
        </w:tc>
      </w:tr>
      <w:tr w:rsidR="006947E7" w:rsidRPr="006947E7" w14:paraId="1DA38EF8" w14:textId="77777777" w:rsidTr="006947E7">
        <w:tc>
          <w:tcPr>
            <w:tcW w:w="728" w:type="dxa"/>
            <w:tcBorders>
              <w:top w:val="single" w:sz="12" w:space="0" w:color="auto"/>
            </w:tcBorders>
            <w:shd w:val="clear" w:color="auto" w:fill="auto"/>
          </w:tcPr>
          <w:p w14:paraId="616CEDE4" w14:textId="77777777" w:rsidR="006947E7" w:rsidRPr="00A24ECC" w:rsidRDefault="006947E7" w:rsidP="006947E7">
            <w:pPr>
              <w:spacing w:before="40" w:after="40" w:line="220" w:lineRule="exact"/>
              <w:rPr>
                <w:sz w:val="18"/>
              </w:rPr>
            </w:pPr>
            <w:r w:rsidRPr="00A24ECC">
              <w:rPr>
                <w:sz w:val="18"/>
              </w:rPr>
              <w:t>1</w:t>
            </w:r>
          </w:p>
        </w:tc>
        <w:tc>
          <w:tcPr>
            <w:tcW w:w="2506" w:type="dxa"/>
            <w:tcBorders>
              <w:top w:val="single" w:sz="12" w:space="0" w:color="auto"/>
            </w:tcBorders>
            <w:shd w:val="clear" w:color="auto" w:fill="auto"/>
            <w:vAlign w:val="bottom"/>
          </w:tcPr>
          <w:p w14:paraId="2AEF24A3" w14:textId="77777777" w:rsidR="006947E7" w:rsidRPr="00A24ECC" w:rsidRDefault="006947E7" w:rsidP="006947E7">
            <w:pPr>
              <w:spacing w:before="40" w:after="40" w:line="220" w:lineRule="exact"/>
              <w:rPr>
                <w:sz w:val="18"/>
              </w:rPr>
            </w:pPr>
            <w:r w:rsidRPr="00A24ECC">
              <w:rPr>
                <w:sz w:val="18"/>
              </w:rPr>
              <w:t>Tasa de natalidad</w:t>
            </w:r>
          </w:p>
        </w:tc>
        <w:tc>
          <w:tcPr>
            <w:tcW w:w="4136" w:type="dxa"/>
            <w:tcBorders>
              <w:top w:val="single" w:sz="12" w:space="0" w:color="auto"/>
            </w:tcBorders>
            <w:shd w:val="clear" w:color="auto" w:fill="auto"/>
            <w:vAlign w:val="bottom"/>
          </w:tcPr>
          <w:p w14:paraId="335D4EC4" w14:textId="77777777" w:rsidR="006947E7" w:rsidRPr="00A24ECC" w:rsidRDefault="006947E7" w:rsidP="0001664A">
            <w:pPr>
              <w:spacing w:before="40" w:after="40" w:line="220" w:lineRule="exact"/>
              <w:rPr>
                <w:sz w:val="18"/>
              </w:rPr>
            </w:pPr>
            <w:r w:rsidRPr="00A24ECC">
              <w:rPr>
                <w:sz w:val="18"/>
              </w:rPr>
              <w:t>35,5 por cada 1.000 personas (cifras de 2017)</w:t>
            </w:r>
            <w:r w:rsidRPr="00A24ECC">
              <w:rPr>
                <w:sz w:val="18"/>
                <w:szCs w:val="18"/>
                <w:vertAlign w:val="superscript"/>
              </w:rPr>
              <w:footnoteReference w:id="4"/>
            </w:r>
          </w:p>
        </w:tc>
      </w:tr>
      <w:tr w:rsidR="006947E7" w:rsidRPr="006947E7" w14:paraId="09A8AC50" w14:textId="77777777" w:rsidTr="006947E7">
        <w:tc>
          <w:tcPr>
            <w:tcW w:w="728" w:type="dxa"/>
            <w:shd w:val="clear" w:color="auto" w:fill="auto"/>
          </w:tcPr>
          <w:p w14:paraId="26B08ACD" w14:textId="77777777" w:rsidR="006947E7" w:rsidRPr="00A24ECC" w:rsidRDefault="006947E7" w:rsidP="006947E7">
            <w:pPr>
              <w:spacing w:before="40" w:after="40" w:line="220" w:lineRule="exact"/>
              <w:rPr>
                <w:sz w:val="18"/>
              </w:rPr>
            </w:pPr>
            <w:r w:rsidRPr="00A24ECC">
              <w:rPr>
                <w:sz w:val="18"/>
              </w:rPr>
              <w:t>2</w:t>
            </w:r>
          </w:p>
        </w:tc>
        <w:tc>
          <w:tcPr>
            <w:tcW w:w="2506" w:type="dxa"/>
            <w:shd w:val="clear" w:color="auto" w:fill="auto"/>
            <w:vAlign w:val="bottom"/>
          </w:tcPr>
          <w:p w14:paraId="5DC9919E" w14:textId="77777777" w:rsidR="006947E7" w:rsidRPr="00A24ECC" w:rsidRDefault="006947E7" w:rsidP="006947E7">
            <w:pPr>
              <w:spacing w:before="40" w:after="40" w:line="220" w:lineRule="exact"/>
              <w:rPr>
                <w:sz w:val="18"/>
              </w:rPr>
            </w:pPr>
            <w:r w:rsidRPr="00A24ECC">
              <w:rPr>
                <w:sz w:val="18"/>
              </w:rPr>
              <w:t>Tasa de mortalidad</w:t>
            </w:r>
          </w:p>
        </w:tc>
        <w:tc>
          <w:tcPr>
            <w:tcW w:w="4136" w:type="dxa"/>
            <w:shd w:val="clear" w:color="auto" w:fill="auto"/>
            <w:vAlign w:val="bottom"/>
          </w:tcPr>
          <w:p w14:paraId="18E44E9D" w14:textId="77777777" w:rsidR="006947E7" w:rsidRPr="00A24ECC" w:rsidRDefault="006947E7" w:rsidP="0001664A">
            <w:pPr>
              <w:spacing w:before="40" w:after="40" w:line="220" w:lineRule="exact"/>
              <w:rPr>
                <w:sz w:val="18"/>
              </w:rPr>
            </w:pPr>
            <w:r w:rsidRPr="00A24ECC">
              <w:rPr>
                <w:sz w:val="18"/>
              </w:rPr>
              <w:t>7,7 por cada 1.000 personas (cifras de 2017)</w:t>
            </w:r>
            <w:r w:rsidRPr="00A24ECC">
              <w:rPr>
                <w:sz w:val="18"/>
                <w:szCs w:val="18"/>
                <w:vertAlign w:val="superscript"/>
              </w:rPr>
              <w:footnoteReference w:id="5"/>
            </w:r>
          </w:p>
        </w:tc>
      </w:tr>
      <w:tr w:rsidR="006947E7" w:rsidRPr="006947E7" w14:paraId="0A0F1C8C" w14:textId="77777777" w:rsidTr="006947E7">
        <w:tc>
          <w:tcPr>
            <w:tcW w:w="728" w:type="dxa"/>
            <w:tcBorders>
              <w:bottom w:val="single" w:sz="12" w:space="0" w:color="auto"/>
            </w:tcBorders>
            <w:shd w:val="clear" w:color="auto" w:fill="auto"/>
          </w:tcPr>
          <w:p w14:paraId="26E73349" w14:textId="77777777" w:rsidR="006947E7" w:rsidRPr="00A24ECC" w:rsidRDefault="006947E7" w:rsidP="006947E7">
            <w:pPr>
              <w:spacing w:before="40" w:after="40" w:line="220" w:lineRule="exact"/>
              <w:rPr>
                <w:sz w:val="18"/>
              </w:rPr>
            </w:pPr>
            <w:r w:rsidRPr="00A24ECC">
              <w:rPr>
                <w:sz w:val="18"/>
              </w:rPr>
              <w:t>3</w:t>
            </w:r>
          </w:p>
        </w:tc>
        <w:tc>
          <w:tcPr>
            <w:tcW w:w="2506" w:type="dxa"/>
            <w:tcBorders>
              <w:bottom w:val="single" w:sz="12" w:space="0" w:color="auto"/>
            </w:tcBorders>
            <w:shd w:val="clear" w:color="auto" w:fill="auto"/>
            <w:vAlign w:val="bottom"/>
          </w:tcPr>
          <w:p w14:paraId="0EA7302B" w14:textId="77777777" w:rsidR="006947E7" w:rsidRPr="00A24ECC" w:rsidRDefault="006947E7" w:rsidP="006947E7">
            <w:pPr>
              <w:spacing w:before="40" w:after="40" w:line="220" w:lineRule="exact"/>
              <w:rPr>
                <w:sz w:val="18"/>
              </w:rPr>
            </w:pPr>
            <w:r w:rsidRPr="00A24ECC">
              <w:rPr>
                <w:sz w:val="18"/>
              </w:rPr>
              <w:t>Esperanza de vida</w:t>
            </w:r>
          </w:p>
        </w:tc>
        <w:tc>
          <w:tcPr>
            <w:tcW w:w="4136" w:type="dxa"/>
            <w:tcBorders>
              <w:bottom w:val="single" w:sz="12" w:space="0" w:color="auto"/>
            </w:tcBorders>
            <w:shd w:val="clear" w:color="auto" w:fill="auto"/>
            <w:vAlign w:val="bottom"/>
          </w:tcPr>
          <w:p w14:paraId="3EEFA163" w14:textId="77777777" w:rsidR="006947E7" w:rsidRPr="00A24ECC" w:rsidRDefault="006947E7" w:rsidP="0001664A">
            <w:pPr>
              <w:spacing w:before="40" w:after="40" w:line="220" w:lineRule="exact"/>
              <w:rPr>
                <w:sz w:val="18"/>
              </w:rPr>
            </w:pPr>
            <w:r w:rsidRPr="00A24ECC">
              <w:rPr>
                <w:sz w:val="18"/>
              </w:rPr>
              <w:t>42 años</w:t>
            </w:r>
            <w:r w:rsidRPr="00A24ECC">
              <w:rPr>
                <w:sz w:val="18"/>
                <w:szCs w:val="18"/>
                <w:vertAlign w:val="superscript"/>
              </w:rPr>
              <w:footnoteReference w:id="6"/>
            </w:r>
            <w:r w:rsidRPr="00A24ECC">
              <w:rPr>
                <w:sz w:val="18"/>
              </w:rPr>
              <w:t xml:space="preserve"> </w:t>
            </w:r>
          </w:p>
        </w:tc>
      </w:tr>
    </w:tbl>
    <w:p w14:paraId="00C6E893" w14:textId="77777777" w:rsidR="00A24ECC" w:rsidRPr="00A24ECC" w:rsidRDefault="00F039B5" w:rsidP="00F039B5">
      <w:pPr>
        <w:pStyle w:val="H23G"/>
        <w:rPr>
          <w:lang w:val="en-GB"/>
        </w:rPr>
      </w:pPr>
      <w:r>
        <w:tab/>
      </w:r>
      <w:r w:rsidR="00A24ECC" w:rsidRPr="00A24ECC">
        <w:tab/>
        <w:t xml:space="preserve">Idiomas </w:t>
      </w:r>
    </w:p>
    <w:p w14:paraId="69D50E57" w14:textId="77777777" w:rsidR="00A24ECC" w:rsidRPr="00A24ECC" w:rsidRDefault="00A24ECC" w:rsidP="00F039B5">
      <w:pPr>
        <w:pStyle w:val="SingleTxtG"/>
      </w:pPr>
      <w:r w:rsidRPr="00A24ECC">
        <w:t>10.</w:t>
      </w:r>
      <w:r w:rsidRPr="00A24ECC">
        <w:tab/>
        <w:t>En Sudán del Sur conviven varios grupos lingüísticos, como los nilóticos, los nilohamitas y los sudánicos. Los nilóticos hablan varias lenguas de la rama sudánica oriental de la familia de lenguas nilosaharianas, y hay otros grupos que hablan lenguas de l</w:t>
      </w:r>
      <w:bookmarkStart w:id="1" w:name="_GoBack"/>
      <w:bookmarkEnd w:id="1"/>
      <w:r w:rsidRPr="00A24ECC">
        <w:t xml:space="preserve">a rama Adamawa-Ubangui de las lenguas Níger-Congo. En la Constitución de Transición de </w:t>
      </w:r>
      <w:r w:rsidRPr="00A24ECC">
        <w:lastRenderedPageBreak/>
        <w:t xml:space="preserve">2011 (en su forma enmendada), se establece que el inglés es el idioma oficial de trabajo en el país, si bien también se emplean el árabe y otras lenguas locales como medio de comunicación. </w:t>
      </w:r>
    </w:p>
    <w:p w14:paraId="2D940FA0" w14:textId="77777777" w:rsidR="00A24ECC" w:rsidRPr="00A24ECC" w:rsidRDefault="00F039B5" w:rsidP="00F039B5">
      <w:pPr>
        <w:pStyle w:val="H23G"/>
      </w:pPr>
      <w:r>
        <w:tab/>
      </w:r>
      <w:r w:rsidR="00A24ECC" w:rsidRPr="00A24ECC">
        <w:tab/>
        <w:t>Economía</w:t>
      </w:r>
    </w:p>
    <w:p w14:paraId="24284146" w14:textId="77777777" w:rsidR="00A24ECC" w:rsidRPr="00A24ECC" w:rsidRDefault="00A24ECC" w:rsidP="00F039B5">
      <w:pPr>
        <w:pStyle w:val="SingleTxtG"/>
      </w:pPr>
      <w:r w:rsidRPr="00A24ECC">
        <w:t>11.</w:t>
      </w:r>
      <w:r w:rsidRPr="00A24ECC">
        <w:tab/>
        <w:t>La principal fuente de ingresos del país es el petróleo, que representa casi el 90 % de su producto interno bruto. Otras fuentes de ingresos son la agricultura, el comercio, la pesca, la silvicultura, el turismo, la energía hidroeléctrica y la minería. Sin embargo, la mayoría de esos recursos no se explotan plenamente.</w:t>
      </w:r>
    </w:p>
    <w:p w14:paraId="375CCD3B" w14:textId="77777777" w:rsidR="00A24ECC" w:rsidRPr="00A24ECC" w:rsidRDefault="00A24ECC" w:rsidP="00F039B5">
      <w:pPr>
        <w:pStyle w:val="SingleTxtG"/>
      </w:pPr>
      <w:r w:rsidRPr="00A24ECC">
        <w:t>12.</w:t>
      </w:r>
      <w:r w:rsidRPr="00A24ECC">
        <w:tab/>
        <w:t xml:space="preserve">Sudán del Sur forma parte del grupo de países menos adelantados del mundo. Para subsistir, la población depende principalmente de la agricultura de subsistencia (tanto cultivos como cría de animales), la pesca y la silvicultura. </w:t>
      </w:r>
    </w:p>
    <w:p w14:paraId="7E3A301D" w14:textId="77777777" w:rsidR="00A24ECC" w:rsidRPr="00A24ECC" w:rsidRDefault="00A24ECC" w:rsidP="00F039B5">
      <w:pPr>
        <w:pStyle w:val="SingleTxtG"/>
      </w:pPr>
      <w:r w:rsidRPr="00A24ECC">
        <w:t>13.</w:t>
      </w:r>
      <w:r w:rsidRPr="00A24ECC">
        <w:tab/>
        <w:t xml:space="preserve">Para las tareas agrícolas, los agricultores dependen en gran medida de las precipitaciones, si bien cada vez más se emplean técnicas agrícolas mecanizadas en ciertas zonas, como en la ciudad de Renk, al norte del país. Se cultiva principalmente sorgo, maíz, café, carilla, sésamo y cacahuete (maní), mijo, arroz, mandioca, batata, frutas y verduras. En el país se crían numerosas cabezas de ganado (caprino, ovino y bovino) y aves de corral (pollos). De los bosques del país puede extraerse madera dura y blanda para la construcción, productos medicinales, frutas y goma arábiga. El río Nilo es la principal fuente de pesca, que se destina principalmente al consumo local. </w:t>
      </w:r>
    </w:p>
    <w:p w14:paraId="1954C704" w14:textId="77777777" w:rsidR="00A24ECC" w:rsidRPr="00A24ECC" w:rsidRDefault="00A24ECC" w:rsidP="00F039B5">
      <w:pPr>
        <w:pStyle w:val="H1G"/>
      </w:pPr>
      <w:r w:rsidRPr="00A24ECC">
        <w:tab/>
        <w:t>C.</w:t>
      </w:r>
      <w:r w:rsidRPr="00A24ECC">
        <w:tab/>
        <w:t>Estructura constitucional y política</w:t>
      </w:r>
    </w:p>
    <w:p w14:paraId="6463AF4E" w14:textId="77777777" w:rsidR="00A24ECC" w:rsidRPr="00A24ECC" w:rsidRDefault="00F039B5" w:rsidP="00F039B5">
      <w:pPr>
        <w:pStyle w:val="H23G"/>
      </w:pPr>
      <w:r>
        <w:tab/>
      </w:r>
      <w:r w:rsidR="00A24ECC" w:rsidRPr="00A24ECC">
        <w:tab/>
        <w:t xml:space="preserve">Gobernanza del país </w:t>
      </w:r>
    </w:p>
    <w:p w14:paraId="5F492EC8" w14:textId="77777777" w:rsidR="00A24ECC" w:rsidRPr="00A24ECC" w:rsidRDefault="00A24ECC" w:rsidP="00F039B5">
      <w:pPr>
        <w:pStyle w:val="SingleTxtG"/>
      </w:pPr>
      <w:r w:rsidRPr="00A24ECC">
        <w:t>14.</w:t>
      </w:r>
      <w:r w:rsidRPr="00A24ECC">
        <w:tab/>
        <w:t xml:space="preserve">La capital de Sudán del Sur es Yuba. El país tiene un sistema descentralizado de gobierno en el que el Presidente es máximo representante del poder ejecutivo. La norma fundamental es la Constitución de Transición de 2011 (en su forma enmendada), que reconoce la diversidad étnica y cultural del país (artículo 1, párrafo 4). El sistema de gobierno de Sudán del Sur está estructurado en tres niveles: nacional, estatal y local. A efectos administrativos, actualmente Sudán del Sur está dividido en 32 estados y estos, a su vez, en 180 condados, además de la zona administrativa de Abyei. </w:t>
      </w:r>
    </w:p>
    <w:p w14:paraId="15949AA1" w14:textId="77777777" w:rsidR="00A24ECC" w:rsidRPr="00A24ECC" w:rsidRDefault="00A24ECC" w:rsidP="00F039B5">
      <w:pPr>
        <w:pStyle w:val="SingleTxtG"/>
      </w:pPr>
      <w:r w:rsidRPr="00A24ECC">
        <w:t>15.</w:t>
      </w:r>
      <w:r w:rsidRPr="00A24ECC">
        <w:tab/>
        <w:t xml:space="preserve">El poder legislativo es un parlamento bicameral formado por la Asamblea Legislativa Nacional y el Consejo de los Estados. El Consejo de los Estados está integrado por 50 miembros procedentes de 50 circunscripciones electorales, mientras que la Asamblea Legislativa Nacional está compuesta actualmente por 450 miembros. Además de elaborar leyes, el órgano legislativo ejerce la función de supervisión del funcionamiento del Gobierno nacional. Asimismo, aprueba las políticas y el presupuesto del ejecutivo, ratifica los tratados y acuerdos internacionales y puede emitir un voto de censura contra los vicepresidentes y ministros del Gobierno. </w:t>
      </w:r>
    </w:p>
    <w:p w14:paraId="00FCE284" w14:textId="77777777" w:rsidR="00A24ECC" w:rsidRPr="00A24ECC" w:rsidRDefault="00F039B5" w:rsidP="00F039B5">
      <w:pPr>
        <w:pStyle w:val="H23G"/>
      </w:pPr>
      <w:r>
        <w:tab/>
      </w:r>
      <w:r w:rsidR="00A24ECC" w:rsidRPr="00A24ECC">
        <w:tab/>
        <w:t>Ordenamiento jurídico</w:t>
      </w:r>
    </w:p>
    <w:p w14:paraId="008A9522" w14:textId="77777777" w:rsidR="00A24ECC" w:rsidRPr="00A24ECC" w:rsidRDefault="00A24ECC" w:rsidP="00F039B5">
      <w:pPr>
        <w:pStyle w:val="SingleTxtG"/>
      </w:pPr>
      <w:r w:rsidRPr="00A24ECC">
        <w:t>16.</w:t>
      </w:r>
      <w:r w:rsidRPr="00A24ECC">
        <w:tab/>
        <w:t>El ordenamiento jurídico de Sudán del Sur se basa en la tradición del derecho anglosajón, y el poder judicial está encabezado por el Presidente del Tribunal Supremo. El presupuesto del poder judicial se carga directamente a los fondos consolidados del país. El Tribunal Supremo es la más alta instancia judicial del territorio. Todos los demás tribunales del Estado tienen jurisdicción civil y penal. Los tribunales de apelación y los tribunales superiores se consideran tribunales de segunda instancia. El presidente del Tribunal Supremo puede, mediante un mandamiento, establecer un tribunal especial para juzgar casos específicos según las necesidades.</w:t>
      </w:r>
    </w:p>
    <w:p w14:paraId="5F87EF26" w14:textId="77777777" w:rsidR="00A24ECC" w:rsidRPr="00A24ECC" w:rsidRDefault="00F039B5" w:rsidP="00F039B5">
      <w:pPr>
        <w:pStyle w:val="H23G"/>
      </w:pPr>
      <w:r>
        <w:tab/>
      </w:r>
      <w:r w:rsidR="00A24ECC" w:rsidRPr="00A24ECC">
        <w:tab/>
        <w:t>Fuentes del derecho</w:t>
      </w:r>
    </w:p>
    <w:p w14:paraId="7CEE7A2D" w14:textId="77777777" w:rsidR="00A24ECC" w:rsidRPr="00A24ECC" w:rsidRDefault="00A24ECC" w:rsidP="00F039B5">
      <w:pPr>
        <w:pStyle w:val="SingleTxtG"/>
      </w:pPr>
      <w:r w:rsidRPr="00A24ECC">
        <w:t>17.</w:t>
      </w:r>
      <w:r w:rsidRPr="00A24ECC">
        <w:tab/>
        <w:t xml:space="preserve">Sudán del Sur tiene un sistema jurídico pluralista con cinco fuentes de derecho: la Constitución de Transición; la legislación escrita; las costumbres y tradiciones del pueblo; </w:t>
      </w:r>
      <w:r w:rsidRPr="00A24ECC">
        <w:lastRenderedPageBreak/>
        <w:t>la voluntad del pueblo y cualquier otra fuente relevante</w:t>
      </w:r>
      <w:r w:rsidRPr="00A24ECC">
        <w:rPr>
          <w:rStyle w:val="Refdenotaalpie"/>
        </w:rPr>
        <w:footnoteReference w:id="7"/>
      </w:r>
      <w:r w:rsidRPr="00A24ECC">
        <w:t>. El sistema de tribunales consuetudinarios está reconocido como una fuente de derecho en la Constitución de Transición y funciona junto con el sistema de justicia estatutaria. Si bien las leyes consuetudinarias de muchos grupos étnicos del país tienden a tener puntos en común, cada tribunal consuetudinario tiene sus propias costumbres específicas que aplicar.</w:t>
      </w:r>
    </w:p>
    <w:p w14:paraId="63D1FB1E" w14:textId="77777777" w:rsidR="00A24ECC" w:rsidRPr="00A24ECC" w:rsidRDefault="00F039B5" w:rsidP="00F039B5">
      <w:pPr>
        <w:pStyle w:val="H23G"/>
      </w:pPr>
      <w:r>
        <w:tab/>
      </w:r>
      <w:r w:rsidR="00A24ECC" w:rsidRPr="00A24ECC">
        <w:tab/>
        <w:t>Sistema electoral</w:t>
      </w:r>
    </w:p>
    <w:p w14:paraId="099BA7F6" w14:textId="77777777" w:rsidR="00A24ECC" w:rsidRPr="00A24ECC" w:rsidRDefault="00A24ECC" w:rsidP="00F039B5">
      <w:pPr>
        <w:pStyle w:val="SingleTxtG"/>
      </w:pPr>
      <w:r w:rsidRPr="00A24ECC">
        <w:t>18.</w:t>
      </w:r>
      <w:r w:rsidRPr="00A24ECC">
        <w:tab/>
        <w:t>La Ley sobre las Elecciones Nacionales de 2012 regula el sistema electoral. Si bien no se han celebrado elecciones desde la independencia, existe una Comisión Electoral Nacional compuesta por 8 miembros, de los cuales solo 1 es mujer</w:t>
      </w:r>
      <w:r w:rsidRPr="00A24ECC">
        <w:rPr>
          <w:rStyle w:val="Refdenotaalpie"/>
        </w:rPr>
        <w:footnoteReference w:id="8"/>
      </w:r>
      <w:r w:rsidRPr="00A24ECC">
        <w:t xml:space="preserve">. Hay 28 partidos políticos registrados, y solo 2 de ellos están liderados por mujeres. </w:t>
      </w:r>
    </w:p>
    <w:p w14:paraId="338737B9" w14:textId="77777777" w:rsidR="00A24ECC" w:rsidRPr="00A24ECC" w:rsidRDefault="00F039B5" w:rsidP="00F039B5">
      <w:pPr>
        <w:pStyle w:val="H23G"/>
      </w:pPr>
      <w:r>
        <w:tab/>
      </w:r>
      <w:r w:rsidR="00A24ECC" w:rsidRPr="00A24ECC">
        <w:tab/>
        <w:t>Organizaciones no gubernamentales (ONG)</w:t>
      </w:r>
    </w:p>
    <w:p w14:paraId="65718640" w14:textId="77777777" w:rsidR="00A24ECC" w:rsidRPr="00A24ECC" w:rsidRDefault="00A24ECC" w:rsidP="00F039B5">
      <w:pPr>
        <w:pStyle w:val="SingleTxtG"/>
      </w:pPr>
      <w:r w:rsidRPr="00A24ECC">
        <w:t>19.</w:t>
      </w:r>
      <w:r w:rsidRPr="00A24ECC">
        <w:tab/>
        <w:t xml:space="preserve">Las actividades de las organizaciones no gubernamentales están reguladas por la Ley de Organizaciones no Gubernamentales de 2016. Esta </w:t>
      </w:r>
      <w:r w:rsidR="00604DB7" w:rsidRPr="00A24ECC">
        <w:t xml:space="preserve">Ley </w:t>
      </w:r>
      <w:r w:rsidRPr="00A24ECC">
        <w:t>aplica directamente el artículo</w:t>
      </w:r>
      <w:r w:rsidR="00604DB7">
        <w:t> </w:t>
      </w:r>
      <w:r w:rsidRPr="00A24ECC">
        <w:t>52 de la Constitución de Transición y proporciona un marco reglamentario para el registro, la coordinación y la supervisión de las actividades de las organizaciones no gubernamentales.</w:t>
      </w:r>
    </w:p>
    <w:bookmarkEnd w:id="0"/>
    <w:p w14:paraId="4F38417B" w14:textId="77777777" w:rsidR="00A24ECC" w:rsidRPr="00A24ECC" w:rsidRDefault="00A24ECC" w:rsidP="00F039B5">
      <w:pPr>
        <w:pStyle w:val="H1G"/>
      </w:pPr>
      <w:r w:rsidRPr="00A24ECC">
        <w:tab/>
        <w:t>D.</w:t>
      </w:r>
      <w:r w:rsidRPr="00A24ECC">
        <w:tab/>
        <w:t>Obligación del país de aplicar las disposiciones de derechos humanos</w:t>
      </w:r>
    </w:p>
    <w:p w14:paraId="3C34EBAB" w14:textId="77777777" w:rsidR="00A24ECC" w:rsidRPr="00A24ECC" w:rsidRDefault="00A24ECC" w:rsidP="00F039B5">
      <w:pPr>
        <w:pStyle w:val="SingleTxtG"/>
      </w:pPr>
      <w:r w:rsidRPr="00A24ECC">
        <w:t>20.</w:t>
      </w:r>
      <w:r w:rsidRPr="00A24ECC">
        <w:tab/>
        <w:t>El Gobierno ha ratificado o se ha adherido a diversos instrumentos regionales e internacionales de derechos humanos con el fin de promover y proteger los derechos humanos de todos los ciudadanos. De conformidad con la Constitución, el Gobierno ha aceptado quedar obligado por el reconocimiento del rango superior de los principios universales del derecho internacional y velará por que su legislación sea compatible con esos principios.</w:t>
      </w:r>
    </w:p>
    <w:p w14:paraId="5541CCBF" w14:textId="77777777" w:rsidR="00A24ECC" w:rsidRPr="00A24ECC" w:rsidRDefault="00A24ECC" w:rsidP="00F039B5">
      <w:pPr>
        <w:pStyle w:val="SingleTxtG"/>
      </w:pPr>
      <w:r w:rsidRPr="00A24ECC">
        <w:t>21.</w:t>
      </w:r>
      <w:r w:rsidRPr="00A24ECC">
        <w:tab/>
        <w:t xml:space="preserve">La Constitución de Transición de 2011 (en su forma enmendada) contiene en su Título Segundo la Carta de Derechos y Libertades Fundamentales, que se basa en los instrumentos internacionales y regionales de derechos humanos que el país ha ratificado o a los que se ha adherido. </w:t>
      </w:r>
    </w:p>
    <w:p w14:paraId="58589C1E" w14:textId="77777777" w:rsidR="00A24ECC" w:rsidRPr="00A24ECC" w:rsidRDefault="00F039B5" w:rsidP="00F039B5">
      <w:pPr>
        <w:pStyle w:val="H23G"/>
      </w:pPr>
      <w:r>
        <w:tab/>
      </w:r>
      <w:r w:rsidR="00A24ECC" w:rsidRPr="00A24ECC">
        <w:tab/>
        <w:t>Instituciones nacionales de derechos humanos</w:t>
      </w:r>
    </w:p>
    <w:p w14:paraId="5A6A17D8" w14:textId="77777777" w:rsidR="00A24ECC" w:rsidRPr="00A24ECC" w:rsidRDefault="00A24ECC" w:rsidP="00F039B5">
      <w:pPr>
        <w:pStyle w:val="SingleTxtG"/>
      </w:pPr>
      <w:r w:rsidRPr="00A24ECC">
        <w:t>22.</w:t>
      </w:r>
      <w:r w:rsidRPr="00A24ECC">
        <w:tab/>
        <w:t>En virtud del artículo 145 de la Constitución de Transición</w:t>
      </w:r>
      <w:r w:rsidRPr="00A24ECC">
        <w:rPr>
          <w:rStyle w:val="Refdenotaalpie"/>
        </w:rPr>
        <w:footnoteReference w:id="9"/>
      </w:r>
      <w:r w:rsidRPr="00A24ECC">
        <w:t xml:space="preserve">, se estableció la Comisión de Derechos Humanos de Sudán del Sur para promover y proteger los derechos humanos y las libertades fundamentales mediante la educación y la investigación, la vigilancia y las investigaciones. La Ley sobre la Comisión de Derechos Humanos de Sudán del Sur de 2009 establece el mandato de la institución y orienta el funcionamiento de esta. </w:t>
      </w:r>
    </w:p>
    <w:p w14:paraId="3321975B" w14:textId="77777777" w:rsidR="00A24ECC" w:rsidRPr="00A24ECC" w:rsidRDefault="00A24ECC" w:rsidP="00F039B5">
      <w:pPr>
        <w:pStyle w:val="SingleTxtG"/>
      </w:pPr>
      <w:r w:rsidRPr="00A24ECC">
        <w:t>23.</w:t>
      </w:r>
      <w:r w:rsidRPr="00A24ECC">
        <w:tab/>
        <w:t>A continuación figuran otras instituciones dedicadas a la promoción y la protección de los derechos humanos:</w:t>
      </w:r>
    </w:p>
    <w:tbl>
      <w:tblPr>
        <w:tblW w:w="9575" w:type="dxa"/>
        <w:tblInd w:w="70" w:type="dxa"/>
        <w:tblBorders>
          <w:top w:val="single" w:sz="4" w:space="0" w:color="auto"/>
        </w:tblBorders>
        <w:tblCellMar>
          <w:left w:w="0" w:type="dxa"/>
          <w:right w:w="113" w:type="dxa"/>
        </w:tblCellMar>
        <w:tblLook w:val="04A0" w:firstRow="1" w:lastRow="0" w:firstColumn="1" w:lastColumn="0" w:noHBand="0" w:noVBand="1"/>
      </w:tblPr>
      <w:tblGrid>
        <w:gridCol w:w="350"/>
        <w:gridCol w:w="1666"/>
        <w:gridCol w:w="1288"/>
        <w:gridCol w:w="1430"/>
        <w:gridCol w:w="1803"/>
        <w:gridCol w:w="1596"/>
        <w:gridCol w:w="1442"/>
      </w:tblGrid>
      <w:tr w:rsidR="00F039B5" w:rsidRPr="00F039B5" w14:paraId="62C438ED" w14:textId="77777777" w:rsidTr="00F039B5">
        <w:trPr>
          <w:trHeight w:val="240"/>
          <w:tblHeader/>
        </w:trPr>
        <w:tc>
          <w:tcPr>
            <w:tcW w:w="350" w:type="dxa"/>
            <w:tcBorders>
              <w:top w:val="single" w:sz="4" w:space="0" w:color="auto"/>
              <w:bottom w:val="single" w:sz="12" w:space="0" w:color="auto"/>
            </w:tcBorders>
            <w:shd w:val="clear" w:color="auto" w:fill="auto"/>
            <w:vAlign w:val="bottom"/>
          </w:tcPr>
          <w:p w14:paraId="2AB84864" w14:textId="77777777" w:rsidR="00A24ECC" w:rsidRPr="00A24ECC" w:rsidRDefault="00A24ECC" w:rsidP="009A61E5">
            <w:pPr>
              <w:keepNext/>
              <w:keepLines/>
              <w:spacing w:before="80" w:after="80" w:line="200" w:lineRule="exact"/>
              <w:rPr>
                <w:i/>
                <w:sz w:val="16"/>
                <w:lang w:val="en-GB"/>
              </w:rPr>
            </w:pPr>
          </w:p>
        </w:tc>
        <w:tc>
          <w:tcPr>
            <w:tcW w:w="1666" w:type="dxa"/>
            <w:tcBorders>
              <w:top w:val="single" w:sz="4" w:space="0" w:color="auto"/>
              <w:bottom w:val="single" w:sz="12" w:space="0" w:color="auto"/>
            </w:tcBorders>
            <w:shd w:val="clear" w:color="auto" w:fill="auto"/>
            <w:vAlign w:val="bottom"/>
          </w:tcPr>
          <w:p w14:paraId="7ABDDEFE" w14:textId="77777777" w:rsidR="00A24ECC" w:rsidRPr="00A24ECC" w:rsidRDefault="00A24ECC" w:rsidP="009A61E5">
            <w:pPr>
              <w:keepNext/>
              <w:keepLines/>
              <w:spacing w:before="80" w:after="80" w:line="200" w:lineRule="exact"/>
              <w:rPr>
                <w:i/>
                <w:sz w:val="16"/>
                <w:lang w:val="en-GB"/>
              </w:rPr>
            </w:pPr>
            <w:r w:rsidRPr="00A24ECC">
              <w:rPr>
                <w:i/>
                <w:iCs/>
                <w:sz w:val="16"/>
              </w:rPr>
              <w:t>Nombre de la institución</w:t>
            </w:r>
          </w:p>
        </w:tc>
        <w:tc>
          <w:tcPr>
            <w:tcW w:w="1288" w:type="dxa"/>
            <w:tcBorders>
              <w:top w:val="single" w:sz="4" w:space="0" w:color="auto"/>
              <w:bottom w:val="single" w:sz="12" w:space="0" w:color="auto"/>
            </w:tcBorders>
            <w:shd w:val="clear" w:color="auto" w:fill="auto"/>
            <w:vAlign w:val="bottom"/>
          </w:tcPr>
          <w:p w14:paraId="6120BF17" w14:textId="77777777" w:rsidR="00A24ECC" w:rsidRPr="00A24ECC" w:rsidRDefault="00A24ECC" w:rsidP="009A61E5">
            <w:pPr>
              <w:keepNext/>
              <w:keepLines/>
              <w:spacing w:before="80" w:after="80" w:line="200" w:lineRule="exact"/>
              <w:rPr>
                <w:i/>
                <w:sz w:val="16"/>
                <w:lang w:val="en-GB"/>
              </w:rPr>
            </w:pPr>
            <w:r w:rsidRPr="00A24ECC">
              <w:rPr>
                <w:i/>
                <w:iCs/>
                <w:sz w:val="16"/>
              </w:rPr>
              <w:t>Mandato</w:t>
            </w:r>
          </w:p>
        </w:tc>
        <w:tc>
          <w:tcPr>
            <w:tcW w:w="1430" w:type="dxa"/>
            <w:tcBorders>
              <w:top w:val="single" w:sz="4" w:space="0" w:color="auto"/>
              <w:bottom w:val="single" w:sz="12" w:space="0" w:color="auto"/>
            </w:tcBorders>
            <w:shd w:val="clear" w:color="auto" w:fill="auto"/>
            <w:vAlign w:val="bottom"/>
          </w:tcPr>
          <w:p w14:paraId="404FC945" w14:textId="77777777" w:rsidR="00A24ECC" w:rsidRPr="00A24ECC" w:rsidRDefault="00A24ECC" w:rsidP="009A61E5">
            <w:pPr>
              <w:keepNext/>
              <w:keepLines/>
              <w:spacing w:before="80" w:after="80" w:line="200" w:lineRule="exact"/>
              <w:rPr>
                <w:i/>
                <w:sz w:val="16"/>
                <w:lang w:val="en-GB"/>
              </w:rPr>
            </w:pPr>
            <w:r w:rsidRPr="00A24ECC">
              <w:rPr>
                <w:i/>
                <w:iCs/>
                <w:sz w:val="16"/>
              </w:rPr>
              <w:t>Composición</w:t>
            </w:r>
          </w:p>
        </w:tc>
        <w:tc>
          <w:tcPr>
            <w:tcW w:w="1803" w:type="dxa"/>
            <w:tcBorders>
              <w:top w:val="single" w:sz="4" w:space="0" w:color="auto"/>
              <w:bottom w:val="single" w:sz="12" w:space="0" w:color="auto"/>
            </w:tcBorders>
            <w:shd w:val="clear" w:color="auto" w:fill="auto"/>
            <w:vAlign w:val="bottom"/>
          </w:tcPr>
          <w:p w14:paraId="4FE935D4" w14:textId="77777777" w:rsidR="00A24ECC" w:rsidRPr="00A24ECC" w:rsidRDefault="00A24ECC" w:rsidP="009A61E5">
            <w:pPr>
              <w:keepNext/>
              <w:keepLines/>
              <w:spacing w:before="80" w:after="80" w:line="200" w:lineRule="exact"/>
              <w:rPr>
                <w:i/>
                <w:sz w:val="16"/>
                <w:lang w:val="en-GB"/>
              </w:rPr>
            </w:pPr>
            <w:r w:rsidRPr="00A24ECC">
              <w:rPr>
                <w:i/>
                <w:iCs/>
                <w:sz w:val="16"/>
              </w:rPr>
              <w:t>Recursos financieros</w:t>
            </w:r>
          </w:p>
        </w:tc>
        <w:tc>
          <w:tcPr>
            <w:tcW w:w="1596" w:type="dxa"/>
            <w:tcBorders>
              <w:top w:val="single" w:sz="4" w:space="0" w:color="auto"/>
              <w:bottom w:val="single" w:sz="12" w:space="0" w:color="auto"/>
            </w:tcBorders>
            <w:shd w:val="clear" w:color="auto" w:fill="auto"/>
            <w:vAlign w:val="bottom"/>
          </w:tcPr>
          <w:p w14:paraId="40C2F715" w14:textId="77777777" w:rsidR="00A24ECC" w:rsidRPr="00A24ECC" w:rsidRDefault="00A24ECC" w:rsidP="009A61E5">
            <w:pPr>
              <w:keepNext/>
              <w:keepLines/>
              <w:spacing w:before="80" w:after="80" w:line="200" w:lineRule="exact"/>
              <w:rPr>
                <w:i/>
                <w:sz w:val="16"/>
                <w:lang w:val="en-GB"/>
              </w:rPr>
            </w:pPr>
            <w:r w:rsidRPr="00A24ECC">
              <w:rPr>
                <w:i/>
                <w:iCs/>
                <w:sz w:val="16"/>
              </w:rPr>
              <w:t>Actividades</w:t>
            </w:r>
          </w:p>
        </w:tc>
        <w:tc>
          <w:tcPr>
            <w:tcW w:w="1442" w:type="dxa"/>
            <w:tcBorders>
              <w:top w:val="single" w:sz="4" w:space="0" w:color="auto"/>
              <w:bottom w:val="single" w:sz="12" w:space="0" w:color="auto"/>
            </w:tcBorders>
            <w:shd w:val="clear" w:color="auto" w:fill="auto"/>
            <w:vAlign w:val="bottom"/>
          </w:tcPr>
          <w:p w14:paraId="128DBE24" w14:textId="77777777" w:rsidR="00A24ECC" w:rsidRPr="00A24ECC" w:rsidRDefault="00A24ECC" w:rsidP="009A61E5">
            <w:pPr>
              <w:keepNext/>
              <w:keepLines/>
              <w:spacing w:before="80" w:after="80" w:line="200" w:lineRule="exact"/>
              <w:rPr>
                <w:i/>
                <w:sz w:val="16"/>
                <w:lang w:val="en-GB"/>
              </w:rPr>
            </w:pPr>
            <w:r w:rsidRPr="00A24ECC">
              <w:rPr>
                <w:i/>
                <w:iCs/>
                <w:sz w:val="16"/>
              </w:rPr>
              <w:t>Situación</w:t>
            </w:r>
          </w:p>
        </w:tc>
      </w:tr>
      <w:tr w:rsidR="00F039B5" w:rsidRPr="00A24ECC" w14:paraId="5643C490" w14:textId="77777777" w:rsidTr="00F039B5">
        <w:trPr>
          <w:trHeight w:hRule="exact" w:val="113"/>
          <w:tblHeader/>
        </w:trPr>
        <w:tc>
          <w:tcPr>
            <w:tcW w:w="350" w:type="dxa"/>
            <w:tcBorders>
              <w:top w:val="single" w:sz="12" w:space="0" w:color="auto"/>
            </w:tcBorders>
            <w:shd w:val="clear" w:color="auto" w:fill="auto"/>
          </w:tcPr>
          <w:p w14:paraId="1CC8D1BD" w14:textId="77777777" w:rsidR="00A24ECC" w:rsidRPr="00A24ECC" w:rsidRDefault="00A24ECC" w:rsidP="009A61E5">
            <w:pPr>
              <w:keepNext/>
              <w:keepLines/>
              <w:spacing w:before="40" w:after="120"/>
              <w:rPr>
                <w:lang w:val="en-GB"/>
              </w:rPr>
            </w:pPr>
          </w:p>
        </w:tc>
        <w:tc>
          <w:tcPr>
            <w:tcW w:w="1666" w:type="dxa"/>
            <w:tcBorders>
              <w:top w:val="single" w:sz="12" w:space="0" w:color="auto"/>
            </w:tcBorders>
            <w:shd w:val="clear" w:color="auto" w:fill="auto"/>
          </w:tcPr>
          <w:p w14:paraId="5F22F9E1" w14:textId="77777777" w:rsidR="00A24ECC" w:rsidRPr="00A24ECC" w:rsidRDefault="00A24ECC" w:rsidP="009A61E5">
            <w:pPr>
              <w:keepNext/>
              <w:keepLines/>
              <w:spacing w:before="40" w:after="120"/>
              <w:rPr>
                <w:lang w:val="en-GB"/>
              </w:rPr>
            </w:pPr>
          </w:p>
        </w:tc>
        <w:tc>
          <w:tcPr>
            <w:tcW w:w="1288" w:type="dxa"/>
            <w:tcBorders>
              <w:top w:val="single" w:sz="12" w:space="0" w:color="auto"/>
            </w:tcBorders>
            <w:shd w:val="clear" w:color="auto" w:fill="auto"/>
          </w:tcPr>
          <w:p w14:paraId="5BD90BBF" w14:textId="77777777" w:rsidR="00A24ECC" w:rsidRPr="00A24ECC" w:rsidRDefault="00A24ECC" w:rsidP="009A61E5">
            <w:pPr>
              <w:keepNext/>
              <w:keepLines/>
              <w:spacing w:before="40" w:after="120"/>
              <w:rPr>
                <w:lang w:val="en-GB"/>
              </w:rPr>
            </w:pPr>
          </w:p>
        </w:tc>
        <w:tc>
          <w:tcPr>
            <w:tcW w:w="1430" w:type="dxa"/>
            <w:tcBorders>
              <w:top w:val="single" w:sz="12" w:space="0" w:color="auto"/>
            </w:tcBorders>
            <w:shd w:val="clear" w:color="auto" w:fill="auto"/>
          </w:tcPr>
          <w:p w14:paraId="30A48484" w14:textId="77777777" w:rsidR="00A24ECC" w:rsidRPr="00A24ECC" w:rsidRDefault="00A24ECC" w:rsidP="009A61E5">
            <w:pPr>
              <w:keepNext/>
              <w:keepLines/>
              <w:spacing w:before="40" w:after="120"/>
              <w:rPr>
                <w:lang w:val="en-GB"/>
              </w:rPr>
            </w:pPr>
          </w:p>
        </w:tc>
        <w:tc>
          <w:tcPr>
            <w:tcW w:w="1803" w:type="dxa"/>
            <w:tcBorders>
              <w:top w:val="single" w:sz="12" w:space="0" w:color="auto"/>
            </w:tcBorders>
            <w:shd w:val="clear" w:color="auto" w:fill="auto"/>
          </w:tcPr>
          <w:p w14:paraId="327C8589" w14:textId="77777777" w:rsidR="00A24ECC" w:rsidRPr="00A24ECC" w:rsidRDefault="00A24ECC" w:rsidP="009A61E5">
            <w:pPr>
              <w:keepNext/>
              <w:keepLines/>
              <w:spacing w:before="40" w:after="120"/>
              <w:rPr>
                <w:lang w:val="en-GB"/>
              </w:rPr>
            </w:pPr>
          </w:p>
        </w:tc>
        <w:tc>
          <w:tcPr>
            <w:tcW w:w="1596" w:type="dxa"/>
            <w:tcBorders>
              <w:top w:val="single" w:sz="12" w:space="0" w:color="auto"/>
            </w:tcBorders>
            <w:shd w:val="clear" w:color="auto" w:fill="auto"/>
          </w:tcPr>
          <w:p w14:paraId="6E1B9A7B" w14:textId="77777777" w:rsidR="00A24ECC" w:rsidRPr="00A24ECC" w:rsidRDefault="00A24ECC" w:rsidP="009A61E5">
            <w:pPr>
              <w:keepNext/>
              <w:keepLines/>
              <w:spacing w:before="40" w:after="120"/>
              <w:rPr>
                <w:lang w:val="en-GB"/>
              </w:rPr>
            </w:pPr>
          </w:p>
        </w:tc>
        <w:tc>
          <w:tcPr>
            <w:tcW w:w="1442" w:type="dxa"/>
            <w:tcBorders>
              <w:top w:val="single" w:sz="12" w:space="0" w:color="auto"/>
            </w:tcBorders>
            <w:shd w:val="clear" w:color="auto" w:fill="auto"/>
          </w:tcPr>
          <w:p w14:paraId="340245FD" w14:textId="77777777" w:rsidR="00A24ECC" w:rsidRPr="00A24ECC" w:rsidRDefault="00A24ECC" w:rsidP="009A61E5">
            <w:pPr>
              <w:keepNext/>
              <w:keepLines/>
              <w:spacing w:before="40" w:after="120"/>
              <w:rPr>
                <w:lang w:val="en-GB"/>
              </w:rPr>
            </w:pPr>
          </w:p>
        </w:tc>
      </w:tr>
      <w:tr w:rsidR="00F039B5" w:rsidRPr="00A24ECC" w14:paraId="6E05BCC6" w14:textId="77777777" w:rsidTr="00F039B5">
        <w:trPr>
          <w:trHeight w:val="240"/>
        </w:trPr>
        <w:tc>
          <w:tcPr>
            <w:tcW w:w="350" w:type="dxa"/>
            <w:shd w:val="clear" w:color="auto" w:fill="auto"/>
          </w:tcPr>
          <w:p w14:paraId="00D8B75C" w14:textId="77777777" w:rsidR="00A24ECC" w:rsidRPr="00A24ECC" w:rsidRDefault="00A24ECC" w:rsidP="009A61E5">
            <w:pPr>
              <w:keepNext/>
              <w:keepLines/>
              <w:spacing w:before="40" w:after="120"/>
              <w:rPr>
                <w:lang w:val="en-GB"/>
              </w:rPr>
            </w:pPr>
            <w:r w:rsidRPr="00A24ECC">
              <w:t>1</w:t>
            </w:r>
          </w:p>
        </w:tc>
        <w:tc>
          <w:tcPr>
            <w:tcW w:w="1666" w:type="dxa"/>
            <w:shd w:val="clear" w:color="auto" w:fill="auto"/>
          </w:tcPr>
          <w:p w14:paraId="14FEFF3E" w14:textId="77777777" w:rsidR="00A24ECC" w:rsidRPr="00A24ECC" w:rsidRDefault="00A24ECC" w:rsidP="009A61E5">
            <w:pPr>
              <w:keepNext/>
              <w:keepLines/>
              <w:spacing w:before="40" w:after="120"/>
            </w:pPr>
            <w:r w:rsidRPr="00A24ECC">
              <w:t>Ministerio de Justicia y Asuntos Constitucionales</w:t>
            </w:r>
          </w:p>
        </w:tc>
        <w:tc>
          <w:tcPr>
            <w:tcW w:w="1288" w:type="dxa"/>
            <w:shd w:val="clear" w:color="auto" w:fill="auto"/>
          </w:tcPr>
          <w:p w14:paraId="1592B78F" w14:textId="77777777" w:rsidR="00A24ECC" w:rsidRPr="00A24ECC" w:rsidRDefault="00A24ECC" w:rsidP="009A61E5">
            <w:pPr>
              <w:keepNext/>
              <w:keepLines/>
              <w:spacing w:before="40" w:after="120"/>
            </w:pPr>
            <w:r w:rsidRPr="00A24ECC">
              <w:t>Prestación de servicios jurídicos, incluida la asistencia letrada</w:t>
            </w:r>
          </w:p>
        </w:tc>
        <w:tc>
          <w:tcPr>
            <w:tcW w:w="1430" w:type="dxa"/>
            <w:shd w:val="clear" w:color="auto" w:fill="auto"/>
          </w:tcPr>
          <w:p w14:paraId="3898933F" w14:textId="77777777" w:rsidR="00A24ECC" w:rsidRPr="00A24ECC" w:rsidRDefault="00A24ECC" w:rsidP="009A61E5">
            <w:pPr>
              <w:keepNext/>
              <w:keepLines/>
              <w:spacing w:before="40" w:after="120"/>
            </w:pPr>
            <w:r w:rsidRPr="00A24ECC">
              <w:t>Cada ministerio, tanto a nivel nacional como estatal, está dirigido por un ministro</w:t>
            </w:r>
          </w:p>
        </w:tc>
        <w:tc>
          <w:tcPr>
            <w:tcW w:w="1803" w:type="dxa"/>
            <w:shd w:val="clear" w:color="auto" w:fill="auto"/>
          </w:tcPr>
          <w:p w14:paraId="5055B31C" w14:textId="77777777" w:rsidR="00A24ECC" w:rsidRPr="00A24ECC" w:rsidRDefault="00A24ECC" w:rsidP="009A61E5">
            <w:pPr>
              <w:keepNext/>
              <w:keepLines/>
              <w:spacing w:before="40" w:after="120"/>
            </w:pPr>
            <w:r w:rsidRPr="00A24ECC">
              <w:t>El presupuesto gubernamental incluye un fondo de financiación inicial de 5 millones de libras sursudanesas para asistencia jurídica</w:t>
            </w:r>
          </w:p>
        </w:tc>
        <w:tc>
          <w:tcPr>
            <w:tcW w:w="1596" w:type="dxa"/>
            <w:shd w:val="clear" w:color="auto" w:fill="auto"/>
          </w:tcPr>
          <w:p w14:paraId="02C52BD1" w14:textId="77777777" w:rsidR="00A24ECC" w:rsidRPr="00A24ECC" w:rsidRDefault="00A24ECC" w:rsidP="009A61E5">
            <w:pPr>
              <w:keepNext/>
              <w:keepLines/>
              <w:spacing w:before="40" w:after="120"/>
            </w:pPr>
            <w:r w:rsidRPr="00A24ECC">
              <w:t>Enjuiciamiento de delitos</w:t>
            </w:r>
          </w:p>
          <w:p w14:paraId="612EA0F4" w14:textId="77777777" w:rsidR="00A24ECC" w:rsidRPr="00A24ECC" w:rsidRDefault="00A24ECC" w:rsidP="009A61E5">
            <w:pPr>
              <w:keepNext/>
              <w:keepLines/>
              <w:spacing w:before="40" w:after="120"/>
            </w:pPr>
            <w:r w:rsidRPr="00A24ECC">
              <w:t>Prestación de asistencia letrada</w:t>
            </w:r>
          </w:p>
        </w:tc>
        <w:tc>
          <w:tcPr>
            <w:tcW w:w="1442" w:type="dxa"/>
            <w:shd w:val="clear" w:color="auto" w:fill="auto"/>
          </w:tcPr>
          <w:p w14:paraId="54E19B0A" w14:textId="77777777" w:rsidR="00A24ECC" w:rsidRPr="00A24ECC" w:rsidRDefault="00A24ECC" w:rsidP="009A61E5">
            <w:pPr>
              <w:keepNext/>
              <w:keepLines/>
              <w:spacing w:before="40" w:after="120"/>
              <w:rPr>
                <w:lang w:val="en-GB"/>
              </w:rPr>
            </w:pPr>
            <w:r w:rsidRPr="00A24ECC">
              <w:t>Establecido</w:t>
            </w:r>
          </w:p>
        </w:tc>
      </w:tr>
      <w:tr w:rsidR="00F039B5" w:rsidRPr="00A24ECC" w14:paraId="4580165A" w14:textId="77777777" w:rsidTr="00F039B5">
        <w:trPr>
          <w:trHeight w:val="240"/>
        </w:trPr>
        <w:tc>
          <w:tcPr>
            <w:tcW w:w="350" w:type="dxa"/>
            <w:tcBorders>
              <w:bottom w:val="single" w:sz="12" w:space="0" w:color="auto"/>
            </w:tcBorders>
            <w:shd w:val="clear" w:color="auto" w:fill="auto"/>
          </w:tcPr>
          <w:p w14:paraId="6D27F894" w14:textId="77777777" w:rsidR="00A24ECC" w:rsidRPr="00A24ECC" w:rsidRDefault="00A24ECC" w:rsidP="00F039B5">
            <w:pPr>
              <w:spacing w:before="40" w:after="120"/>
              <w:rPr>
                <w:lang w:val="en-GB"/>
              </w:rPr>
            </w:pPr>
            <w:r w:rsidRPr="00A24ECC">
              <w:t>2</w:t>
            </w:r>
          </w:p>
        </w:tc>
        <w:tc>
          <w:tcPr>
            <w:tcW w:w="1666" w:type="dxa"/>
            <w:tcBorders>
              <w:bottom w:val="single" w:sz="12" w:space="0" w:color="auto"/>
            </w:tcBorders>
            <w:shd w:val="clear" w:color="auto" w:fill="auto"/>
          </w:tcPr>
          <w:p w14:paraId="31784153" w14:textId="77777777" w:rsidR="00A24ECC" w:rsidRPr="00A24ECC" w:rsidRDefault="00A24ECC" w:rsidP="00F039B5">
            <w:pPr>
              <w:spacing w:before="40" w:after="120"/>
            </w:pPr>
            <w:r w:rsidRPr="00A24ECC">
              <w:t>Ministerios de Género, Infancia y Bienestar nacionales y estatales</w:t>
            </w:r>
          </w:p>
        </w:tc>
        <w:tc>
          <w:tcPr>
            <w:tcW w:w="1288" w:type="dxa"/>
            <w:tcBorders>
              <w:bottom w:val="single" w:sz="12" w:space="0" w:color="auto"/>
            </w:tcBorders>
            <w:shd w:val="clear" w:color="auto" w:fill="auto"/>
          </w:tcPr>
          <w:p w14:paraId="6D6ED4DB" w14:textId="77777777" w:rsidR="00A24ECC" w:rsidRPr="00A24ECC" w:rsidRDefault="00A24ECC" w:rsidP="00F039B5">
            <w:pPr>
              <w:spacing w:before="40" w:after="120"/>
            </w:pPr>
            <w:r w:rsidRPr="00A24ECC">
              <w:t>Promoción y protección de los derechos de las mujeres y los niños y otras personas vulnerables</w:t>
            </w:r>
          </w:p>
        </w:tc>
        <w:tc>
          <w:tcPr>
            <w:tcW w:w="1430" w:type="dxa"/>
            <w:tcBorders>
              <w:bottom w:val="single" w:sz="12" w:space="0" w:color="auto"/>
            </w:tcBorders>
            <w:shd w:val="clear" w:color="auto" w:fill="auto"/>
          </w:tcPr>
          <w:p w14:paraId="4FE8CF3E" w14:textId="77777777" w:rsidR="00A24ECC" w:rsidRPr="00A24ECC" w:rsidRDefault="00A24ECC" w:rsidP="00F039B5">
            <w:pPr>
              <w:spacing w:before="40" w:after="120"/>
            </w:pPr>
            <w:r w:rsidRPr="00A24ECC">
              <w:t>Cada ministerio, tanto a nivel nacional como estatal, está dirigido por un ministro</w:t>
            </w:r>
          </w:p>
        </w:tc>
        <w:tc>
          <w:tcPr>
            <w:tcW w:w="1803" w:type="dxa"/>
            <w:tcBorders>
              <w:bottom w:val="single" w:sz="12" w:space="0" w:color="auto"/>
            </w:tcBorders>
            <w:shd w:val="clear" w:color="auto" w:fill="auto"/>
          </w:tcPr>
          <w:p w14:paraId="316356C4" w14:textId="77777777" w:rsidR="00A24ECC" w:rsidRPr="00A24ECC" w:rsidRDefault="00A24ECC" w:rsidP="00F039B5">
            <w:pPr>
              <w:spacing w:before="40" w:after="120"/>
            </w:pPr>
            <w:r w:rsidRPr="00A24ECC">
              <w:t>El presupuesto del Gobierno y el enorme apoyo de los asociados para el desarrollo</w:t>
            </w:r>
          </w:p>
        </w:tc>
        <w:tc>
          <w:tcPr>
            <w:tcW w:w="1596" w:type="dxa"/>
            <w:tcBorders>
              <w:bottom w:val="single" w:sz="12" w:space="0" w:color="auto"/>
            </w:tcBorders>
            <w:shd w:val="clear" w:color="auto" w:fill="auto"/>
          </w:tcPr>
          <w:p w14:paraId="4B045D7E" w14:textId="77777777" w:rsidR="00A24ECC" w:rsidRPr="00A24ECC" w:rsidRDefault="00A24ECC" w:rsidP="00F039B5">
            <w:pPr>
              <w:spacing w:before="40" w:after="120"/>
            </w:pPr>
            <w:r w:rsidRPr="00A24ECC">
              <w:t>Promoción de la igualdad de género</w:t>
            </w:r>
          </w:p>
          <w:p w14:paraId="01837EC6" w14:textId="77777777" w:rsidR="00A24ECC" w:rsidRPr="00A24ECC" w:rsidRDefault="00A24ECC" w:rsidP="00F039B5">
            <w:pPr>
              <w:spacing w:before="40" w:after="120"/>
            </w:pPr>
            <w:r w:rsidRPr="00A24ECC">
              <w:t>Protección de personas vulnerables</w:t>
            </w:r>
          </w:p>
          <w:p w14:paraId="2CA316CC" w14:textId="77777777" w:rsidR="00A24ECC" w:rsidRPr="00A24ECC" w:rsidRDefault="00A24ECC" w:rsidP="00F039B5">
            <w:pPr>
              <w:spacing w:before="40" w:after="120"/>
            </w:pPr>
            <w:r w:rsidRPr="00A24ECC">
              <w:t>Concienciación pública sobre las costumbres perjudiciales</w:t>
            </w:r>
          </w:p>
        </w:tc>
        <w:tc>
          <w:tcPr>
            <w:tcW w:w="1442" w:type="dxa"/>
            <w:tcBorders>
              <w:bottom w:val="single" w:sz="12" w:space="0" w:color="auto"/>
            </w:tcBorders>
            <w:shd w:val="clear" w:color="auto" w:fill="auto"/>
          </w:tcPr>
          <w:p w14:paraId="07AE51AD" w14:textId="77777777" w:rsidR="00A24ECC" w:rsidRPr="00A24ECC" w:rsidRDefault="00A24ECC" w:rsidP="00F039B5">
            <w:pPr>
              <w:spacing w:before="40" w:after="120"/>
              <w:rPr>
                <w:lang w:val="en-GB"/>
              </w:rPr>
            </w:pPr>
            <w:r w:rsidRPr="00A24ECC">
              <w:t>Establecidos</w:t>
            </w:r>
          </w:p>
        </w:tc>
      </w:tr>
    </w:tbl>
    <w:p w14:paraId="5DE65B3D" w14:textId="77777777" w:rsidR="00A24ECC" w:rsidRPr="00A24ECC" w:rsidRDefault="00A24ECC" w:rsidP="009D3493">
      <w:pPr>
        <w:pStyle w:val="H1G"/>
      </w:pPr>
      <w:r w:rsidRPr="00A24ECC">
        <w:tab/>
        <w:t>E.</w:t>
      </w:r>
      <w:r w:rsidRPr="00A24ECC">
        <w:tab/>
        <w:t>Convenciones y otros instrumentos de derechos humanos que el</w:t>
      </w:r>
      <w:r w:rsidR="00F33F98">
        <w:t> </w:t>
      </w:r>
      <w:r w:rsidRPr="00A24ECC">
        <w:t>país</w:t>
      </w:r>
      <w:r w:rsidR="00F33F98">
        <w:t> </w:t>
      </w:r>
      <w:r w:rsidRPr="00A24ECC">
        <w:t>ha</w:t>
      </w:r>
      <w:r w:rsidR="00F33F98">
        <w:t> </w:t>
      </w:r>
      <w:r w:rsidRPr="00A24ECC">
        <w:t>ratificado o a los que se ha adherido</w:t>
      </w:r>
    </w:p>
    <w:p w14:paraId="694721E7" w14:textId="77777777" w:rsidR="00A24ECC" w:rsidRDefault="009D3493" w:rsidP="009D3493">
      <w:pPr>
        <w:pStyle w:val="H23G"/>
      </w:pPr>
      <w:r>
        <w:tab/>
      </w:r>
      <w:r w:rsidR="00A24ECC" w:rsidRPr="00A24ECC">
        <w:tab/>
        <w:t>Sudán del Sur es parte en varios instrumentos jurídicos internacionales de</w:t>
      </w:r>
      <w:r w:rsidR="00F33F98">
        <w:t> </w:t>
      </w:r>
      <w:r w:rsidR="00A24ECC" w:rsidRPr="00A24ECC">
        <w:t>derechos</w:t>
      </w:r>
      <w:r w:rsidR="00F33F98">
        <w:t> </w:t>
      </w:r>
      <w:r w:rsidR="00A24ECC" w:rsidRPr="00A24ECC">
        <w:t>humanos</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567"/>
        <w:gridCol w:w="6803"/>
      </w:tblGrid>
      <w:tr w:rsidR="00F33F98" w:rsidRPr="00F33F98" w14:paraId="35E3E52C" w14:textId="77777777" w:rsidTr="00F33F98">
        <w:trPr>
          <w:trHeight w:val="240"/>
          <w:tblHeader/>
        </w:trPr>
        <w:tc>
          <w:tcPr>
            <w:tcW w:w="567" w:type="dxa"/>
            <w:tcBorders>
              <w:top w:val="single" w:sz="4" w:space="0" w:color="auto"/>
              <w:bottom w:val="single" w:sz="12" w:space="0" w:color="auto"/>
            </w:tcBorders>
            <w:shd w:val="clear" w:color="auto" w:fill="auto"/>
            <w:vAlign w:val="bottom"/>
          </w:tcPr>
          <w:p w14:paraId="68EC8696" w14:textId="77777777" w:rsidR="00A24ECC" w:rsidRPr="00A24ECC" w:rsidRDefault="00A24ECC" w:rsidP="00F33F98">
            <w:pPr>
              <w:spacing w:before="80" w:after="80" w:line="200" w:lineRule="exact"/>
              <w:rPr>
                <w:i/>
                <w:sz w:val="16"/>
                <w:lang w:val="en-GB"/>
              </w:rPr>
            </w:pPr>
            <w:r w:rsidRPr="00A24ECC">
              <w:rPr>
                <w:i/>
                <w:iCs/>
                <w:sz w:val="16"/>
              </w:rPr>
              <w:t>Núm.</w:t>
            </w:r>
          </w:p>
        </w:tc>
        <w:tc>
          <w:tcPr>
            <w:tcW w:w="6803" w:type="dxa"/>
            <w:tcBorders>
              <w:top w:val="single" w:sz="4" w:space="0" w:color="auto"/>
              <w:bottom w:val="single" w:sz="12" w:space="0" w:color="auto"/>
            </w:tcBorders>
            <w:shd w:val="clear" w:color="auto" w:fill="auto"/>
            <w:vAlign w:val="bottom"/>
          </w:tcPr>
          <w:p w14:paraId="54F4295E" w14:textId="77777777" w:rsidR="00A24ECC" w:rsidRPr="00A24ECC" w:rsidRDefault="00A24ECC" w:rsidP="00F33F98">
            <w:pPr>
              <w:spacing w:before="80" w:after="80" w:line="200" w:lineRule="exact"/>
              <w:rPr>
                <w:i/>
                <w:sz w:val="16"/>
                <w:lang w:val="en-GB"/>
              </w:rPr>
            </w:pPr>
            <w:r w:rsidRPr="00A24ECC">
              <w:rPr>
                <w:i/>
                <w:iCs/>
                <w:sz w:val="16"/>
              </w:rPr>
              <w:t>Convención/Tratado</w:t>
            </w:r>
          </w:p>
        </w:tc>
      </w:tr>
      <w:tr w:rsidR="00A24ECC" w:rsidRPr="00A24ECC" w14:paraId="12F0B858" w14:textId="77777777" w:rsidTr="00F33F98">
        <w:trPr>
          <w:trHeight w:hRule="exact" w:val="113"/>
        </w:trPr>
        <w:tc>
          <w:tcPr>
            <w:tcW w:w="567" w:type="dxa"/>
            <w:tcBorders>
              <w:top w:val="single" w:sz="12" w:space="0" w:color="auto"/>
            </w:tcBorders>
            <w:shd w:val="clear" w:color="auto" w:fill="auto"/>
          </w:tcPr>
          <w:p w14:paraId="02DBA3A7" w14:textId="77777777" w:rsidR="00A24ECC" w:rsidRPr="00A24ECC" w:rsidRDefault="00A24ECC" w:rsidP="00F33F98">
            <w:pPr>
              <w:spacing w:before="40" w:after="120"/>
              <w:rPr>
                <w:lang w:val="en-GB"/>
              </w:rPr>
            </w:pPr>
          </w:p>
        </w:tc>
        <w:tc>
          <w:tcPr>
            <w:tcW w:w="6803" w:type="dxa"/>
            <w:tcBorders>
              <w:top w:val="single" w:sz="12" w:space="0" w:color="auto"/>
            </w:tcBorders>
            <w:shd w:val="clear" w:color="auto" w:fill="auto"/>
          </w:tcPr>
          <w:p w14:paraId="3F21E8E7" w14:textId="77777777" w:rsidR="00A24ECC" w:rsidRPr="00A24ECC" w:rsidRDefault="00A24ECC" w:rsidP="00F33F98">
            <w:pPr>
              <w:spacing w:before="40" w:after="120"/>
              <w:rPr>
                <w:lang w:val="en-GB"/>
              </w:rPr>
            </w:pPr>
          </w:p>
        </w:tc>
      </w:tr>
      <w:tr w:rsidR="00A24ECC" w:rsidRPr="00A24ECC" w14:paraId="678482BF" w14:textId="77777777" w:rsidTr="00F33F98">
        <w:trPr>
          <w:trHeight w:val="240"/>
        </w:trPr>
        <w:tc>
          <w:tcPr>
            <w:tcW w:w="567" w:type="dxa"/>
            <w:shd w:val="clear" w:color="auto" w:fill="auto"/>
          </w:tcPr>
          <w:p w14:paraId="37DCCAF5" w14:textId="77777777" w:rsidR="00A24ECC" w:rsidRPr="00A24ECC" w:rsidRDefault="00A24ECC" w:rsidP="00F33F98">
            <w:pPr>
              <w:spacing w:before="40" w:after="120"/>
              <w:rPr>
                <w:lang w:val="en-GB"/>
              </w:rPr>
            </w:pPr>
          </w:p>
        </w:tc>
        <w:tc>
          <w:tcPr>
            <w:tcW w:w="6803" w:type="dxa"/>
            <w:shd w:val="clear" w:color="auto" w:fill="auto"/>
          </w:tcPr>
          <w:p w14:paraId="2C62DB51" w14:textId="77777777" w:rsidR="00A24ECC" w:rsidRPr="00A24ECC" w:rsidRDefault="00A24ECC" w:rsidP="00F33F98">
            <w:pPr>
              <w:spacing w:before="40" w:after="120"/>
            </w:pPr>
            <w:r w:rsidRPr="00A24ECC">
              <w:t>Pacto Internacional de Derechos Civiles y Políticos</w:t>
            </w:r>
          </w:p>
        </w:tc>
      </w:tr>
      <w:tr w:rsidR="00A24ECC" w:rsidRPr="00A24ECC" w14:paraId="12894F2E" w14:textId="77777777" w:rsidTr="00F33F98">
        <w:trPr>
          <w:trHeight w:val="240"/>
        </w:trPr>
        <w:tc>
          <w:tcPr>
            <w:tcW w:w="567" w:type="dxa"/>
            <w:shd w:val="clear" w:color="auto" w:fill="auto"/>
          </w:tcPr>
          <w:p w14:paraId="6198CECC" w14:textId="77777777" w:rsidR="00A24ECC" w:rsidRPr="00A24ECC" w:rsidRDefault="00A24ECC" w:rsidP="00F33F98">
            <w:pPr>
              <w:spacing w:before="40" w:after="120"/>
            </w:pPr>
          </w:p>
        </w:tc>
        <w:tc>
          <w:tcPr>
            <w:tcW w:w="6803" w:type="dxa"/>
            <w:shd w:val="clear" w:color="auto" w:fill="auto"/>
          </w:tcPr>
          <w:p w14:paraId="3E425A27" w14:textId="77777777" w:rsidR="00A24ECC" w:rsidRPr="00A24ECC" w:rsidRDefault="00A24ECC" w:rsidP="00F33F98">
            <w:pPr>
              <w:spacing w:before="40" w:after="120"/>
            </w:pPr>
            <w:r w:rsidRPr="00A24ECC">
              <w:t>Protocolo Facultativo del Pacto Internacional de Derechos Civiles y Políticos</w:t>
            </w:r>
          </w:p>
        </w:tc>
      </w:tr>
      <w:tr w:rsidR="00A24ECC" w:rsidRPr="00A24ECC" w14:paraId="79C4A744" w14:textId="77777777" w:rsidTr="00F33F98">
        <w:trPr>
          <w:trHeight w:val="240"/>
        </w:trPr>
        <w:tc>
          <w:tcPr>
            <w:tcW w:w="567" w:type="dxa"/>
            <w:shd w:val="clear" w:color="auto" w:fill="auto"/>
          </w:tcPr>
          <w:p w14:paraId="38AF565A" w14:textId="77777777" w:rsidR="00A24ECC" w:rsidRPr="00A24ECC" w:rsidRDefault="00A24ECC" w:rsidP="00F33F98">
            <w:pPr>
              <w:spacing w:before="40" w:after="120"/>
            </w:pPr>
          </w:p>
        </w:tc>
        <w:tc>
          <w:tcPr>
            <w:tcW w:w="6803" w:type="dxa"/>
            <w:shd w:val="clear" w:color="auto" w:fill="auto"/>
          </w:tcPr>
          <w:p w14:paraId="39908ED7" w14:textId="77777777" w:rsidR="00A24ECC" w:rsidRPr="00A24ECC" w:rsidRDefault="00A24ECC" w:rsidP="00F33F98">
            <w:pPr>
              <w:spacing w:before="40" w:after="120"/>
            </w:pPr>
            <w:r w:rsidRPr="00A24ECC">
              <w:t xml:space="preserve">Pacto Internacional de Derechos Económicos, Sociales y Culturales </w:t>
            </w:r>
          </w:p>
        </w:tc>
      </w:tr>
      <w:tr w:rsidR="00A24ECC" w:rsidRPr="00A24ECC" w14:paraId="0103A160" w14:textId="77777777" w:rsidTr="00F33F98">
        <w:trPr>
          <w:trHeight w:val="240"/>
        </w:trPr>
        <w:tc>
          <w:tcPr>
            <w:tcW w:w="567" w:type="dxa"/>
            <w:shd w:val="clear" w:color="auto" w:fill="auto"/>
          </w:tcPr>
          <w:p w14:paraId="0851E1C1" w14:textId="77777777" w:rsidR="00A24ECC" w:rsidRPr="00A24ECC" w:rsidRDefault="00A24ECC" w:rsidP="00F33F98">
            <w:pPr>
              <w:spacing w:before="40" w:after="120"/>
            </w:pPr>
          </w:p>
        </w:tc>
        <w:tc>
          <w:tcPr>
            <w:tcW w:w="6803" w:type="dxa"/>
            <w:shd w:val="clear" w:color="auto" w:fill="auto"/>
          </w:tcPr>
          <w:p w14:paraId="484E5AF1" w14:textId="77777777" w:rsidR="00A24ECC" w:rsidRPr="00A24ECC" w:rsidRDefault="00A24ECC" w:rsidP="00F33F98">
            <w:pPr>
              <w:spacing w:before="40" w:after="120"/>
            </w:pPr>
            <w:r w:rsidRPr="00A24ECC">
              <w:t>Convención sobre la Eliminación de Todas las Formas de Discriminación contra la Mujer</w:t>
            </w:r>
          </w:p>
        </w:tc>
      </w:tr>
      <w:tr w:rsidR="00A24ECC" w:rsidRPr="00A24ECC" w14:paraId="241C305C" w14:textId="77777777" w:rsidTr="00F33F98">
        <w:trPr>
          <w:trHeight w:val="240"/>
        </w:trPr>
        <w:tc>
          <w:tcPr>
            <w:tcW w:w="567" w:type="dxa"/>
            <w:shd w:val="clear" w:color="auto" w:fill="auto"/>
          </w:tcPr>
          <w:p w14:paraId="0352A0D8" w14:textId="77777777" w:rsidR="00A24ECC" w:rsidRPr="00A24ECC" w:rsidRDefault="00A24ECC" w:rsidP="00F33F98">
            <w:pPr>
              <w:spacing w:before="40" w:after="120"/>
            </w:pPr>
          </w:p>
        </w:tc>
        <w:tc>
          <w:tcPr>
            <w:tcW w:w="6803" w:type="dxa"/>
            <w:shd w:val="clear" w:color="auto" w:fill="auto"/>
          </w:tcPr>
          <w:p w14:paraId="13F11E18" w14:textId="77777777" w:rsidR="00A24ECC" w:rsidRPr="00A24ECC" w:rsidRDefault="00A24ECC" w:rsidP="00F33F98">
            <w:pPr>
              <w:spacing w:before="40" w:after="120"/>
            </w:pPr>
            <w:r w:rsidRPr="00A24ECC">
              <w:t>Protocolo Facultativo de la Convención sobre la Eliminación de Todas las Formas de Discriminación contra la Mujer</w:t>
            </w:r>
          </w:p>
        </w:tc>
      </w:tr>
      <w:tr w:rsidR="00A24ECC" w:rsidRPr="00A24ECC" w14:paraId="79E89D22" w14:textId="77777777" w:rsidTr="00F33F98">
        <w:trPr>
          <w:trHeight w:val="240"/>
        </w:trPr>
        <w:tc>
          <w:tcPr>
            <w:tcW w:w="567" w:type="dxa"/>
            <w:shd w:val="clear" w:color="auto" w:fill="auto"/>
          </w:tcPr>
          <w:p w14:paraId="6877F600" w14:textId="77777777" w:rsidR="00A24ECC" w:rsidRPr="00A24ECC" w:rsidRDefault="00A24ECC" w:rsidP="00F33F98">
            <w:pPr>
              <w:spacing w:before="40" w:after="120"/>
            </w:pPr>
          </w:p>
        </w:tc>
        <w:tc>
          <w:tcPr>
            <w:tcW w:w="6803" w:type="dxa"/>
            <w:shd w:val="clear" w:color="auto" w:fill="auto"/>
          </w:tcPr>
          <w:p w14:paraId="5D254583" w14:textId="77777777" w:rsidR="00A24ECC" w:rsidRPr="00A24ECC" w:rsidRDefault="00A24ECC" w:rsidP="00F33F98">
            <w:pPr>
              <w:spacing w:before="40" w:after="120"/>
            </w:pPr>
            <w:r w:rsidRPr="00A24ECC">
              <w:t>Convención y Protocolo sobre el Estatuto de los Refugiados</w:t>
            </w:r>
          </w:p>
        </w:tc>
      </w:tr>
      <w:tr w:rsidR="00A24ECC" w:rsidRPr="00A24ECC" w14:paraId="2B94A6EA" w14:textId="77777777" w:rsidTr="00F33F98">
        <w:trPr>
          <w:trHeight w:val="240"/>
        </w:trPr>
        <w:tc>
          <w:tcPr>
            <w:tcW w:w="567" w:type="dxa"/>
            <w:shd w:val="clear" w:color="auto" w:fill="auto"/>
          </w:tcPr>
          <w:p w14:paraId="6BE12CCA" w14:textId="77777777" w:rsidR="00A24ECC" w:rsidRPr="00A24ECC" w:rsidRDefault="00A24ECC" w:rsidP="00F33F98">
            <w:pPr>
              <w:spacing w:before="40" w:after="120"/>
            </w:pPr>
          </w:p>
        </w:tc>
        <w:tc>
          <w:tcPr>
            <w:tcW w:w="6803" w:type="dxa"/>
            <w:shd w:val="clear" w:color="auto" w:fill="auto"/>
          </w:tcPr>
          <w:p w14:paraId="388042EF" w14:textId="77777777" w:rsidR="00A24ECC" w:rsidRPr="00A24ECC" w:rsidRDefault="00A24ECC" w:rsidP="00F33F98">
            <w:pPr>
              <w:spacing w:before="40" w:after="120"/>
            </w:pPr>
            <w:r w:rsidRPr="00A24ECC">
              <w:t>Convención contra la Tortura y Otros Tratos o Penas Crueles, Inhumanos o Degradantes y su Protocolo Facultativo</w:t>
            </w:r>
          </w:p>
        </w:tc>
      </w:tr>
      <w:tr w:rsidR="00A24ECC" w:rsidRPr="00A24ECC" w14:paraId="63C8A901" w14:textId="77777777" w:rsidTr="00F33F98">
        <w:trPr>
          <w:trHeight w:val="240"/>
        </w:trPr>
        <w:tc>
          <w:tcPr>
            <w:tcW w:w="567" w:type="dxa"/>
            <w:shd w:val="clear" w:color="auto" w:fill="auto"/>
          </w:tcPr>
          <w:p w14:paraId="00D41B8E" w14:textId="77777777" w:rsidR="00A24ECC" w:rsidRPr="00A24ECC" w:rsidRDefault="00A24ECC" w:rsidP="00F33F98">
            <w:pPr>
              <w:spacing w:before="40" w:after="120"/>
            </w:pPr>
          </w:p>
        </w:tc>
        <w:tc>
          <w:tcPr>
            <w:tcW w:w="6803" w:type="dxa"/>
            <w:shd w:val="clear" w:color="auto" w:fill="auto"/>
          </w:tcPr>
          <w:p w14:paraId="6431C112" w14:textId="77777777" w:rsidR="00A24ECC" w:rsidRPr="00A24ECC" w:rsidRDefault="00A24ECC" w:rsidP="00F33F98">
            <w:pPr>
              <w:spacing w:before="40" w:after="120"/>
            </w:pPr>
            <w:r w:rsidRPr="00A24ECC">
              <w:t>Convención sobre los Derechos del Niño</w:t>
            </w:r>
          </w:p>
        </w:tc>
      </w:tr>
      <w:tr w:rsidR="00A24ECC" w:rsidRPr="00A24ECC" w14:paraId="0BF70AC1" w14:textId="77777777" w:rsidTr="00F33F98">
        <w:trPr>
          <w:trHeight w:val="240"/>
        </w:trPr>
        <w:tc>
          <w:tcPr>
            <w:tcW w:w="567" w:type="dxa"/>
            <w:shd w:val="clear" w:color="auto" w:fill="auto"/>
          </w:tcPr>
          <w:p w14:paraId="24086C06" w14:textId="77777777" w:rsidR="00A24ECC" w:rsidRPr="00A24ECC" w:rsidRDefault="00A24ECC" w:rsidP="00F33F98">
            <w:pPr>
              <w:spacing w:before="40" w:after="120"/>
            </w:pPr>
          </w:p>
        </w:tc>
        <w:tc>
          <w:tcPr>
            <w:tcW w:w="6803" w:type="dxa"/>
            <w:shd w:val="clear" w:color="auto" w:fill="auto"/>
          </w:tcPr>
          <w:p w14:paraId="7224E1CB" w14:textId="77777777" w:rsidR="00A24ECC" w:rsidRPr="00A24ECC" w:rsidRDefault="00A24ECC" w:rsidP="00F33F98">
            <w:pPr>
              <w:spacing w:before="40" w:after="120"/>
            </w:pPr>
            <w:r w:rsidRPr="00A24ECC">
              <w:t>Protocolo Facultativo de la Convención sobre los Derechos del Niño relativo a la venta de niños, la prostitución infantil y la utilización de niños en la pornografía</w:t>
            </w:r>
          </w:p>
        </w:tc>
      </w:tr>
      <w:tr w:rsidR="00A24ECC" w:rsidRPr="00A24ECC" w14:paraId="1D259EA2" w14:textId="77777777" w:rsidTr="00F33F98">
        <w:trPr>
          <w:trHeight w:val="240"/>
        </w:trPr>
        <w:tc>
          <w:tcPr>
            <w:tcW w:w="567" w:type="dxa"/>
            <w:shd w:val="clear" w:color="auto" w:fill="auto"/>
          </w:tcPr>
          <w:p w14:paraId="1F645812" w14:textId="77777777" w:rsidR="00A24ECC" w:rsidRPr="00A24ECC" w:rsidRDefault="00A24ECC" w:rsidP="00F33F98">
            <w:pPr>
              <w:spacing w:before="40" w:after="120"/>
            </w:pPr>
          </w:p>
        </w:tc>
        <w:tc>
          <w:tcPr>
            <w:tcW w:w="6803" w:type="dxa"/>
            <w:shd w:val="clear" w:color="auto" w:fill="auto"/>
          </w:tcPr>
          <w:p w14:paraId="679368BA" w14:textId="77777777" w:rsidR="00A24ECC" w:rsidRPr="00A24ECC" w:rsidRDefault="00A24ECC" w:rsidP="00F33F98">
            <w:pPr>
              <w:spacing w:before="40" w:after="120"/>
            </w:pPr>
            <w:r w:rsidRPr="00A24ECC">
              <w:t>Protocolo Facultativo de la Convención</w:t>
            </w:r>
            <w:r w:rsidR="007857CD">
              <w:t xml:space="preserve"> </w:t>
            </w:r>
            <w:r w:rsidRPr="00A24ECC">
              <w:t>sobre los Derechos del Niño relativo a</w:t>
            </w:r>
            <w:r w:rsidR="007857CD">
              <w:t xml:space="preserve"> </w:t>
            </w:r>
            <w:r w:rsidRPr="00A24ECC">
              <w:t>la participación de niños en los</w:t>
            </w:r>
            <w:r w:rsidR="007857CD">
              <w:t xml:space="preserve"> </w:t>
            </w:r>
            <w:r w:rsidRPr="00A24ECC">
              <w:t>conflictos armados</w:t>
            </w:r>
          </w:p>
        </w:tc>
      </w:tr>
      <w:tr w:rsidR="00A24ECC" w:rsidRPr="00A24ECC" w14:paraId="50CFF9BB" w14:textId="77777777" w:rsidTr="00F33F98">
        <w:trPr>
          <w:trHeight w:val="240"/>
        </w:trPr>
        <w:tc>
          <w:tcPr>
            <w:tcW w:w="567" w:type="dxa"/>
            <w:shd w:val="clear" w:color="auto" w:fill="auto"/>
          </w:tcPr>
          <w:p w14:paraId="47437861" w14:textId="77777777" w:rsidR="00A24ECC" w:rsidRPr="00A24ECC" w:rsidRDefault="00A24ECC" w:rsidP="00F33F98">
            <w:pPr>
              <w:spacing w:before="40" w:after="120"/>
            </w:pPr>
          </w:p>
        </w:tc>
        <w:tc>
          <w:tcPr>
            <w:tcW w:w="6803" w:type="dxa"/>
            <w:shd w:val="clear" w:color="auto" w:fill="auto"/>
          </w:tcPr>
          <w:p w14:paraId="026DFEAE" w14:textId="77777777" w:rsidR="00A24ECC" w:rsidRPr="00A24ECC" w:rsidRDefault="00A24ECC" w:rsidP="00F33F98">
            <w:pPr>
              <w:spacing w:before="40" w:after="120"/>
            </w:pPr>
            <w:r w:rsidRPr="00A24ECC">
              <w:t>Convención sobre la Protección del Patrimonio Mundial, Cultural y Natural</w:t>
            </w:r>
          </w:p>
        </w:tc>
      </w:tr>
      <w:tr w:rsidR="00A24ECC" w:rsidRPr="00A24ECC" w14:paraId="6A3E3008" w14:textId="77777777" w:rsidTr="00F33F98">
        <w:trPr>
          <w:trHeight w:val="240"/>
        </w:trPr>
        <w:tc>
          <w:tcPr>
            <w:tcW w:w="567" w:type="dxa"/>
            <w:shd w:val="clear" w:color="auto" w:fill="auto"/>
          </w:tcPr>
          <w:p w14:paraId="55AC4E55" w14:textId="77777777" w:rsidR="00A24ECC" w:rsidRPr="00A24ECC" w:rsidRDefault="00A24ECC" w:rsidP="00F33F98">
            <w:pPr>
              <w:spacing w:before="40" w:after="120"/>
            </w:pPr>
          </w:p>
        </w:tc>
        <w:tc>
          <w:tcPr>
            <w:tcW w:w="6803" w:type="dxa"/>
            <w:shd w:val="clear" w:color="auto" w:fill="auto"/>
          </w:tcPr>
          <w:p w14:paraId="4E45E3BA" w14:textId="77777777" w:rsidR="00A24ECC" w:rsidRPr="00A24ECC" w:rsidRDefault="00A24ECC" w:rsidP="00F33F98">
            <w:pPr>
              <w:spacing w:before="40" w:after="120"/>
            </w:pPr>
            <w:r w:rsidRPr="00A24ECC">
              <w:t>Convención sobre los Derechos de las Personas con Discapacidad</w:t>
            </w:r>
          </w:p>
        </w:tc>
      </w:tr>
      <w:tr w:rsidR="00A24ECC" w:rsidRPr="00A24ECC" w14:paraId="4143A4A3" w14:textId="77777777" w:rsidTr="00F33F98">
        <w:trPr>
          <w:trHeight w:val="240"/>
        </w:trPr>
        <w:tc>
          <w:tcPr>
            <w:tcW w:w="567" w:type="dxa"/>
            <w:shd w:val="clear" w:color="auto" w:fill="auto"/>
          </w:tcPr>
          <w:p w14:paraId="6EC59E76" w14:textId="77777777" w:rsidR="00A24ECC" w:rsidRPr="00A24ECC" w:rsidRDefault="00A24ECC" w:rsidP="00F33F98">
            <w:pPr>
              <w:spacing w:before="40" w:after="120"/>
            </w:pPr>
          </w:p>
        </w:tc>
        <w:tc>
          <w:tcPr>
            <w:tcW w:w="6803" w:type="dxa"/>
            <w:shd w:val="clear" w:color="auto" w:fill="auto"/>
          </w:tcPr>
          <w:p w14:paraId="2E5D02DD" w14:textId="77777777" w:rsidR="00A24ECC" w:rsidRPr="00A24ECC" w:rsidRDefault="00A24ECC" w:rsidP="00F33F98">
            <w:pPr>
              <w:spacing w:before="40" w:after="120"/>
            </w:pPr>
            <w:r w:rsidRPr="00A24ECC">
              <w:t>Convención para la Salvaguardia del Patrimonio Cultural Inmaterial</w:t>
            </w:r>
          </w:p>
        </w:tc>
      </w:tr>
      <w:tr w:rsidR="00A24ECC" w:rsidRPr="00A24ECC" w14:paraId="7E6051B9" w14:textId="77777777" w:rsidTr="00F33F98">
        <w:trPr>
          <w:trHeight w:val="240"/>
        </w:trPr>
        <w:tc>
          <w:tcPr>
            <w:tcW w:w="567" w:type="dxa"/>
            <w:shd w:val="clear" w:color="auto" w:fill="auto"/>
          </w:tcPr>
          <w:p w14:paraId="5B0FDE93" w14:textId="77777777" w:rsidR="00A24ECC" w:rsidRPr="00A24ECC" w:rsidRDefault="00A24ECC" w:rsidP="00F33F98">
            <w:pPr>
              <w:spacing w:before="40" w:after="120"/>
            </w:pPr>
          </w:p>
        </w:tc>
        <w:tc>
          <w:tcPr>
            <w:tcW w:w="6803" w:type="dxa"/>
            <w:shd w:val="clear" w:color="auto" w:fill="auto"/>
          </w:tcPr>
          <w:p w14:paraId="0ADA93AF" w14:textId="77777777" w:rsidR="00A24ECC" w:rsidRPr="00A24ECC" w:rsidRDefault="00A24ECC" w:rsidP="00F33F98">
            <w:pPr>
              <w:spacing w:before="40" w:after="120"/>
            </w:pPr>
            <w:r w:rsidRPr="00A24ECC">
              <w:t>Convención sobre la Protección y Promoción de la Diversidad de las Expresiones Culturales</w:t>
            </w:r>
          </w:p>
        </w:tc>
      </w:tr>
      <w:tr w:rsidR="00A24ECC" w:rsidRPr="00A24ECC" w14:paraId="0C353171" w14:textId="77777777" w:rsidTr="00F33F98">
        <w:trPr>
          <w:trHeight w:val="240"/>
        </w:trPr>
        <w:tc>
          <w:tcPr>
            <w:tcW w:w="567" w:type="dxa"/>
            <w:shd w:val="clear" w:color="auto" w:fill="auto"/>
          </w:tcPr>
          <w:p w14:paraId="502C2C67" w14:textId="77777777" w:rsidR="00A24ECC" w:rsidRPr="00A24ECC" w:rsidRDefault="00A24ECC" w:rsidP="00F33F98">
            <w:pPr>
              <w:spacing w:before="40" w:after="120"/>
            </w:pPr>
          </w:p>
        </w:tc>
        <w:tc>
          <w:tcPr>
            <w:tcW w:w="6803" w:type="dxa"/>
            <w:shd w:val="clear" w:color="auto" w:fill="auto"/>
          </w:tcPr>
          <w:p w14:paraId="49B0518C" w14:textId="77777777" w:rsidR="00A24ECC" w:rsidRPr="00A24ECC" w:rsidRDefault="00A24ECC" w:rsidP="00F33F98">
            <w:pPr>
              <w:spacing w:before="40" w:after="120"/>
            </w:pPr>
            <w:r w:rsidRPr="00A24ECC">
              <w:t>Convención por la que se Regulan los Aspectos Específicos de los Problemas de los Refugiados en África</w:t>
            </w:r>
          </w:p>
        </w:tc>
      </w:tr>
      <w:tr w:rsidR="00A24ECC" w:rsidRPr="00A24ECC" w14:paraId="6D646018" w14:textId="77777777" w:rsidTr="00F33F98">
        <w:trPr>
          <w:trHeight w:val="240"/>
        </w:trPr>
        <w:tc>
          <w:tcPr>
            <w:tcW w:w="567" w:type="dxa"/>
            <w:shd w:val="clear" w:color="auto" w:fill="auto"/>
          </w:tcPr>
          <w:p w14:paraId="6FB67DC3" w14:textId="77777777" w:rsidR="00A24ECC" w:rsidRPr="00A24ECC" w:rsidRDefault="00A24ECC" w:rsidP="00F33F98">
            <w:pPr>
              <w:spacing w:before="40" w:after="120"/>
            </w:pPr>
          </w:p>
        </w:tc>
        <w:tc>
          <w:tcPr>
            <w:tcW w:w="6803" w:type="dxa"/>
            <w:shd w:val="clear" w:color="auto" w:fill="auto"/>
          </w:tcPr>
          <w:p w14:paraId="47038725" w14:textId="77777777" w:rsidR="00A24ECC" w:rsidRPr="00A24ECC" w:rsidRDefault="00A24ECC" w:rsidP="00F33F98">
            <w:pPr>
              <w:spacing w:before="40" w:after="120"/>
            </w:pPr>
            <w:r w:rsidRPr="00A24ECC">
              <w:t>Carta Africana de Derechos Humanos y de los Pueblos</w:t>
            </w:r>
          </w:p>
        </w:tc>
      </w:tr>
      <w:tr w:rsidR="00A24ECC" w:rsidRPr="00A24ECC" w14:paraId="13D5C0F4" w14:textId="77777777" w:rsidTr="00F33F98">
        <w:trPr>
          <w:trHeight w:val="240"/>
        </w:trPr>
        <w:tc>
          <w:tcPr>
            <w:tcW w:w="567" w:type="dxa"/>
            <w:shd w:val="clear" w:color="auto" w:fill="auto"/>
          </w:tcPr>
          <w:p w14:paraId="3EC767C3" w14:textId="77777777" w:rsidR="00A24ECC" w:rsidRPr="00A24ECC" w:rsidRDefault="00A24ECC" w:rsidP="00F33F98">
            <w:pPr>
              <w:spacing w:before="40" w:after="120"/>
            </w:pPr>
          </w:p>
        </w:tc>
        <w:tc>
          <w:tcPr>
            <w:tcW w:w="6803" w:type="dxa"/>
            <w:shd w:val="clear" w:color="auto" w:fill="auto"/>
          </w:tcPr>
          <w:p w14:paraId="02E4852D" w14:textId="77777777" w:rsidR="00A24ECC" w:rsidRPr="00A24ECC" w:rsidRDefault="00A24ECC" w:rsidP="00F33F98">
            <w:pPr>
              <w:spacing w:before="40" w:after="120"/>
            </w:pPr>
            <w:r w:rsidRPr="00A24ECC">
              <w:t xml:space="preserve">Carta Africana sobre los Derechos y el Bienestar del Niño </w:t>
            </w:r>
          </w:p>
        </w:tc>
      </w:tr>
      <w:tr w:rsidR="00A24ECC" w:rsidRPr="00A24ECC" w14:paraId="627684F3" w14:textId="77777777" w:rsidTr="00F33F98">
        <w:trPr>
          <w:trHeight w:val="240"/>
        </w:trPr>
        <w:tc>
          <w:tcPr>
            <w:tcW w:w="567" w:type="dxa"/>
            <w:shd w:val="clear" w:color="auto" w:fill="auto"/>
          </w:tcPr>
          <w:p w14:paraId="0A580D90" w14:textId="77777777" w:rsidR="00A24ECC" w:rsidRPr="00A24ECC" w:rsidRDefault="00A24ECC" w:rsidP="00F33F98">
            <w:pPr>
              <w:spacing w:before="40" w:after="120"/>
            </w:pPr>
          </w:p>
        </w:tc>
        <w:tc>
          <w:tcPr>
            <w:tcW w:w="6803" w:type="dxa"/>
            <w:shd w:val="clear" w:color="auto" w:fill="auto"/>
          </w:tcPr>
          <w:p w14:paraId="6F0D0B47" w14:textId="77777777" w:rsidR="00A24ECC" w:rsidRPr="00A24ECC" w:rsidRDefault="00A24ECC" w:rsidP="00F33F98">
            <w:pPr>
              <w:spacing w:before="40" w:after="120"/>
            </w:pPr>
            <w:r w:rsidRPr="00A24ECC">
              <w:t>Convención de la Unión Africana para la Protección y la Asistencia de los Desplazados Internos en África</w:t>
            </w:r>
          </w:p>
        </w:tc>
      </w:tr>
      <w:tr w:rsidR="00A24ECC" w:rsidRPr="00A24ECC" w14:paraId="7005D533" w14:textId="77777777" w:rsidTr="00F33F98">
        <w:trPr>
          <w:trHeight w:val="240"/>
        </w:trPr>
        <w:tc>
          <w:tcPr>
            <w:tcW w:w="567" w:type="dxa"/>
            <w:shd w:val="clear" w:color="auto" w:fill="auto"/>
          </w:tcPr>
          <w:p w14:paraId="77D73651" w14:textId="77777777" w:rsidR="00A24ECC" w:rsidRPr="00A24ECC" w:rsidRDefault="00A24ECC" w:rsidP="00F33F98">
            <w:pPr>
              <w:spacing w:before="40" w:after="120"/>
            </w:pPr>
          </w:p>
        </w:tc>
        <w:tc>
          <w:tcPr>
            <w:tcW w:w="6803" w:type="dxa"/>
            <w:shd w:val="clear" w:color="auto" w:fill="auto"/>
          </w:tcPr>
          <w:p w14:paraId="164BABAD" w14:textId="77777777" w:rsidR="00A24ECC" w:rsidRPr="00A24ECC" w:rsidRDefault="00A24ECC" w:rsidP="00F33F98">
            <w:pPr>
              <w:spacing w:before="40" w:after="120"/>
            </w:pPr>
            <w:r w:rsidRPr="00A24ECC">
              <w:t>Protocolo de la Carta Africana de Derechos Humanos y de los Pueblos relativo a los Derechos de la Mujer en África</w:t>
            </w:r>
          </w:p>
        </w:tc>
      </w:tr>
      <w:tr w:rsidR="00F33F98" w:rsidRPr="00A24ECC" w14:paraId="5C3D0B2B" w14:textId="77777777" w:rsidTr="00F33F98">
        <w:trPr>
          <w:trHeight w:val="240"/>
        </w:trPr>
        <w:tc>
          <w:tcPr>
            <w:tcW w:w="567" w:type="dxa"/>
            <w:tcBorders>
              <w:bottom w:val="single" w:sz="12" w:space="0" w:color="auto"/>
            </w:tcBorders>
            <w:shd w:val="clear" w:color="auto" w:fill="auto"/>
          </w:tcPr>
          <w:p w14:paraId="2AD0FF10" w14:textId="77777777" w:rsidR="00A24ECC" w:rsidRPr="00A24ECC" w:rsidRDefault="00A24ECC" w:rsidP="00F33F98">
            <w:pPr>
              <w:spacing w:before="40" w:after="120"/>
            </w:pPr>
          </w:p>
        </w:tc>
        <w:tc>
          <w:tcPr>
            <w:tcW w:w="6803" w:type="dxa"/>
            <w:tcBorders>
              <w:bottom w:val="single" w:sz="12" w:space="0" w:color="auto"/>
            </w:tcBorders>
            <w:shd w:val="clear" w:color="auto" w:fill="auto"/>
          </w:tcPr>
          <w:p w14:paraId="2ED5D444" w14:textId="77777777" w:rsidR="00A24ECC" w:rsidRPr="00A24ECC" w:rsidRDefault="00A24ECC" w:rsidP="00F33F98">
            <w:pPr>
              <w:spacing w:before="40" w:after="120"/>
            </w:pPr>
            <w:r w:rsidRPr="00A24ECC">
              <w:t>Convenios de Ginebra y sus Protocolos</w:t>
            </w:r>
          </w:p>
        </w:tc>
      </w:tr>
    </w:tbl>
    <w:p w14:paraId="2CE261FD" w14:textId="77777777" w:rsidR="00A24ECC" w:rsidRPr="00A24ECC" w:rsidRDefault="00A24ECC" w:rsidP="00F33F98">
      <w:pPr>
        <w:pStyle w:val="H1G"/>
      </w:pPr>
      <w:r w:rsidRPr="00A24ECC">
        <w:tab/>
        <w:t>F.</w:t>
      </w:r>
      <w:r w:rsidRPr="00A24ECC">
        <w:tab/>
        <w:t>Concienciación de los funcionarios públicos y de otros profesionales en</w:t>
      </w:r>
      <w:r w:rsidR="00F33F98">
        <w:t> </w:t>
      </w:r>
      <w:r w:rsidRPr="00A24ECC">
        <w:t>materia de derechos humanos</w:t>
      </w:r>
    </w:p>
    <w:p w14:paraId="03D5F9EF" w14:textId="77777777" w:rsidR="00A24ECC" w:rsidRPr="00A24ECC" w:rsidRDefault="00F33F98" w:rsidP="00F33F98">
      <w:pPr>
        <w:pStyle w:val="H23G"/>
      </w:pPr>
      <w:r>
        <w:tab/>
      </w:r>
      <w:r w:rsidR="00A24ECC" w:rsidRPr="00A24ECC">
        <w:tab/>
        <w:t>Concienciación pública</w:t>
      </w:r>
    </w:p>
    <w:p w14:paraId="42E20331" w14:textId="77777777" w:rsidR="00A24ECC" w:rsidRPr="00A24ECC" w:rsidRDefault="00A24ECC" w:rsidP="00F33F98">
      <w:pPr>
        <w:pStyle w:val="SingleTxtG"/>
      </w:pPr>
      <w:r w:rsidRPr="00A24ECC">
        <w:t>24.</w:t>
      </w:r>
      <w:r w:rsidRPr="00A24ECC">
        <w:tab/>
        <w:t>Se ha impartido capacitación a varios funcionarios y suboficiales de la policía de Sudán del Sur, del servicio penitenciario y de las Fuerzas de Defensa del Pueblo de Sudán del Sur en el manejo de casos de violencia sexual y de género y de casos de derechos humanos en general. Como parte de las iniciativas de capacitación y concienciación, a esos funcionarios se les facilitan copias de las Directrices sobre los Derechos de las Mujeres y los Niños. Se están llevando a cabo más iniciativas de capacitación con el apoyo de diferentes asociados.</w:t>
      </w:r>
    </w:p>
    <w:p w14:paraId="73A13F92" w14:textId="77777777" w:rsidR="00A24ECC" w:rsidRPr="00A24ECC" w:rsidRDefault="00A24ECC" w:rsidP="00F33F98">
      <w:pPr>
        <w:pStyle w:val="SingleTxtG"/>
      </w:pPr>
      <w:r w:rsidRPr="00A24ECC">
        <w:t>25.</w:t>
      </w:r>
      <w:r w:rsidRPr="00A24ECC">
        <w:tab/>
        <w:t xml:space="preserve">Solo en el estado de Maridi, 40 miembros de las Fuerzas de Defensa del Pueblo de Sudán del Sur recibieron capacitación en derechos humanos en diciembre de 2017. </w:t>
      </w:r>
    </w:p>
    <w:p w14:paraId="0C10BCE7" w14:textId="77777777" w:rsidR="00A24ECC" w:rsidRPr="00A24ECC" w:rsidRDefault="00A24ECC" w:rsidP="00F33F98">
      <w:pPr>
        <w:pStyle w:val="SingleTxtG"/>
      </w:pPr>
      <w:r w:rsidRPr="00A24ECC">
        <w:t>26.</w:t>
      </w:r>
      <w:r w:rsidRPr="00A24ECC">
        <w:tab/>
        <w:t>Entre 2014 y 2015, el Programa de las Naciones Unidas para el Desarrollo capacitó a la policía y a los trabajadores sociales en diferentes partes del país. En el cuadro siguiente se desglosan esas actividades de capacitación por sexo y ubicación.</w:t>
      </w:r>
    </w:p>
    <w:p w14:paraId="792B9CF1" w14:textId="77777777" w:rsidR="00A24ECC" w:rsidRDefault="0034282A" w:rsidP="0034282A">
      <w:pPr>
        <w:pStyle w:val="H23G"/>
      </w:pPr>
      <w:r>
        <w:tab/>
      </w:r>
      <w:r w:rsidR="00A24ECC" w:rsidRPr="00A24ECC">
        <w:tab/>
        <w:t>Capacitación 2014-2015</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3"/>
        <w:gridCol w:w="1052"/>
        <w:gridCol w:w="1053"/>
        <w:gridCol w:w="1053"/>
        <w:gridCol w:w="1053"/>
        <w:gridCol w:w="1053"/>
        <w:gridCol w:w="1053"/>
      </w:tblGrid>
      <w:tr w:rsidR="0034282A" w:rsidRPr="0034282A" w14:paraId="489E6517" w14:textId="77777777" w:rsidTr="0034282A">
        <w:tc>
          <w:tcPr>
            <w:tcW w:w="1053" w:type="dxa"/>
            <w:tcBorders>
              <w:top w:val="single" w:sz="4" w:space="0" w:color="auto"/>
            </w:tcBorders>
            <w:shd w:val="clear" w:color="auto" w:fill="auto"/>
            <w:vAlign w:val="bottom"/>
          </w:tcPr>
          <w:p w14:paraId="1930BE24" w14:textId="77777777" w:rsidR="0034282A" w:rsidRPr="0034282A" w:rsidRDefault="0034282A" w:rsidP="0034282A">
            <w:pPr>
              <w:spacing w:before="80" w:after="80" w:line="200" w:lineRule="exact"/>
              <w:rPr>
                <w:i/>
                <w:sz w:val="16"/>
              </w:rPr>
            </w:pPr>
          </w:p>
        </w:tc>
        <w:tc>
          <w:tcPr>
            <w:tcW w:w="3158" w:type="dxa"/>
            <w:gridSpan w:val="3"/>
            <w:tcBorders>
              <w:top w:val="single" w:sz="4" w:space="0" w:color="auto"/>
              <w:bottom w:val="single" w:sz="4" w:space="0" w:color="auto"/>
              <w:right w:val="single" w:sz="24" w:space="0" w:color="FFFFFF" w:themeColor="background1"/>
            </w:tcBorders>
            <w:shd w:val="clear" w:color="auto" w:fill="auto"/>
          </w:tcPr>
          <w:p w14:paraId="7DFB36D4" w14:textId="77777777" w:rsidR="0034282A" w:rsidRPr="00A24ECC" w:rsidRDefault="0034282A" w:rsidP="0034282A">
            <w:pPr>
              <w:spacing w:before="80" w:after="80" w:line="200" w:lineRule="exact"/>
              <w:jc w:val="center"/>
              <w:rPr>
                <w:i/>
                <w:sz w:val="16"/>
              </w:rPr>
            </w:pPr>
            <w:r w:rsidRPr="00A24ECC">
              <w:rPr>
                <w:i/>
                <w:sz w:val="16"/>
              </w:rPr>
              <w:t>2014</w:t>
            </w:r>
          </w:p>
        </w:tc>
        <w:tc>
          <w:tcPr>
            <w:tcW w:w="3159" w:type="dxa"/>
            <w:gridSpan w:val="3"/>
            <w:tcBorders>
              <w:top w:val="single" w:sz="4" w:space="0" w:color="auto"/>
              <w:left w:val="single" w:sz="24" w:space="0" w:color="FFFFFF" w:themeColor="background1"/>
              <w:bottom w:val="single" w:sz="4" w:space="0" w:color="auto"/>
            </w:tcBorders>
            <w:shd w:val="clear" w:color="auto" w:fill="auto"/>
          </w:tcPr>
          <w:p w14:paraId="2973555C" w14:textId="77777777" w:rsidR="0034282A" w:rsidRPr="00A24ECC" w:rsidRDefault="0034282A" w:rsidP="0034282A">
            <w:pPr>
              <w:spacing w:before="80" w:after="80" w:line="200" w:lineRule="exact"/>
              <w:jc w:val="center"/>
              <w:rPr>
                <w:i/>
                <w:sz w:val="16"/>
              </w:rPr>
            </w:pPr>
            <w:r w:rsidRPr="00A24ECC">
              <w:rPr>
                <w:i/>
                <w:sz w:val="16"/>
              </w:rPr>
              <w:t>2015</w:t>
            </w:r>
          </w:p>
        </w:tc>
      </w:tr>
      <w:tr w:rsidR="0034282A" w:rsidRPr="0034282A" w14:paraId="23105193" w14:textId="77777777" w:rsidTr="0034282A">
        <w:tc>
          <w:tcPr>
            <w:tcW w:w="1053" w:type="dxa"/>
            <w:tcBorders>
              <w:bottom w:val="single" w:sz="12" w:space="0" w:color="auto"/>
            </w:tcBorders>
            <w:shd w:val="clear" w:color="auto" w:fill="auto"/>
            <w:vAlign w:val="bottom"/>
          </w:tcPr>
          <w:p w14:paraId="7F9905CF" w14:textId="77777777" w:rsidR="0034282A" w:rsidRPr="0034282A" w:rsidRDefault="0034282A" w:rsidP="0034282A">
            <w:pPr>
              <w:spacing w:before="80" w:after="80" w:line="200" w:lineRule="exact"/>
              <w:rPr>
                <w:i/>
                <w:sz w:val="16"/>
              </w:rPr>
            </w:pPr>
            <w:r w:rsidRPr="00A24ECC">
              <w:rPr>
                <w:i/>
                <w:sz w:val="16"/>
              </w:rPr>
              <w:t>Lugar</w:t>
            </w:r>
          </w:p>
        </w:tc>
        <w:tc>
          <w:tcPr>
            <w:tcW w:w="1052" w:type="dxa"/>
            <w:tcBorders>
              <w:top w:val="single" w:sz="4" w:space="0" w:color="auto"/>
              <w:bottom w:val="single" w:sz="12" w:space="0" w:color="auto"/>
            </w:tcBorders>
            <w:shd w:val="clear" w:color="auto" w:fill="auto"/>
          </w:tcPr>
          <w:p w14:paraId="2C80C9F7" w14:textId="77777777" w:rsidR="0034282A" w:rsidRPr="00A24ECC" w:rsidRDefault="0034282A" w:rsidP="0034282A">
            <w:pPr>
              <w:spacing w:before="80" w:after="80" w:line="200" w:lineRule="exact"/>
              <w:jc w:val="right"/>
              <w:rPr>
                <w:i/>
                <w:sz w:val="16"/>
              </w:rPr>
            </w:pPr>
            <w:r w:rsidRPr="00A24ECC">
              <w:rPr>
                <w:i/>
                <w:sz w:val="16"/>
              </w:rPr>
              <w:t>Hombres</w:t>
            </w:r>
          </w:p>
        </w:tc>
        <w:tc>
          <w:tcPr>
            <w:tcW w:w="1053" w:type="dxa"/>
            <w:tcBorders>
              <w:top w:val="single" w:sz="4" w:space="0" w:color="auto"/>
              <w:bottom w:val="single" w:sz="12" w:space="0" w:color="auto"/>
            </w:tcBorders>
            <w:shd w:val="clear" w:color="auto" w:fill="auto"/>
          </w:tcPr>
          <w:p w14:paraId="63D0D4A2" w14:textId="77777777" w:rsidR="0034282A" w:rsidRPr="00A24ECC" w:rsidRDefault="0034282A" w:rsidP="0034282A">
            <w:pPr>
              <w:spacing w:before="80" w:after="80" w:line="200" w:lineRule="exact"/>
              <w:jc w:val="right"/>
              <w:rPr>
                <w:i/>
                <w:sz w:val="16"/>
              </w:rPr>
            </w:pPr>
            <w:r w:rsidRPr="00A24ECC">
              <w:rPr>
                <w:i/>
                <w:sz w:val="16"/>
              </w:rPr>
              <w:t>Mujeres</w:t>
            </w:r>
          </w:p>
        </w:tc>
        <w:tc>
          <w:tcPr>
            <w:tcW w:w="1053" w:type="dxa"/>
            <w:tcBorders>
              <w:top w:val="single" w:sz="4" w:space="0" w:color="auto"/>
              <w:bottom w:val="single" w:sz="12" w:space="0" w:color="auto"/>
              <w:right w:val="single" w:sz="24" w:space="0" w:color="FFFFFF" w:themeColor="background1"/>
            </w:tcBorders>
            <w:shd w:val="clear" w:color="auto" w:fill="auto"/>
          </w:tcPr>
          <w:p w14:paraId="5D7A24C4" w14:textId="77777777" w:rsidR="0034282A" w:rsidRPr="00A24ECC" w:rsidRDefault="0034282A" w:rsidP="0034282A">
            <w:pPr>
              <w:spacing w:before="80" w:after="80" w:line="200" w:lineRule="exact"/>
              <w:ind w:right="57"/>
              <w:jc w:val="right"/>
              <w:rPr>
                <w:i/>
                <w:sz w:val="16"/>
              </w:rPr>
            </w:pPr>
            <w:r w:rsidRPr="00A24ECC">
              <w:rPr>
                <w:i/>
                <w:sz w:val="16"/>
              </w:rPr>
              <w:t>Total</w:t>
            </w:r>
          </w:p>
        </w:tc>
        <w:tc>
          <w:tcPr>
            <w:tcW w:w="1053" w:type="dxa"/>
            <w:tcBorders>
              <w:top w:val="single" w:sz="4" w:space="0" w:color="auto"/>
              <w:left w:val="single" w:sz="24" w:space="0" w:color="FFFFFF" w:themeColor="background1"/>
              <w:bottom w:val="single" w:sz="12" w:space="0" w:color="auto"/>
            </w:tcBorders>
            <w:shd w:val="clear" w:color="auto" w:fill="auto"/>
          </w:tcPr>
          <w:p w14:paraId="31E14BD8" w14:textId="77777777" w:rsidR="0034282A" w:rsidRPr="00A24ECC" w:rsidRDefault="0034282A" w:rsidP="0034282A">
            <w:pPr>
              <w:spacing w:before="80" w:after="80" w:line="200" w:lineRule="exact"/>
              <w:jc w:val="right"/>
              <w:rPr>
                <w:i/>
                <w:sz w:val="16"/>
              </w:rPr>
            </w:pPr>
            <w:r w:rsidRPr="00A24ECC">
              <w:rPr>
                <w:i/>
                <w:sz w:val="16"/>
              </w:rPr>
              <w:t>Hombres</w:t>
            </w:r>
          </w:p>
        </w:tc>
        <w:tc>
          <w:tcPr>
            <w:tcW w:w="1053" w:type="dxa"/>
            <w:tcBorders>
              <w:top w:val="single" w:sz="4" w:space="0" w:color="auto"/>
              <w:bottom w:val="single" w:sz="12" w:space="0" w:color="auto"/>
            </w:tcBorders>
            <w:shd w:val="clear" w:color="auto" w:fill="auto"/>
          </w:tcPr>
          <w:p w14:paraId="2B2772BD" w14:textId="77777777" w:rsidR="0034282A" w:rsidRPr="00A24ECC" w:rsidRDefault="0034282A" w:rsidP="0034282A">
            <w:pPr>
              <w:spacing w:before="80" w:after="80" w:line="200" w:lineRule="exact"/>
              <w:jc w:val="right"/>
              <w:rPr>
                <w:i/>
                <w:sz w:val="16"/>
              </w:rPr>
            </w:pPr>
            <w:r w:rsidRPr="00A24ECC">
              <w:rPr>
                <w:i/>
                <w:sz w:val="16"/>
              </w:rPr>
              <w:t>Mujeres</w:t>
            </w:r>
          </w:p>
        </w:tc>
        <w:tc>
          <w:tcPr>
            <w:tcW w:w="1053" w:type="dxa"/>
            <w:tcBorders>
              <w:top w:val="single" w:sz="4" w:space="0" w:color="auto"/>
              <w:bottom w:val="single" w:sz="12" w:space="0" w:color="auto"/>
            </w:tcBorders>
            <w:shd w:val="clear" w:color="auto" w:fill="auto"/>
          </w:tcPr>
          <w:p w14:paraId="23698B43" w14:textId="77777777" w:rsidR="0034282A" w:rsidRPr="00A24ECC" w:rsidRDefault="0034282A" w:rsidP="0034282A">
            <w:pPr>
              <w:spacing w:before="80" w:after="80" w:line="200" w:lineRule="exact"/>
              <w:jc w:val="right"/>
              <w:rPr>
                <w:i/>
                <w:sz w:val="16"/>
              </w:rPr>
            </w:pPr>
            <w:r w:rsidRPr="00A24ECC">
              <w:rPr>
                <w:i/>
                <w:sz w:val="16"/>
              </w:rPr>
              <w:t>Total</w:t>
            </w:r>
          </w:p>
        </w:tc>
      </w:tr>
      <w:tr w:rsidR="0034282A" w:rsidRPr="0034282A" w14:paraId="7EC4C19A" w14:textId="77777777" w:rsidTr="00F342AC">
        <w:tc>
          <w:tcPr>
            <w:tcW w:w="1053" w:type="dxa"/>
            <w:tcBorders>
              <w:top w:val="single" w:sz="12" w:space="0" w:color="auto"/>
            </w:tcBorders>
            <w:shd w:val="clear" w:color="auto" w:fill="auto"/>
          </w:tcPr>
          <w:p w14:paraId="44162BC6" w14:textId="77777777" w:rsidR="0034282A" w:rsidRPr="00A24ECC" w:rsidRDefault="0034282A" w:rsidP="0034282A">
            <w:pPr>
              <w:spacing w:before="40" w:after="40" w:line="220" w:lineRule="exact"/>
              <w:rPr>
                <w:sz w:val="18"/>
              </w:rPr>
            </w:pPr>
            <w:r w:rsidRPr="00A24ECC">
              <w:rPr>
                <w:sz w:val="18"/>
              </w:rPr>
              <w:t>Yuba</w:t>
            </w:r>
          </w:p>
        </w:tc>
        <w:tc>
          <w:tcPr>
            <w:tcW w:w="1052" w:type="dxa"/>
            <w:tcBorders>
              <w:top w:val="single" w:sz="12" w:space="0" w:color="auto"/>
            </w:tcBorders>
            <w:shd w:val="clear" w:color="auto" w:fill="auto"/>
          </w:tcPr>
          <w:p w14:paraId="219A2DB0" w14:textId="77777777" w:rsidR="0034282A" w:rsidRPr="00A24ECC" w:rsidRDefault="0034282A" w:rsidP="0034282A">
            <w:pPr>
              <w:spacing w:before="40" w:after="40" w:line="220" w:lineRule="exact"/>
              <w:jc w:val="right"/>
              <w:rPr>
                <w:sz w:val="18"/>
              </w:rPr>
            </w:pPr>
            <w:r w:rsidRPr="00A24ECC">
              <w:rPr>
                <w:sz w:val="18"/>
              </w:rPr>
              <w:t>19</w:t>
            </w:r>
          </w:p>
        </w:tc>
        <w:tc>
          <w:tcPr>
            <w:tcW w:w="1053" w:type="dxa"/>
            <w:tcBorders>
              <w:top w:val="single" w:sz="12" w:space="0" w:color="auto"/>
            </w:tcBorders>
            <w:shd w:val="clear" w:color="auto" w:fill="auto"/>
          </w:tcPr>
          <w:p w14:paraId="32D77BD9" w14:textId="77777777" w:rsidR="0034282A" w:rsidRPr="00A24ECC" w:rsidRDefault="0034282A" w:rsidP="0034282A">
            <w:pPr>
              <w:spacing w:before="40" w:after="40" w:line="220" w:lineRule="exact"/>
              <w:jc w:val="right"/>
              <w:rPr>
                <w:sz w:val="18"/>
              </w:rPr>
            </w:pPr>
            <w:r w:rsidRPr="00A24ECC">
              <w:rPr>
                <w:sz w:val="18"/>
              </w:rPr>
              <w:t>7</w:t>
            </w:r>
          </w:p>
        </w:tc>
        <w:tc>
          <w:tcPr>
            <w:tcW w:w="1053" w:type="dxa"/>
            <w:tcBorders>
              <w:top w:val="single" w:sz="12" w:space="0" w:color="auto"/>
            </w:tcBorders>
            <w:shd w:val="clear" w:color="auto" w:fill="auto"/>
          </w:tcPr>
          <w:p w14:paraId="0FB7158B" w14:textId="77777777" w:rsidR="0034282A" w:rsidRPr="00A24ECC" w:rsidRDefault="0034282A" w:rsidP="0034282A">
            <w:pPr>
              <w:spacing w:before="40" w:after="40" w:line="220" w:lineRule="exact"/>
              <w:ind w:right="57"/>
              <w:jc w:val="right"/>
              <w:rPr>
                <w:sz w:val="18"/>
              </w:rPr>
            </w:pPr>
            <w:r w:rsidRPr="00A24ECC">
              <w:rPr>
                <w:sz w:val="18"/>
              </w:rPr>
              <w:t>26</w:t>
            </w:r>
          </w:p>
        </w:tc>
        <w:tc>
          <w:tcPr>
            <w:tcW w:w="1053" w:type="dxa"/>
            <w:tcBorders>
              <w:top w:val="single" w:sz="12" w:space="0" w:color="auto"/>
            </w:tcBorders>
            <w:shd w:val="clear" w:color="auto" w:fill="auto"/>
          </w:tcPr>
          <w:p w14:paraId="7DC22393" w14:textId="77777777" w:rsidR="0034282A" w:rsidRPr="00A24ECC" w:rsidRDefault="0034282A" w:rsidP="0034282A">
            <w:pPr>
              <w:spacing w:before="40" w:after="40" w:line="220" w:lineRule="exact"/>
              <w:jc w:val="right"/>
              <w:rPr>
                <w:sz w:val="18"/>
              </w:rPr>
            </w:pPr>
            <w:r w:rsidRPr="00A24ECC">
              <w:rPr>
                <w:sz w:val="18"/>
              </w:rPr>
              <w:t>13</w:t>
            </w:r>
          </w:p>
        </w:tc>
        <w:tc>
          <w:tcPr>
            <w:tcW w:w="1053" w:type="dxa"/>
            <w:tcBorders>
              <w:top w:val="single" w:sz="12" w:space="0" w:color="auto"/>
            </w:tcBorders>
            <w:shd w:val="clear" w:color="auto" w:fill="auto"/>
          </w:tcPr>
          <w:p w14:paraId="1BDBB371" w14:textId="77777777" w:rsidR="0034282A" w:rsidRPr="00A24ECC" w:rsidRDefault="0034282A" w:rsidP="0034282A">
            <w:pPr>
              <w:spacing w:before="40" w:after="40" w:line="220" w:lineRule="exact"/>
              <w:jc w:val="right"/>
              <w:rPr>
                <w:sz w:val="18"/>
              </w:rPr>
            </w:pPr>
            <w:r w:rsidRPr="00A24ECC">
              <w:rPr>
                <w:sz w:val="18"/>
              </w:rPr>
              <w:t>12</w:t>
            </w:r>
          </w:p>
        </w:tc>
        <w:tc>
          <w:tcPr>
            <w:tcW w:w="1053" w:type="dxa"/>
            <w:tcBorders>
              <w:top w:val="single" w:sz="12" w:space="0" w:color="auto"/>
            </w:tcBorders>
            <w:shd w:val="clear" w:color="auto" w:fill="auto"/>
          </w:tcPr>
          <w:p w14:paraId="567FC566" w14:textId="77777777" w:rsidR="0034282A" w:rsidRPr="00A24ECC" w:rsidRDefault="0034282A" w:rsidP="0034282A">
            <w:pPr>
              <w:spacing w:before="40" w:after="40" w:line="220" w:lineRule="exact"/>
              <w:jc w:val="right"/>
              <w:rPr>
                <w:sz w:val="18"/>
              </w:rPr>
            </w:pPr>
            <w:r w:rsidRPr="00A24ECC">
              <w:rPr>
                <w:sz w:val="18"/>
              </w:rPr>
              <w:t>25</w:t>
            </w:r>
          </w:p>
        </w:tc>
      </w:tr>
      <w:tr w:rsidR="0034282A" w:rsidRPr="0034282A" w14:paraId="4AA3249A" w14:textId="77777777" w:rsidTr="00F342AC">
        <w:tc>
          <w:tcPr>
            <w:tcW w:w="1053" w:type="dxa"/>
            <w:shd w:val="clear" w:color="auto" w:fill="auto"/>
          </w:tcPr>
          <w:p w14:paraId="5D443232" w14:textId="77777777" w:rsidR="0034282A" w:rsidRPr="00A24ECC" w:rsidRDefault="0034282A" w:rsidP="0034282A">
            <w:pPr>
              <w:spacing w:before="40" w:after="40" w:line="220" w:lineRule="exact"/>
              <w:rPr>
                <w:sz w:val="18"/>
              </w:rPr>
            </w:pPr>
            <w:r w:rsidRPr="00A24ECC">
              <w:rPr>
                <w:sz w:val="18"/>
              </w:rPr>
              <w:t>Yambio</w:t>
            </w:r>
          </w:p>
        </w:tc>
        <w:tc>
          <w:tcPr>
            <w:tcW w:w="1052" w:type="dxa"/>
            <w:shd w:val="clear" w:color="auto" w:fill="auto"/>
          </w:tcPr>
          <w:p w14:paraId="1C468EBE" w14:textId="77777777" w:rsidR="0034282A" w:rsidRPr="00A24ECC" w:rsidRDefault="0034282A" w:rsidP="0034282A">
            <w:pPr>
              <w:spacing w:before="40" w:after="40" w:line="220" w:lineRule="exact"/>
              <w:jc w:val="right"/>
              <w:rPr>
                <w:sz w:val="18"/>
              </w:rPr>
            </w:pPr>
            <w:r w:rsidRPr="00A24ECC">
              <w:rPr>
                <w:sz w:val="18"/>
              </w:rPr>
              <w:t>14</w:t>
            </w:r>
          </w:p>
        </w:tc>
        <w:tc>
          <w:tcPr>
            <w:tcW w:w="1053" w:type="dxa"/>
            <w:shd w:val="clear" w:color="auto" w:fill="auto"/>
          </w:tcPr>
          <w:p w14:paraId="59DEDC0C" w14:textId="77777777" w:rsidR="0034282A" w:rsidRPr="00A24ECC" w:rsidRDefault="0034282A" w:rsidP="0034282A">
            <w:pPr>
              <w:spacing w:before="40" w:after="40" w:line="220" w:lineRule="exact"/>
              <w:jc w:val="right"/>
              <w:rPr>
                <w:sz w:val="18"/>
              </w:rPr>
            </w:pPr>
            <w:r w:rsidRPr="00A24ECC">
              <w:rPr>
                <w:sz w:val="18"/>
              </w:rPr>
              <w:t>16</w:t>
            </w:r>
          </w:p>
        </w:tc>
        <w:tc>
          <w:tcPr>
            <w:tcW w:w="1053" w:type="dxa"/>
            <w:shd w:val="clear" w:color="auto" w:fill="auto"/>
          </w:tcPr>
          <w:p w14:paraId="55ACAE12" w14:textId="77777777" w:rsidR="0034282A" w:rsidRPr="00A24ECC" w:rsidRDefault="0034282A" w:rsidP="0034282A">
            <w:pPr>
              <w:spacing w:before="40" w:after="40" w:line="220" w:lineRule="exact"/>
              <w:ind w:right="57"/>
              <w:jc w:val="right"/>
              <w:rPr>
                <w:sz w:val="18"/>
              </w:rPr>
            </w:pPr>
            <w:r w:rsidRPr="00A24ECC">
              <w:rPr>
                <w:sz w:val="18"/>
              </w:rPr>
              <w:t>30</w:t>
            </w:r>
          </w:p>
        </w:tc>
        <w:tc>
          <w:tcPr>
            <w:tcW w:w="1053" w:type="dxa"/>
            <w:shd w:val="clear" w:color="auto" w:fill="auto"/>
          </w:tcPr>
          <w:p w14:paraId="5C9ED017" w14:textId="77777777" w:rsidR="0034282A" w:rsidRPr="00A24ECC" w:rsidRDefault="0034282A" w:rsidP="0034282A">
            <w:pPr>
              <w:spacing w:before="40" w:after="40" w:line="220" w:lineRule="exact"/>
              <w:jc w:val="right"/>
              <w:rPr>
                <w:sz w:val="18"/>
              </w:rPr>
            </w:pPr>
            <w:r w:rsidRPr="00A24ECC">
              <w:rPr>
                <w:sz w:val="18"/>
              </w:rPr>
              <w:t>19</w:t>
            </w:r>
          </w:p>
        </w:tc>
        <w:tc>
          <w:tcPr>
            <w:tcW w:w="1053" w:type="dxa"/>
            <w:shd w:val="clear" w:color="auto" w:fill="auto"/>
          </w:tcPr>
          <w:p w14:paraId="53A1DD3E" w14:textId="77777777" w:rsidR="0034282A" w:rsidRPr="00A24ECC" w:rsidRDefault="0034282A" w:rsidP="0034282A">
            <w:pPr>
              <w:spacing w:before="40" w:after="40" w:line="220" w:lineRule="exact"/>
              <w:jc w:val="right"/>
              <w:rPr>
                <w:sz w:val="18"/>
              </w:rPr>
            </w:pPr>
            <w:r w:rsidRPr="00A24ECC">
              <w:rPr>
                <w:sz w:val="18"/>
              </w:rPr>
              <w:t>13</w:t>
            </w:r>
          </w:p>
        </w:tc>
        <w:tc>
          <w:tcPr>
            <w:tcW w:w="1053" w:type="dxa"/>
            <w:shd w:val="clear" w:color="auto" w:fill="auto"/>
          </w:tcPr>
          <w:p w14:paraId="03B17A08" w14:textId="77777777" w:rsidR="0034282A" w:rsidRPr="00A24ECC" w:rsidRDefault="0034282A" w:rsidP="0034282A">
            <w:pPr>
              <w:spacing w:before="40" w:after="40" w:line="220" w:lineRule="exact"/>
              <w:jc w:val="right"/>
              <w:rPr>
                <w:sz w:val="18"/>
              </w:rPr>
            </w:pPr>
            <w:r w:rsidRPr="00A24ECC">
              <w:rPr>
                <w:sz w:val="18"/>
              </w:rPr>
              <w:t>32</w:t>
            </w:r>
          </w:p>
        </w:tc>
      </w:tr>
      <w:tr w:rsidR="0034282A" w:rsidRPr="0034282A" w14:paraId="36EF3256" w14:textId="77777777" w:rsidTr="00F342AC">
        <w:tc>
          <w:tcPr>
            <w:tcW w:w="1053" w:type="dxa"/>
            <w:shd w:val="clear" w:color="auto" w:fill="auto"/>
          </w:tcPr>
          <w:p w14:paraId="6FBFFB6A" w14:textId="77777777" w:rsidR="0034282A" w:rsidRPr="00A24ECC" w:rsidRDefault="0034282A" w:rsidP="0034282A">
            <w:pPr>
              <w:spacing w:before="40" w:after="40" w:line="220" w:lineRule="exact"/>
              <w:rPr>
                <w:sz w:val="18"/>
              </w:rPr>
            </w:pPr>
            <w:r w:rsidRPr="00A24ECC">
              <w:rPr>
                <w:sz w:val="18"/>
              </w:rPr>
              <w:t>Torit</w:t>
            </w:r>
          </w:p>
        </w:tc>
        <w:tc>
          <w:tcPr>
            <w:tcW w:w="1052" w:type="dxa"/>
            <w:shd w:val="clear" w:color="auto" w:fill="auto"/>
          </w:tcPr>
          <w:p w14:paraId="331CF8AF" w14:textId="77777777" w:rsidR="0034282A" w:rsidRPr="00A24ECC" w:rsidRDefault="0034282A" w:rsidP="0034282A">
            <w:pPr>
              <w:spacing w:before="40" w:after="40" w:line="220" w:lineRule="exact"/>
              <w:jc w:val="right"/>
              <w:rPr>
                <w:sz w:val="18"/>
              </w:rPr>
            </w:pPr>
            <w:r w:rsidRPr="00A24ECC">
              <w:rPr>
                <w:sz w:val="18"/>
              </w:rPr>
              <w:t>28</w:t>
            </w:r>
          </w:p>
        </w:tc>
        <w:tc>
          <w:tcPr>
            <w:tcW w:w="1053" w:type="dxa"/>
            <w:shd w:val="clear" w:color="auto" w:fill="auto"/>
          </w:tcPr>
          <w:p w14:paraId="797D300E" w14:textId="77777777" w:rsidR="0034282A" w:rsidRPr="00A24ECC" w:rsidRDefault="0034282A" w:rsidP="0034282A">
            <w:pPr>
              <w:spacing w:before="40" w:after="40" w:line="220" w:lineRule="exact"/>
              <w:jc w:val="right"/>
              <w:rPr>
                <w:sz w:val="18"/>
              </w:rPr>
            </w:pPr>
            <w:r w:rsidRPr="00A24ECC">
              <w:rPr>
                <w:sz w:val="18"/>
              </w:rPr>
              <w:t>15</w:t>
            </w:r>
          </w:p>
        </w:tc>
        <w:tc>
          <w:tcPr>
            <w:tcW w:w="1053" w:type="dxa"/>
            <w:shd w:val="clear" w:color="auto" w:fill="auto"/>
          </w:tcPr>
          <w:p w14:paraId="52A98B29" w14:textId="77777777" w:rsidR="0034282A" w:rsidRPr="00A24ECC" w:rsidRDefault="0034282A" w:rsidP="0034282A">
            <w:pPr>
              <w:spacing w:before="40" w:after="40" w:line="220" w:lineRule="exact"/>
              <w:ind w:right="57"/>
              <w:jc w:val="right"/>
              <w:rPr>
                <w:sz w:val="18"/>
              </w:rPr>
            </w:pPr>
            <w:r w:rsidRPr="00A24ECC">
              <w:rPr>
                <w:sz w:val="18"/>
              </w:rPr>
              <w:t>43</w:t>
            </w:r>
          </w:p>
        </w:tc>
        <w:tc>
          <w:tcPr>
            <w:tcW w:w="1053" w:type="dxa"/>
            <w:shd w:val="clear" w:color="auto" w:fill="auto"/>
          </w:tcPr>
          <w:p w14:paraId="4D4C8A52" w14:textId="77777777" w:rsidR="0034282A" w:rsidRPr="00A24ECC" w:rsidRDefault="0034282A" w:rsidP="0034282A">
            <w:pPr>
              <w:spacing w:before="40" w:after="40" w:line="220" w:lineRule="exact"/>
              <w:jc w:val="right"/>
              <w:rPr>
                <w:sz w:val="18"/>
              </w:rPr>
            </w:pPr>
            <w:r w:rsidRPr="00A24ECC">
              <w:rPr>
                <w:sz w:val="18"/>
              </w:rPr>
              <w:t>16</w:t>
            </w:r>
          </w:p>
        </w:tc>
        <w:tc>
          <w:tcPr>
            <w:tcW w:w="1053" w:type="dxa"/>
            <w:shd w:val="clear" w:color="auto" w:fill="auto"/>
          </w:tcPr>
          <w:p w14:paraId="0C63513F" w14:textId="77777777" w:rsidR="0034282A" w:rsidRPr="00A24ECC" w:rsidRDefault="0034282A" w:rsidP="0034282A">
            <w:pPr>
              <w:spacing w:before="40" w:after="40" w:line="220" w:lineRule="exact"/>
              <w:jc w:val="right"/>
              <w:rPr>
                <w:sz w:val="18"/>
              </w:rPr>
            </w:pPr>
            <w:r w:rsidRPr="00A24ECC">
              <w:rPr>
                <w:sz w:val="18"/>
              </w:rPr>
              <w:t>14</w:t>
            </w:r>
          </w:p>
        </w:tc>
        <w:tc>
          <w:tcPr>
            <w:tcW w:w="1053" w:type="dxa"/>
            <w:shd w:val="clear" w:color="auto" w:fill="auto"/>
          </w:tcPr>
          <w:p w14:paraId="59308F1D" w14:textId="77777777" w:rsidR="0034282A" w:rsidRPr="00A24ECC" w:rsidRDefault="0034282A" w:rsidP="0034282A">
            <w:pPr>
              <w:spacing w:before="40" w:after="40" w:line="220" w:lineRule="exact"/>
              <w:jc w:val="right"/>
              <w:rPr>
                <w:sz w:val="18"/>
              </w:rPr>
            </w:pPr>
            <w:r w:rsidRPr="00A24ECC">
              <w:rPr>
                <w:sz w:val="18"/>
              </w:rPr>
              <w:t>30</w:t>
            </w:r>
          </w:p>
        </w:tc>
      </w:tr>
      <w:tr w:rsidR="0034282A" w:rsidRPr="0034282A" w14:paraId="572190E6" w14:textId="77777777" w:rsidTr="00F342AC">
        <w:tc>
          <w:tcPr>
            <w:tcW w:w="1053" w:type="dxa"/>
            <w:shd w:val="clear" w:color="auto" w:fill="auto"/>
          </w:tcPr>
          <w:p w14:paraId="116AEF2D" w14:textId="77777777" w:rsidR="0034282A" w:rsidRPr="00A24ECC" w:rsidRDefault="0034282A" w:rsidP="0034282A">
            <w:pPr>
              <w:spacing w:before="40" w:after="40" w:line="220" w:lineRule="exact"/>
              <w:rPr>
                <w:sz w:val="18"/>
              </w:rPr>
            </w:pPr>
            <w:r w:rsidRPr="00A24ECC">
              <w:rPr>
                <w:sz w:val="18"/>
              </w:rPr>
              <w:t>Wau</w:t>
            </w:r>
          </w:p>
        </w:tc>
        <w:tc>
          <w:tcPr>
            <w:tcW w:w="1052" w:type="dxa"/>
            <w:shd w:val="clear" w:color="auto" w:fill="auto"/>
          </w:tcPr>
          <w:p w14:paraId="4E665455" w14:textId="77777777" w:rsidR="0034282A" w:rsidRPr="00A24ECC" w:rsidRDefault="0034282A" w:rsidP="0034282A">
            <w:pPr>
              <w:spacing w:before="40" w:after="40" w:line="220" w:lineRule="exact"/>
              <w:jc w:val="right"/>
              <w:rPr>
                <w:sz w:val="18"/>
              </w:rPr>
            </w:pPr>
            <w:r w:rsidRPr="00A24ECC">
              <w:rPr>
                <w:sz w:val="18"/>
              </w:rPr>
              <w:t>15</w:t>
            </w:r>
          </w:p>
        </w:tc>
        <w:tc>
          <w:tcPr>
            <w:tcW w:w="1053" w:type="dxa"/>
            <w:shd w:val="clear" w:color="auto" w:fill="auto"/>
          </w:tcPr>
          <w:p w14:paraId="46BE298E" w14:textId="77777777" w:rsidR="0034282A" w:rsidRPr="00A24ECC" w:rsidRDefault="0034282A" w:rsidP="0034282A">
            <w:pPr>
              <w:spacing w:before="40" w:after="40" w:line="220" w:lineRule="exact"/>
              <w:jc w:val="right"/>
              <w:rPr>
                <w:sz w:val="18"/>
              </w:rPr>
            </w:pPr>
            <w:r w:rsidRPr="00A24ECC">
              <w:rPr>
                <w:sz w:val="18"/>
              </w:rPr>
              <w:t>15</w:t>
            </w:r>
          </w:p>
        </w:tc>
        <w:tc>
          <w:tcPr>
            <w:tcW w:w="1053" w:type="dxa"/>
            <w:shd w:val="clear" w:color="auto" w:fill="auto"/>
          </w:tcPr>
          <w:p w14:paraId="084CFCEA" w14:textId="77777777" w:rsidR="0034282A" w:rsidRPr="00A24ECC" w:rsidRDefault="0034282A" w:rsidP="0034282A">
            <w:pPr>
              <w:spacing w:before="40" w:after="40" w:line="220" w:lineRule="exact"/>
              <w:ind w:right="57"/>
              <w:jc w:val="right"/>
              <w:rPr>
                <w:sz w:val="18"/>
              </w:rPr>
            </w:pPr>
            <w:r w:rsidRPr="00A24ECC">
              <w:rPr>
                <w:sz w:val="18"/>
              </w:rPr>
              <w:t>30</w:t>
            </w:r>
          </w:p>
        </w:tc>
        <w:tc>
          <w:tcPr>
            <w:tcW w:w="1053" w:type="dxa"/>
            <w:shd w:val="clear" w:color="auto" w:fill="auto"/>
          </w:tcPr>
          <w:p w14:paraId="0C8F45B3" w14:textId="77777777" w:rsidR="0034282A" w:rsidRPr="00A24ECC" w:rsidRDefault="0034282A" w:rsidP="0034282A">
            <w:pPr>
              <w:spacing w:before="40" w:after="40" w:line="220" w:lineRule="exact"/>
              <w:jc w:val="right"/>
              <w:rPr>
                <w:sz w:val="18"/>
              </w:rPr>
            </w:pPr>
            <w:r w:rsidRPr="00A24ECC">
              <w:rPr>
                <w:sz w:val="18"/>
              </w:rPr>
              <w:t>13</w:t>
            </w:r>
          </w:p>
        </w:tc>
        <w:tc>
          <w:tcPr>
            <w:tcW w:w="1053" w:type="dxa"/>
            <w:shd w:val="clear" w:color="auto" w:fill="auto"/>
          </w:tcPr>
          <w:p w14:paraId="6F718957" w14:textId="77777777" w:rsidR="0034282A" w:rsidRPr="00A24ECC" w:rsidRDefault="0034282A" w:rsidP="0034282A">
            <w:pPr>
              <w:spacing w:before="40" w:after="40" w:line="220" w:lineRule="exact"/>
              <w:jc w:val="right"/>
              <w:rPr>
                <w:sz w:val="18"/>
              </w:rPr>
            </w:pPr>
            <w:r w:rsidRPr="00A24ECC">
              <w:rPr>
                <w:sz w:val="18"/>
              </w:rPr>
              <w:t>17</w:t>
            </w:r>
          </w:p>
        </w:tc>
        <w:tc>
          <w:tcPr>
            <w:tcW w:w="1053" w:type="dxa"/>
            <w:shd w:val="clear" w:color="auto" w:fill="auto"/>
          </w:tcPr>
          <w:p w14:paraId="71AEB9FA" w14:textId="77777777" w:rsidR="0034282A" w:rsidRPr="00A24ECC" w:rsidRDefault="0034282A" w:rsidP="0034282A">
            <w:pPr>
              <w:spacing w:before="40" w:after="40" w:line="220" w:lineRule="exact"/>
              <w:jc w:val="right"/>
              <w:rPr>
                <w:sz w:val="18"/>
              </w:rPr>
            </w:pPr>
            <w:r w:rsidRPr="00A24ECC">
              <w:rPr>
                <w:sz w:val="18"/>
              </w:rPr>
              <w:t>30</w:t>
            </w:r>
          </w:p>
        </w:tc>
      </w:tr>
      <w:tr w:rsidR="0034282A" w:rsidRPr="0034282A" w14:paraId="0325BE63" w14:textId="77777777" w:rsidTr="0034282A">
        <w:tc>
          <w:tcPr>
            <w:tcW w:w="1053" w:type="dxa"/>
            <w:shd w:val="clear" w:color="auto" w:fill="auto"/>
          </w:tcPr>
          <w:p w14:paraId="3DC0A2BE" w14:textId="77777777" w:rsidR="0034282A" w:rsidRPr="00A24ECC" w:rsidRDefault="0034282A" w:rsidP="0034282A">
            <w:pPr>
              <w:spacing w:before="40" w:after="40" w:line="220" w:lineRule="exact"/>
              <w:rPr>
                <w:sz w:val="18"/>
              </w:rPr>
            </w:pPr>
            <w:r w:rsidRPr="00A24ECC">
              <w:rPr>
                <w:sz w:val="18"/>
              </w:rPr>
              <w:t>Aweil</w:t>
            </w:r>
          </w:p>
        </w:tc>
        <w:tc>
          <w:tcPr>
            <w:tcW w:w="1052" w:type="dxa"/>
            <w:shd w:val="clear" w:color="auto" w:fill="auto"/>
          </w:tcPr>
          <w:p w14:paraId="22302F0A" w14:textId="77777777" w:rsidR="0034282A" w:rsidRPr="00A24ECC" w:rsidRDefault="0034282A" w:rsidP="0034282A">
            <w:pPr>
              <w:spacing w:before="40" w:after="40" w:line="220" w:lineRule="exact"/>
              <w:jc w:val="right"/>
              <w:rPr>
                <w:sz w:val="18"/>
              </w:rPr>
            </w:pPr>
            <w:r w:rsidRPr="00A24ECC">
              <w:rPr>
                <w:sz w:val="18"/>
              </w:rPr>
              <w:t>25</w:t>
            </w:r>
          </w:p>
        </w:tc>
        <w:tc>
          <w:tcPr>
            <w:tcW w:w="1053" w:type="dxa"/>
            <w:shd w:val="clear" w:color="auto" w:fill="auto"/>
          </w:tcPr>
          <w:p w14:paraId="2D894835" w14:textId="77777777" w:rsidR="0034282A" w:rsidRPr="00A24ECC" w:rsidRDefault="0034282A" w:rsidP="0034282A">
            <w:pPr>
              <w:spacing w:before="40" w:after="40" w:line="220" w:lineRule="exact"/>
              <w:jc w:val="right"/>
              <w:rPr>
                <w:sz w:val="18"/>
              </w:rPr>
            </w:pPr>
            <w:r w:rsidRPr="00A24ECC">
              <w:rPr>
                <w:sz w:val="18"/>
              </w:rPr>
              <w:t>5</w:t>
            </w:r>
          </w:p>
        </w:tc>
        <w:tc>
          <w:tcPr>
            <w:tcW w:w="1053" w:type="dxa"/>
            <w:shd w:val="clear" w:color="auto" w:fill="auto"/>
          </w:tcPr>
          <w:p w14:paraId="06A3EE3A" w14:textId="77777777" w:rsidR="0034282A" w:rsidRPr="00A24ECC" w:rsidRDefault="0034282A" w:rsidP="0034282A">
            <w:pPr>
              <w:spacing w:before="40" w:after="40" w:line="220" w:lineRule="exact"/>
              <w:ind w:right="57"/>
              <w:jc w:val="right"/>
              <w:rPr>
                <w:sz w:val="18"/>
              </w:rPr>
            </w:pPr>
            <w:r w:rsidRPr="00A24ECC">
              <w:rPr>
                <w:sz w:val="18"/>
              </w:rPr>
              <w:t>30</w:t>
            </w:r>
          </w:p>
        </w:tc>
        <w:tc>
          <w:tcPr>
            <w:tcW w:w="1053" w:type="dxa"/>
            <w:shd w:val="clear" w:color="auto" w:fill="auto"/>
          </w:tcPr>
          <w:p w14:paraId="59F6D9CC" w14:textId="77777777" w:rsidR="0034282A" w:rsidRPr="00A24ECC" w:rsidRDefault="0034282A" w:rsidP="0034282A">
            <w:pPr>
              <w:spacing w:before="40" w:after="40" w:line="220" w:lineRule="exact"/>
              <w:jc w:val="right"/>
              <w:rPr>
                <w:sz w:val="18"/>
              </w:rPr>
            </w:pPr>
            <w:r w:rsidRPr="00A24ECC">
              <w:rPr>
                <w:sz w:val="18"/>
              </w:rPr>
              <w:t>21</w:t>
            </w:r>
          </w:p>
        </w:tc>
        <w:tc>
          <w:tcPr>
            <w:tcW w:w="1053" w:type="dxa"/>
            <w:shd w:val="clear" w:color="auto" w:fill="auto"/>
          </w:tcPr>
          <w:p w14:paraId="6E0E3FD2" w14:textId="77777777" w:rsidR="0034282A" w:rsidRPr="00A24ECC" w:rsidRDefault="0034282A" w:rsidP="0034282A">
            <w:pPr>
              <w:spacing w:before="40" w:after="40" w:line="220" w:lineRule="exact"/>
              <w:jc w:val="right"/>
              <w:rPr>
                <w:sz w:val="18"/>
              </w:rPr>
            </w:pPr>
            <w:r w:rsidRPr="00A24ECC">
              <w:rPr>
                <w:sz w:val="18"/>
              </w:rPr>
              <w:t>9</w:t>
            </w:r>
          </w:p>
        </w:tc>
        <w:tc>
          <w:tcPr>
            <w:tcW w:w="1053" w:type="dxa"/>
            <w:shd w:val="clear" w:color="auto" w:fill="auto"/>
          </w:tcPr>
          <w:p w14:paraId="33B35DE4" w14:textId="77777777" w:rsidR="0034282A" w:rsidRPr="00A24ECC" w:rsidRDefault="0034282A" w:rsidP="0034282A">
            <w:pPr>
              <w:spacing w:before="40" w:after="40" w:line="220" w:lineRule="exact"/>
              <w:jc w:val="right"/>
              <w:rPr>
                <w:sz w:val="18"/>
              </w:rPr>
            </w:pPr>
            <w:r w:rsidRPr="00A24ECC">
              <w:rPr>
                <w:sz w:val="18"/>
              </w:rPr>
              <w:t>30</w:t>
            </w:r>
          </w:p>
        </w:tc>
      </w:tr>
      <w:tr w:rsidR="0034282A" w:rsidRPr="0034282A" w14:paraId="6C67827C" w14:textId="77777777" w:rsidTr="0034282A">
        <w:tc>
          <w:tcPr>
            <w:tcW w:w="1053" w:type="dxa"/>
            <w:tcBorders>
              <w:bottom w:val="single" w:sz="4" w:space="0" w:color="auto"/>
            </w:tcBorders>
            <w:shd w:val="clear" w:color="auto" w:fill="auto"/>
          </w:tcPr>
          <w:p w14:paraId="5A05852D" w14:textId="77777777" w:rsidR="0034282A" w:rsidRPr="00A24ECC" w:rsidRDefault="0034282A" w:rsidP="0034282A">
            <w:pPr>
              <w:spacing w:before="40" w:after="40" w:line="220" w:lineRule="exact"/>
              <w:rPr>
                <w:sz w:val="18"/>
              </w:rPr>
            </w:pPr>
            <w:r w:rsidRPr="00A24ECC">
              <w:rPr>
                <w:sz w:val="18"/>
              </w:rPr>
              <w:t>Mingkaman</w:t>
            </w:r>
          </w:p>
        </w:tc>
        <w:tc>
          <w:tcPr>
            <w:tcW w:w="1052" w:type="dxa"/>
            <w:tcBorders>
              <w:bottom w:val="single" w:sz="4" w:space="0" w:color="auto"/>
            </w:tcBorders>
            <w:shd w:val="clear" w:color="auto" w:fill="auto"/>
          </w:tcPr>
          <w:p w14:paraId="20D2E572" w14:textId="77777777" w:rsidR="0034282A" w:rsidRPr="00A24ECC" w:rsidRDefault="0034282A" w:rsidP="0034282A">
            <w:pPr>
              <w:spacing w:before="40" w:after="40" w:line="220" w:lineRule="exact"/>
              <w:jc w:val="right"/>
              <w:rPr>
                <w:sz w:val="18"/>
              </w:rPr>
            </w:pPr>
            <w:r w:rsidRPr="00A24ECC">
              <w:rPr>
                <w:sz w:val="18"/>
              </w:rPr>
              <w:t>15</w:t>
            </w:r>
          </w:p>
        </w:tc>
        <w:tc>
          <w:tcPr>
            <w:tcW w:w="1053" w:type="dxa"/>
            <w:tcBorders>
              <w:bottom w:val="single" w:sz="4" w:space="0" w:color="auto"/>
            </w:tcBorders>
            <w:shd w:val="clear" w:color="auto" w:fill="auto"/>
          </w:tcPr>
          <w:p w14:paraId="55B90594" w14:textId="77777777" w:rsidR="0034282A" w:rsidRPr="00A24ECC" w:rsidRDefault="0034282A" w:rsidP="0034282A">
            <w:pPr>
              <w:spacing w:before="40" w:after="40" w:line="220" w:lineRule="exact"/>
              <w:jc w:val="right"/>
              <w:rPr>
                <w:sz w:val="18"/>
              </w:rPr>
            </w:pPr>
            <w:r w:rsidRPr="00A24ECC">
              <w:rPr>
                <w:sz w:val="18"/>
              </w:rPr>
              <w:t>19</w:t>
            </w:r>
          </w:p>
        </w:tc>
        <w:tc>
          <w:tcPr>
            <w:tcW w:w="1053" w:type="dxa"/>
            <w:tcBorders>
              <w:bottom w:val="single" w:sz="4" w:space="0" w:color="auto"/>
            </w:tcBorders>
            <w:shd w:val="clear" w:color="auto" w:fill="auto"/>
          </w:tcPr>
          <w:p w14:paraId="3617DD53" w14:textId="77777777" w:rsidR="0034282A" w:rsidRPr="00A24ECC" w:rsidRDefault="0034282A" w:rsidP="0034282A">
            <w:pPr>
              <w:spacing w:before="40" w:after="40" w:line="220" w:lineRule="exact"/>
              <w:ind w:right="57"/>
              <w:jc w:val="right"/>
              <w:rPr>
                <w:sz w:val="18"/>
              </w:rPr>
            </w:pPr>
            <w:r w:rsidRPr="00A24ECC">
              <w:rPr>
                <w:sz w:val="18"/>
              </w:rPr>
              <w:t>34</w:t>
            </w:r>
          </w:p>
        </w:tc>
        <w:tc>
          <w:tcPr>
            <w:tcW w:w="1053" w:type="dxa"/>
            <w:tcBorders>
              <w:bottom w:val="single" w:sz="4" w:space="0" w:color="auto"/>
            </w:tcBorders>
            <w:shd w:val="clear" w:color="auto" w:fill="auto"/>
          </w:tcPr>
          <w:p w14:paraId="4C929BD5" w14:textId="77777777" w:rsidR="0034282A" w:rsidRPr="00A24ECC" w:rsidRDefault="0034282A" w:rsidP="0034282A">
            <w:pPr>
              <w:spacing w:before="40" w:after="40" w:line="220" w:lineRule="exact"/>
              <w:jc w:val="right"/>
              <w:rPr>
                <w:sz w:val="18"/>
              </w:rPr>
            </w:pPr>
            <w:r w:rsidRPr="00A24ECC">
              <w:rPr>
                <w:sz w:val="18"/>
              </w:rPr>
              <w:t>-</w:t>
            </w:r>
          </w:p>
        </w:tc>
        <w:tc>
          <w:tcPr>
            <w:tcW w:w="1053" w:type="dxa"/>
            <w:tcBorders>
              <w:bottom w:val="single" w:sz="4" w:space="0" w:color="auto"/>
            </w:tcBorders>
            <w:shd w:val="clear" w:color="auto" w:fill="auto"/>
          </w:tcPr>
          <w:p w14:paraId="2F711CB0" w14:textId="77777777" w:rsidR="0034282A" w:rsidRPr="00A24ECC" w:rsidRDefault="0034282A" w:rsidP="0034282A">
            <w:pPr>
              <w:spacing w:before="40" w:after="40" w:line="220" w:lineRule="exact"/>
              <w:jc w:val="right"/>
              <w:rPr>
                <w:sz w:val="18"/>
              </w:rPr>
            </w:pPr>
            <w:r w:rsidRPr="00A24ECC">
              <w:rPr>
                <w:sz w:val="18"/>
              </w:rPr>
              <w:t>-</w:t>
            </w:r>
          </w:p>
        </w:tc>
        <w:tc>
          <w:tcPr>
            <w:tcW w:w="1053" w:type="dxa"/>
            <w:tcBorders>
              <w:bottom w:val="single" w:sz="4" w:space="0" w:color="auto"/>
            </w:tcBorders>
            <w:shd w:val="clear" w:color="auto" w:fill="auto"/>
          </w:tcPr>
          <w:p w14:paraId="21664B67" w14:textId="77777777" w:rsidR="0034282A" w:rsidRPr="00A24ECC" w:rsidRDefault="0034282A" w:rsidP="0034282A">
            <w:pPr>
              <w:spacing w:before="40" w:after="40" w:line="220" w:lineRule="exact"/>
              <w:jc w:val="right"/>
              <w:rPr>
                <w:sz w:val="18"/>
              </w:rPr>
            </w:pPr>
            <w:r w:rsidRPr="00A24ECC">
              <w:rPr>
                <w:sz w:val="18"/>
              </w:rPr>
              <w:t>-</w:t>
            </w:r>
          </w:p>
        </w:tc>
      </w:tr>
      <w:tr w:rsidR="0034282A" w:rsidRPr="0034282A" w14:paraId="7A34C7A7" w14:textId="77777777" w:rsidTr="0034282A">
        <w:tc>
          <w:tcPr>
            <w:tcW w:w="1053" w:type="dxa"/>
            <w:tcBorders>
              <w:top w:val="single" w:sz="4" w:space="0" w:color="auto"/>
              <w:bottom w:val="single" w:sz="12" w:space="0" w:color="auto"/>
            </w:tcBorders>
            <w:shd w:val="clear" w:color="auto" w:fill="auto"/>
          </w:tcPr>
          <w:p w14:paraId="5A05C79B" w14:textId="77777777" w:rsidR="0034282A" w:rsidRPr="00A24ECC" w:rsidRDefault="0034282A" w:rsidP="0034282A">
            <w:pPr>
              <w:spacing w:before="80" w:after="80" w:line="220" w:lineRule="exact"/>
              <w:ind w:left="284"/>
              <w:rPr>
                <w:b/>
                <w:bCs/>
                <w:sz w:val="18"/>
              </w:rPr>
            </w:pPr>
            <w:r w:rsidRPr="00A24ECC">
              <w:rPr>
                <w:b/>
                <w:bCs/>
                <w:sz w:val="18"/>
              </w:rPr>
              <w:t>Total</w:t>
            </w:r>
          </w:p>
        </w:tc>
        <w:tc>
          <w:tcPr>
            <w:tcW w:w="1052" w:type="dxa"/>
            <w:tcBorders>
              <w:top w:val="single" w:sz="4" w:space="0" w:color="auto"/>
              <w:bottom w:val="single" w:sz="12" w:space="0" w:color="auto"/>
            </w:tcBorders>
            <w:shd w:val="clear" w:color="auto" w:fill="auto"/>
          </w:tcPr>
          <w:p w14:paraId="2AC76931" w14:textId="77777777" w:rsidR="0034282A" w:rsidRPr="00A24ECC" w:rsidRDefault="0034282A" w:rsidP="0034282A">
            <w:pPr>
              <w:spacing w:before="80" w:after="80" w:line="220" w:lineRule="exact"/>
              <w:jc w:val="right"/>
              <w:rPr>
                <w:b/>
                <w:bCs/>
                <w:sz w:val="18"/>
              </w:rPr>
            </w:pPr>
            <w:r w:rsidRPr="00A24ECC">
              <w:rPr>
                <w:b/>
                <w:bCs/>
                <w:sz w:val="18"/>
              </w:rPr>
              <w:t>116</w:t>
            </w:r>
          </w:p>
        </w:tc>
        <w:tc>
          <w:tcPr>
            <w:tcW w:w="1053" w:type="dxa"/>
            <w:tcBorders>
              <w:top w:val="single" w:sz="4" w:space="0" w:color="auto"/>
              <w:bottom w:val="single" w:sz="12" w:space="0" w:color="auto"/>
            </w:tcBorders>
            <w:shd w:val="clear" w:color="auto" w:fill="auto"/>
          </w:tcPr>
          <w:p w14:paraId="3F1B3526" w14:textId="77777777" w:rsidR="0034282A" w:rsidRPr="00A24ECC" w:rsidRDefault="0034282A" w:rsidP="0034282A">
            <w:pPr>
              <w:spacing w:before="80" w:after="80" w:line="220" w:lineRule="exact"/>
              <w:jc w:val="right"/>
              <w:rPr>
                <w:b/>
                <w:bCs/>
                <w:sz w:val="18"/>
              </w:rPr>
            </w:pPr>
            <w:r w:rsidRPr="00A24ECC">
              <w:rPr>
                <w:b/>
                <w:bCs/>
                <w:sz w:val="18"/>
              </w:rPr>
              <w:t>77</w:t>
            </w:r>
          </w:p>
        </w:tc>
        <w:tc>
          <w:tcPr>
            <w:tcW w:w="1053" w:type="dxa"/>
            <w:tcBorders>
              <w:top w:val="single" w:sz="4" w:space="0" w:color="auto"/>
              <w:bottom w:val="single" w:sz="12" w:space="0" w:color="auto"/>
            </w:tcBorders>
            <w:shd w:val="clear" w:color="auto" w:fill="auto"/>
          </w:tcPr>
          <w:p w14:paraId="11D2BD10" w14:textId="77777777" w:rsidR="0034282A" w:rsidRPr="00A24ECC" w:rsidRDefault="0034282A" w:rsidP="0034282A">
            <w:pPr>
              <w:spacing w:before="80" w:after="80" w:line="220" w:lineRule="exact"/>
              <w:ind w:right="57"/>
              <w:jc w:val="right"/>
              <w:rPr>
                <w:b/>
                <w:bCs/>
                <w:sz w:val="18"/>
              </w:rPr>
            </w:pPr>
            <w:r w:rsidRPr="00A24ECC">
              <w:rPr>
                <w:b/>
                <w:bCs/>
                <w:sz w:val="18"/>
              </w:rPr>
              <w:t>193</w:t>
            </w:r>
          </w:p>
        </w:tc>
        <w:tc>
          <w:tcPr>
            <w:tcW w:w="1053" w:type="dxa"/>
            <w:tcBorders>
              <w:top w:val="single" w:sz="4" w:space="0" w:color="auto"/>
              <w:bottom w:val="single" w:sz="12" w:space="0" w:color="auto"/>
            </w:tcBorders>
            <w:shd w:val="clear" w:color="auto" w:fill="auto"/>
          </w:tcPr>
          <w:p w14:paraId="5CABC283" w14:textId="77777777" w:rsidR="0034282A" w:rsidRPr="00A24ECC" w:rsidRDefault="0034282A" w:rsidP="0034282A">
            <w:pPr>
              <w:spacing w:before="80" w:after="80" w:line="220" w:lineRule="exact"/>
              <w:jc w:val="right"/>
              <w:rPr>
                <w:b/>
                <w:bCs/>
                <w:sz w:val="18"/>
              </w:rPr>
            </w:pPr>
            <w:r w:rsidRPr="00A24ECC">
              <w:rPr>
                <w:b/>
                <w:bCs/>
                <w:sz w:val="18"/>
              </w:rPr>
              <w:t>82</w:t>
            </w:r>
          </w:p>
        </w:tc>
        <w:tc>
          <w:tcPr>
            <w:tcW w:w="1053" w:type="dxa"/>
            <w:tcBorders>
              <w:top w:val="single" w:sz="4" w:space="0" w:color="auto"/>
              <w:bottom w:val="single" w:sz="12" w:space="0" w:color="auto"/>
            </w:tcBorders>
            <w:shd w:val="clear" w:color="auto" w:fill="auto"/>
          </w:tcPr>
          <w:p w14:paraId="4452022B" w14:textId="77777777" w:rsidR="0034282A" w:rsidRPr="00A24ECC" w:rsidRDefault="0034282A" w:rsidP="0034282A">
            <w:pPr>
              <w:spacing w:before="80" w:after="80" w:line="220" w:lineRule="exact"/>
              <w:jc w:val="right"/>
              <w:rPr>
                <w:b/>
                <w:bCs/>
                <w:sz w:val="18"/>
              </w:rPr>
            </w:pPr>
            <w:r w:rsidRPr="00A24ECC">
              <w:rPr>
                <w:b/>
                <w:bCs/>
                <w:sz w:val="18"/>
              </w:rPr>
              <w:t>65</w:t>
            </w:r>
          </w:p>
        </w:tc>
        <w:tc>
          <w:tcPr>
            <w:tcW w:w="1053" w:type="dxa"/>
            <w:tcBorders>
              <w:top w:val="single" w:sz="4" w:space="0" w:color="auto"/>
              <w:bottom w:val="single" w:sz="12" w:space="0" w:color="auto"/>
            </w:tcBorders>
            <w:shd w:val="clear" w:color="auto" w:fill="auto"/>
          </w:tcPr>
          <w:p w14:paraId="1929F8A6" w14:textId="77777777" w:rsidR="0034282A" w:rsidRPr="00A24ECC" w:rsidRDefault="0034282A" w:rsidP="0034282A">
            <w:pPr>
              <w:spacing w:before="80" w:after="80" w:line="220" w:lineRule="exact"/>
              <w:jc w:val="right"/>
              <w:rPr>
                <w:b/>
                <w:bCs/>
                <w:sz w:val="18"/>
              </w:rPr>
            </w:pPr>
            <w:r w:rsidRPr="00A24ECC">
              <w:rPr>
                <w:b/>
                <w:bCs/>
                <w:sz w:val="18"/>
              </w:rPr>
              <w:t>147</w:t>
            </w:r>
          </w:p>
        </w:tc>
      </w:tr>
    </w:tbl>
    <w:p w14:paraId="55DC3938" w14:textId="77777777" w:rsidR="00A24ECC" w:rsidRPr="00A24ECC" w:rsidRDefault="000E3B58" w:rsidP="000E3B58">
      <w:pPr>
        <w:pStyle w:val="H23G"/>
      </w:pPr>
      <w:r>
        <w:tab/>
      </w:r>
      <w:r w:rsidR="00A24ECC" w:rsidRPr="00A24ECC">
        <w:tab/>
        <w:t>Concienciación sobre los derechos humanos mediante programas educativos e</w:t>
      </w:r>
      <w:r>
        <w:t> </w:t>
      </w:r>
      <w:r w:rsidR="00A24ECC" w:rsidRPr="00A24ECC">
        <w:t>información pública patrocinados por el Gobierno</w:t>
      </w:r>
    </w:p>
    <w:p w14:paraId="7C8BF461" w14:textId="77777777" w:rsidR="00A24ECC" w:rsidRPr="00A24ECC" w:rsidRDefault="00A24ECC" w:rsidP="000E3B58">
      <w:pPr>
        <w:pStyle w:val="SingleTxtG"/>
      </w:pPr>
      <w:r w:rsidRPr="00A24ECC">
        <w:t>27.</w:t>
      </w:r>
      <w:r w:rsidRPr="00A24ECC">
        <w:tab/>
        <w:t xml:space="preserve">El Ministerio de Educación, a través del Plan Estratégico de Educación 2017-2027 y del Plan de Estudios Nacional, introdujo programas de derechos humanos en las instituciones educativas del país. La Misión de las Naciones Unidas en Sudán del Sur apoya la aplicación efectiva de este plan organizando talleres de capacitación para maestros de </w:t>
      </w:r>
      <w:r w:rsidRPr="00A24ECC">
        <w:lastRenderedPageBreak/>
        <w:t>escuela sobre educación en materia de derechos humanos fundamentales, la Carta de Derechos, el género y los deberes cívicos.</w:t>
      </w:r>
    </w:p>
    <w:p w14:paraId="202B21AE" w14:textId="77777777" w:rsidR="00A24ECC" w:rsidRPr="00A24ECC" w:rsidRDefault="000E3B58" w:rsidP="000E3B58">
      <w:pPr>
        <w:pStyle w:val="H23G"/>
      </w:pPr>
      <w:r>
        <w:tab/>
      </w:r>
      <w:r w:rsidR="00A24ECC" w:rsidRPr="00A24ECC">
        <w:tab/>
        <w:t>Actividades de concienciación en materia de derechos humanos a través de</w:t>
      </w:r>
      <w:r>
        <w:t> </w:t>
      </w:r>
      <w:r w:rsidR="00A24ECC" w:rsidRPr="00A24ECC">
        <w:t>los</w:t>
      </w:r>
      <w:r>
        <w:t> </w:t>
      </w:r>
      <w:r w:rsidR="00A24ECC" w:rsidRPr="00A24ECC">
        <w:t>medios</w:t>
      </w:r>
      <w:r>
        <w:t> </w:t>
      </w:r>
      <w:r w:rsidR="00A24ECC" w:rsidRPr="00A24ECC">
        <w:t xml:space="preserve">de comunicación </w:t>
      </w:r>
    </w:p>
    <w:p w14:paraId="31B7CE2E" w14:textId="77777777" w:rsidR="00A24ECC" w:rsidRPr="00A24ECC" w:rsidRDefault="00A24ECC" w:rsidP="000E3B58">
      <w:pPr>
        <w:pStyle w:val="SingleTxtG"/>
      </w:pPr>
      <w:r w:rsidRPr="00A24ECC">
        <w:t>28.</w:t>
      </w:r>
      <w:r w:rsidRPr="00A24ECC">
        <w:tab/>
        <w:t xml:space="preserve">Continuamente se están llevando a cabo iniciativas de concienciación sobre las preocupaciones relativas a los derechos humanos a través de los medios de comunicación digitales e impresos, incluidos los medios del Gobierno; por ejemplo, South Sudan Broadcasting Corporation (radio y televisión), la emisora de radio de las Naciones Unidas Miraya FM, y varias radios privadas como Eye Radio, Bakhita Radio y Radio One, entre otras. Entre los medios de comunicación impresos, destacan </w:t>
      </w:r>
      <w:r w:rsidRPr="00A24ECC">
        <w:rPr>
          <w:i/>
          <w:iCs/>
        </w:rPr>
        <w:t>Juba Monitor</w:t>
      </w:r>
      <w:r w:rsidRPr="00A24ECC">
        <w:t xml:space="preserve">, </w:t>
      </w:r>
      <w:r w:rsidRPr="00A24ECC">
        <w:rPr>
          <w:i/>
          <w:iCs/>
        </w:rPr>
        <w:t xml:space="preserve">Dawn </w:t>
      </w:r>
      <w:r w:rsidRPr="00A24ECC">
        <w:t xml:space="preserve">y otros periódicos, todos los cuales desempeñan un papel fundamental en la concienciación sobre los derechos humanos en el país. </w:t>
      </w:r>
    </w:p>
    <w:p w14:paraId="736D7680" w14:textId="77777777" w:rsidR="00A24ECC" w:rsidRPr="00A24ECC" w:rsidRDefault="000E3B58" w:rsidP="000E3B58">
      <w:pPr>
        <w:pStyle w:val="H23G"/>
      </w:pPr>
      <w:r>
        <w:tab/>
      </w:r>
      <w:r w:rsidR="00A24ECC" w:rsidRPr="00A24ECC">
        <w:tab/>
        <w:t>Papel de la sociedad civil, en particular de las organizaciones no gubernamentales</w:t>
      </w:r>
    </w:p>
    <w:p w14:paraId="49680AC1" w14:textId="77777777" w:rsidR="00A24ECC" w:rsidRPr="00A24ECC" w:rsidRDefault="00A24ECC" w:rsidP="000E3B58">
      <w:pPr>
        <w:pStyle w:val="SingleTxtG"/>
      </w:pPr>
      <w:r w:rsidRPr="00A24ECC">
        <w:t>29.</w:t>
      </w:r>
      <w:r w:rsidRPr="00A24ECC">
        <w:tab/>
        <w:t>Las organizaciones de la sociedad civil participan activamente en la promoción de los derechos humanos en el país. El Gobierno, representado por su Comité Interministerial, en colaboración con organizaciones de la sociedad civil y con el respaldo de asociados internacionales —como la División de Derechos Humanos de la Misión de las Naciones Unidas en Sudán del Sur, el Programa de las Naciones Unidas para el Desarrollo, el Fondo de las Naciones Unidas para la Infancia, el Fondo de Población de las Naciones Unidas, ONU-Mujeres y la Federación Luterana Mundial, entre otros— han estado trabajando juntos para promover la protección de los derechos humanos en el país.</w:t>
      </w:r>
    </w:p>
    <w:p w14:paraId="37716A80" w14:textId="77777777" w:rsidR="00A24ECC" w:rsidRPr="00A24ECC" w:rsidRDefault="000E3B58" w:rsidP="000E3B58">
      <w:pPr>
        <w:pStyle w:val="H23G"/>
      </w:pPr>
      <w:r>
        <w:tab/>
      </w:r>
      <w:r w:rsidR="00A24ECC" w:rsidRPr="00A24ECC">
        <w:tab/>
        <w:t>Cooperación y asistencia en la esfera del desarrollo</w:t>
      </w:r>
    </w:p>
    <w:p w14:paraId="150F88EB" w14:textId="77777777" w:rsidR="00A24ECC" w:rsidRPr="00A24ECC" w:rsidRDefault="00A24ECC" w:rsidP="000E3B58">
      <w:pPr>
        <w:pStyle w:val="SingleTxtG"/>
      </w:pPr>
      <w:r w:rsidRPr="00A24ECC">
        <w:t>30.</w:t>
      </w:r>
      <w:r w:rsidRPr="00A24ECC">
        <w:tab/>
        <w:t xml:space="preserve">El país recibe apoyo de asociados internacionales en relación con la promoción y protección de los derechos humanos fundamentales. La mayoría de los organismos de las Naciones Unidas que trabajan en el país han impartido sesiones de capacitación en todo el territorio sobre estrategias y planes de acción en materia de género a fin de orientar las actividades de respuesta. </w:t>
      </w:r>
    </w:p>
    <w:p w14:paraId="10045FBD" w14:textId="77777777" w:rsidR="00A24ECC" w:rsidRPr="00A24ECC" w:rsidRDefault="00A24ECC" w:rsidP="000E3B58">
      <w:pPr>
        <w:pStyle w:val="H1G"/>
      </w:pPr>
      <w:r w:rsidRPr="00A24ECC">
        <w:tab/>
        <w:t>G.</w:t>
      </w:r>
      <w:r w:rsidRPr="00A24ECC">
        <w:tab/>
        <w:t>Dificultades de índole general que afectan o impiden la aplicación de</w:t>
      </w:r>
      <w:r w:rsidR="000E3B58">
        <w:t> </w:t>
      </w:r>
      <w:r w:rsidRPr="00A24ECC">
        <w:t>los</w:t>
      </w:r>
      <w:r w:rsidR="000E3B58">
        <w:t> </w:t>
      </w:r>
      <w:r w:rsidRPr="00A24ECC">
        <w:t>instrumentos internacionales de derechos humanos</w:t>
      </w:r>
    </w:p>
    <w:p w14:paraId="12D98A43" w14:textId="77777777" w:rsidR="00A24ECC" w:rsidRPr="00A24ECC" w:rsidRDefault="000E3B58" w:rsidP="000E3B58">
      <w:pPr>
        <w:pStyle w:val="H23G"/>
      </w:pPr>
      <w:r>
        <w:tab/>
      </w:r>
      <w:r w:rsidR="00A24ECC" w:rsidRPr="00A24ECC">
        <w:tab/>
        <w:t xml:space="preserve">Inseguridad </w:t>
      </w:r>
    </w:p>
    <w:p w14:paraId="3E99F372" w14:textId="77777777" w:rsidR="00A24ECC" w:rsidRPr="00A24ECC" w:rsidRDefault="00A24ECC" w:rsidP="000E3B58">
      <w:pPr>
        <w:pStyle w:val="SingleTxtG"/>
      </w:pPr>
      <w:r w:rsidRPr="00A24ECC">
        <w:t>31.</w:t>
      </w:r>
      <w:r w:rsidRPr="00A24ECC">
        <w:tab/>
        <w:t>La inseguridad es uno de los principales problemas que obstaculizan la promoción y protección de los derechos humanos en el país. El prolongado período de conflicto que ha vivido Sudán del Sur ha obstaculizado la realización efectiva de muchas aspiraciones del país y la aplicación de los instrumentos de derechos humanos a los que este se ha adherido, consagrados en el ordenamiento jurídico y en varios documentos de políticas.</w:t>
      </w:r>
    </w:p>
    <w:p w14:paraId="331D44B7" w14:textId="77777777" w:rsidR="00A24ECC" w:rsidRPr="00A24ECC" w:rsidRDefault="00A24ECC" w:rsidP="000E3B58">
      <w:pPr>
        <w:pStyle w:val="H1G"/>
      </w:pPr>
      <w:r w:rsidRPr="00A24ECC">
        <w:tab/>
        <w:t>H.</w:t>
      </w:r>
      <w:r w:rsidRPr="00A24ECC">
        <w:tab/>
        <w:t>Procesos de presentación de informes</w:t>
      </w:r>
      <w:bookmarkStart w:id="2" w:name="_Toc337026526"/>
    </w:p>
    <w:p w14:paraId="04E1F454" w14:textId="77777777" w:rsidR="00A24ECC" w:rsidRPr="00A24ECC" w:rsidRDefault="00A24ECC" w:rsidP="000E3B58">
      <w:pPr>
        <w:pStyle w:val="SingleTxtG"/>
      </w:pPr>
      <w:r w:rsidRPr="00A24ECC">
        <w:t>32.</w:t>
      </w:r>
      <w:r w:rsidRPr="00A24ECC">
        <w:tab/>
        <w:t>En función de las esferas prioritarias de cada informe, se designa al departamento gubernamental responsable de presentarlo. No obstante, se estableció un Comité Interministerial Conjunto para los Mecanismos Internacionales, integrado por distintos ministerios y departamentos gubernamentales, a fin de coordinarse con los ministerios responsables de redactar los informes nacionales correspondientes. Este documento básico común fue redactado por el Comité Interministerial Conjunto con las contribuciones de los ministerios, departamentos y asociados gubernamentales pertinentes.</w:t>
      </w:r>
      <w:bookmarkEnd w:id="2"/>
    </w:p>
    <w:p w14:paraId="6B66F7CE" w14:textId="77777777" w:rsidR="00A24ECC" w:rsidRPr="00A24ECC" w:rsidRDefault="00A24ECC" w:rsidP="000E3B58">
      <w:pPr>
        <w:pStyle w:val="SingleTxtG"/>
      </w:pPr>
      <w:r w:rsidRPr="00A24ECC">
        <w:t>33.</w:t>
      </w:r>
      <w:r w:rsidRPr="00A24ECC">
        <w:tab/>
        <w:t>A pesar de todas las dificultades, el Gobierno, con el apoyo de diferentes asociados internacionales y nacionales, pudo cumplir las obligaciones contraídas en virtud de los tratados presentando informes nacionales sobre el estado de la aplicación de los diferentes instrumentos internacionales, entre ellos:</w:t>
      </w:r>
    </w:p>
    <w:p w14:paraId="683D8A00" w14:textId="77777777" w:rsidR="00A24ECC" w:rsidRPr="00A24ECC" w:rsidRDefault="00A24ECC" w:rsidP="007752FD">
      <w:pPr>
        <w:pStyle w:val="SingleTxtG"/>
        <w:keepNext/>
        <w:keepLines/>
      </w:pPr>
      <w:r w:rsidRPr="00A24ECC">
        <w:lastRenderedPageBreak/>
        <w:tab/>
        <w:t>a)</w:t>
      </w:r>
      <w:r w:rsidRPr="00A24ECC">
        <w:tab/>
      </w:r>
      <w:r w:rsidR="007752FD" w:rsidRPr="00A24ECC">
        <w:t xml:space="preserve">El </w:t>
      </w:r>
      <w:r w:rsidRPr="00A24ECC">
        <w:t xml:space="preserve">examen </w:t>
      </w:r>
      <w:r w:rsidR="007752FD" w:rsidRPr="00A24ECC">
        <w:t xml:space="preserve">Periódico </w:t>
      </w:r>
      <w:r w:rsidRPr="00A24ECC">
        <w:t xml:space="preserve">universal; </w:t>
      </w:r>
    </w:p>
    <w:p w14:paraId="1BE41F0F" w14:textId="77777777" w:rsidR="00A24ECC" w:rsidRPr="00A24ECC" w:rsidRDefault="00A24ECC" w:rsidP="000E3B58">
      <w:pPr>
        <w:pStyle w:val="SingleTxtG"/>
      </w:pPr>
      <w:r w:rsidRPr="00A24ECC">
        <w:tab/>
        <w:t>b)</w:t>
      </w:r>
      <w:r w:rsidRPr="00A24ECC">
        <w:tab/>
      </w:r>
      <w:r w:rsidR="007752FD" w:rsidRPr="00A24ECC">
        <w:t xml:space="preserve">El </w:t>
      </w:r>
      <w:r w:rsidRPr="00A24ECC">
        <w:t>informe inicial sobre la aplicación de la Convención sobre los Derechos del Niño;</w:t>
      </w:r>
    </w:p>
    <w:p w14:paraId="19883BFF" w14:textId="77777777" w:rsidR="00A24ECC" w:rsidRPr="00A24ECC" w:rsidRDefault="00A24ECC" w:rsidP="000E3B58">
      <w:pPr>
        <w:pStyle w:val="SingleTxtG"/>
      </w:pPr>
      <w:r w:rsidRPr="00A24ECC">
        <w:tab/>
        <w:t>c)</w:t>
      </w:r>
      <w:r w:rsidRPr="00A24ECC">
        <w:tab/>
      </w:r>
      <w:r w:rsidR="007752FD" w:rsidRPr="00A24ECC">
        <w:t xml:space="preserve">El </w:t>
      </w:r>
      <w:r w:rsidRPr="00A24ECC">
        <w:t>informe inicial sobre la aplicación de la Convención sobre la Eliminación de Todas las Formas de Discriminación contra la Mujer;</w:t>
      </w:r>
    </w:p>
    <w:p w14:paraId="1A726C4C" w14:textId="77777777" w:rsidR="006F35EE" w:rsidRDefault="00A24ECC" w:rsidP="000E3B58">
      <w:pPr>
        <w:pStyle w:val="SingleTxtG"/>
      </w:pPr>
      <w:r w:rsidRPr="00A24ECC">
        <w:tab/>
        <w:t>d)</w:t>
      </w:r>
      <w:r w:rsidRPr="00A24ECC">
        <w:tab/>
      </w:r>
      <w:r w:rsidR="007752FD" w:rsidRPr="00A24ECC">
        <w:t xml:space="preserve">La </w:t>
      </w:r>
      <w:r w:rsidRPr="00A24ECC">
        <w:t>Plataforma de Acción de Beijing.</w:t>
      </w:r>
    </w:p>
    <w:p w14:paraId="32B15E1A" w14:textId="77777777" w:rsidR="000E3B58" w:rsidRPr="000E3B58" w:rsidRDefault="000E3B58" w:rsidP="000E3B58">
      <w:pPr>
        <w:pStyle w:val="SingleTxtG"/>
        <w:suppressAutoHyphens/>
        <w:spacing w:before="240" w:after="0"/>
        <w:jc w:val="center"/>
        <w:rPr>
          <w:u w:val="single"/>
        </w:rPr>
      </w:pPr>
      <w:r>
        <w:rPr>
          <w:u w:val="single"/>
        </w:rPr>
        <w:tab/>
      </w:r>
      <w:r>
        <w:rPr>
          <w:u w:val="single"/>
        </w:rPr>
        <w:tab/>
      </w:r>
      <w:r>
        <w:rPr>
          <w:u w:val="single"/>
        </w:rPr>
        <w:tab/>
      </w:r>
    </w:p>
    <w:sectPr w:rsidR="000E3B58" w:rsidRPr="000E3B58" w:rsidSect="00CE168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1B262" w14:textId="77777777" w:rsidR="009069B5" w:rsidRPr="00AC76E8" w:rsidRDefault="009069B5" w:rsidP="00AC76E8">
      <w:pPr>
        <w:pStyle w:val="Piedepgina"/>
      </w:pPr>
    </w:p>
  </w:endnote>
  <w:endnote w:type="continuationSeparator" w:id="0">
    <w:p w14:paraId="475AC765" w14:textId="77777777" w:rsidR="009069B5" w:rsidRPr="00AC76E8" w:rsidRDefault="009069B5"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56B0" w14:textId="77777777" w:rsidR="00CE1680" w:rsidRPr="00CE1680" w:rsidRDefault="00CE1680" w:rsidP="00CE1680">
    <w:pPr>
      <w:pStyle w:val="Piedepgina"/>
      <w:tabs>
        <w:tab w:val="right" w:pos="9638"/>
      </w:tabs>
    </w:pPr>
    <w:r w:rsidRPr="00CE1680">
      <w:rPr>
        <w:b/>
        <w:sz w:val="18"/>
      </w:rPr>
      <w:fldChar w:fldCharType="begin"/>
    </w:r>
    <w:r w:rsidRPr="00CE1680">
      <w:rPr>
        <w:b/>
        <w:sz w:val="18"/>
      </w:rPr>
      <w:instrText xml:space="preserve"> PAGE  \* MERGEFORMAT </w:instrText>
    </w:r>
    <w:r w:rsidRPr="00CE1680">
      <w:rPr>
        <w:b/>
        <w:sz w:val="18"/>
      </w:rPr>
      <w:fldChar w:fldCharType="separate"/>
    </w:r>
    <w:r w:rsidRPr="00CE1680">
      <w:rPr>
        <w:b/>
        <w:noProof/>
        <w:sz w:val="18"/>
      </w:rPr>
      <w:t>2</w:t>
    </w:r>
    <w:r w:rsidRPr="00CE1680">
      <w:rPr>
        <w:b/>
        <w:sz w:val="18"/>
      </w:rPr>
      <w:fldChar w:fldCharType="end"/>
    </w:r>
    <w:r>
      <w:rPr>
        <w:b/>
        <w:sz w:val="18"/>
      </w:rPr>
      <w:tab/>
    </w:r>
    <w:r>
      <w:t>GE.20-03139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80A6" w14:textId="77777777" w:rsidR="00CE1680" w:rsidRPr="00CE1680" w:rsidRDefault="00CE1680" w:rsidP="00CE1680">
    <w:pPr>
      <w:pStyle w:val="Piedepgina"/>
      <w:tabs>
        <w:tab w:val="right" w:pos="9638"/>
      </w:tabs>
      <w:rPr>
        <w:b/>
        <w:sz w:val="18"/>
      </w:rPr>
    </w:pPr>
    <w:r>
      <w:t>GE.20-03139</w:t>
    </w:r>
    <w:r>
      <w:tab/>
    </w:r>
    <w:r w:rsidRPr="00CE1680">
      <w:rPr>
        <w:b/>
        <w:sz w:val="18"/>
      </w:rPr>
      <w:fldChar w:fldCharType="begin"/>
    </w:r>
    <w:r w:rsidRPr="00CE1680">
      <w:rPr>
        <w:b/>
        <w:sz w:val="18"/>
      </w:rPr>
      <w:instrText xml:space="preserve"> PAGE  \* MERGEFORMAT </w:instrText>
    </w:r>
    <w:r w:rsidRPr="00CE1680">
      <w:rPr>
        <w:b/>
        <w:sz w:val="18"/>
      </w:rPr>
      <w:fldChar w:fldCharType="separate"/>
    </w:r>
    <w:r w:rsidRPr="00CE1680">
      <w:rPr>
        <w:b/>
        <w:noProof/>
        <w:sz w:val="18"/>
      </w:rPr>
      <w:t>3</w:t>
    </w:r>
    <w:r w:rsidRPr="00CE16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F7DA" w14:textId="77777777" w:rsidR="00666938" w:rsidRPr="00CE1680" w:rsidRDefault="00CE1680" w:rsidP="00CE1680">
    <w:pPr>
      <w:pStyle w:val="Piedepgina"/>
      <w:spacing w:before="120" w:line="240" w:lineRule="auto"/>
      <w:rPr>
        <w:sz w:val="20"/>
      </w:rPr>
    </w:pPr>
    <w:r>
      <w:rPr>
        <w:sz w:val="20"/>
      </w:rPr>
      <w:t>GE.</w:t>
    </w:r>
    <w:r w:rsidR="0095700F">
      <w:rPr>
        <w:noProof/>
      </w:rPr>
      <w:drawing>
        <wp:anchor distT="0" distB="0" distL="114300" distR="114300" simplePos="0" relativeHeight="251660288" behindDoc="0" locked="1" layoutInCell="1" allowOverlap="1" wp14:anchorId="02881291" wp14:editId="393CF1E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20-03139  (S)</w:t>
    </w:r>
    <w:r w:rsidR="00E105E6">
      <w:rPr>
        <w:sz w:val="20"/>
      </w:rPr>
      <w:t xml:space="preserve">    100320    190320</w:t>
    </w:r>
    <w:r>
      <w:rPr>
        <w:sz w:val="20"/>
      </w:rPr>
      <w:br/>
    </w:r>
    <w:r w:rsidRPr="00CE1680">
      <w:rPr>
        <w:rFonts w:ascii="C39T30Lfz" w:hAnsi="C39T30Lfz"/>
        <w:sz w:val="56"/>
      </w:rPr>
      <w:t></w:t>
    </w:r>
    <w:r w:rsidRPr="00CE1680">
      <w:rPr>
        <w:rFonts w:ascii="C39T30Lfz" w:hAnsi="C39T30Lfz"/>
        <w:sz w:val="56"/>
      </w:rPr>
      <w:t></w:t>
    </w:r>
    <w:r w:rsidRPr="00CE1680">
      <w:rPr>
        <w:rFonts w:ascii="C39T30Lfz" w:hAnsi="C39T30Lfz"/>
        <w:sz w:val="56"/>
      </w:rPr>
      <w:t></w:t>
    </w:r>
    <w:r w:rsidRPr="00CE1680">
      <w:rPr>
        <w:rFonts w:ascii="C39T30Lfz" w:hAnsi="C39T30Lfz"/>
        <w:sz w:val="56"/>
      </w:rPr>
      <w:t></w:t>
    </w:r>
    <w:r w:rsidRPr="00CE1680">
      <w:rPr>
        <w:rFonts w:ascii="C39T30Lfz" w:hAnsi="C39T30Lfz"/>
        <w:sz w:val="56"/>
      </w:rPr>
      <w:t></w:t>
    </w:r>
    <w:r w:rsidRPr="00CE1680">
      <w:rPr>
        <w:rFonts w:ascii="C39T30Lfz" w:hAnsi="C39T30Lfz"/>
        <w:sz w:val="56"/>
      </w:rPr>
      <w:t></w:t>
    </w:r>
    <w:r w:rsidRPr="00CE1680">
      <w:rPr>
        <w:rFonts w:ascii="C39T30Lfz" w:hAnsi="C39T30Lfz"/>
        <w:sz w:val="56"/>
      </w:rPr>
      <w:t></w:t>
    </w:r>
    <w:r w:rsidRPr="00CE1680">
      <w:rPr>
        <w:rFonts w:ascii="C39T30Lfz" w:hAnsi="C39T30Lfz"/>
        <w:sz w:val="56"/>
      </w:rPr>
      <w:t></w:t>
    </w:r>
    <w:r w:rsidRPr="00CE1680">
      <w:rPr>
        <w:rFonts w:ascii="C39T30Lfz" w:hAnsi="C39T30Lfz"/>
        <w:sz w:val="56"/>
      </w:rPr>
      <w:t></w:t>
    </w:r>
    <w:r>
      <w:rPr>
        <w:noProof/>
        <w:sz w:val="20"/>
      </w:rPr>
      <w:drawing>
        <wp:anchor distT="0" distB="0" distL="114300" distR="114300" simplePos="0" relativeHeight="251658752" behindDoc="0" locked="0" layoutInCell="1" allowOverlap="1" wp14:anchorId="721A2C93" wp14:editId="712CF092">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HRI/CORE/SSD/202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SSD/202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1604E" w14:textId="77777777" w:rsidR="009069B5" w:rsidRPr="001075E9" w:rsidRDefault="009069B5" w:rsidP="001075E9">
      <w:pPr>
        <w:tabs>
          <w:tab w:val="right" w:pos="2155"/>
        </w:tabs>
        <w:spacing w:after="80" w:line="240" w:lineRule="auto"/>
        <w:ind w:left="680"/>
        <w:rPr>
          <w:u w:val="single"/>
        </w:rPr>
      </w:pPr>
      <w:r>
        <w:rPr>
          <w:u w:val="single"/>
        </w:rPr>
        <w:tab/>
      </w:r>
    </w:p>
  </w:footnote>
  <w:footnote w:type="continuationSeparator" w:id="0">
    <w:p w14:paraId="439E690A" w14:textId="77777777" w:rsidR="009069B5" w:rsidRDefault="009069B5" w:rsidP="00AC76E8">
      <w:pPr>
        <w:tabs>
          <w:tab w:val="right" w:pos="2155"/>
        </w:tabs>
        <w:spacing w:after="80" w:line="240" w:lineRule="auto"/>
        <w:ind w:left="680"/>
        <w:rPr>
          <w:u w:val="single"/>
        </w:rPr>
      </w:pPr>
      <w:r>
        <w:rPr>
          <w:u w:val="single"/>
        </w:rPr>
        <w:tab/>
      </w:r>
    </w:p>
  </w:footnote>
  <w:footnote w:id="1">
    <w:p w14:paraId="641603E7" w14:textId="77777777" w:rsidR="00E105E6" w:rsidRPr="00E105E6" w:rsidRDefault="00E105E6" w:rsidP="00F039B5">
      <w:pPr>
        <w:pStyle w:val="Textonotapie"/>
        <w:rPr>
          <w:sz w:val="20"/>
        </w:rPr>
      </w:pPr>
      <w:r>
        <w:tab/>
      </w:r>
      <w:r w:rsidRPr="00E105E6">
        <w:rPr>
          <w:rStyle w:val="Refdenotaalpie"/>
          <w:sz w:val="20"/>
          <w:vertAlign w:val="baseline"/>
        </w:rPr>
        <w:t>*</w:t>
      </w:r>
      <w:r w:rsidRPr="00E105E6">
        <w:rPr>
          <w:rStyle w:val="Refdenotaalpie"/>
          <w:vertAlign w:val="baseline"/>
        </w:rPr>
        <w:tab/>
      </w:r>
      <w:r w:rsidRPr="00E105E6">
        <w:t>La versión original del presente documento no fue objeto de revisión editorial oficial.</w:t>
      </w:r>
    </w:p>
  </w:footnote>
  <w:footnote w:id="2">
    <w:p w14:paraId="3BA0A04A" w14:textId="77777777" w:rsidR="00E105E6" w:rsidRDefault="00E105E6" w:rsidP="00F039B5">
      <w:pPr>
        <w:pStyle w:val="Textonotapie"/>
      </w:pPr>
      <w:r>
        <w:tab/>
      </w:r>
      <w:r w:rsidRPr="00F039B5">
        <w:rPr>
          <w:rStyle w:val="Refdenotaalpie"/>
        </w:rPr>
        <w:footnoteRef/>
      </w:r>
      <w:r>
        <w:tab/>
      </w:r>
      <w:r w:rsidRPr="0053679A">
        <w:rPr>
          <w:lang w:val="en-US"/>
        </w:rPr>
        <w:t>https://www.google.com/search?q=map+of+south+sudan+and+surrounding+countries &amp;tbm=isch&amp;source=iu&amp;ictx=1&amp;fir=3qy3ymD-.</w:t>
      </w:r>
    </w:p>
  </w:footnote>
  <w:footnote w:id="3">
    <w:p w14:paraId="1C321BE3" w14:textId="77777777" w:rsidR="00A24ECC" w:rsidRPr="0053679A" w:rsidRDefault="00A24ECC" w:rsidP="00F039B5">
      <w:pPr>
        <w:pStyle w:val="Textonotapie"/>
      </w:pPr>
      <w:r w:rsidRPr="0053679A">
        <w:rPr>
          <w:lang w:val="en-US"/>
        </w:rPr>
        <w:tab/>
      </w:r>
      <w:r w:rsidRPr="00F039B5">
        <w:rPr>
          <w:rStyle w:val="Refdenotaalpie"/>
        </w:rPr>
        <w:footnoteRef/>
      </w:r>
      <w:r w:rsidRPr="0053679A">
        <w:tab/>
        <w:t>Perfil demográfico de Sudán del Sur en 2018 (https://www.indexmundi.com/south_sudan/demographics_profile.html).</w:t>
      </w:r>
    </w:p>
  </w:footnote>
  <w:footnote w:id="4">
    <w:p w14:paraId="4964A79C" w14:textId="77777777" w:rsidR="006947E7" w:rsidRPr="0053679A" w:rsidRDefault="006947E7" w:rsidP="00F039B5">
      <w:pPr>
        <w:pStyle w:val="Textonotapie"/>
      </w:pPr>
      <w:r w:rsidRPr="0053679A">
        <w:tab/>
      </w:r>
      <w:r w:rsidRPr="00F039B5">
        <w:rPr>
          <w:rStyle w:val="Refdenotaalpie"/>
        </w:rPr>
        <w:footnoteRef/>
      </w:r>
      <w:r w:rsidRPr="0053679A">
        <w:tab/>
      </w:r>
      <w:r w:rsidRPr="0053679A">
        <w:rPr>
          <w:i/>
          <w:iCs/>
        </w:rPr>
        <w:t>Ibid.</w:t>
      </w:r>
    </w:p>
  </w:footnote>
  <w:footnote w:id="5">
    <w:p w14:paraId="357EE4D6" w14:textId="77777777" w:rsidR="006947E7" w:rsidRPr="0053679A" w:rsidRDefault="006947E7" w:rsidP="00F039B5">
      <w:pPr>
        <w:pStyle w:val="Textonotapie"/>
      </w:pPr>
      <w:r w:rsidRPr="0053679A">
        <w:tab/>
      </w:r>
      <w:r w:rsidRPr="00F039B5">
        <w:rPr>
          <w:rStyle w:val="Refdenotaalpie"/>
        </w:rPr>
        <w:footnoteRef/>
      </w:r>
      <w:r w:rsidRPr="0053679A">
        <w:tab/>
      </w:r>
      <w:r w:rsidRPr="0053679A">
        <w:rPr>
          <w:i/>
          <w:iCs/>
        </w:rPr>
        <w:t>Ibid.</w:t>
      </w:r>
    </w:p>
  </w:footnote>
  <w:footnote w:id="6">
    <w:p w14:paraId="601DC56D" w14:textId="77777777" w:rsidR="006947E7" w:rsidRPr="0053679A" w:rsidRDefault="006947E7" w:rsidP="00F039B5">
      <w:pPr>
        <w:pStyle w:val="Textonotapie"/>
      </w:pPr>
      <w:r w:rsidRPr="0053679A">
        <w:tab/>
      </w:r>
      <w:r w:rsidRPr="00F039B5">
        <w:rPr>
          <w:rStyle w:val="Refdenotaalpie"/>
        </w:rPr>
        <w:footnoteRef/>
      </w:r>
      <w:r w:rsidRPr="0053679A">
        <w:tab/>
        <w:t>Encuesta sobre la salud de los hogares en Sudán del Sur de 2010.</w:t>
      </w:r>
    </w:p>
  </w:footnote>
  <w:footnote w:id="7">
    <w:p w14:paraId="712BBEB6" w14:textId="77777777" w:rsidR="00A24ECC" w:rsidRPr="0053679A" w:rsidRDefault="00A24ECC" w:rsidP="00F039B5">
      <w:pPr>
        <w:pStyle w:val="Textonotapie"/>
      </w:pPr>
      <w:r w:rsidRPr="0053679A">
        <w:tab/>
      </w:r>
      <w:r w:rsidRPr="00F039B5">
        <w:rPr>
          <w:rStyle w:val="Refdenotaalpie"/>
        </w:rPr>
        <w:footnoteRef/>
      </w:r>
      <w:r w:rsidRPr="0053679A">
        <w:tab/>
        <w:t>Artículo 5 de la Constitución de Transición de Sudán del Sur (2011).</w:t>
      </w:r>
    </w:p>
  </w:footnote>
  <w:footnote w:id="8">
    <w:p w14:paraId="36403D56" w14:textId="77777777" w:rsidR="00A24ECC" w:rsidRPr="0053679A" w:rsidRDefault="00A24ECC" w:rsidP="00F039B5">
      <w:pPr>
        <w:pStyle w:val="Textonotapie"/>
      </w:pPr>
      <w:r w:rsidRPr="0053679A">
        <w:tab/>
      </w:r>
      <w:r w:rsidRPr="00F039B5">
        <w:rPr>
          <w:rStyle w:val="Refdenotaalpie"/>
        </w:rPr>
        <w:footnoteRef/>
      </w:r>
      <w:r w:rsidRPr="0053679A">
        <w:rPr>
          <w:lang w:val="en-US"/>
        </w:rPr>
        <w:tab/>
      </w:r>
      <w:r w:rsidRPr="0053679A">
        <w:rPr>
          <w:i/>
          <w:iCs/>
          <w:lang w:val="en-US"/>
        </w:rPr>
        <w:t>Sudan Tribune, Plural News and Views on Sudan</w:t>
      </w:r>
      <w:r w:rsidRPr="009A61E5">
        <w:rPr>
          <w:iCs/>
          <w:lang w:val="en-US"/>
        </w:rPr>
        <w:t>,</w:t>
      </w:r>
      <w:r w:rsidRPr="009A61E5">
        <w:rPr>
          <w:lang w:val="en-US"/>
        </w:rPr>
        <w:t xml:space="preserve"> </w:t>
      </w:r>
      <w:r w:rsidR="00837D87">
        <w:rPr>
          <w:lang w:val="en-US"/>
        </w:rPr>
        <w:t>“</w:t>
      </w:r>
      <w:r w:rsidRPr="0053679A">
        <w:rPr>
          <w:lang w:val="en-US"/>
        </w:rPr>
        <w:t xml:space="preserve">National Elections Commission (NEC) </w:t>
      </w:r>
      <w:r w:rsidR="009A61E5">
        <w:rPr>
          <w:lang w:val="en-US"/>
        </w:rPr>
        <w:t>–</w:t>
      </w:r>
      <w:r w:rsidRPr="0053679A">
        <w:rPr>
          <w:lang w:val="en-US"/>
        </w:rPr>
        <w:t xml:space="preserve"> South Sudan</w:t>
      </w:r>
      <w:r w:rsidR="00837D87">
        <w:rPr>
          <w:lang w:val="en-US"/>
        </w:rPr>
        <w:t>”</w:t>
      </w:r>
      <w:r w:rsidRPr="0053679A">
        <w:rPr>
          <w:lang w:val="en-US"/>
        </w:rPr>
        <w:t xml:space="preserve"> (http://www.sudantribune.com/spip.php?mot1053).</w:t>
      </w:r>
    </w:p>
  </w:footnote>
  <w:footnote w:id="9">
    <w:p w14:paraId="597DD166" w14:textId="77777777" w:rsidR="00A24ECC" w:rsidRPr="0053679A" w:rsidRDefault="00A24ECC" w:rsidP="00F039B5">
      <w:pPr>
        <w:pStyle w:val="Textonotapie"/>
      </w:pPr>
      <w:r w:rsidRPr="0053679A">
        <w:rPr>
          <w:lang w:val="en-US"/>
        </w:rPr>
        <w:tab/>
      </w:r>
      <w:r w:rsidRPr="00F039B5">
        <w:rPr>
          <w:rStyle w:val="Refdenotaalpie"/>
        </w:rPr>
        <w:footnoteRef/>
      </w:r>
      <w:r w:rsidRPr="0053679A">
        <w:tab/>
        <w:t>Artículo 145 de la Constitución de Transición de la República de Sudán del Sur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F3AE" w14:textId="09537186" w:rsidR="00CE1680" w:rsidRPr="00CE1680" w:rsidRDefault="007D34CA">
    <w:pPr>
      <w:pStyle w:val="Encabezado"/>
    </w:pPr>
    <w:r>
      <w:fldChar w:fldCharType="begin"/>
    </w:r>
    <w:r>
      <w:instrText xml:space="preserve"> TITLE  \* MERGEFORMAT </w:instrText>
    </w:r>
    <w:r>
      <w:fldChar w:fldCharType="separate"/>
    </w:r>
    <w:proofErr w:type="spellStart"/>
    <w:r w:rsidR="006654E6">
      <w:t>HRI</w:t>
    </w:r>
    <w:proofErr w:type="spellEnd"/>
    <w:r w:rsidR="006654E6">
      <w:t>/CORE/</w:t>
    </w:r>
    <w:proofErr w:type="spellStart"/>
    <w:r w:rsidR="006654E6">
      <w:t>SSD</w:t>
    </w:r>
    <w:proofErr w:type="spellEnd"/>
    <w:r w:rsidR="006654E6">
      <w:t>/2020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09AE5" w14:textId="0FB3302C" w:rsidR="00CE1680" w:rsidRPr="00CE1680" w:rsidRDefault="007D34CA" w:rsidP="00CE1680">
    <w:pPr>
      <w:pStyle w:val="Encabezado"/>
      <w:jc w:val="right"/>
    </w:pPr>
    <w:r>
      <w:fldChar w:fldCharType="begin"/>
    </w:r>
    <w:r>
      <w:instrText xml:space="preserve"> TITLE  \* MERGEFORMAT </w:instrText>
    </w:r>
    <w:r>
      <w:fldChar w:fldCharType="separate"/>
    </w:r>
    <w:proofErr w:type="spellStart"/>
    <w:r w:rsidR="006654E6">
      <w:t>HRI</w:t>
    </w:r>
    <w:proofErr w:type="spellEnd"/>
    <w:r w:rsidR="006654E6">
      <w:t>/CORE/</w:t>
    </w:r>
    <w:proofErr w:type="spellStart"/>
    <w:r w:rsidR="006654E6">
      <w:t>SSD</w:t>
    </w:r>
    <w:proofErr w:type="spellEnd"/>
    <w:r w:rsidR="006654E6">
      <w:t>/2020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69B5"/>
    <w:rsid w:val="0001664A"/>
    <w:rsid w:val="00033EE1"/>
    <w:rsid w:val="000B57E7"/>
    <w:rsid w:val="000E3B58"/>
    <w:rsid w:val="000F09DF"/>
    <w:rsid w:val="000F61B2"/>
    <w:rsid w:val="001075E9"/>
    <w:rsid w:val="001256EA"/>
    <w:rsid w:val="001560AB"/>
    <w:rsid w:val="001611AC"/>
    <w:rsid w:val="0017589D"/>
    <w:rsid w:val="00180183"/>
    <w:rsid w:val="00181AFB"/>
    <w:rsid w:val="0018649F"/>
    <w:rsid w:val="00196389"/>
    <w:rsid w:val="001C7A89"/>
    <w:rsid w:val="001E226F"/>
    <w:rsid w:val="001E5901"/>
    <w:rsid w:val="00244FF5"/>
    <w:rsid w:val="002A2EFC"/>
    <w:rsid w:val="002B0F41"/>
    <w:rsid w:val="002C0E18"/>
    <w:rsid w:val="002D5AAC"/>
    <w:rsid w:val="00301299"/>
    <w:rsid w:val="00302D2B"/>
    <w:rsid w:val="00322004"/>
    <w:rsid w:val="003402C2"/>
    <w:rsid w:val="0034282A"/>
    <w:rsid w:val="0036600C"/>
    <w:rsid w:val="00381C24"/>
    <w:rsid w:val="003958D0"/>
    <w:rsid w:val="003B00E5"/>
    <w:rsid w:val="00414A16"/>
    <w:rsid w:val="00427F10"/>
    <w:rsid w:val="00454E07"/>
    <w:rsid w:val="00465412"/>
    <w:rsid w:val="004705A5"/>
    <w:rsid w:val="004937C2"/>
    <w:rsid w:val="004C662A"/>
    <w:rsid w:val="004D3D0B"/>
    <w:rsid w:val="004D45DB"/>
    <w:rsid w:val="0050108D"/>
    <w:rsid w:val="00501F38"/>
    <w:rsid w:val="00515B0A"/>
    <w:rsid w:val="005332CE"/>
    <w:rsid w:val="00557AA7"/>
    <w:rsid w:val="00572E19"/>
    <w:rsid w:val="005A1AA8"/>
    <w:rsid w:val="005C43E4"/>
    <w:rsid w:val="005F0B42"/>
    <w:rsid w:val="00604DB7"/>
    <w:rsid w:val="006654E6"/>
    <w:rsid w:val="00666938"/>
    <w:rsid w:val="006947E7"/>
    <w:rsid w:val="006C1EF8"/>
    <w:rsid w:val="006E69AB"/>
    <w:rsid w:val="006F35EE"/>
    <w:rsid w:val="007021FF"/>
    <w:rsid w:val="007358B2"/>
    <w:rsid w:val="00757357"/>
    <w:rsid w:val="00764249"/>
    <w:rsid w:val="007752FD"/>
    <w:rsid w:val="007857CD"/>
    <w:rsid w:val="007972A8"/>
    <w:rsid w:val="007D34CA"/>
    <w:rsid w:val="0082699E"/>
    <w:rsid w:val="00834B71"/>
    <w:rsid w:val="00837D87"/>
    <w:rsid w:val="008504FF"/>
    <w:rsid w:val="00853903"/>
    <w:rsid w:val="0086445C"/>
    <w:rsid w:val="008A08D7"/>
    <w:rsid w:val="008C1073"/>
    <w:rsid w:val="00901CD5"/>
    <w:rsid w:val="00906890"/>
    <w:rsid w:val="009069B5"/>
    <w:rsid w:val="00932CF7"/>
    <w:rsid w:val="00951972"/>
    <w:rsid w:val="0095700F"/>
    <w:rsid w:val="0096216B"/>
    <w:rsid w:val="00995A3D"/>
    <w:rsid w:val="00996BF2"/>
    <w:rsid w:val="009A61E5"/>
    <w:rsid w:val="009D3493"/>
    <w:rsid w:val="00A24ECC"/>
    <w:rsid w:val="00A917B3"/>
    <w:rsid w:val="00AB4B51"/>
    <w:rsid w:val="00AC76E8"/>
    <w:rsid w:val="00B10CC7"/>
    <w:rsid w:val="00B31513"/>
    <w:rsid w:val="00B43F85"/>
    <w:rsid w:val="00B460DE"/>
    <w:rsid w:val="00B62458"/>
    <w:rsid w:val="00BA56B6"/>
    <w:rsid w:val="00BB6203"/>
    <w:rsid w:val="00BD33EE"/>
    <w:rsid w:val="00C057D5"/>
    <w:rsid w:val="00C57E42"/>
    <w:rsid w:val="00C60F0C"/>
    <w:rsid w:val="00C805C9"/>
    <w:rsid w:val="00CA1679"/>
    <w:rsid w:val="00CE1680"/>
    <w:rsid w:val="00D05606"/>
    <w:rsid w:val="00D10BF4"/>
    <w:rsid w:val="00D33D63"/>
    <w:rsid w:val="00D4001E"/>
    <w:rsid w:val="00D90138"/>
    <w:rsid w:val="00DB6076"/>
    <w:rsid w:val="00DC036C"/>
    <w:rsid w:val="00E105E6"/>
    <w:rsid w:val="00E17493"/>
    <w:rsid w:val="00E2391B"/>
    <w:rsid w:val="00E60314"/>
    <w:rsid w:val="00E73F76"/>
    <w:rsid w:val="00EC2B77"/>
    <w:rsid w:val="00EE7F65"/>
    <w:rsid w:val="00EF1360"/>
    <w:rsid w:val="00EF3220"/>
    <w:rsid w:val="00F039B5"/>
    <w:rsid w:val="00F2520F"/>
    <w:rsid w:val="00F33F98"/>
    <w:rsid w:val="00F80811"/>
    <w:rsid w:val="00F94155"/>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6BAA0D"/>
  <w15:docId w15:val="{3C4ABB4F-90A9-479A-8790-81862AA8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2CE"/>
    <w:pPr>
      <w:spacing w:line="240" w:lineRule="atLeast"/>
    </w:pPr>
    <w:rPr>
      <w:lang w:val="es-ES" w:eastAsia="es-ES"/>
    </w:rPr>
  </w:style>
  <w:style w:type="paragraph" w:styleId="Ttulo1">
    <w:name w:val="heading 1"/>
    <w:aliases w:val="Table_G"/>
    <w:basedOn w:val="SingleTxtG"/>
    <w:next w:val="SingleTxtG"/>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rsid w:val="00F2520F"/>
    <w:pPr>
      <w:tabs>
        <w:tab w:val="right" w:pos="1021"/>
      </w:tabs>
      <w:spacing w:line="220" w:lineRule="exact"/>
      <w:ind w:left="1134" w:right="1134" w:hanging="1134"/>
    </w:pPr>
    <w:rPr>
      <w:sz w:val="18"/>
    </w:rPr>
  </w:style>
  <w:style w:type="table" w:styleId="Tablaconcuadrcula">
    <w:name w:val="Table Grid"/>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F2520F"/>
    <w:pPr>
      <w:numPr>
        <w:numId w:val="3"/>
      </w:numPr>
    </w:pPr>
  </w:style>
  <w:style w:type="numbering" w:styleId="1ai">
    <w:name w:val="Outline List 1"/>
    <w:basedOn w:val="Sinlista"/>
    <w:semiHidden/>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semiHidden/>
    <w:rsid w:val="00F2520F"/>
    <w:pPr>
      <w:numPr>
        <w:numId w:val="5"/>
      </w:numPr>
    </w:pPr>
  </w:style>
  <w:style w:type="paragraph" w:styleId="Cierre">
    <w:name w:val="Closing"/>
    <w:basedOn w:val="Normal"/>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2520F"/>
  </w:style>
  <w:style w:type="character" w:styleId="nfasis">
    <w:name w:val="Emphasis"/>
    <w:basedOn w:val="Fuentedeprrafopredeter"/>
    <w:semiHidden/>
    <w:rsid w:val="00F2520F"/>
    <w:rPr>
      <w:i/>
      <w:iCs/>
    </w:rPr>
  </w:style>
  <w:style w:type="paragraph" w:styleId="Fecha">
    <w:name w:val="Date"/>
    <w:basedOn w:val="Normal"/>
    <w:next w:val="Normal"/>
    <w:semiHidden/>
    <w:rsid w:val="00F2520F"/>
  </w:style>
  <w:style w:type="paragraph" w:styleId="Firma">
    <w:name w:val="Signature"/>
    <w:basedOn w:val="Normal"/>
    <w:semiHidden/>
    <w:rsid w:val="00F2520F"/>
    <w:pPr>
      <w:ind w:left="4252"/>
    </w:pPr>
  </w:style>
  <w:style w:type="paragraph" w:styleId="Firmadecorreoelectrnico">
    <w:name w:val="E-mail Signature"/>
    <w:basedOn w:val="Normal"/>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rsid w:val="00F2520F"/>
    <w:rPr>
      <w:b/>
      <w:sz w:val="18"/>
    </w:rPr>
  </w:style>
  <w:style w:type="character" w:styleId="Refdenotaalfinal">
    <w:name w:val="endnote reference"/>
    <w:aliases w:val="1_G"/>
    <w:basedOn w:val="Refdenotaalpie"/>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semiHidden/>
    <w:rsid w:val="00F2520F"/>
  </w:style>
  <w:style w:type="paragraph" w:styleId="Sangra2detindependiente">
    <w:name w:val="Body Text Indent 2"/>
    <w:basedOn w:val="Normal"/>
    <w:semiHidden/>
    <w:rsid w:val="00F2520F"/>
    <w:pPr>
      <w:spacing w:after="120" w:line="480" w:lineRule="auto"/>
      <w:ind w:left="283"/>
    </w:pPr>
  </w:style>
  <w:style w:type="paragraph" w:styleId="Sangra3detindependiente">
    <w:name w:val="Body Text Indent 3"/>
    <w:basedOn w:val="Normal"/>
    <w:semiHidden/>
    <w:rsid w:val="00F2520F"/>
    <w:pPr>
      <w:spacing w:after="120"/>
      <w:ind w:left="283"/>
    </w:pPr>
    <w:rPr>
      <w:sz w:val="16"/>
      <w:szCs w:val="16"/>
    </w:rPr>
  </w:style>
  <w:style w:type="paragraph" w:styleId="Sangradetextonormal">
    <w:name w:val="Body Text Indent"/>
    <w:basedOn w:val="Normal"/>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semiHidden/>
    <w:rsid w:val="00F2520F"/>
    <w:pPr>
      <w:spacing w:after="60"/>
      <w:jc w:val="center"/>
      <w:outlineLvl w:val="1"/>
    </w:pPr>
    <w:rPr>
      <w:rFonts w:ascii="Arial" w:hAnsi="Arial" w:cs="Arial"/>
      <w:sz w:val="24"/>
      <w:szCs w:val="24"/>
    </w:rPr>
  </w:style>
  <w:style w:type="table" w:styleId="Tablabsica1">
    <w:name w:val="Table Simple 1"/>
    <w:basedOn w:val="Tabla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semiHidden/>
    <w:rsid w:val="00F2520F"/>
    <w:pPr>
      <w:spacing w:after="120"/>
    </w:pPr>
  </w:style>
  <w:style w:type="paragraph" w:styleId="Textoindependiente2">
    <w:name w:val="Body Text 2"/>
    <w:basedOn w:val="Normal"/>
    <w:semiHidden/>
    <w:rsid w:val="00F2520F"/>
    <w:pPr>
      <w:spacing w:after="120" w:line="480" w:lineRule="auto"/>
    </w:pPr>
  </w:style>
  <w:style w:type="paragraph" w:styleId="Textoindependiente3">
    <w:name w:val="Body Text 3"/>
    <w:basedOn w:val="Normal"/>
    <w:semiHidden/>
    <w:rsid w:val="00F2520F"/>
    <w:pPr>
      <w:spacing w:after="120"/>
    </w:pPr>
    <w:rPr>
      <w:sz w:val="16"/>
      <w:szCs w:val="16"/>
    </w:rPr>
  </w:style>
  <w:style w:type="paragraph" w:styleId="Textoindependienteprimerasangra">
    <w:name w:val="Body Text First Indent"/>
    <w:basedOn w:val="Textoindependiente"/>
    <w:semiHidden/>
    <w:rsid w:val="00F2520F"/>
    <w:pPr>
      <w:ind w:firstLine="210"/>
    </w:pPr>
  </w:style>
  <w:style w:type="paragraph" w:styleId="Textoindependienteprimerasangra2">
    <w:name w:val="Body Text First Indent 2"/>
    <w:basedOn w:val="Sangradetextonormal"/>
    <w:semiHidden/>
    <w:rsid w:val="00F2520F"/>
    <w:pPr>
      <w:ind w:firstLine="210"/>
    </w:pPr>
  </w:style>
  <w:style w:type="paragraph" w:styleId="Textonotaalfinal">
    <w:name w:val="endnote text"/>
    <w:aliases w:val="2_G"/>
    <w:basedOn w:val="Textonotapie"/>
    <w:rsid w:val="00F2520F"/>
  </w:style>
  <w:style w:type="paragraph" w:styleId="Textosinformato">
    <w:name w:val="Plain Text"/>
    <w:basedOn w:val="Normal"/>
    <w:semiHidden/>
    <w:rsid w:val="00F2520F"/>
    <w:rPr>
      <w:rFonts w:ascii="Courier New" w:hAnsi="Courier New" w:cs="Courier New"/>
    </w:rPr>
  </w:style>
  <w:style w:type="paragraph" w:styleId="Ttulo">
    <w:name w:val="Title"/>
    <w:basedOn w:val="Normal"/>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9</Pages>
  <Words>3124</Words>
  <Characters>17186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HRI/CORE/SSD/2020</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HRI/CORE/SSD/2020</dc:title>
  <dc:subject/>
  <dc:creator>Luz Maria URQUIZU MARROQUIN</dc:creator>
  <cp:keywords/>
  <cp:lastModifiedBy>Maria Luisa Zeballos Moreno</cp:lastModifiedBy>
  <cp:revision>3</cp:revision>
  <cp:lastPrinted>2020-03-19T09:56:00Z</cp:lastPrinted>
  <dcterms:created xsi:type="dcterms:W3CDTF">2020-03-19T09:56:00Z</dcterms:created>
  <dcterms:modified xsi:type="dcterms:W3CDTF">2020-03-19T09:56:00Z</dcterms:modified>
</cp:coreProperties>
</file>