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w:t>
            </w:r>
            <w:r w:rsidR="00907D8C">
              <w:rPr>
                <w:sz w:val="28"/>
                <w:szCs w:val="28"/>
              </w:rPr>
              <w:t xml:space="preserve"> </w:t>
            </w:r>
            <w:r>
              <w:rPr>
                <w:sz w:val="28"/>
                <w:szCs w:val="28"/>
              </w:rPr>
              <w:t>Nations</w:t>
            </w:r>
          </w:p>
        </w:tc>
        <w:tc>
          <w:tcPr>
            <w:tcW w:w="6232" w:type="dxa"/>
            <w:gridSpan w:val="2"/>
            <w:tcBorders>
              <w:top w:val="nil"/>
              <w:left w:val="nil"/>
              <w:bottom w:val="single" w:sz="4" w:space="0" w:color="auto"/>
              <w:right w:val="nil"/>
            </w:tcBorders>
            <w:vAlign w:val="bottom"/>
          </w:tcPr>
          <w:p w:rsidR="00446DE4" w:rsidRPr="00E53566" w:rsidRDefault="006703B8" w:rsidP="006703B8">
            <w:pPr>
              <w:suppressAutoHyphens w:val="0"/>
              <w:spacing w:after="20"/>
              <w:jc w:val="right"/>
            </w:pPr>
            <w:r w:rsidRPr="006703B8">
              <w:rPr>
                <w:sz w:val="40"/>
              </w:rPr>
              <w:t>HRI</w:t>
            </w:r>
            <w:r>
              <w:t>/CORE/NZL/2010</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907D8C">
              <w:rPr>
                <w:rFonts w:ascii="Times New Roman Bold" w:hAnsi="Times New Roman Bold"/>
                <w:b/>
                <w:sz w:val="34"/>
                <w:szCs w:val="40"/>
              </w:rPr>
              <w:t xml:space="preserve"> </w:t>
            </w:r>
            <w:r w:rsidRPr="001C2E97">
              <w:rPr>
                <w:rFonts w:ascii="Times New Roman Bold" w:hAnsi="Times New Roman Bold"/>
                <w:b/>
                <w:sz w:val="34"/>
                <w:szCs w:val="40"/>
              </w:rPr>
              <w:t>Human</w:t>
            </w:r>
            <w:r w:rsidR="00907D8C">
              <w:rPr>
                <w:rFonts w:ascii="Times New Roman Bold" w:hAnsi="Times New Roman Bold"/>
                <w:b/>
                <w:sz w:val="34"/>
                <w:szCs w:val="40"/>
              </w:rPr>
              <w:t xml:space="preserve"> </w:t>
            </w:r>
            <w:r w:rsidRPr="001C2E97">
              <w:rPr>
                <w:rFonts w:ascii="Times New Roman Bold" w:hAnsi="Times New Roman Bold"/>
                <w:b/>
                <w:sz w:val="34"/>
                <w:szCs w:val="40"/>
              </w:rPr>
              <w:t>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6703B8" w:rsidRDefault="006703B8" w:rsidP="006703B8">
            <w:pPr>
              <w:suppressAutoHyphens w:val="0"/>
              <w:spacing w:before="240" w:line="240" w:lineRule="exact"/>
            </w:pPr>
            <w:r>
              <w:t>Distr.:</w:t>
            </w:r>
            <w:r w:rsidR="00907D8C">
              <w:t xml:space="preserve"> </w:t>
            </w:r>
            <w:r>
              <w:t>General</w:t>
            </w:r>
          </w:p>
          <w:p w:rsidR="006703B8" w:rsidRDefault="006703B8" w:rsidP="006703B8">
            <w:pPr>
              <w:suppressAutoHyphens w:val="0"/>
            </w:pPr>
            <w:r>
              <w:t>11</w:t>
            </w:r>
            <w:r w:rsidR="00907D8C">
              <w:t xml:space="preserve"> </w:t>
            </w:r>
            <w:r>
              <w:t>March</w:t>
            </w:r>
            <w:r w:rsidR="00907D8C">
              <w:t xml:space="preserve"> </w:t>
            </w:r>
            <w:r>
              <w:t>2011</w:t>
            </w:r>
          </w:p>
          <w:p w:rsidR="006703B8" w:rsidRDefault="006703B8" w:rsidP="006703B8">
            <w:pPr>
              <w:suppressAutoHyphens w:val="0"/>
            </w:pPr>
          </w:p>
          <w:p w:rsidR="003107FA" w:rsidRDefault="006703B8" w:rsidP="006703B8">
            <w:pPr>
              <w:suppressAutoHyphens w:val="0"/>
            </w:pPr>
            <w:r>
              <w:t>Original:</w:t>
            </w:r>
            <w:r w:rsidR="00907D8C">
              <w:t xml:space="preserve"> </w:t>
            </w:r>
            <w:r>
              <w:t>English</w:t>
            </w:r>
          </w:p>
        </w:tc>
      </w:tr>
    </w:tbl>
    <w:p w:rsidR="006703B8" w:rsidRDefault="006703B8" w:rsidP="006703B8">
      <w:pPr>
        <w:pStyle w:val="HMG"/>
      </w:pPr>
      <w:r>
        <w:tab/>
      </w:r>
      <w:r>
        <w:tab/>
        <w:t>Core</w:t>
      </w:r>
      <w:r w:rsidR="00907D8C">
        <w:t xml:space="preserve"> </w:t>
      </w:r>
      <w:r>
        <w:t>document</w:t>
      </w:r>
      <w:r w:rsidR="00907D8C">
        <w:t xml:space="preserve"> </w:t>
      </w:r>
      <w:r>
        <w:t>forming</w:t>
      </w:r>
      <w:r w:rsidR="00907D8C">
        <w:t xml:space="preserve"> </w:t>
      </w:r>
      <w:r>
        <w:t>part</w:t>
      </w:r>
      <w:r w:rsidR="00907D8C">
        <w:t xml:space="preserve"> </w:t>
      </w:r>
      <w:r>
        <w:t>of</w:t>
      </w:r>
      <w:r w:rsidR="00907D8C">
        <w:t xml:space="preserve"> </w:t>
      </w:r>
      <w:r>
        <w:t>the</w:t>
      </w:r>
      <w:r w:rsidR="00907D8C">
        <w:t xml:space="preserve"> </w:t>
      </w:r>
      <w:r>
        <w:t>reports</w:t>
      </w:r>
      <w:r w:rsidR="00907D8C">
        <w:t xml:space="preserve"> </w:t>
      </w:r>
      <w:r>
        <w:t>of</w:t>
      </w:r>
      <w:r w:rsidR="00907D8C">
        <w:t xml:space="preserve"> </w:t>
      </w:r>
      <w:r>
        <w:t>States</w:t>
      </w:r>
      <w:r w:rsidR="00907D8C">
        <w:t xml:space="preserve"> </w:t>
      </w:r>
      <w:r>
        <w:t>parties</w:t>
      </w:r>
    </w:p>
    <w:p w:rsidR="006703B8" w:rsidRDefault="006703B8" w:rsidP="006703B8">
      <w:pPr>
        <w:pStyle w:val="HMG"/>
      </w:pPr>
      <w:r>
        <w:tab/>
      </w:r>
      <w:r>
        <w:tab/>
        <w:t>New</w:t>
      </w:r>
      <w:r w:rsidR="00907D8C">
        <w:t xml:space="preserve"> </w:t>
      </w:r>
      <w:r>
        <w:t>Zealand</w:t>
      </w:r>
      <w:r w:rsidRPr="006703B8">
        <w:rPr>
          <w:rStyle w:val="FootnoteReference"/>
          <w:b w:val="0"/>
          <w:sz w:val="20"/>
          <w:vertAlign w:val="baseline"/>
        </w:rPr>
        <w:footnoteReference w:customMarkFollows="1" w:id="2"/>
        <w:t>*</w:t>
      </w:r>
    </w:p>
    <w:p w:rsidR="003972E0" w:rsidRDefault="006703B8" w:rsidP="00115973">
      <w:pPr>
        <w:pStyle w:val="SingleTxtG"/>
        <w:jc w:val="right"/>
      </w:pPr>
      <w:r>
        <w:t>[30</w:t>
      </w:r>
      <w:r w:rsidR="00907D8C">
        <w:t xml:space="preserve"> </w:t>
      </w:r>
      <w:r>
        <w:t>September</w:t>
      </w:r>
      <w:r w:rsidR="00907D8C">
        <w:t xml:space="preserve"> </w:t>
      </w:r>
      <w:r>
        <w:t>2010]</w:t>
      </w:r>
    </w:p>
    <w:p w:rsidR="006703B8" w:rsidRDefault="006703B8" w:rsidP="006703B8">
      <w:pPr>
        <w:spacing w:after="120"/>
        <w:rPr>
          <w:sz w:val="28"/>
        </w:rPr>
      </w:pPr>
      <w:r>
        <w:br w:type="page"/>
      </w:r>
      <w:r>
        <w:rPr>
          <w:sz w:val="28"/>
        </w:rPr>
        <w:t>Contents</w:t>
      </w:r>
    </w:p>
    <w:p w:rsidR="006703B8" w:rsidRDefault="006703B8" w:rsidP="006703B8">
      <w:pPr>
        <w:tabs>
          <w:tab w:val="right" w:pos="8929"/>
          <w:tab w:val="right" w:pos="9638"/>
        </w:tabs>
        <w:spacing w:after="120"/>
        <w:ind w:left="283"/>
      </w:pPr>
      <w:r>
        <w:rPr>
          <w:i/>
          <w:sz w:val="18"/>
        </w:rPr>
        <w:tab/>
        <w:t>Paragraphs</w:t>
      </w:r>
      <w:r>
        <w:rPr>
          <w:i/>
          <w:sz w:val="18"/>
        </w:rPr>
        <w:tab/>
        <w:t>Page</w:t>
      </w:r>
    </w:p>
    <w:p w:rsidR="006703B8" w:rsidRDefault="006703B8" w:rsidP="006703B8">
      <w:pPr>
        <w:tabs>
          <w:tab w:val="right" w:pos="850"/>
          <w:tab w:val="left" w:pos="1134"/>
          <w:tab w:val="left" w:pos="1559"/>
          <w:tab w:val="left" w:pos="1984"/>
          <w:tab w:val="left" w:leader="dot" w:pos="7654"/>
          <w:tab w:val="right" w:pos="8929"/>
          <w:tab w:val="right" w:pos="9638"/>
        </w:tabs>
        <w:spacing w:after="120"/>
      </w:pPr>
      <w:r>
        <w:tab/>
        <w:t>I.</w:t>
      </w:r>
      <w:r>
        <w:tab/>
        <w:t>General</w:t>
      </w:r>
      <w:r w:rsidR="00907D8C">
        <w:t xml:space="preserve"> </w:t>
      </w:r>
      <w:r>
        <w:t>factual</w:t>
      </w:r>
      <w:r w:rsidR="00907D8C">
        <w:t xml:space="preserve"> </w:t>
      </w:r>
      <w:r>
        <w:t>and</w:t>
      </w:r>
      <w:r w:rsidR="00907D8C">
        <w:t xml:space="preserve"> </w:t>
      </w:r>
      <w:r>
        <w:t>statistical</w:t>
      </w:r>
      <w:r w:rsidR="00907D8C">
        <w:t xml:space="preserve"> </w:t>
      </w:r>
      <w:r>
        <w:t>information</w:t>
      </w:r>
      <w:r>
        <w:tab/>
      </w:r>
      <w:r>
        <w:tab/>
        <w:t>1–171</w:t>
      </w:r>
      <w:r>
        <w:tab/>
      </w:r>
      <w:r w:rsidR="00282EA1">
        <w:t>5</w:t>
      </w:r>
    </w:p>
    <w:p w:rsidR="006703B8" w:rsidRDefault="006703B8" w:rsidP="006703B8">
      <w:pPr>
        <w:tabs>
          <w:tab w:val="right" w:pos="850"/>
          <w:tab w:val="left" w:pos="1134"/>
          <w:tab w:val="left" w:pos="1559"/>
          <w:tab w:val="left" w:pos="1984"/>
          <w:tab w:val="left" w:leader="dot" w:pos="7654"/>
          <w:tab w:val="right" w:pos="8929"/>
          <w:tab w:val="right" w:pos="9638"/>
        </w:tabs>
        <w:spacing w:after="120"/>
      </w:pPr>
      <w:r>
        <w:tab/>
      </w:r>
      <w:r>
        <w:tab/>
        <w:t>A.</w:t>
      </w:r>
      <w:r>
        <w:tab/>
        <w:t>Demographic,</w:t>
      </w:r>
      <w:r w:rsidR="00907D8C">
        <w:t xml:space="preserve"> </w:t>
      </w:r>
      <w:r>
        <w:t>economic,</w:t>
      </w:r>
      <w:r w:rsidR="00907D8C">
        <w:t xml:space="preserve"> </w:t>
      </w:r>
      <w:r>
        <w:t>social</w:t>
      </w:r>
      <w:r w:rsidR="00907D8C">
        <w:t xml:space="preserve"> </w:t>
      </w:r>
      <w:r>
        <w:t>and</w:t>
      </w:r>
      <w:r w:rsidR="00907D8C">
        <w:t xml:space="preserve"> </w:t>
      </w:r>
      <w:r>
        <w:t>cultural</w:t>
      </w:r>
      <w:r w:rsidR="00907D8C">
        <w:t xml:space="preserve"> </w:t>
      </w:r>
      <w:r>
        <w:t>characteristics</w:t>
      </w:r>
      <w:r>
        <w:tab/>
      </w:r>
      <w:r>
        <w:tab/>
        <w:t>1–139</w:t>
      </w:r>
      <w:r>
        <w:tab/>
      </w:r>
      <w:r w:rsidR="00282EA1">
        <w:t>5</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B.</w:t>
      </w:r>
      <w:r w:rsidRPr="006703B8">
        <w:tab/>
        <w:t>Constitutional,</w:t>
      </w:r>
      <w:r w:rsidR="00907D8C">
        <w:t xml:space="preserve"> </w:t>
      </w:r>
      <w:r w:rsidRPr="006703B8">
        <w:t>political</w:t>
      </w:r>
      <w:r w:rsidR="00907D8C">
        <w:t xml:space="preserve"> </w:t>
      </w:r>
      <w:r w:rsidRPr="006703B8">
        <w:t>and</w:t>
      </w:r>
      <w:r w:rsidR="00907D8C">
        <w:t xml:space="preserve"> </w:t>
      </w:r>
      <w:r w:rsidRPr="006703B8">
        <w:t>legal</w:t>
      </w:r>
      <w:r w:rsidR="00907D8C">
        <w:t xml:space="preserve"> </w:t>
      </w:r>
      <w:r w:rsidRPr="006703B8">
        <w:t>structure</w:t>
      </w:r>
      <w:r w:rsidRPr="006703B8">
        <w:tab/>
      </w:r>
      <w:r w:rsidRPr="006703B8">
        <w:tab/>
        <w:t>140–171</w:t>
      </w:r>
      <w:r w:rsidRPr="006703B8">
        <w:tab/>
      </w:r>
      <w:r w:rsidR="00282EA1">
        <w:t>41</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t>II.</w:t>
      </w:r>
      <w:r w:rsidRPr="006703B8">
        <w:tab/>
        <w:t>General</w:t>
      </w:r>
      <w:r w:rsidR="00907D8C">
        <w:t xml:space="preserve"> </w:t>
      </w:r>
      <w:r w:rsidRPr="006703B8">
        <w:t>framework</w:t>
      </w:r>
      <w:r w:rsidR="00907D8C">
        <w:t xml:space="preserve"> </w:t>
      </w:r>
      <w:r w:rsidRPr="006703B8">
        <w:t>for</w:t>
      </w:r>
      <w:r w:rsidR="00907D8C">
        <w:t xml:space="preserve"> </w:t>
      </w:r>
      <w:r w:rsidRPr="006703B8">
        <w:t>the</w:t>
      </w:r>
      <w:r w:rsidR="00907D8C">
        <w:t xml:space="preserve"> </w:t>
      </w:r>
      <w:r w:rsidRPr="006703B8">
        <w:t>promotion</w:t>
      </w:r>
      <w:r w:rsidR="00907D8C">
        <w:t xml:space="preserve"> </w:t>
      </w:r>
      <w:r w:rsidRPr="006703B8">
        <w:t>and</w:t>
      </w:r>
      <w:r w:rsidR="00907D8C">
        <w:t xml:space="preserve"> </w:t>
      </w:r>
      <w:r w:rsidRPr="006703B8">
        <w:t>protection</w:t>
      </w:r>
      <w:r w:rsidR="00907D8C">
        <w:t xml:space="preserve"> </w:t>
      </w:r>
      <w:r w:rsidRPr="006703B8">
        <w:t>of</w:t>
      </w:r>
      <w:r w:rsidR="00907D8C">
        <w:t xml:space="preserve"> </w:t>
      </w:r>
      <w:r w:rsidRPr="006703B8">
        <w:t>human</w:t>
      </w:r>
      <w:r w:rsidR="00907D8C">
        <w:t xml:space="preserve"> </w:t>
      </w:r>
      <w:r w:rsidRPr="006703B8">
        <w:t>rights</w:t>
      </w:r>
      <w:r w:rsidRPr="006703B8">
        <w:tab/>
      </w:r>
      <w:r w:rsidRPr="006703B8">
        <w:tab/>
        <w:t>172–240</w:t>
      </w:r>
      <w:r w:rsidRPr="006703B8">
        <w:tab/>
      </w:r>
      <w:r w:rsidR="00282EA1">
        <w:t>4</w:t>
      </w:r>
      <w:r w:rsidR="002341B5">
        <w:t>6</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A.</w:t>
      </w:r>
      <w:r w:rsidRPr="006703B8">
        <w:tab/>
        <w:t>New</w:t>
      </w:r>
      <w:r w:rsidR="00907D8C">
        <w:t xml:space="preserve"> </w:t>
      </w:r>
      <w:r w:rsidRPr="006703B8">
        <w:t>Zealand</w:t>
      </w:r>
      <w:r w:rsidR="003E4D94">
        <w:t>’</w:t>
      </w:r>
      <w:r w:rsidRPr="006703B8">
        <w:t>s</w:t>
      </w:r>
      <w:r w:rsidR="00907D8C">
        <w:t xml:space="preserve"> </w:t>
      </w:r>
      <w:r w:rsidRPr="006703B8">
        <w:t>acceptance</w:t>
      </w:r>
      <w:r w:rsidR="00907D8C">
        <w:t xml:space="preserve"> </w:t>
      </w:r>
      <w:r w:rsidRPr="006703B8">
        <w:t>of</w:t>
      </w:r>
      <w:r w:rsidR="00907D8C">
        <w:t xml:space="preserve"> </w:t>
      </w:r>
      <w:r w:rsidRPr="006703B8">
        <w:t>international</w:t>
      </w:r>
      <w:r w:rsidR="00907D8C">
        <w:t xml:space="preserve"> </w:t>
      </w:r>
      <w:r w:rsidRPr="006703B8">
        <w:t>human</w:t>
      </w:r>
      <w:r w:rsidR="00907D8C">
        <w:t xml:space="preserve"> </w:t>
      </w:r>
      <w:r w:rsidRPr="006703B8">
        <w:t>rights</w:t>
      </w:r>
      <w:r w:rsidR="00907D8C">
        <w:t xml:space="preserve"> </w:t>
      </w:r>
      <w:r w:rsidRPr="006703B8">
        <w:t>norms</w:t>
      </w:r>
      <w:r w:rsidRPr="006703B8">
        <w:tab/>
      </w:r>
      <w:r w:rsidRPr="006703B8">
        <w:tab/>
        <w:t>172</w:t>
      </w:r>
      <w:r w:rsidRPr="006703B8">
        <w:tab/>
      </w:r>
      <w:r w:rsidR="00282EA1">
        <w:t>4</w:t>
      </w:r>
      <w:r w:rsidR="002341B5">
        <w:t>6</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B.</w:t>
      </w:r>
      <w:r w:rsidRPr="006703B8">
        <w:tab/>
        <w:t>General</w:t>
      </w:r>
      <w:r w:rsidR="00907D8C">
        <w:t xml:space="preserve"> </w:t>
      </w:r>
      <w:r w:rsidRPr="006703B8">
        <w:t>legal</w:t>
      </w:r>
      <w:r w:rsidR="00907D8C">
        <w:t xml:space="preserve"> </w:t>
      </w:r>
      <w:r w:rsidRPr="006703B8">
        <w:t>framework</w:t>
      </w:r>
      <w:r w:rsidR="00907D8C">
        <w:t xml:space="preserve"> </w:t>
      </w:r>
      <w:r w:rsidRPr="006703B8">
        <w:t>for</w:t>
      </w:r>
      <w:r w:rsidR="00907D8C">
        <w:t xml:space="preserve"> </w:t>
      </w:r>
      <w:r w:rsidRPr="006703B8">
        <w:t>protecting</w:t>
      </w:r>
      <w:r w:rsidR="00907D8C">
        <w:t xml:space="preserve"> </w:t>
      </w:r>
      <w:r w:rsidRPr="006703B8">
        <w:t>human</w:t>
      </w:r>
      <w:r w:rsidR="00907D8C">
        <w:t xml:space="preserve"> </w:t>
      </w:r>
      <w:r w:rsidRPr="006703B8">
        <w:t>rights</w:t>
      </w:r>
      <w:r w:rsidR="00907D8C">
        <w:t xml:space="preserve"> </w:t>
      </w:r>
      <w:r w:rsidRPr="006703B8">
        <w:t>at</w:t>
      </w:r>
      <w:r w:rsidR="00907D8C">
        <w:t xml:space="preserve"> </w:t>
      </w:r>
      <w:r w:rsidRPr="006703B8">
        <w:t>the</w:t>
      </w:r>
      <w:r w:rsidR="00907D8C">
        <w:t xml:space="preserve"> </w:t>
      </w:r>
      <w:r w:rsidRPr="006703B8">
        <w:t>national</w:t>
      </w:r>
      <w:r w:rsidR="00907D8C">
        <w:t xml:space="preserve"> </w:t>
      </w:r>
      <w:r w:rsidRPr="006703B8">
        <w:t>level</w:t>
      </w:r>
      <w:r w:rsidRPr="006703B8">
        <w:tab/>
      </w:r>
      <w:r w:rsidRPr="006703B8">
        <w:tab/>
        <w:t>173–212</w:t>
      </w:r>
      <w:r w:rsidRPr="006703B8">
        <w:tab/>
      </w:r>
      <w:r w:rsidR="00282EA1">
        <w:t>4</w:t>
      </w:r>
      <w:r w:rsidR="002341B5">
        <w:t>6</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C.</w:t>
      </w:r>
      <w:r w:rsidRPr="006703B8">
        <w:tab/>
        <w:t>General</w:t>
      </w:r>
      <w:r w:rsidR="00907D8C">
        <w:t xml:space="preserve"> </w:t>
      </w:r>
      <w:r w:rsidRPr="006703B8">
        <w:t>framework</w:t>
      </w:r>
      <w:r w:rsidR="00907D8C">
        <w:t xml:space="preserve"> </w:t>
      </w:r>
      <w:r w:rsidRPr="006703B8">
        <w:t>for</w:t>
      </w:r>
      <w:r w:rsidR="00907D8C">
        <w:t xml:space="preserve"> </w:t>
      </w:r>
      <w:r w:rsidRPr="006703B8">
        <w:t>promoting</w:t>
      </w:r>
      <w:r w:rsidR="00907D8C">
        <w:t xml:space="preserve"> </w:t>
      </w:r>
      <w:r w:rsidRPr="006703B8">
        <w:t>human</w:t>
      </w:r>
      <w:r w:rsidR="00907D8C">
        <w:t xml:space="preserve"> </w:t>
      </w:r>
      <w:r w:rsidRPr="006703B8">
        <w:t>rights</w:t>
      </w:r>
      <w:r w:rsidR="00907D8C">
        <w:t xml:space="preserve"> </w:t>
      </w:r>
      <w:r w:rsidRPr="006703B8">
        <w:t>at</w:t>
      </w:r>
      <w:r w:rsidR="00907D8C">
        <w:t xml:space="preserve"> </w:t>
      </w:r>
      <w:r w:rsidRPr="006703B8">
        <w:t>the</w:t>
      </w:r>
      <w:r w:rsidR="00907D8C">
        <w:t xml:space="preserve"> </w:t>
      </w:r>
      <w:r w:rsidRPr="006703B8">
        <w:t>national</w:t>
      </w:r>
      <w:r w:rsidR="00907D8C">
        <w:t xml:space="preserve"> </w:t>
      </w:r>
      <w:r w:rsidRPr="006703B8">
        <w:t>level</w:t>
      </w:r>
      <w:r w:rsidRPr="006703B8">
        <w:tab/>
      </w:r>
      <w:r w:rsidRPr="006703B8">
        <w:tab/>
        <w:t>213–236</w:t>
      </w:r>
      <w:r w:rsidRPr="006703B8">
        <w:tab/>
      </w:r>
      <w:r w:rsidR="00282EA1">
        <w:t>5</w:t>
      </w:r>
      <w:r w:rsidR="002341B5">
        <w:t>3</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D.</w:t>
      </w:r>
      <w:r w:rsidRPr="006703B8">
        <w:tab/>
        <w:t>Role</w:t>
      </w:r>
      <w:r w:rsidR="00907D8C">
        <w:t xml:space="preserve"> </w:t>
      </w:r>
      <w:r w:rsidRPr="006703B8">
        <w:t>of</w:t>
      </w:r>
      <w:r w:rsidR="00907D8C">
        <w:t xml:space="preserve"> </w:t>
      </w:r>
      <w:r w:rsidRPr="006703B8">
        <w:t>reporting</w:t>
      </w:r>
      <w:r w:rsidR="00907D8C">
        <w:t xml:space="preserve"> </w:t>
      </w:r>
      <w:r w:rsidRPr="006703B8">
        <w:t>in</w:t>
      </w:r>
      <w:r w:rsidR="00907D8C">
        <w:t xml:space="preserve"> </w:t>
      </w:r>
      <w:r w:rsidRPr="006703B8">
        <w:t>promoting</w:t>
      </w:r>
      <w:r w:rsidR="00907D8C">
        <w:t xml:space="preserve"> </w:t>
      </w:r>
      <w:r w:rsidRPr="006703B8">
        <w:t>human</w:t>
      </w:r>
      <w:r w:rsidR="00907D8C">
        <w:t xml:space="preserve"> </w:t>
      </w:r>
      <w:r w:rsidRPr="006703B8">
        <w:t>rights</w:t>
      </w:r>
      <w:r w:rsidR="00907D8C">
        <w:t xml:space="preserve"> </w:t>
      </w:r>
      <w:r w:rsidRPr="006703B8">
        <w:t>at</w:t>
      </w:r>
      <w:r w:rsidR="00907D8C">
        <w:t xml:space="preserve"> </w:t>
      </w:r>
      <w:r w:rsidRPr="006703B8">
        <w:t>the</w:t>
      </w:r>
      <w:r w:rsidR="00907D8C">
        <w:t xml:space="preserve"> </w:t>
      </w:r>
      <w:r w:rsidRPr="006703B8">
        <w:t>national</w:t>
      </w:r>
      <w:r w:rsidR="00907D8C">
        <w:t xml:space="preserve"> </w:t>
      </w:r>
      <w:r w:rsidRPr="006703B8">
        <w:t>level</w:t>
      </w:r>
      <w:r w:rsidRPr="006703B8">
        <w:tab/>
      </w:r>
      <w:r w:rsidRPr="006703B8">
        <w:tab/>
        <w:t>237–240</w:t>
      </w:r>
      <w:r w:rsidRPr="006703B8">
        <w:tab/>
      </w:r>
      <w:r w:rsidR="00662D01">
        <w:t>5</w:t>
      </w:r>
      <w:r w:rsidR="002341B5">
        <w:t>7</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t>III.</w:t>
      </w:r>
      <w:r w:rsidRPr="006703B8">
        <w:tab/>
        <w:t>Information</w:t>
      </w:r>
      <w:r w:rsidR="00907D8C">
        <w:t xml:space="preserve"> </w:t>
      </w:r>
      <w:r w:rsidRPr="006703B8">
        <w:t>on</w:t>
      </w:r>
      <w:r w:rsidR="00907D8C">
        <w:t xml:space="preserve"> </w:t>
      </w:r>
      <w:r w:rsidRPr="006703B8">
        <w:t>non-discrimination,</w:t>
      </w:r>
      <w:r w:rsidR="00907D8C">
        <w:t xml:space="preserve"> </w:t>
      </w:r>
      <w:r w:rsidRPr="006703B8">
        <w:t>equality,</w:t>
      </w:r>
      <w:r w:rsidR="00907D8C">
        <w:t xml:space="preserve"> </w:t>
      </w:r>
      <w:r w:rsidRPr="006703B8">
        <w:t>and</w:t>
      </w:r>
      <w:r w:rsidR="00907D8C">
        <w:t xml:space="preserve"> </w:t>
      </w:r>
      <w:r w:rsidRPr="006703B8">
        <w:t>effective</w:t>
      </w:r>
      <w:r w:rsidR="00907D8C">
        <w:t xml:space="preserve"> </w:t>
      </w:r>
      <w:r w:rsidRPr="006703B8">
        <w:t>remedies</w:t>
      </w:r>
      <w:r w:rsidRPr="006703B8">
        <w:tab/>
      </w:r>
      <w:r w:rsidRPr="006703B8">
        <w:tab/>
        <w:t>241–265</w:t>
      </w:r>
      <w:r w:rsidRPr="006703B8">
        <w:tab/>
      </w:r>
      <w:r w:rsidR="00662D01">
        <w:t>5</w:t>
      </w:r>
      <w:r w:rsidR="002341B5">
        <w:t>7</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A.</w:t>
      </w:r>
      <w:r w:rsidRPr="006703B8">
        <w:tab/>
        <w:t>Non-discrimination</w:t>
      </w:r>
      <w:r w:rsidR="00907D8C">
        <w:t xml:space="preserve"> </w:t>
      </w:r>
      <w:r w:rsidRPr="006703B8">
        <w:t>and</w:t>
      </w:r>
      <w:r w:rsidR="00907D8C">
        <w:t xml:space="preserve"> </w:t>
      </w:r>
      <w:r w:rsidRPr="006703B8">
        <w:t>equality</w:t>
      </w:r>
      <w:r w:rsidRPr="006703B8">
        <w:tab/>
      </w:r>
      <w:r w:rsidRPr="006703B8">
        <w:tab/>
        <w:t>241–244</w:t>
      </w:r>
      <w:r w:rsidR="00036FAC">
        <w:tab/>
      </w:r>
      <w:r w:rsidR="00662D01">
        <w:t>5</w:t>
      </w:r>
      <w:r w:rsidR="002341B5">
        <w:t>8</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B.</w:t>
      </w:r>
      <w:r w:rsidRPr="006703B8">
        <w:tab/>
        <w:t>Social</w:t>
      </w:r>
      <w:r w:rsidR="00907D8C">
        <w:t xml:space="preserve"> </w:t>
      </w:r>
      <w:r w:rsidRPr="006703B8">
        <w:t>protection</w:t>
      </w:r>
      <w:r w:rsidR="00907D8C">
        <w:t xml:space="preserve"> </w:t>
      </w:r>
      <w:r w:rsidRPr="006703B8">
        <w:t>and</w:t>
      </w:r>
      <w:r w:rsidR="00907D8C">
        <w:t xml:space="preserve"> </w:t>
      </w:r>
      <w:r w:rsidRPr="006703B8">
        <w:t>education</w:t>
      </w:r>
      <w:r w:rsidRPr="006703B8">
        <w:tab/>
      </w:r>
      <w:r w:rsidRPr="006703B8">
        <w:tab/>
        <w:t>245–258</w:t>
      </w:r>
      <w:r w:rsidR="00036FAC">
        <w:tab/>
      </w:r>
      <w:r w:rsidR="00E607C4">
        <w:t>5</w:t>
      </w:r>
      <w:r w:rsidR="002341B5">
        <w:t>8</w:t>
      </w:r>
    </w:p>
    <w:p w:rsidR="006703B8" w:rsidRP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C.</w:t>
      </w:r>
      <w:r w:rsidRPr="006703B8">
        <w:tab/>
        <w:t>Health</w:t>
      </w:r>
      <w:r w:rsidRPr="006703B8">
        <w:tab/>
      </w:r>
      <w:r w:rsidRPr="006703B8">
        <w:tab/>
        <w:t>259–263</w:t>
      </w:r>
      <w:r w:rsidR="00036FAC">
        <w:tab/>
      </w:r>
      <w:r w:rsidR="002341B5">
        <w:t>60</w:t>
      </w:r>
    </w:p>
    <w:p w:rsidR="006703B8" w:rsidRDefault="006703B8" w:rsidP="006703B8">
      <w:pPr>
        <w:tabs>
          <w:tab w:val="right" w:pos="850"/>
          <w:tab w:val="left" w:pos="1134"/>
          <w:tab w:val="left" w:pos="1559"/>
          <w:tab w:val="left" w:pos="1984"/>
          <w:tab w:val="left" w:leader="dot" w:pos="7654"/>
          <w:tab w:val="right" w:pos="8929"/>
          <w:tab w:val="right" w:pos="9638"/>
        </w:tabs>
        <w:spacing w:after="120"/>
      </w:pPr>
      <w:r w:rsidRPr="006703B8">
        <w:tab/>
      </w:r>
      <w:r w:rsidRPr="006703B8">
        <w:tab/>
        <w:t>D.</w:t>
      </w:r>
      <w:r w:rsidRPr="006703B8">
        <w:tab/>
        <w:t>Justice</w:t>
      </w:r>
      <w:r w:rsidR="00907D8C">
        <w:t xml:space="preserve"> </w:t>
      </w:r>
      <w:r w:rsidRPr="006703B8">
        <w:t>and</w:t>
      </w:r>
      <w:r w:rsidR="00907D8C">
        <w:t xml:space="preserve"> </w:t>
      </w:r>
      <w:r w:rsidR="003E4D94">
        <w:t>corrections</w:t>
      </w:r>
      <w:r w:rsidR="003E4D94">
        <w:tab/>
      </w:r>
      <w:r w:rsidR="003E4D94">
        <w:tab/>
        <w:t>264–</w:t>
      </w:r>
      <w:r w:rsidRPr="006703B8">
        <w:t>265</w:t>
      </w:r>
      <w:r w:rsidR="00036FAC">
        <w:tab/>
      </w:r>
      <w:r w:rsidR="00282EA1">
        <w:t>6</w:t>
      </w:r>
      <w:r w:rsidR="002341B5">
        <w:t>1</w:t>
      </w:r>
    </w:p>
    <w:p w:rsidR="00E607C4" w:rsidRDefault="00E607C4" w:rsidP="00E607C4">
      <w:pPr>
        <w:tabs>
          <w:tab w:val="right" w:pos="850"/>
          <w:tab w:val="left" w:pos="1134"/>
          <w:tab w:val="left" w:pos="1559"/>
          <w:tab w:val="left" w:pos="1984"/>
          <w:tab w:val="left" w:leader="dot" w:pos="8787"/>
          <w:tab w:val="right" w:pos="9638"/>
        </w:tabs>
        <w:spacing w:after="120"/>
      </w:pPr>
      <w:r>
        <w:tab/>
        <w:t>Annex</w:t>
      </w:r>
    </w:p>
    <w:p w:rsidR="00E607C4" w:rsidRDefault="00E607C4" w:rsidP="00E607C4">
      <w:pPr>
        <w:tabs>
          <w:tab w:val="right" w:pos="850"/>
          <w:tab w:val="left" w:pos="1134"/>
          <w:tab w:val="left" w:pos="1559"/>
          <w:tab w:val="left" w:pos="1984"/>
          <w:tab w:val="left" w:leader="dot" w:pos="8787"/>
          <w:tab w:val="right" w:pos="9638"/>
        </w:tabs>
        <w:spacing w:after="120"/>
      </w:pPr>
      <w:r>
        <w:tab/>
      </w:r>
      <w:r>
        <w:tab/>
        <w:t>Status of ratification of international instruments related to human rights</w:t>
      </w:r>
      <w:r>
        <w:tab/>
      </w:r>
      <w:r>
        <w:tab/>
        <w:t>63</w:t>
      </w:r>
    </w:p>
    <w:p w:rsidR="00E607C4" w:rsidRDefault="00E607C4" w:rsidP="00E607C4">
      <w:pPr>
        <w:tabs>
          <w:tab w:val="right" w:pos="850"/>
          <w:tab w:val="left" w:pos="1134"/>
          <w:tab w:val="left" w:pos="1559"/>
          <w:tab w:val="left" w:pos="1984"/>
          <w:tab w:val="left" w:leader="dot" w:pos="8787"/>
          <w:tab w:val="right" w:pos="9638"/>
        </w:tabs>
        <w:spacing w:after="120"/>
      </w:pPr>
      <w:r>
        <w:tab/>
        <w:t>List of tables</w:t>
      </w:r>
    </w:p>
    <w:p w:rsidR="00E607C4" w:rsidRPr="007D3F7B" w:rsidRDefault="00E607C4" w:rsidP="00E607C4">
      <w:pPr>
        <w:tabs>
          <w:tab w:val="right" w:pos="850"/>
          <w:tab w:val="left" w:pos="1134"/>
          <w:tab w:val="left" w:pos="1559"/>
          <w:tab w:val="left" w:pos="1984"/>
          <w:tab w:val="left" w:leader="dot" w:pos="8787"/>
          <w:tab w:val="right" w:pos="9638"/>
        </w:tabs>
        <w:spacing w:after="120"/>
      </w:pPr>
      <w:r>
        <w:tab/>
        <w:t>1.</w:t>
      </w:r>
      <w:r>
        <w:tab/>
        <w:t>Ethnic distribution of the population, 1991–2006</w:t>
      </w:r>
      <w:r>
        <w:tab/>
      </w:r>
      <w:r>
        <w:tab/>
        <w:t>6</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w:t>
      </w:r>
      <w:r w:rsidRPr="006703B8">
        <w:tab/>
        <w:t>Population,</w:t>
      </w:r>
      <w:r w:rsidR="00907D8C">
        <w:t xml:space="preserve"> </w:t>
      </w:r>
      <w:r w:rsidRPr="006703B8">
        <w:t>by</w:t>
      </w:r>
      <w:r w:rsidR="00907D8C">
        <w:t xml:space="preserve"> </w:t>
      </w:r>
      <w:r w:rsidRPr="006703B8">
        <w:t>age</w:t>
      </w:r>
      <w:r w:rsidR="00907D8C">
        <w:t xml:space="preserve"> </w:t>
      </w:r>
      <w:r w:rsidRPr="006703B8">
        <w:t>and</w:t>
      </w:r>
      <w:r w:rsidR="00907D8C">
        <w:t xml:space="preserve"> </w:t>
      </w:r>
      <w:r w:rsidRPr="006703B8">
        <w:t>sex,</w:t>
      </w:r>
      <w:r w:rsidR="00907D8C">
        <w:t xml:space="preserve"> </w:t>
      </w:r>
      <w:r w:rsidRPr="006703B8">
        <w:t>2008</w:t>
      </w:r>
      <w:r w:rsidRPr="006703B8">
        <w:tab/>
      </w:r>
      <w:r w:rsidRPr="006703B8">
        <w:tab/>
      </w:r>
      <w:r w:rsidR="00282EA1">
        <w:t>7</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w:t>
      </w:r>
      <w:r w:rsidRPr="006703B8">
        <w:tab/>
        <w:t>Urban</w:t>
      </w:r>
      <w:r w:rsidR="00907D8C">
        <w:t xml:space="preserve"> </w:t>
      </w:r>
      <w:r w:rsidRPr="006703B8">
        <w:t>and</w:t>
      </w:r>
      <w:r w:rsidR="00907D8C">
        <w:t xml:space="preserve"> </w:t>
      </w:r>
      <w:r w:rsidRPr="006703B8">
        <w:t>rural</w:t>
      </w:r>
      <w:r w:rsidR="00907D8C">
        <w:t xml:space="preserve"> </w:t>
      </w:r>
      <w:r w:rsidRPr="006703B8">
        <w:t>residence</w:t>
      </w:r>
      <w:r w:rsidR="00907D8C">
        <w:t xml:space="preserve"> </w:t>
      </w:r>
      <w:r w:rsidRPr="006703B8">
        <w:t>(%),</w:t>
      </w:r>
      <w:r w:rsidR="00907D8C">
        <w:t xml:space="preserve"> </w:t>
      </w:r>
      <w:r w:rsidRPr="006703B8">
        <w:t>by</w:t>
      </w:r>
      <w:r w:rsidR="00907D8C">
        <w:t xml:space="preserve"> </w:t>
      </w:r>
      <w:r w:rsidRPr="006703B8">
        <w:t>ethnic</w:t>
      </w:r>
      <w:r w:rsidR="00907D8C">
        <w:t xml:space="preserve"> </w:t>
      </w:r>
      <w:r w:rsidRPr="006703B8">
        <w:t>group,</w:t>
      </w:r>
      <w:r w:rsidR="00907D8C">
        <w:t xml:space="preserve"> </w:t>
      </w:r>
      <w:r w:rsidRPr="006703B8">
        <w:t>2006</w:t>
      </w:r>
      <w:r w:rsidRPr="006703B8">
        <w:tab/>
      </w:r>
      <w:r w:rsidRPr="006703B8">
        <w:tab/>
      </w:r>
      <w:r w:rsidR="00282EA1">
        <w:t>8</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4.</w:t>
      </w:r>
      <w:r w:rsidR="006703B8" w:rsidRPr="006703B8">
        <w:tab/>
        <w:t>Total</w:t>
      </w:r>
      <w:r w:rsidR="00907D8C">
        <w:t xml:space="preserve"> </w:t>
      </w:r>
      <w:r w:rsidR="006703B8" w:rsidRPr="006703B8">
        <w:t>fertility</w:t>
      </w:r>
      <w:r w:rsidR="00907D8C">
        <w:t xml:space="preserve"> </w:t>
      </w:r>
      <w:r w:rsidR="006703B8" w:rsidRPr="006703B8">
        <w:t>rate,</w:t>
      </w:r>
      <w:r w:rsidR="00907D8C">
        <w:t xml:space="preserve"> </w:t>
      </w:r>
      <w:r w:rsidR="006703B8" w:rsidRPr="006703B8">
        <w:t>1978–2008</w:t>
      </w:r>
      <w:r w:rsidR="006703B8" w:rsidRPr="006703B8">
        <w:tab/>
      </w:r>
      <w:r w:rsidR="006703B8" w:rsidRPr="006703B8">
        <w:tab/>
      </w:r>
      <w:r w:rsidR="00282EA1">
        <w:t>9</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5.</w:t>
      </w:r>
      <w:r w:rsidR="006703B8" w:rsidRPr="006703B8">
        <w:tab/>
        <w:t>Religious</w:t>
      </w:r>
      <w:r w:rsidR="00907D8C">
        <w:t xml:space="preserve"> </w:t>
      </w:r>
      <w:r w:rsidR="006703B8" w:rsidRPr="006703B8">
        <w:t>affiliation</w:t>
      </w:r>
      <w:r w:rsidR="00907D8C">
        <w:t xml:space="preserve"> </w:t>
      </w:r>
      <w:r w:rsidR="006703B8" w:rsidRPr="006703B8">
        <w:t>(total</w:t>
      </w:r>
      <w:r w:rsidR="00907D8C">
        <w:t xml:space="preserve"> </w:t>
      </w:r>
      <w:r w:rsidR="006703B8" w:rsidRPr="006703B8">
        <w:t>response)</w:t>
      </w:r>
      <w:r w:rsidR="00907D8C">
        <w:t xml:space="preserve"> </w:t>
      </w:r>
      <w:r w:rsidR="006703B8" w:rsidRPr="006703B8">
        <w:t>by</w:t>
      </w:r>
      <w:r w:rsidR="00907D8C">
        <w:t xml:space="preserve"> </w:t>
      </w:r>
      <w:r w:rsidR="006703B8" w:rsidRPr="006703B8">
        <w:t>area</w:t>
      </w:r>
      <w:r w:rsidR="00907D8C">
        <w:t xml:space="preserve"> </w:t>
      </w:r>
      <w:r w:rsidR="006703B8" w:rsidRPr="006703B8">
        <w:t>of</w:t>
      </w:r>
      <w:r w:rsidR="00907D8C">
        <w:t xml:space="preserve"> </w:t>
      </w:r>
      <w:r w:rsidR="006703B8" w:rsidRPr="006703B8">
        <w:t>usual</w:t>
      </w:r>
      <w:r w:rsidR="00907D8C">
        <w:t xml:space="preserve"> </w:t>
      </w:r>
      <w:r w:rsidR="006703B8" w:rsidRPr="006703B8">
        <w:t>residence</w:t>
      </w:r>
      <w:r w:rsidR="00907D8C">
        <w:t xml:space="preserve"> </w:t>
      </w:r>
      <w:r>
        <w:t>(urban</w:t>
      </w:r>
      <w:r w:rsidR="00907D8C">
        <w:t xml:space="preserve"> </w:t>
      </w:r>
      <w:r>
        <w:t>and</w:t>
      </w:r>
      <w:r w:rsidR="000F1BB2">
        <w:t xml:space="preserve"> </w:t>
      </w:r>
      <w:r w:rsidR="006703B8" w:rsidRPr="006703B8">
        <w:t>rural</w:t>
      </w:r>
      <w:r w:rsidR="00907D8C">
        <w:t xml:space="preserve"> </w:t>
      </w:r>
      <w:r w:rsidR="006703B8" w:rsidRPr="006703B8">
        <w:t>area</w:t>
      </w:r>
      <w:r w:rsidR="00907D8C">
        <w:t xml:space="preserve"> </w:t>
      </w:r>
      <w:r w:rsidR="00527897">
        <w:br/>
      </w:r>
      <w:r w:rsidR="00527897">
        <w:tab/>
      </w:r>
      <w:r w:rsidR="00527897">
        <w:tab/>
      </w:r>
      <w:r w:rsidR="006703B8" w:rsidRPr="006703B8">
        <w:t>indicator)</w:t>
      </w:r>
      <w:r w:rsidR="00907D8C">
        <w:t xml:space="preserve"> </w:t>
      </w:r>
      <w:r w:rsidR="00E607C4">
        <w:t>f</w:t>
      </w:r>
      <w:r w:rsidR="006703B8" w:rsidRPr="006703B8">
        <w:t>or</w:t>
      </w:r>
      <w:r w:rsidR="00907D8C">
        <w:t xml:space="preserve"> </w:t>
      </w:r>
      <w:r w:rsidR="006703B8" w:rsidRPr="006703B8">
        <w:t>the</w:t>
      </w:r>
      <w:r w:rsidR="00907D8C">
        <w:t xml:space="preserve"> </w:t>
      </w:r>
      <w:r w:rsidR="006703B8" w:rsidRPr="006703B8">
        <w:t>2006</w:t>
      </w:r>
      <w:r w:rsidR="00907D8C">
        <w:t xml:space="preserve"> </w:t>
      </w:r>
      <w:r w:rsidR="006703B8" w:rsidRPr="006703B8">
        <w:t>Census</w:t>
      </w:r>
      <w:r w:rsidR="00907D8C">
        <w:t xml:space="preserve"> </w:t>
      </w:r>
      <w:r w:rsidR="006703B8" w:rsidRPr="006703B8">
        <w:t>usually</w:t>
      </w:r>
      <w:r w:rsidR="00907D8C">
        <w:t xml:space="preserve"> </w:t>
      </w:r>
      <w:r w:rsidR="006703B8" w:rsidRPr="006703B8">
        <w:t>resident</w:t>
      </w:r>
      <w:r w:rsidR="00907D8C">
        <w:t xml:space="preserve"> </w:t>
      </w:r>
      <w:r w:rsidR="006703B8" w:rsidRPr="006703B8">
        <w:t>population</w:t>
      </w:r>
      <w:r w:rsidR="00907D8C">
        <w:t xml:space="preserve"> </w:t>
      </w:r>
      <w:r w:rsidR="006703B8" w:rsidRPr="006703B8">
        <w:t>count</w:t>
      </w:r>
      <w:r w:rsidR="006703B8" w:rsidRPr="006703B8">
        <w:tab/>
      </w:r>
      <w:r w:rsidR="006703B8" w:rsidRPr="006703B8">
        <w:tab/>
      </w:r>
      <w:r w:rsidR="00282EA1">
        <w:t>10</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6.</w:t>
      </w:r>
      <w:r w:rsidRPr="006703B8">
        <w:tab/>
        <w:t>Sex</w:t>
      </w:r>
      <w:r w:rsidR="00907D8C">
        <w:t xml:space="preserve"> </w:t>
      </w:r>
      <w:r w:rsidRPr="006703B8">
        <w:t>of</w:t>
      </w:r>
      <w:r w:rsidR="00907D8C">
        <w:t xml:space="preserve"> </w:t>
      </w:r>
      <w:r w:rsidRPr="006703B8">
        <w:t>parent</w:t>
      </w:r>
      <w:r w:rsidR="00907D8C">
        <w:t xml:space="preserve"> </w:t>
      </w:r>
      <w:r w:rsidRPr="006703B8">
        <w:t>for</w:t>
      </w:r>
      <w:r w:rsidR="00907D8C">
        <w:t xml:space="preserve"> </w:t>
      </w:r>
      <w:r w:rsidRPr="006703B8">
        <w:t>one-parent</w:t>
      </w:r>
      <w:r w:rsidR="00907D8C">
        <w:t xml:space="preserve"> </w:t>
      </w:r>
      <w:r w:rsidRPr="006703B8">
        <w:t>with</w:t>
      </w:r>
      <w:r w:rsidR="00907D8C">
        <w:t xml:space="preserve"> </w:t>
      </w:r>
      <w:r w:rsidRPr="006703B8">
        <w:t>child(ren)</w:t>
      </w:r>
      <w:r w:rsidR="00907D8C">
        <w:t xml:space="preserve"> </w:t>
      </w:r>
      <w:r w:rsidRPr="006703B8">
        <w:t>families</w:t>
      </w:r>
      <w:r w:rsidR="00907D8C">
        <w:t xml:space="preserve"> </w:t>
      </w:r>
      <w:r w:rsidRPr="006703B8">
        <w:t>in</w:t>
      </w:r>
      <w:r w:rsidR="00907D8C">
        <w:t xml:space="preserve"> </w:t>
      </w:r>
      <w:r w:rsidRPr="006703B8">
        <w:t>private</w:t>
      </w:r>
      <w:r w:rsidR="00527897">
        <w:t xml:space="preserve"> </w:t>
      </w:r>
      <w:r w:rsidRPr="006703B8">
        <w:t>occupied</w:t>
      </w:r>
      <w:r w:rsidR="00907D8C">
        <w:t xml:space="preserve"> </w:t>
      </w:r>
      <w:r w:rsidR="00282EA1">
        <w:t>dwellings</w:t>
      </w:r>
      <w:r w:rsidR="00282EA1">
        <w:tab/>
      </w:r>
      <w:r w:rsidR="00282EA1">
        <w:tab/>
        <w:t>11</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7.</w:t>
      </w:r>
      <w:r w:rsidRPr="006703B8">
        <w:tab/>
        <w:t>Number</w:t>
      </w:r>
      <w:r w:rsidR="00907D8C">
        <w:t xml:space="preserve"> </w:t>
      </w:r>
      <w:r w:rsidRPr="006703B8">
        <w:t>and</w:t>
      </w:r>
      <w:r w:rsidR="00907D8C">
        <w:t xml:space="preserve"> </w:t>
      </w:r>
      <w:r w:rsidRPr="006703B8">
        <w:t>prevalence</w:t>
      </w:r>
      <w:r w:rsidR="00907D8C">
        <w:t xml:space="preserve"> </w:t>
      </w:r>
      <w:r w:rsidRPr="006703B8">
        <w:t>of</w:t>
      </w:r>
      <w:r w:rsidR="00907D8C">
        <w:t xml:space="preserve"> </w:t>
      </w:r>
      <w:r w:rsidRPr="006703B8">
        <w:t>people</w:t>
      </w:r>
      <w:r w:rsidR="00907D8C">
        <w:t xml:space="preserve"> </w:t>
      </w:r>
      <w:r w:rsidRPr="006703B8">
        <w:t>experiencing</w:t>
      </w:r>
      <w:r w:rsidR="00907D8C">
        <w:t xml:space="preserve"> </w:t>
      </w:r>
      <w:r w:rsidR="00036FAC">
        <w:t>disabilities</w:t>
      </w:r>
      <w:r w:rsidR="00907D8C">
        <w:t xml:space="preserve"> </w:t>
      </w:r>
      <w:r w:rsidR="00036FAC">
        <w:t>(total</w:t>
      </w:r>
      <w:r w:rsidR="00907D8C">
        <w:t xml:space="preserve"> </w:t>
      </w:r>
      <w:r w:rsidR="00036FAC">
        <w:t>population</w:t>
      </w:r>
      <w:r w:rsidR="00527897">
        <w:t xml:space="preserve"> </w:t>
      </w:r>
      <w:r w:rsidR="00036FAC">
        <w:t>residing</w:t>
      </w:r>
      <w:r w:rsidR="00907D8C">
        <w:t xml:space="preserve"> </w:t>
      </w:r>
      <w:r w:rsidR="00527897">
        <w:br/>
      </w:r>
      <w:r w:rsidR="00527897">
        <w:tab/>
      </w:r>
      <w:r w:rsidR="00527897">
        <w:tab/>
      </w:r>
      <w:r w:rsidR="00036FAC">
        <w:t>in</w:t>
      </w:r>
      <w:r w:rsidR="00907D8C">
        <w:t xml:space="preserve"> </w:t>
      </w:r>
      <w:r w:rsidRPr="006703B8">
        <w:t>households</w:t>
      </w:r>
      <w:r w:rsidR="00907D8C">
        <w:t xml:space="preserve"> </w:t>
      </w:r>
      <w:r w:rsidRPr="006703B8">
        <w:t>and</w:t>
      </w:r>
      <w:r w:rsidR="00907D8C">
        <w:t xml:space="preserve"> </w:t>
      </w:r>
      <w:r w:rsidRPr="006703B8">
        <w:t>residential</w:t>
      </w:r>
      <w:r w:rsidR="00907D8C">
        <w:t xml:space="preserve"> </w:t>
      </w:r>
      <w:r w:rsidRPr="006703B8">
        <w:t>facilities),</w:t>
      </w:r>
      <w:r w:rsidR="00907D8C">
        <w:t xml:space="preserve"> </w:t>
      </w:r>
      <w:r w:rsidRPr="006703B8">
        <w:t>by</w:t>
      </w:r>
      <w:r w:rsidR="00907D8C">
        <w:t xml:space="preserve"> </w:t>
      </w:r>
      <w:r w:rsidRPr="006703B8">
        <w:t>age</w:t>
      </w:r>
      <w:r w:rsidR="00907D8C">
        <w:t xml:space="preserve"> </w:t>
      </w:r>
      <w:r w:rsidRPr="006703B8">
        <w:t>group</w:t>
      </w:r>
      <w:r w:rsidR="00907D8C">
        <w:t xml:space="preserve"> </w:t>
      </w:r>
      <w:r w:rsidRPr="006703B8">
        <w:t>and</w:t>
      </w:r>
      <w:r w:rsidR="00907D8C">
        <w:t xml:space="preserve"> </w:t>
      </w:r>
      <w:r w:rsidRPr="006703B8">
        <w:t>sex,</w:t>
      </w:r>
      <w:r w:rsidR="00907D8C">
        <w:t xml:space="preserve"> </w:t>
      </w:r>
      <w:r w:rsidRPr="006703B8">
        <w:t>2006</w:t>
      </w:r>
      <w:r w:rsidRPr="006703B8">
        <w:tab/>
      </w:r>
      <w:r w:rsidRPr="006703B8">
        <w:tab/>
      </w:r>
      <w:r w:rsidR="00282EA1">
        <w:t>11</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8.</w:t>
      </w:r>
      <w:r w:rsidR="006703B8" w:rsidRPr="006703B8">
        <w:tab/>
        <w:t>Population</w:t>
      </w:r>
      <w:r w:rsidR="00907D8C">
        <w:t xml:space="preserve"> </w:t>
      </w:r>
      <w:r w:rsidR="006703B8" w:rsidRPr="006703B8">
        <w:t>by</w:t>
      </w:r>
      <w:r w:rsidR="00907D8C">
        <w:t xml:space="preserve"> </w:t>
      </w:r>
      <w:r w:rsidR="006703B8" w:rsidRPr="006703B8">
        <w:t>broad</w:t>
      </w:r>
      <w:r w:rsidR="00907D8C">
        <w:t xml:space="preserve"> </w:t>
      </w:r>
      <w:r w:rsidR="006703B8" w:rsidRPr="006703B8">
        <w:t>industry</w:t>
      </w:r>
      <w:r w:rsidR="00907D8C">
        <w:t xml:space="preserve"> </w:t>
      </w:r>
      <w:r w:rsidR="006703B8" w:rsidRPr="006703B8">
        <w:t>sector</w:t>
      </w:r>
      <w:r w:rsidR="00907D8C">
        <w:t xml:space="preserve"> </w:t>
      </w:r>
      <w:r w:rsidR="006703B8" w:rsidRPr="006703B8">
        <w:t>and</w:t>
      </w:r>
      <w:r w:rsidR="00907D8C">
        <w:t xml:space="preserve"> </w:t>
      </w:r>
      <w:r w:rsidR="006703B8" w:rsidRPr="006703B8">
        <w:t>sex</w:t>
      </w:r>
      <w:r w:rsidR="00907D8C">
        <w:t xml:space="preserve"> </w:t>
      </w:r>
      <w:r w:rsidR="006703B8" w:rsidRPr="006703B8">
        <w:t>by</w:t>
      </w:r>
      <w:r w:rsidR="00907D8C">
        <w:t xml:space="preserve"> </w:t>
      </w:r>
      <w:r w:rsidR="006703B8" w:rsidRPr="006703B8">
        <w:t>1,000s</w:t>
      </w:r>
      <w:r w:rsidR="00907D8C">
        <w:t xml:space="preserve"> </w:t>
      </w:r>
      <w:r w:rsidR="006703B8" w:rsidRPr="006703B8">
        <w:t>of</w:t>
      </w:r>
      <w:r w:rsidR="00907D8C">
        <w:t xml:space="preserve"> </w:t>
      </w:r>
      <w:r w:rsidR="006703B8" w:rsidRPr="006703B8">
        <w:t>people,</w:t>
      </w:r>
      <w:r w:rsidR="00907D8C">
        <w:t xml:space="preserve"> </w:t>
      </w:r>
      <w:r w:rsidR="006703B8" w:rsidRPr="006703B8">
        <w:t>2009</w:t>
      </w:r>
      <w:r w:rsidR="006703B8" w:rsidRPr="006703B8">
        <w:tab/>
      </w:r>
      <w:r w:rsidR="006703B8" w:rsidRPr="006703B8">
        <w:tab/>
      </w:r>
      <w:r w:rsidR="00282EA1">
        <w:t>12</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9.</w:t>
      </w:r>
      <w:r w:rsidR="006703B8" w:rsidRPr="006703B8">
        <w:tab/>
        <w:t>Population</w:t>
      </w:r>
      <w:r w:rsidR="00907D8C">
        <w:t xml:space="preserve"> </w:t>
      </w:r>
      <w:r w:rsidR="006703B8" w:rsidRPr="006703B8">
        <w:t>by</w:t>
      </w:r>
      <w:r w:rsidR="00907D8C">
        <w:t xml:space="preserve"> </w:t>
      </w:r>
      <w:r w:rsidR="006703B8" w:rsidRPr="006703B8">
        <w:t>broad</w:t>
      </w:r>
      <w:r w:rsidR="00907D8C">
        <w:t xml:space="preserve"> </w:t>
      </w:r>
      <w:r w:rsidR="006703B8" w:rsidRPr="006703B8">
        <w:t>industry</w:t>
      </w:r>
      <w:r w:rsidR="00907D8C">
        <w:t xml:space="preserve"> </w:t>
      </w:r>
      <w:r w:rsidR="006703B8" w:rsidRPr="006703B8">
        <w:t>sector</w:t>
      </w:r>
      <w:r w:rsidR="00907D8C">
        <w:t xml:space="preserve"> </w:t>
      </w:r>
      <w:r w:rsidR="006703B8" w:rsidRPr="006703B8">
        <w:t>by</w:t>
      </w:r>
      <w:r w:rsidR="00907D8C">
        <w:t xml:space="preserve"> </w:t>
      </w:r>
      <w:r w:rsidR="006703B8" w:rsidRPr="006703B8">
        <w:t>ethnicity</w:t>
      </w:r>
      <w:r w:rsidR="00907D8C">
        <w:t xml:space="preserve"> </w:t>
      </w:r>
      <w:r w:rsidR="006703B8" w:rsidRPr="006703B8">
        <w:t>by</w:t>
      </w:r>
      <w:r w:rsidR="00907D8C">
        <w:t xml:space="preserve"> </w:t>
      </w:r>
      <w:r w:rsidR="006703B8" w:rsidRPr="006703B8">
        <w:t>1,000s</w:t>
      </w:r>
      <w:r w:rsidR="00907D8C">
        <w:t xml:space="preserve"> </w:t>
      </w:r>
      <w:r w:rsidR="006703B8" w:rsidRPr="006703B8">
        <w:t>of</w:t>
      </w:r>
      <w:r w:rsidR="00907D8C">
        <w:t xml:space="preserve"> </w:t>
      </w:r>
      <w:r w:rsidR="006703B8" w:rsidRPr="006703B8">
        <w:t>people,</w:t>
      </w:r>
      <w:r w:rsidR="00907D8C">
        <w:t xml:space="preserve"> </w:t>
      </w:r>
      <w:r w:rsidR="006703B8" w:rsidRPr="006703B8">
        <w:t>2009</w:t>
      </w:r>
      <w:r w:rsidR="006703B8" w:rsidRPr="006703B8">
        <w:tab/>
      </w:r>
      <w:r w:rsidR="006703B8" w:rsidRPr="006703B8">
        <w:tab/>
      </w:r>
      <w:r w:rsidR="00282EA1">
        <w:t>13</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10.</w:t>
      </w:r>
      <w:r w:rsidRPr="006703B8">
        <w:tab/>
        <w:t>New</w:t>
      </w:r>
      <w:r w:rsidR="00907D8C">
        <w:t xml:space="preserve"> </w:t>
      </w:r>
      <w:r w:rsidRPr="006703B8">
        <w:t>Zealand</w:t>
      </w:r>
      <w:r w:rsidR="00907D8C">
        <w:t xml:space="preserve"> </w:t>
      </w:r>
      <w:r w:rsidR="00E607C4">
        <w:t>G</w:t>
      </w:r>
      <w:r w:rsidRPr="006703B8">
        <w:t>overnment</w:t>
      </w:r>
      <w:r w:rsidR="00907D8C">
        <w:t xml:space="preserve"> </w:t>
      </w:r>
      <w:r w:rsidRPr="006703B8">
        <w:t>budget</w:t>
      </w:r>
      <w:r w:rsidR="00907D8C">
        <w:t xml:space="preserve"> </w:t>
      </w:r>
      <w:r w:rsidRPr="006703B8">
        <w:t>by</w:t>
      </w:r>
      <w:r w:rsidR="00907D8C">
        <w:t xml:space="preserve"> </w:t>
      </w:r>
      <w:r w:rsidRPr="006703B8">
        <w:t>sector</w:t>
      </w:r>
      <w:r w:rsidRPr="006703B8">
        <w:tab/>
      </w:r>
      <w:r w:rsidRPr="006703B8">
        <w:tab/>
      </w:r>
      <w:r w:rsidR="00282EA1">
        <w:t>14</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11.</w:t>
      </w:r>
      <w:r w:rsidR="006703B8" w:rsidRPr="006703B8">
        <w:tab/>
        <w:t>Spending</w:t>
      </w:r>
      <w:r w:rsidR="00907D8C">
        <w:t xml:space="preserve"> </w:t>
      </w:r>
      <w:r w:rsidR="006703B8" w:rsidRPr="006703B8">
        <w:t>on</w:t>
      </w:r>
      <w:r w:rsidR="00907D8C">
        <w:t xml:space="preserve"> </w:t>
      </w:r>
      <w:r w:rsidR="006703B8" w:rsidRPr="006703B8">
        <w:t>official</w:t>
      </w:r>
      <w:r w:rsidR="00907D8C">
        <w:t xml:space="preserve"> </w:t>
      </w:r>
      <w:r w:rsidR="006703B8" w:rsidRPr="006703B8">
        <w:t>development</w:t>
      </w:r>
      <w:r w:rsidR="00907D8C">
        <w:t xml:space="preserve"> </w:t>
      </w:r>
      <w:r w:rsidR="006703B8" w:rsidRPr="006703B8">
        <w:t>assistance</w:t>
      </w:r>
      <w:r w:rsidR="00907D8C">
        <w:t xml:space="preserve"> </w:t>
      </w:r>
      <w:r w:rsidR="006703B8" w:rsidRPr="006703B8">
        <w:t>(ODA)</w:t>
      </w:r>
      <w:r w:rsidR="006703B8" w:rsidRPr="006703B8">
        <w:tab/>
      </w:r>
      <w:r w:rsidR="006703B8" w:rsidRPr="006703B8">
        <w:tab/>
      </w:r>
      <w:r w:rsidR="00282EA1">
        <w:t>15</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12.</w:t>
      </w:r>
      <w:r w:rsidR="006703B8" w:rsidRPr="006703B8">
        <w:tab/>
        <w:t>External</w:t>
      </w:r>
      <w:r w:rsidR="00907D8C">
        <w:t xml:space="preserve"> </w:t>
      </w:r>
      <w:r w:rsidR="006703B8" w:rsidRPr="006703B8">
        <w:t>and</w:t>
      </w:r>
      <w:r w:rsidR="00907D8C">
        <w:t xml:space="preserve"> </w:t>
      </w:r>
      <w:r w:rsidR="006703B8" w:rsidRPr="006703B8">
        <w:t>internal</w:t>
      </w:r>
      <w:r w:rsidR="00907D8C">
        <w:t xml:space="preserve"> </w:t>
      </w:r>
      <w:r w:rsidR="006703B8" w:rsidRPr="006703B8">
        <w:t>public</w:t>
      </w:r>
      <w:r w:rsidR="00907D8C">
        <w:t xml:space="preserve"> </w:t>
      </w:r>
      <w:r w:rsidR="006703B8" w:rsidRPr="006703B8">
        <w:t>debt</w:t>
      </w:r>
      <w:r w:rsidR="006703B8" w:rsidRPr="006703B8">
        <w:tab/>
      </w:r>
      <w:r w:rsidR="006703B8" w:rsidRPr="006703B8">
        <w:tab/>
      </w:r>
      <w:r w:rsidR="00282EA1">
        <w:t>15</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13.</w:t>
      </w:r>
      <w:r w:rsidR="006703B8" w:rsidRPr="006703B8">
        <w:tab/>
        <w:t>Unemployment</w:t>
      </w:r>
      <w:r w:rsidR="00907D8C">
        <w:t xml:space="preserve"> </w:t>
      </w:r>
      <w:r w:rsidR="006703B8" w:rsidRPr="006703B8">
        <w:t>rates</w:t>
      </w:r>
      <w:r w:rsidR="00907D8C">
        <w:t xml:space="preserve"> </w:t>
      </w:r>
      <w:r w:rsidR="006703B8" w:rsidRPr="006703B8">
        <w:t>(%),</w:t>
      </w:r>
      <w:r w:rsidR="00907D8C">
        <w:t xml:space="preserve"> </w:t>
      </w:r>
      <w:r w:rsidR="006703B8" w:rsidRPr="006703B8">
        <w:t>by</w:t>
      </w:r>
      <w:r w:rsidR="00907D8C">
        <w:t xml:space="preserve"> </w:t>
      </w:r>
      <w:r w:rsidR="006703B8" w:rsidRPr="006703B8">
        <w:t>age</w:t>
      </w:r>
      <w:r w:rsidR="00907D8C">
        <w:t xml:space="preserve"> </w:t>
      </w:r>
      <w:r w:rsidR="006703B8" w:rsidRPr="006703B8">
        <w:t>and</w:t>
      </w:r>
      <w:r w:rsidR="00907D8C">
        <w:t xml:space="preserve"> </w:t>
      </w:r>
      <w:r w:rsidR="006703B8" w:rsidRPr="006703B8">
        <w:t>sex,</w:t>
      </w:r>
      <w:r w:rsidR="00907D8C">
        <w:t xml:space="preserve"> </w:t>
      </w:r>
      <w:r w:rsidR="006703B8" w:rsidRPr="006703B8">
        <w:t>selected</w:t>
      </w:r>
      <w:r w:rsidR="00907D8C">
        <w:t xml:space="preserve"> </w:t>
      </w:r>
      <w:r w:rsidR="006703B8" w:rsidRPr="006703B8">
        <w:t>years,</w:t>
      </w:r>
      <w:r w:rsidR="00907D8C">
        <w:t xml:space="preserve"> </w:t>
      </w:r>
      <w:r w:rsidR="006703B8" w:rsidRPr="006703B8">
        <w:t>1987–2009</w:t>
      </w:r>
      <w:r w:rsidR="006703B8" w:rsidRPr="006703B8">
        <w:tab/>
      </w:r>
      <w:r w:rsidR="006703B8" w:rsidRPr="006703B8">
        <w:tab/>
      </w:r>
      <w:r w:rsidR="00282EA1">
        <w:t>16</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14.</w:t>
      </w:r>
      <w:r w:rsidR="006703B8" w:rsidRPr="006703B8">
        <w:tab/>
        <w:t>Unemployment</w:t>
      </w:r>
      <w:r w:rsidR="00907D8C">
        <w:t xml:space="preserve"> </w:t>
      </w:r>
      <w:r w:rsidR="006703B8" w:rsidRPr="006703B8">
        <w:t>rate,</w:t>
      </w:r>
      <w:r w:rsidR="00907D8C">
        <w:t xml:space="preserve"> </w:t>
      </w:r>
      <w:r w:rsidR="006703B8" w:rsidRPr="006703B8">
        <w:t>by</w:t>
      </w:r>
      <w:r w:rsidR="00907D8C">
        <w:t xml:space="preserve"> </w:t>
      </w:r>
      <w:r w:rsidR="006703B8" w:rsidRPr="006703B8">
        <w:t>ethnic</w:t>
      </w:r>
      <w:r w:rsidR="00907D8C">
        <w:t xml:space="preserve"> </w:t>
      </w:r>
      <w:r w:rsidR="006703B8" w:rsidRPr="006703B8">
        <w:t>group,</w:t>
      </w:r>
      <w:r w:rsidR="00907D8C">
        <w:t xml:space="preserve"> </w:t>
      </w:r>
      <w:r w:rsidR="006703B8" w:rsidRPr="006703B8">
        <w:t>1987–2009</w:t>
      </w:r>
      <w:r w:rsidR="006703B8" w:rsidRPr="006703B8">
        <w:tab/>
      </w:r>
      <w:r w:rsidR="006703B8" w:rsidRPr="006703B8">
        <w:tab/>
      </w:r>
      <w:r w:rsidR="00282EA1">
        <w:t>17</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15.</w:t>
      </w:r>
      <w:r w:rsidR="006703B8" w:rsidRPr="006703B8">
        <w:tab/>
        <w:t>Employment</w:t>
      </w:r>
      <w:r w:rsidR="00907D8C">
        <w:t xml:space="preserve"> </w:t>
      </w:r>
      <w:r w:rsidR="006703B8" w:rsidRPr="006703B8">
        <w:t>rate,</w:t>
      </w:r>
      <w:r w:rsidR="00907D8C">
        <w:t xml:space="preserve"> </w:t>
      </w:r>
      <w:r w:rsidR="006703B8" w:rsidRPr="006703B8">
        <w:t>by</w:t>
      </w:r>
      <w:r w:rsidR="00907D8C">
        <w:t xml:space="preserve"> </w:t>
      </w:r>
      <w:r w:rsidR="006703B8" w:rsidRPr="006703B8">
        <w:t>ethnic</w:t>
      </w:r>
      <w:r w:rsidR="00907D8C">
        <w:t xml:space="preserve"> </w:t>
      </w:r>
      <w:r w:rsidR="006703B8" w:rsidRPr="006703B8">
        <w:t>group,</w:t>
      </w:r>
      <w:r w:rsidR="00907D8C">
        <w:t xml:space="preserve"> </w:t>
      </w:r>
      <w:r w:rsidR="006703B8" w:rsidRPr="006703B8">
        <w:t>1987–2009</w:t>
      </w:r>
      <w:r w:rsidR="006703B8" w:rsidRPr="006703B8">
        <w:tab/>
      </w:r>
      <w:r w:rsidR="006703B8" w:rsidRPr="006703B8">
        <w:tab/>
      </w:r>
      <w:r w:rsidR="00282EA1">
        <w:t>18</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16.</w:t>
      </w:r>
      <w:r w:rsidR="006703B8" w:rsidRPr="006703B8">
        <w:tab/>
        <w:t>Dependency</w:t>
      </w:r>
      <w:r w:rsidR="00907D8C">
        <w:t xml:space="preserve"> </w:t>
      </w:r>
      <w:r w:rsidR="006703B8" w:rsidRPr="006703B8">
        <w:t>ratio</w:t>
      </w:r>
      <w:r w:rsidR="00907D8C">
        <w:t xml:space="preserve"> </w:t>
      </w:r>
      <w:r w:rsidR="006703B8" w:rsidRPr="006703B8">
        <w:t>by</w:t>
      </w:r>
      <w:r w:rsidR="00907D8C">
        <w:t xml:space="preserve"> </w:t>
      </w:r>
      <w:r w:rsidR="006703B8" w:rsidRPr="006703B8">
        <w:t>sex,</w:t>
      </w:r>
      <w:r w:rsidR="00907D8C">
        <w:t xml:space="preserve"> </w:t>
      </w:r>
      <w:r w:rsidR="006703B8" w:rsidRPr="006703B8">
        <w:t>at</w:t>
      </w:r>
      <w:r w:rsidR="00907D8C">
        <w:t xml:space="preserve"> </w:t>
      </w:r>
      <w:r w:rsidR="006703B8" w:rsidRPr="006703B8">
        <w:t>30</w:t>
      </w:r>
      <w:r w:rsidR="00907D8C">
        <w:t xml:space="preserve"> </w:t>
      </w:r>
      <w:r w:rsidR="006703B8" w:rsidRPr="006703B8">
        <w:t>June</w:t>
      </w:r>
      <w:r w:rsidR="00907D8C">
        <w:t xml:space="preserve"> </w:t>
      </w:r>
      <w:r w:rsidR="006703B8" w:rsidRPr="006703B8">
        <w:t>2005–</w:t>
      </w:r>
      <w:r>
        <w:t>20</w:t>
      </w:r>
      <w:r w:rsidR="006703B8" w:rsidRPr="006703B8">
        <w:t>09</w:t>
      </w:r>
      <w:r w:rsidR="006703B8" w:rsidRPr="006703B8">
        <w:tab/>
      </w:r>
      <w:r w:rsidR="006703B8" w:rsidRPr="006703B8">
        <w:tab/>
      </w:r>
      <w:r w:rsidR="00282EA1">
        <w:t>19</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r>
      <w:r w:rsidR="006703B8" w:rsidRPr="006703B8">
        <w:t>17.</w:t>
      </w:r>
      <w:r w:rsidR="006703B8" w:rsidRPr="006703B8">
        <w:tab/>
        <w:t>Household</w:t>
      </w:r>
      <w:r w:rsidR="00907D8C">
        <w:t xml:space="preserve"> </w:t>
      </w:r>
      <w:r w:rsidR="006703B8" w:rsidRPr="006703B8">
        <w:t>expenditure</w:t>
      </w:r>
      <w:r w:rsidR="00907D8C">
        <w:t xml:space="preserve"> </w:t>
      </w:r>
      <w:r w:rsidR="006703B8" w:rsidRPr="006703B8">
        <w:t>for</w:t>
      </w:r>
      <w:r w:rsidR="00907D8C">
        <w:t xml:space="preserve"> </w:t>
      </w:r>
      <w:r w:rsidR="006703B8" w:rsidRPr="006703B8">
        <w:t>subgroup</w:t>
      </w:r>
      <w:r w:rsidR="00907D8C">
        <w:t xml:space="preserve"> </w:t>
      </w:r>
      <w:r w:rsidR="006703B8" w:rsidRPr="006703B8">
        <w:t>by</w:t>
      </w:r>
      <w:r w:rsidR="00907D8C">
        <w:t xml:space="preserve"> </w:t>
      </w:r>
      <w:r w:rsidR="006703B8" w:rsidRPr="006703B8">
        <w:t>household</w:t>
      </w:r>
      <w:r w:rsidR="00907D8C">
        <w:t xml:space="preserve"> </w:t>
      </w:r>
      <w:r w:rsidR="006703B8" w:rsidRPr="006703B8">
        <w:t>income</w:t>
      </w:r>
      <w:r w:rsidR="00907D8C">
        <w:t xml:space="preserve"> </w:t>
      </w:r>
      <w:r w:rsidR="006703B8" w:rsidRPr="006703B8">
        <w:t>group,</w:t>
      </w:r>
      <w:r w:rsidR="00907D8C">
        <w:t xml:space="preserve"> </w:t>
      </w:r>
      <w:r w:rsidR="006703B8" w:rsidRPr="006703B8">
        <w:t>2006–</w:t>
      </w:r>
      <w:r w:rsidR="001F2C6F">
        <w:t>20</w:t>
      </w:r>
      <w:r w:rsidR="006703B8" w:rsidRPr="006703B8">
        <w:t>07</w:t>
      </w:r>
      <w:r w:rsidR="006703B8" w:rsidRPr="006703B8">
        <w:tab/>
      </w:r>
      <w:r w:rsidR="006703B8" w:rsidRPr="006703B8">
        <w:tab/>
      </w:r>
      <w:r w:rsidR="00282EA1">
        <w:t>19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18.</w:t>
      </w:r>
      <w:r w:rsidRPr="006703B8">
        <w:tab/>
        <w:t>Proportion</w:t>
      </w:r>
      <w:r w:rsidR="00907D8C">
        <w:t xml:space="preserve"> </w:t>
      </w:r>
      <w:r w:rsidRPr="006703B8">
        <w:t>of</w:t>
      </w:r>
      <w:r w:rsidR="00907D8C">
        <w:t xml:space="preserve"> </w:t>
      </w:r>
      <w:r w:rsidRPr="006703B8">
        <w:t>the</w:t>
      </w:r>
      <w:r w:rsidR="00907D8C">
        <w:t xml:space="preserve"> </w:t>
      </w:r>
      <w:r w:rsidRPr="006703B8">
        <w:t>population</w:t>
      </w:r>
      <w:r w:rsidR="00907D8C">
        <w:t xml:space="preserve"> </w:t>
      </w:r>
      <w:r w:rsidRPr="006703B8">
        <w:t>with</w:t>
      </w:r>
      <w:r w:rsidR="00907D8C">
        <w:t xml:space="preserve"> </w:t>
      </w:r>
      <w:r w:rsidRPr="006703B8">
        <w:t>net-of-housin</w:t>
      </w:r>
      <w:r w:rsidR="00C57DEE">
        <w:t xml:space="preserve">g </w:t>
      </w:r>
      <w:r w:rsidR="00036FAC">
        <w:t>cost</w:t>
      </w:r>
      <w:r w:rsidR="00907D8C">
        <w:t xml:space="preserve"> </w:t>
      </w:r>
      <w:r w:rsidR="00036FAC">
        <w:t>household</w:t>
      </w:r>
      <w:r w:rsidR="00531C16">
        <w:t xml:space="preserve"> </w:t>
      </w:r>
      <w:r w:rsidR="00036FAC">
        <w:t>incomes</w:t>
      </w:r>
      <w:r w:rsidR="00907D8C">
        <w:t xml:space="preserve"> </w:t>
      </w:r>
      <w:r w:rsidR="00036FAC">
        <w:t>below</w:t>
      </w:r>
      <w:r w:rsidR="00907D8C">
        <w:t xml:space="preserve"> </w:t>
      </w:r>
      <w:r w:rsidR="00531C16">
        <w:br/>
      </w:r>
      <w:r w:rsidR="00531C16">
        <w:tab/>
      </w:r>
      <w:r w:rsidR="00531C16">
        <w:tab/>
      </w:r>
      <w:r w:rsidRPr="006703B8">
        <w:t>selected</w:t>
      </w:r>
      <w:r w:rsidR="00907D8C">
        <w:t xml:space="preserve"> </w:t>
      </w:r>
      <w:r w:rsidRPr="006703B8">
        <w:t>thresholds,</w:t>
      </w:r>
      <w:r w:rsidR="00907D8C">
        <w:t xml:space="preserve"> </w:t>
      </w:r>
      <w:r w:rsidRPr="006703B8">
        <w:t>1982–2008</w:t>
      </w:r>
      <w:r w:rsidRPr="006703B8">
        <w:tab/>
      </w:r>
      <w:r w:rsidRPr="006703B8">
        <w:tab/>
      </w:r>
      <w:r w:rsidR="00282EA1">
        <w:t>20</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19.</w:t>
      </w:r>
      <w:r w:rsidRPr="006703B8">
        <w:tab/>
        <w:t>Proportion</w:t>
      </w:r>
      <w:r w:rsidR="00907D8C">
        <w:t xml:space="preserve"> </w:t>
      </w:r>
      <w:r w:rsidRPr="006703B8">
        <w:t>(%)</w:t>
      </w:r>
      <w:r w:rsidR="00907D8C">
        <w:t xml:space="preserve"> </w:t>
      </w:r>
      <w:r w:rsidRPr="006703B8">
        <w:t>of</w:t>
      </w:r>
      <w:r w:rsidR="00907D8C">
        <w:t xml:space="preserve"> </w:t>
      </w:r>
      <w:r w:rsidRPr="006703B8">
        <w:t>the</w:t>
      </w:r>
      <w:r w:rsidR="00907D8C">
        <w:t xml:space="preserve"> </w:t>
      </w:r>
      <w:r w:rsidRPr="006703B8">
        <w:t>popu</w:t>
      </w:r>
      <w:r w:rsidR="00036FAC">
        <w:t>lation</w:t>
      </w:r>
      <w:r w:rsidR="00907D8C">
        <w:t xml:space="preserve"> </w:t>
      </w:r>
      <w:r w:rsidR="00036FAC">
        <w:t>in</w:t>
      </w:r>
      <w:r w:rsidR="00907D8C">
        <w:t xml:space="preserve"> </w:t>
      </w:r>
      <w:r w:rsidR="00036FAC">
        <w:t>low-income</w:t>
      </w:r>
      <w:r w:rsidR="00907D8C">
        <w:t xml:space="preserve"> </w:t>
      </w:r>
      <w:r w:rsidR="00036FAC">
        <w:t>households</w:t>
      </w:r>
      <w:r w:rsidR="001563B6" w:rsidRPr="006703B8">
        <w:t xml:space="preserve"> </w:t>
      </w:r>
      <w:r w:rsidRPr="006703B8">
        <w:t>(60</w:t>
      </w:r>
      <w:r w:rsidR="00907D8C">
        <w:t xml:space="preserve"> </w:t>
      </w:r>
      <w:r w:rsidRPr="006703B8">
        <w:t>per</w:t>
      </w:r>
      <w:r w:rsidR="00907D8C">
        <w:t xml:space="preserve"> </w:t>
      </w:r>
      <w:r w:rsidRPr="006703B8">
        <w:t>cent</w:t>
      </w:r>
      <w:r w:rsidR="00907D8C">
        <w:t xml:space="preserve"> </w:t>
      </w:r>
      <w:r w:rsidRPr="006703B8">
        <w:t>threshold),</w:t>
      </w:r>
      <w:r w:rsidR="00907D8C">
        <w:t xml:space="preserve"> </w:t>
      </w:r>
      <w:r w:rsidR="001563B6">
        <w:br/>
      </w:r>
      <w:r w:rsidR="001563B6">
        <w:tab/>
      </w:r>
      <w:r w:rsidR="001563B6">
        <w:tab/>
      </w:r>
      <w:r w:rsidRPr="006703B8">
        <w:t>by</w:t>
      </w:r>
      <w:r w:rsidR="00907D8C">
        <w:t xml:space="preserve"> </w:t>
      </w:r>
      <w:r w:rsidRPr="006703B8">
        <w:t>age</w:t>
      </w:r>
      <w:r w:rsidR="00907D8C">
        <w:t xml:space="preserve"> </w:t>
      </w:r>
      <w:r w:rsidRPr="006703B8">
        <w:t>and</w:t>
      </w:r>
      <w:r w:rsidR="00907D8C">
        <w:t xml:space="preserve"> </w:t>
      </w:r>
      <w:r w:rsidRPr="006703B8">
        <w:t>sex,</w:t>
      </w:r>
      <w:r w:rsidR="00907D8C">
        <w:t xml:space="preserve"> </w:t>
      </w:r>
      <w:r w:rsidRPr="006703B8">
        <w:t>selected</w:t>
      </w:r>
      <w:r w:rsidR="00907D8C">
        <w:t xml:space="preserve"> </w:t>
      </w:r>
      <w:r w:rsidRPr="006703B8">
        <w:t>years,</w:t>
      </w:r>
      <w:r w:rsidR="00907D8C">
        <w:t xml:space="preserve"> </w:t>
      </w:r>
      <w:r w:rsidRPr="006703B8">
        <w:t>1986–2008</w:t>
      </w:r>
      <w:r w:rsidRPr="006703B8">
        <w:tab/>
      </w:r>
      <w:r w:rsidRPr="006703B8">
        <w:tab/>
      </w:r>
      <w:r w:rsidR="00282EA1">
        <w:t>21</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20.</w:t>
      </w:r>
      <w:r w:rsidRPr="006703B8">
        <w:tab/>
        <w:t>Real</w:t>
      </w:r>
      <w:r w:rsidR="00907D8C">
        <w:t xml:space="preserve"> </w:t>
      </w:r>
      <w:r w:rsidRPr="006703B8">
        <w:t>equi</w:t>
      </w:r>
      <w:r w:rsidR="00036FAC">
        <w:t>valiz</w:t>
      </w:r>
      <w:r w:rsidRPr="006703B8">
        <w:t>ed</w:t>
      </w:r>
      <w:r w:rsidR="00907D8C">
        <w:t xml:space="preserve"> </w:t>
      </w:r>
      <w:r w:rsidRPr="006703B8">
        <w:t>median</w:t>
      </w:r>
      <w:r w:rsidR="00907D8C">
        <w:t xml:space="preserve"> </w:t>
      </w:r>
      <w:r w:rsidRPr="006703B8">
        <w:t>household</w:t>
      </w:r>
      <w:r w:rsidR="00907D8C">
        <w:t xml:space="preserve"> </w:t>
      </w:r>
      <w:r w:rsidRPr="006703B8">
        <w:t>incomes,</w:t>
      </w:r>
      <w:r w:rsidR="00907D8C">
        <w:t xml:space="preserve"> </w:t>
      </w:r>
      <w:r w:rsidRPr="006703B8">
        <w:t>by</w:t>
      </w:r>
      <w:r w:rsidR="00907D8C">
        <w:t xml:space="preserve"> </w:t>
      </w:r>
      <w:r w:rsidRPr="006703B8">
        <w:t>ethnic</w:t>
      </w:r>
      <w:r w:rsidR="00907D8C">
        <w:t xml:space="preserve"> </w:t>
      </w:r>
      <w:r w:rsidRPr="006703B8">
        <w:t>group,</w:t>
      </w:r>
      <w:r w:rsidR="00907D8C">
        <w:t xml:space="preserve"> </w:t>
      </w:r>
      <w:r w:rsidRPr="006703B8">
        <w:t>1988–2008</w:t>
      </w:r>
      <w:r w:rsidRPr="006703B8">
        <w:tab/>
      </w:r>
      <w:r w:rsidRPr="006703B8">
        <w:tab/>
      </w:r>
      <w:r w:rsidR="00282EA1">
        <w:t>2</w:t>
      </w:r>
      <w:r w:rsidR="00B91FD3">
        <w:t>1</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21.</w:t>
      </w:r>
      <w:r w:rsidRPr="006703B8">
        <w:tab/>
        <w:t>Life</w:t>
      </w:r>
      <w:r w:rsidR="00907D8C">
        <w:t xml:space="preserve"> </w:t>
      </w:r>
      <w:r w:rsidRPr="006703B8">
        <w:t>expectancy</w:t>
      </w:r>
      <w:r w:rsidR="00907D8C">
        <w:t xml:space="preserve"> </w:t>
      </w:r>
      <w:r w:rsidRPr="006703B8">
        <w:t>at</w:t>
      </w:r>
      <w:r w:rsidR="00907D8C">
        <w:t xml:space="preserve"> </w:t>
      </w:r>
      <w:r w:rsidRPr="006703B8">
        <w:t>birth</w:t>
      </w:r>
      <w:r w:rsidRPr="006703B8">
        <w:tab/>
      </w:r>
      <w:r w:rsidRPr="006703B8">
        <w:tab/>
      </w:r>
      <w:r w:rsidR="00282EA1">
        <w:t>22</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22.</w:t>
      </w:r>
      <w:r w:rsidR="006703B8" w:rsidRPr="006703B8">
        <w:tab/>
        <w:t>Ten</w:t>
      </w:r>
      <w:r w:rsidR="00907D8C">
        <w:t xml:space="preserve"> </w:t>
      </w:r>
      <w:r w:rsidR="006703B8" w:rsidRPr="006703B8">
        <w:t>major</w:t>
      </w:r>
      <w:r w:rsidR="00907D8C">
        <w:t xml:space="preserve"> </w:t>
      </w:r>
      <w:r w:rsidR="006703B8" w:rsidRPr="006703B8">
        <w:t>causes</w:t>
      </w:r>
      <w:r w:rsidR="00907D8C">
        <w:t xml:space="preserve"> </w:t>
      </w:r>
      <w:r w:rsidR="006703B8" w:rsidRPr="006703B8">
        <w:t>of</w:t>
      </w:r>
      <w:r w:rsidR="00907D8C">
        <w:t xml:space="preserve"> </w:t>
      </w:r>
      <w:r w:rsidR="006703B8" w:rsidRPr="006703B8">
        <w:t>death</w:t>
      </w:r>
      <w:r w:rsidR="006703B8" w:rsidRPr="006703B8">
        <w:tab/>
      </w:r>
      <w:r w:rsidR="006703B8" w:rsidRPr="006703B8">
        <w:tab/>
      </w:r>
      <w:r w:rsidR="00282EA1">
        <w:t>23</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23.</w:t>
      </w:r>
      <w:r w:rsidR="006703B8" w:rsidRPr="006703B8">
        <w:tab/>
        <w:t>Rates</w:t>
      </w:r>
      <w:r w:rsidR="00907D8C">
        <w:t xml:space="preserve"> </w:t>
      </w:r>
      <w:r w:rsidR="006703B8" w:rsidRPr="006703B8">
        <w:t>for</w:t>
      </w:r>
      <w:r w:rsidR="00907D8C">
        <w:t xml:space="preserve"> </w:t>
      </w:r>
      <w:r w:rsidR="006703B8" w:rsidRPr="006703B8">
        <w:t>all</w:t>
      </w:r>
      <w:r w:rsidR="00907D8C">
        <w:t xml:space="preserve"> </w:t>
      </w:r>
      <w:r w:rsidR="006703B8" w:rsidRPr="006703B8">
        <w:t>causes</w:t>
      </w:r>
      <w:r w:rsidR="00907D8C">
        <w:t xml:space="preserve"> </w:t>
      </w:r>
      <w:r w:rsidR="006703B8" w:rsidRPr="006703B8">
        <w:t>of</w:t>
      </w:r>
      <w:r w:rsidR="00907D8C">
        <w:t xml:space="preserve"> </w:t>
      </w:r>
      <w:r w:rsidR="006703B8" w:rsidRPr="006703B8">
        <w:t>mortality,</w:t>
      </w:r>
      <w:r w:rsidR="00907D8C">
        <w:t xml:space="preserve"> </w:t>
      </w:r>
      <w:r w:rsidR="006703B8" w:rsidRPr="006703B8">
        <w:t>2006</w:t>
      </w:r>
      <w:r w:rsidR="006703B8" w:rsidRPr="006703B8">
        <w:tab/>
      </w:r>
      <w:r w:rsidR="006703B8" w:rsidRPr="006703B8">
        <w:tab/>
      </w:r>
      <w:r w:rsidR="00282EA1">
        <w:t>24</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24.</w:t>
      </w:r>
      <w:r w:rsidRPr="006703B8">
        <w:tab/>
        <w:t>Death</w:t>
      </w:r>
      <w:r w:rsidR="00907D8C">
        <w:t xml:space="preserve"> </w:t>
      </w:r>
      <w:r w:rsidRPr="006703B8">
        <w:t>rates</w:t>
      </w:r>
      <w:r w:rsidR="00907D8C">
        <w:t xml:space="preserve"> </w:t>
      </w:r>
      <w:r w:rsidRPr="006703B8">
        <w:t>from</w:t>
      </w:r>
      <w:r w:rsidR="00907D8C">
        <w:t xml:space="preserve"> </w:t>
      </w:r>
      <w:r w:rsidRPr="006703B8">
        <w:t>all</w:t>
      </w:r>
      <w:r w:rsidR="00907D8C">
        <w:t xml:space="preserve"> </w:t>
      </w:r>
      <w:r w:rsidRPr="006703B8">
        <w:t>causes</w:t>
      </w:r>
      <w:r w:rsidR="00907D8C">
        <w:t xml:space="preserve"> </w:t>
      </w:r>
      <w:r w:rsidRPr="006703B8">
        <w:t>of</w:t>
      </w:r>
      <w:r w:rsidR="00907D8C">
        <w:t xml:space="preserve"> </w:t>
      </w:r>
      <w:r w:rsidRPr="006703B8">
        <w:t>death,</w:t>
      </w:r>
      <w:r w:rsidR="00907D8C">
        <w:t xml:space="preserve"> </w:t>
      </w:r>
      <w:r w:rsidR="00E607C4">
        <w:t>2006</w:t>
      </w:r>
      <w:r w:rsidR="00E607C4">
        <w:tab/>
      </w:r>
      <w:r w:rsidR="00E607C4">
        <w:tab/>
      </w:r>
      <w:r w:rsidR="00282EA1">
        <w:t>24</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25.</w:t>
      </w:r>
      <w:r w:rsidRPr="006703B8">
        <w:tab/>
        <w:t>Infant</w:t>
      </w:r>
      <w:r w:rsidR="00907D8C">
        <w:t xml:space="preserve"> </w:t>
      </w:r>
      <w:r w:rsidRPr="006703B8">
        <w:t>mortality</w:t>
      </w:r>
      <w:r w:rsidR="00907D8C">
        <w:t xml:space="preserve"> </w:t>
      </w:r>
      <w:r w:rsidRPr="006703B8">
        <w:t>rates</w:t>
      </w:r>
      <w:r w:rsidR="00907D8C">
        <w:t xml:space="preserve"> </w:t>
      </w:r>
      <w:r w:rsidRPr="006703B8">
        <w:t>by</w:t>
      </w:r>
      <w:r w:rsidR="00907D8C">
        <w:t xml:space="preserve"> </w:t>
      </w:r>
      <w:r w:rsidRPr="006703B8">
        <w:t>ethnicity</w:t>
      </w:r>
      <w:r w:rsidR="00907D8C">
        <w:t xml:space="preserve"> </w:t>
      </w:r>
      <w:r w:rsidRPr="006703B8">
        <w:t>and</w:t>
      </w:r>
      <w:r w:rsidR="00907D8C">
        <w:t xml:space="preserve"> </w:t>
      </w:r>
      <w:r w:rsidRPr="006703B8">
        <w:t>year</w:t>
      </w:r>
      <w:r w:rsidRPr="006703B8">
        <w:tab/>
      </w:r>
      <w:r w:rsidRPr="006703B8">
        <w:tab/>
      </w:r>
      <w:r w:rsidR="00282EA1">
        <w:t>25</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26.</w:t>
      </w:r>
      <w:r w:rsidRPr="006703B8">
        <w:tab/>
        <w:t>Mortality</w:t>
      </w:r>
      <w:r w:rsidR="00907D8C">
        <w:t xml:space="preserve"> </w:t>
      </w:r>
      <w:r w:rsidRPr="006703B8">
        <w:t>(age-specific</w:t>
      </w:r>
      <w:r w:rsidR="00907D8C">
        <w:t xml:space="preserve"> </w:t>
      </w:r>
      <w:r w:rsidRPr="006703B8">
        <w:t>rate</w:t>
      </w:r>
      <w:r w:rsidR="00907D8C">
        <w:t xml:space="preserve"> </w:t>
      </w:r>
      <w:r w:rsidRPr="006703B8">
        <w:t>per</w:t>
      </w:r>
      <w:r w:rsidR="00907D8C">
        <w:t xml:space="preserve"> </w:t>
      </w:r>
      <w:r w:rsidRPr="006703B8">
        <w:t>100,000</w:t>
      </w:r>
      <w:r w:rsidR="00907D8C">
        <w:t xml:space="preserve"> </w:t>
      </w:r>
      <w:r w:rsidRPr="006703B8">
        <w:t>in</w:t>
      </w:r>
      <w:r w:rsidR="00907D8C">
        <w:t xml:space="preserve"> </w:t>
      </w:r>
      <w:r w:rsidRPr="006703B8">
        <w:t>children</w:t>
      </w:r>
      <w:r w:rsidR="00907D8C">
        <w:t xml:space="preserve"> </w:t>
      </w:r>
      <w:r w:rsidRPr="006703B8">
        <w:t>aged</w:t>
      </w:r>
      <w:r w:rsidR="00907D8C">
        <w:t xml:space="preserve"> </w:t>
      </w:r>
      <w:r w:rsidRPr="006703B8">
        <w:t>1–4</w:t>
      </w:r>
      <w:r w:rsidR="00907D8C">
        <w:t xml:space="preserve"> </w:t>
      </w:r>
      <w:r w:rsidRPr="006703B8">
        <w:t>years),</w:t>
      </w:r>
      <w:r w:rsidR="00531C16">
        <w:t xml:space="preserve"> </w:t>
      </w:r>
      <w:r w:rsidR="00282EA1">
        <w:t>19</w:t>
      </w:r>
      <w:r w:rsidRPr="006703B8">
        <w:t>79–2008</w:t>
      </w:r>
      <w:r w:rsidRPr="006703B8">
        <w:tab/>
      </w:r>
      <w:r w:rsidRPr="006703B8">
        <w:tab/>
      </w:r>
      <w:r w:rsidR="00282EA1">
        <w:t>26</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27.</w:t>
      </w:r>
      <w:r w:rsidRPr="006703B8">
        <w:tab/>
        <w:t>Mortality</w:t>
      </w:r>
      <w:r w:rsidR="00907D8C">
        <w:t xml:space="preserve"> </w:t>
      </w:r>
      <w:r w:rsidRPr="006703B8">
        <w:t>(age-specific</w:t>
      </w:r>
      <w:r w:rsidR="00907D8C">
        <w:t xml:space="preserve"> </w:t>
      </w:r>
      <w:r w:rsidRPr="006703B8">
        <w:t>rates</w:t>
      </w:r>
      <w:r w:rsidR="00907D8C">
        <w:t xml:space="preserve"> </w:t>
      </w:r>
      <w:r w:rsidRPr="006703B8">
        <w:t>per</w:t>
      </w:r>
      <w:r w:rsidR="00907D8C">
        <w:t xml:space="preserve"> </w:t>
      </w:r>
      <w:r w:rsidRPr="006703B8">
        <w:t>100,000</w:t>
      </w:r>
      <w:r w:rsidR="00907D8C">
        <w:t xml:space="preserve"> </w:t>
      </w:r>
      <w:r w:rsidR="00036FAC">
        <w:t>in</w:t>
      </w:r>
      <w:r w:rsidR="00907D8C">
        <w:t xml:space="preserve"> </w:t>
      </w:r>
      <w:r w:rsidR="00036FAC">
        <w:t>Māori</w:t>
      </w:r>
      <w:r w:rsidR="00907D8C">
        <w:t xml:space="preserve"> </w:t>
      </w:r>
      <w:r w:rsidR="00036FAC">
        <w:t>and</w:t>
      </w:r>
      <w:r w:rsidR="00907D8C">
        <w:t xml:space="preserve"> </w:t>
      </w:r>
      <w:r w:rsidR="00036FAC">
        <w:t>non-Māori</w:t>
      </w:r>
      <w:r w:rsidR="00907D8C">
        <w:t xml:space="preserve"> </w:t>
      </w:r>
      <w:r w:rsidR="00036FAC">
        <w:t>children</w:t>
      </w:r>
      <w:r w:rsidR="00531C16">
        <w:t xml:space="preserve"> </w:t>
      </w:r>
      <w:r w:rsidR="00531C16">
        <w:br/>
      </w:r>
      <w:r w:rsidR="00531C16">
        <w:tab/>
      </w:r>
      <w:r w:rsidR="00531C16">
        <w:tab/>
        <w:t>(</w:t>
      </w:r>
      <w:r w:rsidRPr="006703B8">
        <w:t>aged</w:t>
      </w:r>
      <w:r w:rsidR="00907D8C">
        <w:t xml:space="preserve"> </w:t>
      </w:r>
      <w:r w:rsidRPr="006703B8">
        <w:t>1–4</w:t>
      </w:r>
      <w:r w:rsidR="00907D8C">
        <w:t xml:space="preserve"> </w:t>
      </w:r>
      <w:r w:rsidRPr="006703B8">
        <w:t>years),</w:t>
      </w:r>
      <w:r w:rsidR="00907D8C">
        <w:t xml:space="preserve"> </w:t>
      </w:r>
      <w:r w:rsidRPr="006703B8">
        <w:t>2003–</w:t>
      </w:r>
      <w:r w:rsidR="001F2C6F">
        <w:t>20</w:t>
      </w:r>
      <w:r w:rsidRPr="006703B8">
        <w:t>08</w:t>
      </w:r>
      <w:r w:rsidRPr="006703B8">
        <w:tab/>
      </w:r>
      <w:r w:rsidRPr="006703B8">
        <w:tab/>
      </w:r>
      <w:r w:rsidR="00282EA1">
        <w:t>26</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28.</w:t>
      </w:r>
      <w:r w:rsidRPr="006703B8">
        <w:tab/>
        <w:t>Maternal</w:t>
      </w:r>
      <w:r w:rsidR="00907D8C">
        <w:t xml:space="preserve"> </w:t>
      </w:r>
      <w:r w:rsidRPr="006703B8">
        <w:t>mortality</w:t>
      </w:r>
      <w:r w:rsidR="00907D8C">
        <w:t xml:space="preserve"> </w:t>
      </w:r>
      <w:r w:rsidRPr="006703B8">
        <w:t>rate</w:t>
      </w:r>
      <w:r w:rsidR="00907D8C">
        <w:t xml:space="preserve"> </w:t>
      </w:r>
      <w:r w:rsidRPr="006703B8">
        <w:t>(three-year</w:t>
      </w:r>
      <w:r w:rsidR="00907D8C">
        <w:t xml:space="preserve"> </w:t>
      </w:r>
      <w:r w:rsidRPr="006703B8">
        <w:t>moving</w:t>
      </w:r>
      <w:r w:rsidR="00907D8C">
        <w:t xml:space="preserve"> </w:t>
      </w:r>
      <w:r w:rsidRPr="006703B8">
        <w:t>average)</w:t>
      </w:r>
      <w:r w:rsidRPr="006703B8">
        <w:tab/>
      </w:r>
      <w:r w:rsidRPr="006703B8">
        <w:tab/>
      </w:r>
      <w:r w:rsidR="00282EA1">
        <w:t>2</w:t>
      </w:r>
      <w:r w:rsidR="00AA1A13">
        <w:t>7</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29.</w:t>
      </w:r>
      <w:r w:rsidRPr="006703B8">
        <w:tab/>
        <w:t>Non-communicable</w:t>
      </w:r>
      <w:r w:rsidR="00907D8C">
        <w:t xml:space="preserve"> </w:t>
      </w:r>
      <w:r w:rsidRPr="006703B8">
        <w:t>disease</w:t>
      </w:r>
      <w:r w:rsidR="00907D8C">
        <w:t xml:space="preserve"> </w:t>
      </w:r>
      <w:r w:rsidRPr="006703B8">
        <w:t>age-standardi</w:t>
      </w:r>
      <w:r w:rsidR="00036FAC">
        <w:t>z</w:t>
      </w:r>
      <w:r w:rsidRPr="006703B8">
        <w:t>ed</w:t>
      </w:r>
      <w:r w:rsidR="00907D8C">
        <w:t xml:space="preserve"> </w:t>
      </w:r>
      <w:r w:rsidRPr="006703B8">
        <w:t>rates</w:t>
      </w:r>
      <w:r w:rsidR="00907D8C">
        <w:t xml:space="preserve"> </w:t>
      </w:r>
      <w:r w:rsidRPr="006703B8">
        <w:t>by</w:t>
      </w:r>
      <w:r w:rsidR="00907D8C">
        <w:t xml:space="preserve"> </w:t>
      </w:r>
      <w:r w:rsidRPr="006703B8">
        <w:t>ethnicity</w:t>
      </w:r>
      <w:r w:rsidRPr="006703B8">
        <w:tab/>
      </w:r>
      <w:r w:rsidRPr="006703B8">
        <w:tab/>
      </w:r>
      <w:r w:rsidR="00282EA1">
        <w:t>28</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30.</w:t>
      </w:r>
      <w:r w:rsidRPr="006703B8">
        <w:tab/>
        <w:t>Communicable</w:t>
      </w:r>
      <w:r w:rsidR="00907D8C">
        <w:t xml:space="preserve"> </w:t>
      </w:r>
      <w:r w:rsidRPr="006703B8">
        <w:t>disease</w:t>
      </w:r>
      <w:r w:rsidR="00907D8C">
        <w:t xml:space="preserve"> </w:t>
      </w:r>
      <w:r w:rsidRPr="006703B8">
        <w:t>age-standardi</w:t>
      </w:r>
      <w:r w:rsidR="00036FAC">
        <w:t>z</w:t>
      </w:r>
      <w:r w:rsidRPr="006703B8">
        <w:t>ed</w:t>
      </w:r>
      <w:r w:rsidR="00907D8C">
        <w:t xml:space="preserve"> </w:t>
      </w:r>
      <w:r w:rsidRPr="006703B8">
        <w:t>rates</w:t>
      </w:r>
      <w:r w:rsidR="00907D8C">
        <w:t xml:space="preserve"> </w:t>
      </w:r>
      <w:r w:rsidRPr="006703B8">
        <w:t>by</w:t>
      </w:r>
      <w:r w:rsidR="00907D8C">
        <w:t xml:space="preserve"> </w:t>
      </w:r>
      <w:r w:rsidRPr="006703B8">
        <w:t>ethnicity</w:t>
      </w:r>
      <w:r w:rsidRPr="006703B8">
        <w:tab/>
      </w:r>
      <w:r w:rsidRPr="006703B8">
        <w:tab/>
      </w:r>
      <w:r w:rsidR="00282EA1">
        <w:t>28</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31.</w:t>
      </w:r>
      <w:r w:rsidRPr="006703B8">
        <w:tab/>
        <w:t>Selected</w:t>
      </w:r>
      <w:r w:rsidR="00907D8C">
        <w:t xml:space="preserve"> </w:t>
      </w:r>
      <w:r w:rsidRPr="006703B8">
        <w:t>communicable</w:t>
      </w:r>
      <w:r w:rsidR="00907D8C">
        <w:t xml:space="preserve"> </w:t>
      </w:r>
      <w:r w:rsidRPr="006703B8">
        <w:t>and</w:t>
      </w:r>
      <w:r w:rsidR="00907D8C">
        <w:t xml:space="preserve"> </w:t>
      </w:r>
      <w:r w:rsidRPr="006703B8">
        <w:t>non-communicable</w:t>
      </w:r>
      <w:r w:rsidR="00907D8C">
        <w:t xml:space="preserve"> </w:t>
      </w:r>
      <w:r w:rsidRPr="006703B8">
        <w:t>disease</w:t>
      </w:r>
      <w:r w:rsidR="00907D8C">
        <w:t xml:space="preserve"> </w:t>
      </w:r>
      <w:r w:rsidRPr="006703B8">
        <w:t>hospitali</w:t>
      </w:r>
      <w:r w:rsidR="001F2C6F">
        <w:t>z</w:t>
      </w:r>
      <w:r w:rsidRPr="006703B8">
        <w:t>ations</w:t>
      </w:r>
      <w:r w:rsidRPr="006703B8">
        <w:tab/>
      </w:r>
      <w:r w:rsidRPr="006703B8">
        <w:tab/>
      </w:r>
      <w:r w:rsidR="00282EA1">
        <w:t>29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32.</w:t>
      </w:r>
      <w:r w:rsidRPr="006703B8">
        <w:tab/>
        <w:t>Selected</w:t>
      </w:r>
      <w:r w:rsidR="00907D8C">
        <w:t xml:space="preserve"> </w:t>
      </w:r>
      <w:r w:rsidRPr="006703B8">
        <w:t>communicable</w:t>
      </w:r>
      <w:r w:rsidR="00907D8C">
        <w:t xml:space="preserve"> </w:t>
      </w:r>
      <w:r w:rsidRPr="006703B8">
        <w:t>and</w:t>
      </w:r>
      <w:r w:rsidR="00907D8C">
        <w:t xml:space="preserve"> </w:t>
      </w:r>
      <w:r w:rsidRPr="006703B8">
        <w:t>non-communicable</w:t>
      </w:r>
      <w:r w:rsidR="00907D8C">
        <w:t xml:space="preserve"> </w:t>
      </w:r>
      <w:r w:rsidRPr="006703B8">
        <w:t>disease</w:t>
      </w:r>
      <w:r w:rsidR="00907D8C">
        <w:t xml:space="preserve"> </w:t>
      </w:r>
      <w:r w:rsidRPr="006703B8">
        <w:t>rates</w:t>
      </w:r>
      <w:r w:rsidR="00907D8C">
        <w:t xml:space="preserve"> </w:t>
      </w:r>
      <w:r w:rsidRPr="006703B8">
        <w:t>by</w:t>
      </w:r>
      <w:r w:rsidR="00907D8C">
        <w:t xml:space="preserve"> </w:t>
      </w:r>
      <w:r w:rsidRPr="006703B8">
        <w:t>ethnicity,</w:t>
      </w:r>
      <w:r w:rsidR="00907D8C">
        <w:t xml:space="preserve"> </w:t>
      </w:r>
      <w:r w:rsidRPr="006703B8">
        <w:t>2006</w:t>
      </w:r>
      <w:r w:rsidRPr="006703B8">
        <w:tab/>
      </w:r>
      <w:r w:rsidRPr="006703B8">
        <w:tab/>
      </w:r>
      <w:r w:rsidR="00282EA1">
        <w:t>29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33.</w:t>
      </w:r>
      <w:r w:rsidRPr="006703B8">
        <w:tab/>
        <w:t>Hospitali</w:t>
      </w:r>
      <w:r w:rsidR="00036FAC">
        <w:t>z</w:t>
      </w:r>
      <w:r w:rsidRPr="006703B8">
        <w:t>ation</w:t>
      </w:r>
      <w:r w:rsidR="00907D8C">
        <w:t xml:space="preserve"> </w:t>
      </w:r>
      <w:r w:rsidRPr="006703B8">
        <w:t>rates</w:t>
      </w:r>
      <w:r w:rsidR="00907D8C">
        <w:t xml:space="preserve"> </w:t>
      </w:r>
      <w:r w:rsidRPr="006703B8">
        <w:t>for</w:t>
      </w:r>
      <w:r w:rsidR="00907D8C">
        <w:t xml:space="preserve"> </w:t>
      </w:r>
      <w:r w:rsidRPr="006703B8">
        <w:t>communicable</w:t>
      </w:r>
      <w:r w:rsidR="00907D8C">
        <w:t xml:space="preserve"> </w:t>
      </w:r>
      <w:r w:rsidRPr="006703B8">
        <w:t>and</w:t>
      </w:r>
      <w:r w:rsidR="00907D8C">
        <w:t xml:space="preserve"> </w:t>
      </w:r>
      <w:r w:rsidRPr="006703B8">
        <w:t>non-communicable</w:t>
      </w:r>
      <w:r w:rsidR="00907D8C">
        <w:t xml:space="preserve"> </w:t>
      </w:r>
      <w:r w:rsidRPr="006703B8">
        <w:t>diseases</w:t>
      </w:r>
      <w:r w:rsidR="00907D8C">
        <w:t xml:space="preserve"> </w:t>
      </w:r>
      <w:r w:rsidRPr="006703B8">
        <w:t>by</w:t>
      </w:r>
      <w:r w:rsidR="00907D8C">
        <w:t xml:space="preserve"> </w:t>
      </w:r>
      <w:r w:rsidRPr="006703B8">
        <w:t>age</w:t>
      </w:r>
      <w:r w:rsidRPr="006703B8">
        <w:tab/>
      </w:r>
      <w:r w:rsidRPr="006703B8">
        <w:tab/>
      </w:r>
      <w:r w:rsidR="00282EA1">
        <w:t>30</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34.</w:t>
      </w:r>
      <w:r w:rsidR="006703B8" w:rsidRPr="006703B8">
        <w:tab/>
        <w:t>Age-standardi</w:t>
      </w:r>
      <w:r>
        <w:t>z</w:t>
      </w:r>
      <w:r w:rsidR="006703B8" w:rsidRPr="006703B8">
        <w:t>ed</w:t>
      </w:r>
      <w:r w:rsidR="00907D8C">
        <w:t xml:space="preserve"> </w:t>
      </w:r>
      <w:r w:rsidR="006703B8" w:rsidRPr="006703B8">
        <w:t>rates</w:t>
      </w:r>
      <w:r w:rsidR="00907D8C">
        <w:t xml:space="preserve"> </w:t>
      </w:r>
      <w:r w:rsidR="006703B8" w:rsidRPr="006703B8">
        <w:t>for</w:t>
      </w:r>
      <w:r w:rsidR="00907D8C">
        <w:t xml:space="preserve"> </w:t>
      </w:r>
      <w:r w:rsidR="006703B8" w:rsidRPr="006703B8">
        <w:t>provision</w:t>
      </w:r>
      <w:r w:rsidR="00907D8C">
        <w:t xml:space="preserve"> </w:t>
      </w:r>
      <w:r w:rsidR="006703B8" w:rsidRPr="006703B8">
        <w:t>of</w:t>
      </w:r>
      <w:r w:rsidR="00907D8C">
        <w:t xml:space="preserve"> </w:t>
      </w:r>
      <w:r w:rsidR="006703B8" w:rsidRPr="006703B8">
        <w:t>mental</w:t>
      </w:r>
      <w:r w:rsidR="00907D8C">
        <w:t xml:space="preserve"> </w:t>
      </w:r>
      <w:r w:rsidR="006703B8" w:rsidRPr="006703B8">
        <w:t>health</w:t>
      </w:r>
      <w:r w:rsidR="00907D8C">
        <w:t xml:space="preserve"> </w:t>
      </w:r>
      <w:r w:rsidR="006703B8" w:rsidRPr="006703B8">
        <w:t>services</w:t>
      </w:r>
      <w:r w:rsidR="00907D8C">
        <w:t xml:space="preserve"> </w:t>
      </w:r>
      <w:r w:rsidR="006703B8" w:rsidRPr="006703B8">
        <w:t>per</w:t>
      </w:r>
      <w:r w:rsidR="000F1BB2">
        <w:t xml:space="preserve"> </w:t>
      </w:r>
      <w:r w:rsidR="006703B8" w:rsidRPr="006703B8">
        <w:t>100,000</w:t>
      </w:r>
      <w:r w:rsidR="00907D8C">
        <w:t xml:space="preserve"> </w:t>
      </w:r>
      <w:r w:rsidR="006703B8" w:rsidRPr="006703B8">
        <w:t>population,</w:t>
      </w:r>
      <w:r w:rsidR="000F1BB2">
        <w:br/>
      </w:r>
      <w:r w:rsidR="000F1BB2">
        <w:tab/>
      </w:r>
      <w:r w:rsidR="000F1BB2">
        <w:tab/>
      </w:r>
      <w:r w:rsidR="006703B8" w:rsidRPr="006703B8">
        <w:t>by</w:t>
      </w:r>
      <w:r w:rsidR="00907D8C">
        <w:t xml:space="preserve"> </w:t>
      </w:r>
      <w:r w:rsidR="006703B8" w:rsidRPr="006703B8">
        <w:t>ethnic</w:t>
      </w:r>
      <w:r w:rsidR="00907D8C">
        <w:t xml:space="preserve"> </w:t>
      </w:r>
      <w:r w:rsidR="006703B8" w:rsidRPr="006703B8">
        <w:t>group</w:t>
      </w:r>
      <w:r w:rsidR="00907D8C">
        <w:t xml:space="preserve"> </w:t>
      </w:r>
      <w:r w:rsidR="006703B8" w:rsidRPr="006703B8">
        <w:t>and</w:t>
      </w:r>
      <w:r w:rsidR="00907D8C">
        <w:t xml:space="preserve"> </w:t>
      </w:r>
      <w:r w:rsidR="006703B8" w:rsidRPr="006703B8">
        <w:t>sex,</w:t>
      </w:r>
      <w:r w:rsidR="00907D8C">
        <w:t xml:space="preserve"> </w:t>
      </w:r>
      <w:r w:rsidR="00C57DEE">
        <w:t>2006–</w:t>
      </w:r>
      <w:r w:rsidR="001F2C6F">
        <w:t>20</w:t>
      </w:r>
      <w:r w:rsidR="006703B8" w:rsidRPr="006703B8">
        <w:t>07</w:t>
      </w:r>
      <w:r w:rsidR="006703B8" w:rsidRPr="006703B8">
        <w:tab/>
      </w:r>
      <w:r w:rsidR="006703B8" w:rsidRPr="006703B8">
        <w:tab/>
      </w:r>
      <w:r w:rsidR="00282EA1">
        <w:t>30</w:t>
      </w:r>
    </w:p>
    <w:p w:rsidR="006703B8" w:rsidRPr="006703B8" w:rsidRDefault="006703B8" w:rsidP="0079523D">
      <w:pPr>
        <w:tabs>
          <w:tab w:val="right" w:pos="850"/>
          <w:tab w:val="left" w:pos="1134"/>
          <w:tab w:val="left" w:pos="1559"/>
          <w:tab w:val="left" w:pos="1984"/>
          <w:tab w:val="left" w:leader="dot" w:pos="8787"/>
          <w:tab w:val="right" w:pos="9638"/>
        </w:tabs>
        <w:spacing w:after="120"/>
      </w:pPr>
      <w:r w:rsidRPr="006703B8">
        <w:tab/>
        <w:t>35.</w:t>
      </w:r>
      <w:r w:rsidRPr="006703B8">
        <w:tab/>
        <w:t>Women</w:t>
      </w:r>
      <w:r w:rsidR="00907D8C">
        <w:t xml:space="preserve"> </w:t>
      </w:r>
      <w:r w:rsidRPr="006703B8">
        <w:t>of</w:t>
      </w:r>
      <w:r w:rsidR="00907D8C">
        <w:t xml:space="preserve"> </w:t>
      </w:r>
      <w:r w:rsidRPr="006703B8">
        <w:t>childbearing</w:t>
      </w:r>
      <w:r w:rsidR="00907D8C">
        <w:t xml:space="preserve"> </w:t>
      </w:r>
      <w:r w:rsidRPr="006703B8">
        <w:t>age</w:t>
      </w:r>
      <w:r w:rsidR="00907D8C">
        <w:t xml:space="preserve"> </w:t>
      </w:r>
      <w:r w:rsidRPr="006703B8">
        <w:t>using</w:t>
      </w:r>
      <w:r w:rsidR="00907D8C">
        <w:t xml:space="preserve"> </w:t>
      </w:r>
      <w:r w:rsidRPr="006703B8">
        <w:t>contraception</w:t>
      </w:r>
      <w:r w:rsidR="00907D8C">
        <w:t xml:space="preserve"> </w:t>
      </w:r>
      <w:r w:rsidRPr="006703B8">
        <w:t>or</w:t>
      </w:r>
      <w:r w:rsidR="00907D8C">
        <w:t xml:space="preserve"> </w:t>
      </w:r>
      <w:r w:rsidRPr="006703B8">
        <w:t>whose</w:t>
      </w:r>
      <w:r w:rsidR="00907D8C">
        <w:t xml:space="preserve"> </w:t>
      </w:r>
      <w:r w:rsidRPr="006703B8">
        <w:t>partner</w:t>
      </w:r>
      <w:r w:rsidR="00907D8C">
        <w:t xml:space="preserve"> </w:t>
      </w:r>
      <w:r w:rsidRPr="006703B8">
        <w:t>is</w:t>
      </w:r>
      <w:r w:rsidR="00907D8C">
        <w:t xml:space="preserve"> </w:t>
      </w:r>
      <w:r w:rsidRPr="006703B8">
        <w:t>using</w:t>
      </w:r>
      <w:r w:rsidR="00907D8C">
        <w:t xml:space="preserve"> </w:t>
      </w:r>
      <w:r w:rsidRPr="006703B8">
        <w:br/>
      </w:r>
      <w:r w:rsidR="00036FAC">
        <w:tab/>
      </w:r>
      <w:r w:rsidR="00036FAC">
        <w:tab/>
      </w:r>
      <w:r w:rsidR="0079523D">
        <w:t>contraception</w:t>
      </w:r>
      <w:r w:rsidR="0079523D">
        <w:tab/>
      </w:r>
      <w:r w:rsidRPr="006703B8">
        <w:tab/>
      </w:r>
      <w:r w:rsidR="00282EA1">
        <w:t>32</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36.</w:t>
      </w:r>
      <w:r w:rsidRPr="006703B8">
        <w:tab/>
        <w:t>Early</w:t>
      </w:r>
      <w:r w:rsidR="00907D8C">
        <w:t xml:space="preserve"> </w:t>
      </w:r>
      <w:r w:rsidRPr="006703B8">
        <w:t>leaving</w:t>
      </w:r>
      <w:r w:rsidR="00907D8C">
        <w:t xml:space="preserve"> </w:t>
      </w:r>
      <w:r w:rsidRPr="006703B8">
        <w:t>exemption</w:t>
      </w:r>
      <w:r w:rsidR="00907D8C">
        <w:t xml:space="preserve"> </w:t>
      </w:r>
      <w:r w:rsidRPr="006703B8">
        <w:t>rates</w:t>
      </w:r>
      <w:r w:rsidR="00907D8C">
        <w:t xml:space="preserve"> </w:t>
      </w:r>
      <w:r w:rsidRPr="006703B8">
        <w:t>per</w:t>
      </w:r>
      <w:r w:rsidR="00907D8C">
        <w:t xml:space="preserve"> </w:t>
      </w:r>
      <w:r w:rsidRPr="006703B8">
        <w:t>1,000</w:t>
      </w:r>
      <w:r w:rsidR="00907D8C">
        <w:t xml:space="preserve"> </w:t>
      </w:r>
      <w:r w:rsidRPr="006703B8">
        <w:t>15-year-old</w:t>
      </w:r>
      <w:r w:rsidR="00907D8C">
        <w:t xml:space="preserve"> </w:t>
      </w:r>
      <w:r w:rsidRPr="006703B8">
        <w:t>students,</w:t>
      </w:r>
      <w:r w:rsidR="00907D8C">
        <w:t xml:space="preserve"> </w:t>
      </w:r>
      <w:r w:rsidRPr="006703B8">
        <w:t>by</w:t>
      </w:r>
      <w:r w:rsidR="00907D8C">
        <w:t xml:space="preserve"> </w:t>
      </w:r>
      <w:r w:rsidRPr="006703B8">
        <w:t>ethnic</w:t>
      </w:r>
      <w:r w:rsidR="00907D8C">
        <w:t xml:space="preserve"> </w:t>
      </w:r>
      <w:r w:rsidRPr="006703B8">
        <w:t>group</w:t>
      </w:r>
      <w:r w:rsidR="00907D8C">
        <w:t xml:space="preserve"> </w:t>
      </w:r>
      <w:r w:rsidRPr="006703B8">
        <w:br/>
      </w:r>
      <w:r w:rsidR="00036FAC">
        <w:tab/>
      </w:r>
      <w:r w:rsidR="00036FAC">
        <w:tab/>
      </w:r>
      <w:r w:rsidRPr="006703B8">
        <w:t>(2000</w:t>
      </w:r>
      <w:r w:rsidR="00907D8C">
        <w:t xml:space="preserve"> </w:t>
      </w:r>
      <w:r w:rsidRPr="006703B8">
        <w:t>to</w:t>
      </w:r>
      <w:r w:rsidR="00907D8C">
        <w:t xml:space="preserve"> </w:t>
      </w:r>
      <w:r w:rsidRPr="006703B8">
        <w:t>2009)</w:t>
      </w:r>
      <w:r w:rsidR="00907D8C">
        <w:t xml:space="preserve"> </w:t>
      </w:r>
      <w:r w:rsidRPr="006703B8">
        <w:t>excluding</w:t>
      </w:r>
      <w:r w:rsidR="00907D8C">
        <w:t xml:space="preserve"> </w:t>
      </w:r>
      <w:r w:rsidRPr="006703B8">
        <w:t>international</w:t>
      </w:r>
      <w:r w:rsidR="00907D8C">
        <w:t xml:space="preserve"> </w:t>
      </w:r>
      <w:r w:rsidRPr="006703B8">
        <w:t>fee-paying</w:t>
      </w:r>
      <w:r w:rsidR="00907D8C">
        <w:t xml:space="preserve"> </w:t>
      </w:r>
      <w:r w:rsidRPr="006703B8">
        <w:t>students</w:t>
      </w:r>
      <w:r w:rsidRPr="006703B8">
        <w:tab/>
      </w:r>
      <w:r w:rsidRPr="006703B8">
        <w:tab/>
      </w:r>
      <w:r w:rsidR="00282EA1">
        <w:t>33</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37.</w:t>
      </w:r>
      <w:r w:rsidR="006703B8" w:rsidRPr="006703B8">
        <w:tab/>
        <w:t>Early</w:t>
      </w:r>
      <w:r w:rsidR="00907D8C">
        <w:t xml:space="preserve"> </w:t>
      </w:r>
      <w:r w:rsidR="006703B8" w:rsidRPr="006703B8">
        <w:t>leaving</w:t>
      </w:r>
      <w:r w:rsidR="00907D8C">
        <w:t xml:space="preserve"> </w:t>
      </w:r>
      <w:r w:rsidR="006703B8" w:rsidRPr="006703B8">
        <w:t>exemption</w:t>
      </w:r>
      <w:r w:rsidR="00907D8C">
        <w:t xml:space="preserve"> </w:t>
      </w:r>
      <w:r w:rsidR="006703B8" w:rsidRPr="006703B8">
        <w:t>rates</w:t>
      </w:r>
      <w:r w:rsidR="00907D8C">
        <w:t xml:space="preserve"> </w:t>
      </w:r>
      <w:r w:rsidR="006703B8" w:rsidRPr="006703B8">
        <w:t>per</w:t>
      </w:r>
      <w:r w:rsidR="00907D8C">
        <w:t xml:space="preserve"> </w:t>
      </w:r>
      <w:r w:rsidR="006703B8" w:rsidRPr="006703B8">
        <w:t>1,000</w:t>
      </w:r>
      <w:r w:rsidR="00907D8C">
        <w:t xml:space="preserve"> </w:t>
      </w:r>
      <w:r w:rsidR="006703B8" w:rsidRPr="006703B8">
        <w:t>15-year-old</w:t>
      </w:r>
      <w:r w:rsidR="00907D8C">
        <w:t xml:space="preserve"> </w:t>
      </w:r>
      <w:r w:rsidR="006703B8" w:rsidRPr="006703B8">
        <w:t>students,</w:t>
      </w:r>
      <w:r w:rsidR="00907D8C">
        <w:t xml:space="preserve"> </w:t>
      </w:r>
      <w:r w:rsidR="006703B8" w:rsidRPr="006703B8">
        <w:t>by</w:t>
      </w:r>
      <w:r w:rsidR="00907D8C">
        <w:t xml:space="preserve"> </w:t>
      </w:r>
      <w:r w:rsidR="006703B8" w:rsidRPr="006703B8">
        <w:t>gender</w:t>
      </w:r>
      <w:r w:rsidR="00907D8C">
        <w:t xml:space="preserve"> </w:t>
      </w:r>
      <w:r w:rsidR="006703B8" w:rsidRPr="006703B8">
        <w:t>and</w:t>
      </w:r>
      <w:r w:rsidR="00907D8C">
        <w:t xml:space="preserve"> </w:t>
      </w:r>
      <w:r w:rsidR="006703B8" w:rsidRPr="006703B8">
        <w:br/>
      </w:r>
      <w:r>
        <w:tab/>
      </w:r>
      <w:r>
        <w:tab/>
      </w:r>
      <w:r w:rsidR="006703B8" w:rsidRPr="006703B8">
        <w:t>ethnic</w:t>
      </w:r>
      <w:r w:rsidR="00907D8C">
        <w:t xml:space="preserve"> </w:t>
      </w:r>
      <w:r w:rsidR="006703B8" w:rsidRPr="006703B8">
        <w:t>group</w:t>
      </w:r>
      <w:r w:rsidR="00907D8C">
        <w:t xml:space="preserve"> </w:t>
      </w:r>
      <w:r w:rsidR="006703B8" w:rsidRPr="006703B8">
        <w:t>(2009)</w:t>
      </w:r>
      <w:r w:rsidR="006703B8" w:rsidRPr="006703B8">
        <w:tab/>
      </w:r>
      <w:r w:rsidR="006703B8" w:rsidRPr="006703B8">
        <w:tab/>
      </w:r>
      <w:r w:rsidR="00282EA1">
        <w:t>33</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38.</w:t>
      </w:r>
      <w:r w:rsidRPr="006703B8">
        <w:tab/>
        <w:t>Ratio</w:t>
      </w:r>
      <w:r w:rsidR="00907D8C">
        <w:t xml:space="preserve"> </w:t>
      </w:r>
      <w:r w:rsidRPr="006703B8">
        <w:t>of</w:t>
      </w:r>
      <w:r w:rsidR="00907D8C">
        <w:t xml:space="preserve"> </w:t>
      </w:r>
      <w:r w:rsidRPr="006703B8">
        <w:t>students</w:t>
      </w:r>
      <w:r w:rsidR="00907D8C">
        <w:t xml:space="preserve"> </w:t>
      </w:r>
      <w:r w:rsidRPr="006703B8">
        <w:t>to</w:t>
      </w:r>
      <w:r w:rsidR="00907D8C">
        <w:t xml:space="preserve"> </w:t>
      </w:r>
      <w:r w:rsidRPr="006703B8">
        <w:t>teaching</w:t>
      </w:r>
      <w:r w:rsidR="00907D8C">
        <w:t xml:space="preserve"> </w:t>
      </w:r>
      <w:r w:rsidRPr="006703B8">
        <w:t>staff</w:t>
      </w:r>
      <w:r w:rsidR="00907D8C">
        <w:t xml:space="preserve"> </w:t>
      </w:r>
      <w:r w:rsidRPr="006703B8">
        <w:t>at</w:t>
      </w:r>
      <w:r w:rsidR="00907D8C">
        <w:t xml:space="preserve"> </w:t>
      </w:r>
      <w:r w:rsidR="00E607C4">
        <w:t>S</w:t>
      </w:r>
      <w:r w:rsidRPr="006703B8">
        <w:t>tate</w:t>
      </w:r>
      <w:r w:rsidR="00907D8C">
        <w:t xml:space="preserve"> </w:t>
      </w:r>
      <w:r w:rsidRPr="006703B8">
        <w:t>and</w:t>
      </w:r>
      <w:r w:rsidR="00907D8C">
        <w:t xml:space="preserve"> </w:t>
      </w:r>
      <w:r w:rsidR="00E607C4">
        <w:t>S</w:t>
      </w:r>
      <w:r w:rsidRPr="006703B8">
        <w:t>tate-integrated</w:t>
      </w:r>
      <w:r w:rsidR="005C3BF8">
        <w:t xml:space="preserve"> </w:t>
      </w:r>
      <w:r w:rsidRPr="006703B8">
        <w:t>schools,</w:t>
      </w:r>
      <w:r w:rsidR="00907D8C">
        <w:t xml:space="preserve"> </w:t>
      </w:r>
      <w:r w:rsidRPr="006703B8">
        <w:t>2003–</w:t>
      </w:r>
      <w:r w:rsidR="001F2C6F">
        <w:t>20</w:t>
      </w:r>
      <w:r w:rsidRPr="006703B8">
        <w:t>09</w:t>
      </w:r>
      <w:r w:rsidRPr="006703B8">
        <w:tab/>
      </w:r>
      <w:r w:rsidRPr="006703B8">
        <w:tab/>
      </w:r>
      <w:r w:rsidR="00282EA1">
        <w:t>34</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39.</w:t>
      </w:r>
      <w:r w:rsidRPr="006703B8">
        <w:tab/>
        <w:t>Recorded</w:t>
      </w:r>
      <w:r w:rsidR="00907D8C">
        <w:t xml:space="preserve"> </w:t>
      </w:r>
      <w:r w:rsidRPr="006703B8">
        <w:t>offences</w:t>
      </w:r>
      <w:r w:rsidRPr="006703B8">
        <w:tab/>
      </w:r>
      <w:r w:rsidRPr="006703B8">
        <w:tab/>
      </w:r>
      <w:r w:rsidR="00282EA1">
        <w:t>36</w:t>
      </w:r>
    </w:p>
    <w:p w:rsidR="006703B8" w:rsidRPr="006703B8" w:rsidRDefault="00036FAC" w:rsidP="00E607C4">
      <w:pPr>
        <w:tabs>
          <w:tab w:val="right" w:pos="850"/>
          <w:tab w:val="left" w:pos="1134"/>
          <w:tab w:val="left" w:pos="1559"/>
          <w:tab w:val="left" w:pos="1984"/>
          <w:tab w:val="left" w:leader="dot" w:pos="8787"/>
          <w:tab w:val="right" w:pos="9638"/>
        </w:tabs>
        <w:spacing w:after="120"/>
      </w:pPr>
      <w:r>
        <w:tab/>
        <w:t>40.</w:t>
      </w:r>
      <w:r>
        <w:tab/>
        <w:t>Average</w:t>
      </w:r>
      <w:r w:rsidR="00907D8C">
        <w:t xml:space="preserve"> </w:t>
      </w:r>
      <w:r>
        <w:t>time</w:t>
      </w:r>
      <w:r w:rsidR="00907D8C">
        <w:t xml:space="preserve"> </w:t>
      </w:r>
      <w:r>
        <w:t>of</w:t>
      </w:r>
      <w:r w:rsidR="00907D8C">
        <w:t xml:space="preserve"> </w:t>
      </w:r>
      <w:r>
        <w:t>pre</w:t>
      </w:r>
      <w:r w:rsidR="006703B8" w:rsidRPr="006703B8">
        <w:t>trial</w:t>
      </w:r>
      <w:r w:rsidR="00907D8C">
        <w:t xml:space="preserve"> </w:t>
      </w:r>
      <w:r w:rsidR="006703B8" w:rsidRPr="006703B8">
        <w:t>detention</w:t>
      </w:r>
      <w:r w:rsidR="006703B8" w:rsidRPr="006703B8">
        <w:tab/>
      </w:r>
      <w:r w:rsidR="006703B8" w:rsidRPr="006703B8">
        <w:tab/>
      </w:r>
      <w:r w:rsidR="00282EA1">
        <w:t>36</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41.</w:t>
      </w:r>
      <w:r w:rsidRPr="006703B8">
        <w:tab/>
        <w:t>Prison</w:t>
      </w:r>
      <w:r w:rsidR="00907D8C">
        <w:t xml:space="preserve"> </w:t>
      </w:r>
      <w:r w:rsidRPr="006703B8">
        <w:t>population</w:t>
      </w:r>
      <w:r w:rsidR="00907D8C">
        <w:t xml:space="preserve"> </w:t>
      </w:r>
      <w:r w:rsidRPr="006703B8">
        <w:t>with</w:t>
      </w:r>
      <w:r w:rsidR="00907D8C">
        <w:t xml:space="preserve"> </w:t>
      </w:r>
      <w:r w:rsidRPr="006703B8">
        <w:t>breakdown</w:t>
      </w:r>
      <w:r w:rsidR="00907D8C">
        <w:t xml:space="preserve"> </w:t>
      </w:r>
      <w:r w:rsidRPr="006703B8">
        <w:t>of</w:t>
      </w:r>
      <w:r w:rsidR="00907D8C">
        <w:t xml:space="preserve"> </w:t>
      </w:r>
      <w:r w:rsidRPr="006703B8">
        <w:t>offence</w:t>
      </w:r>
      <w:r w:rsidR="00907D8C">
        <w:t xml:space="preserve"> </w:t>
      </w:r>
      <w:r w:rsidRPr="006703B8">
        <w:t>and</w:t>
      </w:r>
      <w:r w:rsidR="00907D8C">
        <w:t xml:space="preserve"> </w:t>
      </w:r>
      <w:r w:rsidRPr="006703B8">
        <w:t>length</w:t>
      </w:r>
      <w:r w:rsidR="00907D8C">
        <w:t xml:space="preserve"> </w:t>
      </w:r>
      <w:r w:rsidRPr="006703B8">
        <w:t>of</w:t>
      </w:r>
      <w:r w:rsidR="00907D8C">
        <w:t xml:space="preserve"> </w:t>
      </w:r>
      <w:r w:rsidRPr="006703B8">
        <w:t>sentence</w:t>
      </w:r>
      <w:r w:rsidR="00907D8C">
        <w:t xml:space="preserve"> </w:t>
      </w:r>
      <w:r w:rsidRPr="006703B8">
        <w:t>at</w:t>
      </w:r>
      <w:r w:rsidR="00907D8C">
        <w:t xml:space="preserve"> </w:t>
      </w:r>
      <w:r w:rsidRPr="006703B8">
        <w:t>30</w:t>
      </w:r>
      <w:r w:rsidR="00907D8C">
        <w:t xml:space="preserve"> </w:t>
      </w:r>
      <w:r w:rsidRPr="006703B8">
        <w:t>June</w:t>
      </w:r>
      <w:r w:rsidR="00907D8C">
        <w:t xml:space="preserve"> </w:t>
      </w:r>
      <w:r w:rsidRPr="006703B8">
        <w:t>2010</w:t>
      </w:r>
      <w:r w:rsidRPr="006703B8">
        <w:tab/>
      </w:r>
      <w:r w:rsidRPr="006703B8">
        <w:tab/>
      </w:r>
      <w:r w:rsidR="00282EA1">
        <w:t>37</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42.</w:t>
      </w:r>
      <w:r w:rsidRPr="006703B8">
        <w:tab/>
        <w:t>Unnatural</w:t>
      </w:r>
      <w:r w:rsidR="00907D8C">
        <w:t xml:space="preserve"> </w:t>
      </w:r>
      <w:r w:rsidRPr="006703B8">
        <w:t>deaths</w:t>
      </w:r>
      <w:r w:rsidR="00907D8C">
        <w:t xml:space="preserve"> </w:t>
      </w:r>
      <w:r w:rsidRPr="006703B8">
        <w:t>in</w:t>
      </w:r>
      <w:r w:rsidR="00907D8C">
        <w:t xml:space="preserve"> </w:t>
      </w:r>
      <w:r w:rsidRPr="006703B8">
        <w:t>prison</w:t>
      </w:r>
      <w:r w:rsidRPr="006703B8">
        <w:tab/>
      </w:r>
      <w:r w:rsidRPr="006703B8">
        <w:tab/>
      </w:r>
      <w:r w:rsidR="00282EA1">
        <w:t>38</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43.</w:t>
      </w:r>
      <w:r w:rsidRPr="006703B8">
        <w:tab/>
        <w:t>Number</w:t>
      </w:r>
      <w:r w:rsidR="00907D8C">
        <w:t xml:space="preserve"> </w:t>
      </w:r>
      <w:r w:rsidRPr="006703B8">
        <w:t>of</w:t>
      </w:r>
      <w:r w:rsidR="00907D8C">
        <w:t xml:space="preserve"> </w:t>
      </w:r>
      <w:r w:rsidRPr="006703B8">
        <w:t>police</w:t>
      </w:r>
      <w:r w:rsidR="00907D8C">
        <w:t xml:space="preserve"> </w:t>
      </w:r>
      <w:r w:rsidRPr="006703B8">
        <w:t>personnel</w:t>
      </w:r>
      <w:r w:rsidR="00907D8C">
        <w:t xml:space="preserve"> </w:t>
      </w:r>
      <w:r w:rsidRPr="006703B8">
        <w:t>per</w:t>
      </w:r>
      <w:r w:rsidR="00907D8C">
        <w:t xml:space="preserve"> </w:t>
      </w:r>
      <w:r w:rsidRPr="006703B8">
        <w:t>100,000</w:t>
      </w:r>
      <w:r w:rsidR="00907D8C">
        <w:t xml:space="preserve"> </w:t>
      </w:r>
      <w:r w:rsidRPr="006703B8">
        <w:t>persons</w:t>
      </w:r>
      <w:r w:rsidR="00907D8C">
        <w:t xml:space="preserve"> </w:t>
      </w:r>
      <w:r w:rsidRPr="006703B8">
        <w:t>in</w:t>
      </w:r>
      <w:r w:rsidR="00907D8C">
        <w:t xml:space="preserve"> </w:t>
      </w:r>
      <w:r w:rsidRPr="006703B8">
        <w:t>New</w:t>
      </w:r>
      <w:r w:rsidR="00907D8C">
        <w:t xml:space="preserve"> </w:t>
      </w:r>
      <w:r w:rsidRPr="006703B8">
        <w:t>Zealand</w:t>
      </w:r>
      <w:r w:rsidRPr="006703B8">
        <w:tab/>
      </w:r>
      <w:r w:rsidRPr="006703B8">
        <w:tab/>
      </w:r>
      <w:r w:rsidR="00282EA1">
        <w:t>3</w:t>
      </w:r>
      <w:r w:rsidR="003C7C61">
        <w:t>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44.</w:t>
      </w:r>
      <w:r w:rsidRPr="006703B8">
        <w:tab/>
        <w:t>Ethnicity</w:t>
      </w:r>
      <w:r w:rsidR="00907D8C">
        <w:t xml:space="preserve"> </w:t>
      </w:r>
      <w:r w:rsidRPr="006703B8">
        <w:t>of</w:t>
      </w:r>
      <w:r w:rsidR="00907D8C">
        <w:t xml:space="preserve"> </w:t>
      </w:r>
      <w:r w:rsidRPr="006703B8">
        <w:t>police</w:t>
      </w:r>
      <w:r w:rsidR="00907D8C">
        <w:t xml:space="preserve"> </w:t>
      </w:r>
      <w:r w:rsidRPr="006703B8">
        <w:t>recruits</w:t>
      </w:r>
      <w:r w:rsidRPr="006703B8">
        <w:tab/>
      </w:r>
      <w:r w:rsidRPr="006703B8">
        <w:tab/>
      </w:r>
      <w:r w:rsidR="00282EA1">
        <w:t>39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45.</w:t>
      </w:r>
      <w:r w:rsidRPr="006703B8">
        <w:tab/>
        <w:t>Number</w:t>
      </w:r>
      <w:r w:rsidR="00907D8C">
        <w:t xml:space="preserve"> </w:t>
      </w:r>
      <w:r w:rsidRPr="006703B8">
        <w:t>of</w:t>
      </w:r>
      <w:r w:rsidR="00907D8C">
        <w:t xml:space="preserve"> </w:t>
      </w:r>
      <w:r w:rsidRPr="006703B8">
        <w:t>judges,</w:t>
      </w:r>
      <w:r w:rsidR="00907D8C">
        <w:t xml:space="preserve"> </w:t>
      </w:r>
      <w:r w:rsidRPr="006703B8">
        <w:t>magistrates</w:t>
      </w:r>
      <w:r w:rsidR="00907D8C">
        <w:t xml:space="preserve"> </w:t>
      </w:r>
      <w:r w:rsidRPr="006703B8">
        <w:t>and</w:t>
      </w:r>
      <w:r w:rsidR="00907D8C">
        <w:t xml:space="preserve"> </w:t>
      </w:r>
      <w:r w:rsidRPr="006703B8">
        <w:t>prosecutors</w:t>
      </w:r>
      <w:r w:rsidR="00907D8C">
        <w:t xml:space="preserve"> </w:t>
      </w:r>
      <w:r w:rsidRPr="006703B8">
        <w:t>per</w:t>
      </w:r>
      <w:r w:rsidR="00907D8C">
        <w:t xml:space="preserve"> </w:t>
      </w:r>
      <w:r w:rsidRPr="006703B8">
        <w:t>100,000</w:t>
      </w:r>
      <w:r w:rsidR="00907D8C">
        <w:t xml:space="preserve"> </w:t>
      </w:r>
      <w:r w:rsidRPr="006703B8">
        <w:t>persons</w:t>
      </w:r>
      <w:r w:rsidRPr="006703B8">
        <w:tab/>
      </w:r>
      <w:r w:rsidRPr="006703B8">
        <w:tab/>
      </w:r>
      <w:r w:rsidR="00282EA1">
        <w:t>39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46.</w:t>
      </w:r>
      <w:r w:rsidRPr="006703B8">
        <w:tab/>
        <w:t>Ethnicity</w:t>
      </w:r>
      <w:r w:rsidR="00907D8C">
        <w:t xml:space="preserve"> </w:t>
      </w:r>
      <w:r w:rsidRPr="006703B8">
        <w:t>and</w:t>
      </w:r>
      <w:r w:rsidR="00907D8C">
        <w:t xml:space="preserve"> </w:t>
      </w:r>
      <w:r w:rsidRPr="006703B8">
        <w:t>sex</w:t>
      </w:r>
      <w:r w:rsidR="00907D8C">
        <w:t xml:space="preserve"> </w:t>
      </w:r>
      <w:r w:rsidRPr="006703B8">
        <w:t>of</w:t>
      </w:r>
      <w:r w:rsidR="00907D8C">
        <w:t xml:space="preserve"> </w:t>
      </w:r>
      <w:r w:rsidRPr="006703B8">
        <w:t>judges</w:t>
      </w:r>
      <w:r w:rsidRPr="006703B8">
        <w:tab/>
      </w:r>
      <w:r w:rsidRPr="006703B8">
        <w:tab/>
      </w:r>
      <w:r w:rsidR="00282EA1">
        <w:t>39</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47.</w:t>
      </w:r>
      <w:r w:rsidRPr="006703B8">
        <w:tab/>
        <w:t>Share</w:t>
      </w:r>
      <w:r w:rsidR="00907D8C">
        <w:t xml:space="preserve"> </w:t>
      </w:r>
      <w:r w:rsidRPr="006703B8">
        <w:t>of</w:t>
      </w:r>
      <w:r w:rsidR="00907D8C">
        <w:t xml:space="preserve"> </w:t>
      </w:r>
      <w:r w:rsidRPr="006703B8">
        <w:t>public</w:t>
      </w:r>
      <w:r w:rsidR="00907D8C">
        <w:t xml:space="preserve"> </w:t>
      </w:r>
      <w:r w:rsidRPr="006703B8">
        <w:t>expenditure</w:t>
      </w:r>
      <w:r w:rsidR="00907D8C">
        <w:t xml:space="preserve"> </w:t>
      </w:r>
      <w:r w:rsidRPr="006703B8">
        <w:t>on</w:t>
      </w:r>
      <w:r w:rsidR="00907D8C">
        <w:t xml:space="preserve"> </w:t>
      </w:r>
      <w:r w:rsidRPr="006703B8">
        <w:t>police</w:t>
      </w:r>
      <w:r w:rsidR="00907D8C">
        <w:t xml:space="preserve"> </w:t>
      </w:r>
      <w:r w:rsidRPr="006703B8">
        <w:t>and</w:t>
      </w:r>
      <w:r w:rsidR="00907D8C">
        <w:t xml:space="preserve"> </w:t>
      </w:r>
      <w:r w:rsidRPr="006703B8">
        <w:t>judiciary</w:t>
      </w:r>
      <w:r w:rsidRPr="006703B8">
        <w:tab/>
      </w:r>
      <w:r w:rsidRPr="006703B8">
        <w:tab/>
      </w:r>
      <w:r w:rsidR="00282EA1">
        <w:t>40</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48.</w:t>
      </w:r>
      <w:r w:rsidRPr="006703B8">
        <w:tab/>
        <w:t>Legal</w:t>
      </w:r>
      <w:r w:rsidR="00907D8C">
        <w:t xml:space="preserve"> </w:t>
      </w:r>
      <w:r w:rsidRPr="006703B8">
        <w:t>aid</w:t>
      </w:r>
      <w:r w:rsidR="00907D8C">
        <w:t xml:space="preserve"> </w:t>
      </w:r>
      <w:r w:rsidRPr="006703B8">
        <w:t>applications</w:t>
      </w:r>
      <w:r w:rsidR="00907D8C">
        <w:t xml:space="preserve"> </w:t>
      </w:r>
      <w:r w:rsidRPr="006703B8">
        <w:t>not</w:t>
      </w:r>
      <w:r w:rsidR="00907D8C">
        <w:t xml:space="preserve"> </w:t>
      </w:r>
      <w:r w:rsidRPr="006703B8">
        <w:t>approved</w:t>
      </w:r>
      <w:r w:rsidRPr="006703B8">
        <w:tab/>
      </w:r>
      <w:r w:rsidRPr="006703B8">
        <w:tab/>
      </w:r>
      <w:r w:rsidR="00282EA1">
        <w:t>40</w:t>
      </w:r>
    </w:p>
    <w:p w:rsidR="006703B8" w:rsidRPr="006703B8" w:rsidRDefault="006703B8" w:rsidP="00E607C4">
      <w:pPr>
        <w:tabs>
          <w:tab w:val="right" w:pos="850"/>
          <w:tab w:val="left" w:pos="1134"/>
          <w:tab w:val="left" w:pos="1559"/>
          <w:tab w:val="left" w:pos="1984"/>
          <w:tab w:val="left" w:leader="dot" w:pos="8787"/>
          <w:tab w:val="right" w:pos="9638"/>
        </w:tabs>
        <w:spacing w:after="120"/>
      </w:pPr>
      <w:r w:rsidRPr="006703B8">
        <w:tab/>
        <w:t>49.</w:t>
      </w:r>
      <w:r w:rsidRPr="006703B8">
        <w:tab/>
        <w:t>Value</w:t>
      </w:r>
      <w:r w:rsidR="00907D8C">
        <w:t xml:space="preserve"> </w:t>
      </w:r>
      <w:r w:rsidRPr="006703B8">
        <w:t>and</w:t>
      </w:r>
      <w:r w:rsidR="00907D8C">
        <w:t xml:space="preserve"> </w:t>
      </w:r>
      <w:r w:rsidRPr="006703B8">
        <w:t>numbers</w:t>
      </w:r>
      <w:r w:rsidR="00907D8C">
        <w:t xml:space="preserve"> </w:t>
      </w:r>
      <w:r w:rsidRPr="006703B8">
        <w:t>of</w:t>
      </w:r>
      <w:r w:rsidR="00907D8C">
        <w:t xml:space="preserve"> </w:t>
      </w:r>
      <w:r w:rsidRPr="006703B8">
        <w:t>reparation</w:t>
      </w:r>
      <w:r w:rsidR="00907D8C">
        <w:t xml:space="preserve"> </w:t>
      </w:r>
      <w:r w:rsidRPr="006703B8">
        <w:t>payments</w:t>
      </w:r>
      <w:r w:rsidR="00907D8C">
        <w:t xml:space="preserve"> </w:t>
      </w:r>
      <w:r w:rsidRPr="006703B8">
        <w:t>made</w:t>
      </w:r>
      <w:r w:rsidR="00907D8C">
        <w:t xml:space="preserve"> </w:t>
      </w:r>
      <w:r w:rsidRPr="006703B8">
        <w:t>during</w:t>
      </w:r>
      <w:r w:rsidR="00907D8C">
        <w:t xml:space="preserve"> </w:t>
      </w:r>
      <w:r w:rsidRPr="006703B8">
        <w:t>the</w:t>
      </w:r>
      <w:r w:rsidR="00907D8C">
        <w:t xml:space="preserve"> </w:t>
      </w:r>
      <w:r w:rsidRPr="006703B8">
        <w:t>financial</w:t>
      </w:r>
      <w:r w:rsidR="00907D8C">
        <w:t xml:space="preserve"> </w:t>
      </w:r>
      <w:r w:rsidRPr="006703B8">
        <w:t>year</w:t>
      </w:r>
      <w:r w:rsidR="00907D8C">
        <w:t xml:space="preserve"> </w:t>
      </w:r>
      <w:r w:rsidR="00F238B1">
        <w:t xml:space="preserve"> </w:t>
      </w:r>
      <w:r w:rsidRPr="006703B8">
        <w:t>1</w:t>
      </w:r>
      <w:r w:rsidR="00907D8C">
        <w:t xml:space="preserve"> </w:t>
      </w:r>
      <w:r w:rsidRPr="006703B8">
        <w:t>July</w:t>
      </w:r>
      <w:r w:rsidR="00907D8C">
        <w:t xml:space="preserve"> </w:t>
      </w:r>
      <w:r w:rsidRPr="006703B8">
        <w:t>2009</w:t>
      </w:r>
      <w:r w:rsidR="00907D8C">
        <w:t xml:space="preserve"> </w:t>
      </w:r>
      <w:r w:rsidR="00F238B1">
        <w:br/>
      </w:r>
      <w:r w:rsidR="00F238B1">
        <w:tab/>
      </w:r>
      <w:r w:rsidR="00F238B1">
        <w:tab/>
      </w:r>
      <w:r w:rsidRPr="006703B8">
        <w:t>to</w:t>
      </w:r>
      <w:r w:rsidR="00907D8C">
        <w:t xml:space="preserve"> </w:t>
      </w:r>
      <w:r w:rsidRPr="006703B8">
        <w:t>30</w:t>
      </w:r>
      <w:r w:rsidR="00907D8C">
        <w:t xml:space="preserve"> </w:t>
      </w:r>
      <w:r w:rsidRPr="006703B8">
        <w:t>June</w:t>
      </w:r>
      <w:r w:rsidR="00907D8C">
        <w:t xml:space="preserve"> </w:t>
      </w:r>
      <w:r w:rsidRPr="006703B8">
        <w:t>2010</w:t>
      </w:r>
      <w:r w:rsidRPr="006703B8">
        <w:tab/>
      </w:r>
      <w:r w:rsidRPr="006703B8">
        <w:tab/>
      </w:r>
      <w:r w:rsidR="00282EA1">
        <w:t>41</w:t>
      </w:r>
    </w:p>
    <w:p w:rsidR="00036FAC" w:rsidRPr="00036FAC" w:rsidRDefault="00036FAC" w:rsidP="001B201B">
      <w:pPr>
        <w:pStyle w:val="HChG"/>
      </w:pPr>
      <w:r>
        <w:br w:type="page"/>
      </w:r>
      <w:bookmarkStart w:id="0" w:name="_Toc114895827"/>
      <w:bookmarkStart w:id="1" w:name="_Toc115493367"/>
      <w:bookmarkStart w:id="2" w:name="_Toc115493711"/>
      <w:bookmarkStart w:id="3" w:name="_Toc115493786"/>
      <w:bookmarkStart w:id="4" w:name="_Toc118100581"/>
      <w:bookmarkStart w:id="5" w:name="_Toc125276396"/>
      <w:bookmarkStart w:id="6" w:name="_Toc125278795"/>
      <w:bookmarkStart w:id="7" w:name="_Toc125278867"/>
      <w:bookmarkStart w:id="8" w:name="_Toc265677519"/>
      <w:bookmarkStart w:id="9" w:name="_Toc275331892"/>
      <w:r w:rsidRPr="00036FAC">
        <w:tab/>
        <w:t>I.</w:t>
      </w:r>
      <w:r w:rsidRPr="00036FAC">
        <w:tab/>
        <w:t>Gene</w:t>
      </w:r>
      <w:r w:rsidRPr="00036FAC">
        <w:t>r</w:t>
      </w:r>
      <w:r w:rsidRPr="00036FAC">
        <w:t>al</w:t>
      </w:r>
      <w:r w:rsidR="00907D8C">
        <w:t xml:space="preserve"> </w:t>
      </w:r>
      <w:r w:rsidRPr="00036FAC">
        <w:t>factual</w:t>
      </w:r>
      <w:r w:rsidR="00907D8C">
        <w:t xml:space="preserve"> </w:t>
      </w:r>
      <w:r w:rsidRPr="00036FAC">
        <w:t>and</w:t>
      </w:r>
      <w:r w:rsidR="00907D8C">
        <w:t xml:space="preserve"> </w:t>
      </w:r>
      <w:r w:rsidRPr="00036FAC">
        <w:t>statistical</w:t>
      </w:r>
      <w:r w:rsidR="00907D8C">
        <w:t xml:space="preserve"> </w:t>
      </w:r>
      <w:r w:rsidRPr="00036FAC">
        <w:t>i</w:t>
      </w:r>
      <w:bookmarkEnd w:id="0"/>
      <w:bookmarkEnd w:id="1"/>
      <w:bookmarkEnd w:id="2"/>
      <w:bookmarkEnd w:id="3"/>
      <w:bookmarkEnd w:id="4"/>
      <w:r w:rsidRPr="00036FAC">
        <w:t>nformation</w:t>
      </w:r>
      <w:bookmarkEnd w:id="5"/>
      <w:bookmarkEnd w:id="6"/>
      <w:bookmarkEnd w:id="7"/>
      <w:bookmarkEnd w:id="8"/>
      <w:bookmarkEnd w:id="9"/>
    </w:p>
    <w:p w:rsidR="00036FAC" w:rsidRPr="00036FAC" w:rsidRDefault="00036FAC" w:rsidP="001B201B">
      <w:pPr>
        <w:pStyle w:val="H1G"/>
      </w:pPr>
      <w:bookmarkStart w:id="10" w:name="_Toc114894962"/>
      <w:bookmarkStart w:id="11" w:name="_Toc114895853"/>
      <w:bookmarkStart w:id="12" w:name="_Toc115493393"/>
      <w:bookmarkStart w:id="13" w:name="_Toc115493737"/>
      <w:bookmarkStart w:id="14" w:name="_Toc115493812"/>
      <w:bookmarkStart w:id="15" w:name="_Toc118100607"/>
      <w:bookmarkStart w:id="16" w:name="_Toc125276398"/>
      <w:bookmarkStart w:id="17" w:name="_Toc125278797"/>
      <w:bookmarkStart w:id="18" w:name="_Toc125278893"/>
      <w:bookmarkStart w:id="19" w:name="_Toc265677520"/>
      <w:bookmarkStart w:id="20" w:name="_Toc275331893"/>
      <w:r w:rsidRPr="00036FAC">
        <w:tab/>
        <w:t>A.</w:t>
      </w:r>
      <w:r w:rsidRPr="00036FAC">
        <w:tab/>
        <w:t>Demographic,</w:t>
      </w:r>
      <w:r w:rsidR="00907D8C">
        <w:t xml:space="preserve"> </w:t>
      </w:r>
      <w:r w:rsidRPr="00036FAC">
        <w:t>economic,</w:t>
      </w:r>
      <w:r w:rsidR="00907D8C">
        <w:t xml:space="preserve"> </w:t>
      </w:r>
      <w:r w:rsidRPr="00036FAC">
        <w:t>social</w:t>
      </w:r>
      <w:r w:rsidR="00907D8C">
        <w:t xml:space="preserve"> </w:t>
      </w:r>
      <w:r w:rsidRPr="00036FAC">
        <w:t>and</w:t>
      </w:r>
      <w:r w:rsidR="00907D8C">
        <w:t xml:space="preserve"> </w:t>
      </w:r>
      <w:r w:rsidRPr="00036FAC">
        <w:t>cultural</w:t>
      </w:r>
      <w:r w:rsidR="00907D8C">
        <w:t xml:space="preserve"> </w:t>
      </w:r>
      <w:r w:rsidRPr="00036FAC">
        <w:t>characteristics</w:t>
      </w:r>
      <w:bookmarkEnd w:id="19"/>
      <w:bookmarkEnd w:id="20"/>
    </w:p>
    <w:p w:rsidR="00036FAC" w:rsidRPr="00036FAC" w:rsidRDefault="00036FAC" w:rsidP="006C436C">
      <w:pPr>
        <w:pStyle w:val="H23G"/>
      </w:pPr>
      <w:r w:rsidRPr="00036FAC">
        <w:tab/>
        <w:t>1.</w:t>
      </w:r>
      <w:r w:rsidRPr="00036FAC">
        <w:tab/>
        <w:t>Land</w:t>
      </w:r>
    </w:p>
    <w:p w:rsidR="00036FAC" w:rsidRPr="00036FAC" w:rsidRDefault="00036FAC" w:rsidP="001B201B">
      <w:pPr>
        <w:pStyle w:val="SingleTxtG"/>
      </w:pPr>
      <w:r w:rsidRPr="00036FAC">
        <w:t>1.</w:t>
      </w:r>
      <w:r w:rsidRPr="00036FAC">
        <w:tab/>
        <w:t>New</w:t>
      </w:r>
      <w:r w:rsidR="00907D8C">
        <w:t xml:space="preserve"> </w:t>
      </w:r>
      <w:r w:rsidRPr="00036FAC">
        <w:t>Zealand</w:t>
      </w:r>
      <w:r w:rsidR="00907D8C">
        <w:t xml:space="preserve"> </w:t>
      </w:r>
      <w:r w:rsidRPr="00036FAC">
        <w:t>is</w:t>
      </w:r>
      <w:r w:rsidR="00907D8C">
        <w:t xml:space="preserve"> </w:t>
      </w:r>
      <w:r w:rsidRPr="00036FAC">
        <w:t>situated</w:t>
      </w:r>
      <w:r w:rsidR="00907D8C">
        <w:t xml:space="preserve"> </w:t>
      </w:r>
      <w:r w:rsidRPr="00036FAC">
        <w:t>in</w:t>
      </w:r>
      <w:r w:rsidR="00907D8C">
        <w:t xml:space="preserve"> </w:t>
      </w:r>
      <w:r w:rsidRPr="00036FAC">
        <w:t>the</w:t>
      </w:r>
      <w:r w:rsidR="00907D8C">
        <w:t xml:space="preserve"> </w:t>
      </w:r>
      <w:r w:rsidRPr="00036FAC">
        <w:t>South-West</w:t>
      </w:r>
      <w:r w:rsidR="00907D8C">
        <w:t xml:space="preserve"> </w:t>
      </w:r>
      <w:r w:rsidRPr="00036FAC">
        <w:t>Pacific</w:t>
      </w:r>
      <w:r w:rsidR="00907D8C">
        <w:t xml:space="preserve"> </w:t>
      </w:r>
      <w:r w:rsidRPr="00036FAC">
        <w:t>Ocean,</w:t>
      </w:r>
      <w:r w:rsidR="00907D8C">
        <w:t xml:space="preserve"> </w:t>
      </w:r>
      <w:r w:rsidRPr="00036FAC">
        <w:t>halfway</w:t>
      </w:r>
      <w:r w:rsidR="00907D8C">
        <w:t xml:space="preserve"> </w:t>
      </w:r>
      <w:r w:rsidRPr="00036FAC">
        <w:t>betw</w:t>
      </w:r>
      <w:r w:rsidR="001B201B">
        <w:t>een</w:t>
      </w:r>
      <w:r w:rsidR="00907D8C">
        <w:t xml:space="preserve"> </w:t>
      </w:r>
      <w:r w:rsidR="001B201B">
        <w:t>the</w:t>
      </w:r>
      <w:r w:rsidR="00907D8C">
        <w:t xml:space="preserve"> </w:t>
      </w:r>
      <w:r w:rsidR="001B201B">
        <w:t>Equator</w:t>
      </w:r>
      <w:r w:rsidR="00907D8C">
        <w:t xml:space="preserve"> </w:t>
      </w:r>
      <w:r w:rsidR="001B201B">
        <w:t>and</w:t>
      </w:r>
      <w:r w:rsidR="00907D8C">
        <w:t xml:space="preserve"> </w:t>
      </w:r>
      <w:r w:rsidR="001B201B">
        <w:t>South</w:t>
      </w:r>
      <w:r w:rsidR="00907D8C">
        <w:t xml:space="preserve"> </w:t>
      </w:r>
      <w:r w:rsidR="001B201B">
        <w:t>Pole.</w:t>
      </w:r>
      <w:r w:rsidR="00907D8C">
        <w:t xml:space="preserve"> </w:t>
      </w:r>
      <w:r w:rsidRPr="00036FAC">
        <w:t>It</w:t>
      </w:r>
      <w:r w:rsidR="00907D8C">
        <w:t xml:space="preserve"> </w:t>
      </w:r>
      <w:r w:rsidRPr="00036FAC">
        <w:t>is</w:t>
      </w:r>
      <w:r w:rsidR="00907D8C">
        <w:t xml:space="preserve"> </w:t>
      </w:r>
      <w:r w:rsidRPr="00036FAC">
        <w:t>made</w:t>
      </w:r>
      <w:r w:rsidR="00907D8C">
        <w:t xml:space="preserve"> </w:t>
      </w:r>
      <w:r w:rsidRPr="00036FAC">
        <w:t>up</w:t>
      </w:r>
      <w:r w:rsidR="00907D8C">
        <w:t xml:space="preserve"> </w:t>
      </w:r>
      <w:r w:rsidRPr="00036FAC">
        <w:t>of</w:t>
      </w:r>
      <w:r w:rsidR="00907D8C">
        <w:t xml:space="preserve"> </w:t>
      </w:r>
      <w:r w:rsidRPr="00036FAC">
        <w:t>two</w:t>
      </w:r>
      <w:r w:rsidR="00907D8C">
        <w:t xml:space="preserve"> </w:t>
      </w:r>
      <w:r w:rsidRPr="00036FAC">
        <w:t>main</w:t>
      </w:r>
      <w:r w:rsidR="00907D8C">
        <w:t xml:space="preserve"> </w:t>
      </w:r>
      <w:r w:rsidRPr="00036FAC">
        <w:t>islands:</w:t>
      </w:r>
      <w:r w:rsidR="00907D8C">
        <w:t xml:space="preserve"> </w:t>
      </w:r>
      <w:r w:rsidRPr="00036FAC">
        <w:t>the</w:t>
      </w:r>
      <w:r w:rsidR="00907D8C">
        <w:t xml:space="preserve"> </w:t>
      </w:r>
      <w:r w:rsidRPr="00036FAC">
        <w:t>North</w:t>
      </w:r>
      <w:r w:rsidR="00907D8C">
        <w:t xml:space="preserve"> </w:t>
      </w:r>
      <w:r w:rsidRPr="00036FAC">
        <w:t>and</w:t>
      </w:r>
      <w:r w:rsidR="00907D8C">
        <w:t xml:space="preserve"> </w:t>
      </w:r>
      <w:r w:rsidRPr="00036FAC">
        <w:t>South</w:t>
      </w:r>
      <w:r w:rsidR="00907D8C">
        <w:t xml:space="preserve"> </w:t>
      </w:r>
      <w:r w:rsidRPr="00036FAC">
        <w:t>Islands,</w:t>
      </w:r>
      <w:r w:rsidR="00907D8C">
        <w:t xml:space="preserve"> </w:t>
      </w:r>
      <w:r w:rsidRPr="00036FAC">
        <w:t>and</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smaller</w:t>
      </w:r>
      <w:r w:rsidR="00907D8C">
        <w:t xml:space="preserve"> </w:t>
      </w:r>
      <w:r w:rsidRPr="00036FAC">
        <w:t>i</w:t>
      </w:r>
      <w:r w:rsidR="001B201B">
        <w:t>slands.</w:t>
      </w:r>
      <w:r w:rsidR="00907D8C">
        <w:t xml:space="preserve"> </w:t>
      </w:r>
      <w:r w:rsidRPr="00036FAC">
        <w:t>Its</w:t>
      </w:r>
      <w:r w:rsidR="00907D8C">
        <w:t xml:space="preserve"> </w:t>
      </w:r>
      <w:r w:rsidRPr="00036FAC">
        <w:t>total</w:t>
      </w:r>
      <w:r w:rsidR="00907D8C">
        <w:t xml:space="preserve"> </w:t>
      </w:r>
      <w:r w:rsidRPr="00036FAC">
        <w:t>land</w:t>
      </w:r>
      <w:r w:rsidR="00907D8C">
        <w:t xml:space="preserve"> </w:t>
      </w:r>
      <w:r w:rsidRPr="00036FAC">
        <w:t>area</w:t>
      </w:r>
      <w:r w:rsidR="00907D8C">
        <w:t xml:space="preserve"> </w:t>
      </w:r>
      <w:r w:rsidRPr="00036FAC">
        <w:t>is</w:t>
      </w:r>
      <w:r w:rsidR="00907D8C">
        <w:t xml:space="preserve"> </w:t>
      </w:r>
      <w:r w:rsidRPr="00036FAC">
        <w:t>268,021</w:t>
      </w:r>
      <w:r w:rsidR="00907D8C">
        <w:t xml:space="preserve"> </w:t>
      </w:r>
      <w:r w:rsidRPr="00036FAC">
        <w:t>kilometres,</w:t>
      </w:r>
      <w:r w:rsidR="00907D8C">
        <w:t xml:space="preserve"> </w:t>
      </w:r>
      <w:r w:rsidRPr="00036FAC">
        <w:t>making</w:t>
      </w:r>
      <w:r w:rsidR="00907D8C">
        <w:t xml:space="preserve"> </w:t>
      </w:r>
      <w:r w:rsidRPr="00036FAC">
        <w:t>it</w:t>
      </w:r>
      <w:r w:rsidR="00907D8C">
        <w:t xml:space="preserve"> </w:t>
      </w:r>
      <w:r w:rsidRPr="00036FAC">
        <w:t>similar</w:t>
      </w:r>
      <w:r w:rsidR="00907D8C">
        <w:t xml:space="preserve"> </w:t>
      </w:r>
      <w:r w:rsidRPr="00036FAC">
        <w:t>in</w:t>
      </w:r>
      <w:r w:rsidR="00907D8C">
        <w:t xml:space="preserve"> </w:t>
      </w:r>
      <w:r w:rsidRPr="00036FAC">
        <w:t>size</w:t>
      </w:r>
      <w:r w:rsidR="00907D8C">
        <w:t xml:space="preserve"> </w:t>
      </w:r>
      <w:r w:rsidR="001B201B">
        <w:t>to</w:t>
      </w:r>
      <w:r w:rsidR="00907D8C">
        <w:t xml:space="preserve"> </w:t>
      </w:r>
      <w:r w:rsidR="001B201B">
        <w:t>Japan</w:t>
      </w:r>
      <w:r w:rsidR="00907D8C">
        <w:t xml:space="preserve"> </w:t>
      </w:r>
      <w:r w:rsidR="001B201B">
        <w:t>or</w:t>
      </w:r>
      <w:r w:rsidR="00907D8C">
        <w:t xml:space="preserve"> </w:t>
      </w:r>
      <w:r w:rsidR="001B201B">
        <w:t>the</w:t>
      </w:r>
      <w:r w:rsidR="00907D8C">
        <w:t xml:space="preserve"> </w:t>
      </w:r>
      <w:r w:rsidR="001B201B">
        <w:t>British</w:t>
      </w:r>
      <w:r w:rsidR="00907D8C">
        <w:t xml:space="preserve"> </w:t>
      </w:r>
      <w:r w:rsidR="001B201B">
        <w:t>Isles.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largest</w:t>
      </w:r>
      <w:r w:rsidR="00907D8C">
        <w:t xml:space="preserve"> </w:t>
      </w:r>
      <w:r w:rsidRPr="00036FAC">
        <w:t>neighb</w:t>
      </w:r>
      <w:r w:rsidR="001B201B">
        <w:t>our</w:t>
      </w:r>
      <w:r w:rsidR="00907D8C">
        <w:t xml:space="preserve"> </w:t>
      </w:r>
      <w:r w:rsidR="001B201B">
        <w:t>is</w:t>
      </w:r>
      <w:r w:rsidR="00907D8C">
        <w:t xml:space="preserve"> </w:t>
      </w:r>
      <w:r w:rsidR="001B201B">
        <w:t>Australia,</w:t>
      </w:r>
      <w:r w:rsidR="00907D8C">
        <w:t xml:space="preserve"> </w:t>
      </w:r>
      <w:r w:rsidR="001B201B">
        <w:t>to</w:t>
      </w:r>
      <w:r w:rsidR="00907D8C">
        <w:t xml:space="preserve"> </w:t>
      </w:r>
      <w:r w:rsidR="001B201B">
        <w:t>the</w:t>
      </w:r>
      <w:r w:rsidR="00907D8C">
        <w:t xml:space="preserve"> </w:t>
      </w:r>
      <w:r w:rsidR="001B201B">
        <w:t>west.</w:t>
      </w:r>
      <w:r w:rsidR="00907D8C">
        <w:t xml:space="preserve"> </w:t>
      </w:r>
      <w:r w:rsidRPr="00036FAC">
        <w:t>New</w:t>
      </w:r>
      <w:r w:rsidR="00907D8C">
        <w:t xml:space="preserve"> </w:t>
      </w:r>
      <w:r w:rsidRPr="00036FAC">
        <w:t>Caledonia,</w:t>
      </w:r>
      <w:r w:rsidR="00907D8C">
        <w:t xml:space="preserve"> </w:t>
      </w:r>
      <w:r w:rsidRPr="00036FAC">
        <w:t>Fi</w:t>
      </w:r>
      <w:r w:rsidR="001B201B">
        <w:t>ji</w:t>
      </w:r>
      <w:r w:rsidR="00907D8C">
        <w:t xml:space="preserve"> </w:t>
      </w:r>
      <w:r w:rsidR="001B201B">
        <w:t>and</w:t>
      </w:r>
      <w:r w:rsidR="00907D8C">
        <w:t xml:space="preserve"> </w:t>
      </w:r>
      <w:r w:rsidR="001B201B">
        <w:t>Tonga</w:t>
      </w:r>
      <w:r w:rsidR="00907D8C">
        <w:t xml:space="preserve"> </w:t>
      </w:r>
      <w:r w:rsidR="001B201B">
        <w:t>lie</w:t>
      </w:r>
      <w:r w:rsidR="00907D8C">
        <w:t xml:space="preserve"> </w:t>
      </w:r>
      <w:r w:rsidR="001B201B">
        <w:t>to</w:t>
      </w:r>
      <w:r w:rsidR="00907D8C">
        <w:t xml:space="preserve"> </w:t>
      </w:r>
      <w:r w:rsidR="001B201B">
        <w:t>the</w:t>
      </w:r>
      <w:r w:rsidR="00907D8C">
        <w:t xml:space="preserve"> </w:t>
      </w:r>
      <w:r w:rsidR="001B201B">
        <w:t>north.</w:t>
      </w:r>
      <w:r w:rsidR="00907D8C">
        <w:t xml:space="preserve"> </w:t>
      </w:r>
      <w:r w:rsidRPr="00036FAC">
        <w:t>This</w:t>
      </w:r>
      <w:r w:rsidR="00907D8C">
        <w:t xml:space="preserve"> </w:t>
      </w:r>
      <w:r w:rsidRPr="00036FAC">
        <w:t>area</w:t>
      </w:r>
      <w:r w:rsidR="00907D8C">
        <w:t xml:space="preserve"> </w:t>
      </w:r>
      <w:r w:rsidRPr="00036FAC">
        <w:t>of</w:t>
      </w:r>
      <w:r w:rsidR="00907D8C">
        <w:t xml:space="preserve"> </w:t>
      </w:r>
      <w:r w:rsidRPr="00036FAC">
        <w:t>the</w:t>
      </w:r>
      <w:r w:rsidR="00907D8C">
        <w:t xml:space="preserve"> </w:t>
      </w:r>
      <w:r w:rsidRPr="00036FAC">
        <w:t>world</w:t>
      </w:r>
      <w:r w:rsidR="00907D8C">
        <w:t xml:space="preserve"> </w:t>
      </w:r>
      <w:r w:rsidRPr="00036FAC">
        <w:t>is</w:t>
      </w:r>
      <w:r w:rsidR="00907D8C">
        <w:t xml:space="preserve"> </w:t>
      </w:r>
      <w:r w:rsidRPr="00036FAC">
        <w:t>characterised</w:t>
      </w:r>
      <w:r w:rsidR="00907D8C">
        <w:t xml:space="preserve"> </w:t>
      </w:r>
      <w:r w:rsidRPr="00036FAC">
        <w:t>by</w:t>
      </w:r>
      <w:r w:rsidR="00907D8C">
        <w:t xml:space="preserve"> </w:t>
      </w:r>
      <w:r w:rsidRPr="00036FAC">
        <w:t>active</w:t>
      </w:r>
      <w:r w:rsidR="00907D8C">
        <w:t xml:space="preserve"> </w:t>
      </w:r>
      <w:r w:rsidRPr="00036FAC">
        <w:t>volc</w:t>
      </w:r>
      <w:r w:rsidR="001B201B">
        <w:t>anoes</w:t>
      </w:r>
      <w:r w:rsidR="00907D8C">
        <w:t xml:space="preserve"> </w:t>
      </w:r>
      <w:r w:rsidR="001B201B">
        <w:t>and</w:t>
      </w:r>
      <w:r w:rsidR="00907D8C">
        <w:t xml:space="preserve"> </w:t>
      </w:r>
      <w:r w:rsidR="001B201B">
        <w:t>frequent</w:t>
      </w:r>
      <w:r w:rsidR="00907D8C">
        <w:t xml:space="preserve"> </w:t>
      </w:r>
      <w:r w:rsidR="001B201B">
        <w:t>earthquakes.</w:t>
      </w:r>
      <w:r w:rsidR="00907D8C">
        <w:t xml:space="preserve"> </w:t>
      </w:r>
      <w:r w:rsidRPr="00036FAC">
        <w:t>The</w:t>
      </w:r>
      <w:r w:rsidR="00907D8C">
        <w:t xml:space="preserve"> </w:t>
      </w:r>
      <w:r w:rsidRPr="00036FAC">
        <w:t>boundary</w:t>
      </w:r>
      <w:r w:rsidR="00907D8C">
        <w:t xml:space="preserve"> </w:t>
      </w:r>
      <w:r w:rsidRPr="00036FAC">
        <w:t>between</w:t>
      </w:r>
      <w:r w:rsidR="00907D8C">
        <w:t xml:space="preserve"> </w:t>
      </w:r>
      <w:r w:rsidRPr="00036FAC">
        <w:t>the</w:t>
      </w:r>
      <w:r w:rsidR="00907D8C">
        <w:t xml:space="preserve"> </w:t>
      </w:r>
      <w:r w:rsidRPr="00036FAC">
        <w:t>Indo-Australian</w:t>
      </w:r>
      <w:r w:rsidR="00907D8C">
        <w:t xml:space="preserve"> </w:t>
      </w:r>
      <w:r w:rsidRPr="00036FAC">
        <w:t>p</w:t>
      </w:r>
      <w:r w:rsidR="001B201B">
        <w:t>late</w:t>
      </w:r>
      <w:r w:rsidR="00907D8C">
        <w:t xml:space="preserve"> </w:t>
      </w:r>
      <w:r w:rsidR="001B201B">
        <w:t>and</w:t>
      </w:r>
      <w:r w:rsidR="00907D8C">
        <w:t xml:space="preserve"> </w:t>
      </w:r>
      <w:r w:rsidR="001B201B">
        <w:t>the</w:t>
      </w:r>
      <w:r w:rsidR="00907D8C">
        <w:t xml:space="preserve"> </w:t>
      </w:r>
      <w:r w:rsidR="001B201B">
        <w:t>Pacific</w:t>
      </w:r>
      <w:r w:rsidR="00907D8C">
        <w:t xml:space="preserve"> </w:t>
      </w:r>
      <w:r w:rsidR="001B201B">
        <w:t>plate</w:t>
      </w:r>
      <w:r w:rsidR="00907D8C">
        <w:t xml:space="preserve"> </w:t>
      </w:r>
      <w:r w:rsidR="001B201B">
        <w:t>runs</w:t>
      </w:r>
      <w:r w:rsidR="00907D8C">
        <w:t xml:space="preserve"> </w:t>
      </w:r>
      <w:r w:rsidRPr="00036FAC">
        <w:t>through</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the</w:t>
      </w:r>
      <w:r w:rsidR="00907D8C">
        <w:t xml:space="preserve"> </w:t>
      </w:r>
      <w:r w:rsidRPr="00036FAC">
        <w:t>interaction</w:t>
      </w:r>
      <w:r w:rsidR="00907D8C">
        <w:t xml:space="preserve"> </w:t>
      </w:r>
      <w:r w:rsidRPr="00036FAC">
        <w:t>between</w:t>
      </w:r>
      <w:r w:rsidR="00907D8C">
        <w:t xml:space="preserve"> </w:t>
      </w:r>
      <w:r w:rsidRPr="00036FAC">
        <w:t>these</w:t>
      </w:r>
      <w:r w:rsidR="00907D8C">
        <w:t xml:space="preserve"> </w:t>
      </w:r>
      <w:r w:rsidRPr="00036FAC">
        <w:t>two</w:t>
      </w:r>
      <w:r w:rsidR="00907D8C">
        <w:t xml:space="preserve"> </w:t>
      </w:r>
      <w:r w:rsidRPr="00036FAC">
        <w:t>plates</w:t>
      </w:r>
      <w:r w:rsidR="00907D8C">
        <w:t xml:space="preserve"> </w:t>
      </w:r>
      <w:r w:rsidRPr="00036FAC">
        <w:t>has</w:t>
      </w:r>
      <w:r w:rsidR="00907D8C">
        <w:t xml:space="preserve"> </w:t>
      </w:r>
      <w:r w:rsidRPr="00036FAC">
        <w:t>a</w:t>
      </w:r>
      <w:r w:rsidR="00907D8C">
        <w:t xml:space="preserve"> </w:t>
      </w:r>
      <w:r w:rsidRPr="00036FAC">
        <w:t>profound</w:t>
      </w:r>
      <w:r w:rsidR="00907D8C">
        <w:t xml:space="preserve"> </w:t>
      </w:r>
      <w:r w:rsidRPr="00036FAC">
        <w:t>effect</w:t>
      </w:r>
      <w:r w:rsidR="00907D8C">
        <w:t xml:space="preserve"> </w:t>
      </w:r>
      <w:r w:rsidRPr="00036FAC">
        <w:t>on</w:t>
      </w:r>
      <w:r w:rsidR="00907D8C">
        <w:t xml:space="preserve"> </w:t>
      </w:r>
      <w:r w:rsidRPr="00036FAC">
        <w:t>New</w:t>
      </w:r>
      <w:r w:rsidR="00907D8C">
        <w:t xml:space="preserve"> </w:t>
      </w:r>
      <w:r w:rsidRPr="00036FAC">
        <w:t>Zeala</w:t>
      </w:r>
      <w:r w:rsidR="001B201B">
        <w:t>nd</w:t>
      </w:r>
      <w:r w:rsidR="003E4D94">
        <w:t>’</w:t>
      </w:r>
      <w:r w:rsidR="001B201B">
        <w:t>s</w:t>
      </w:r>
      <w:r w:rsidR="00907D8C">
        <w:t xml:space="preserve"> </w:t>
      </w:r>
      <w:r w:rsidR="001B201B">
        <w:t>size,</w:t>
      </w:r>
      <w:r w:rsidR="00907D8C">
        <w:t xml:space="preserve"> </w:t>
      </w:r>
      <w:r w:rsidR="001B201B">
        <w:t>shape,</w:t>
      </w:r>
      <w:r w:rsidR="00907D8C">
        <w:t xml:space="preserve"> </w:t>
      </w:r>
      <w:r w:rsidR="001B201B">
        <w:t>and</w:t>
      </w:r>
      <w:r w:rsidR="00907D8C">
        <w:t xml:space="preserve"> </w:t>
      </w:r>
      <w:r w:rsidR="001B201B">
        <w:t>geology.</w:t>
      </w:r>
    </w:p>
    <w:p w:rsidR="00036FAC" w:rsidRPr="00036FAC" w:rsidRDefault="00036FAC" w:rsidP="001B201B">
      <w:pPr>
        <w:pStyle w:val="SingleTxtG"/>
      </w:pPr>
      <w:r w:rsidRPr="00036FAC">
        <w:t>2.</w:t>
      </w:r>
      <w:r w:rsidRPr="00036FAC">
        <w:tab/>
        <w:t>The</w:t>
      </w:r>
      <w:r w:rsidR="00907D8C">
        <w:t xml:space="preserve"> </w:t>
      </w:r>
      <w:r w:rsidRPr="00036FAC">
        <w:t>Southern</w:t>
      </w:r>
      <w:r w:rsidR="00907D8C">
        <w:t xml:space="preserve"> </w:t>
      </w:r>
      <w:r w:rsidRPr="00036FAC">
        <w:t>Alps</w:t>
      </w:r>
      <w:r w:rsidR="00907D8C">
        <w:t xml:space="preserve"> </w:t>
      </w:r>
      <w:r w:rsidRPr="00036FAC">
        <w:t>of</w:t>
      </w:r>
      <w:r w:rsidR="00907D8C">
        <w:t xml:space="preserve"> </w:t>
      </w:r>
      <w:r w:rsidRPr="00036FAC">
        <w:t>the</w:t>
      </w:r>
      <w:r w:rsidR="00907D8C">
        <w:t xml:space="preserve"> </w:t>
      </w:r>
      <w:r w:rsidRPr="00036FAC">
        <w:t>South</w:t>
      </w:r>
      <w:r w:rsidR="00907D8C">
        <w:t xml:space="preserve"> </w:t>
      </w:r>
      <w:r w:rsidRPr="00036FAC">
        <w:t>Island,</w:t>
      </w:r>
      <w:r w:rsidR="00907D8C">
        <w:t xml:space="preserve"> </w:t>
      </w:r>
      <w:r w:rsidRPr="00036FAC">
        <w:t>which</w:t>
      </w:r>
      <w:r w:rsidR="00907D8C">
        <w:t xml:space="preserve"> </w:t>
      </w:r>
      <w:r w:rsidRPr="00036FAC">
        <w:t>rise</w:t>
      </w:r>
      <w:r w:rsidR="00907D8C">
        <w:t xml:space="preserve"> </w:t>
      </w:r>
      <w:r w:rsidRPr="00036FAC">
        <w:t>amid</w:t>
      </w:r>
      <w:r w:rsidR="00907D8C">
        <w:t xml:space="preserve"> </w:t>
      </w:r>
      <w:r w:rsidRPr="00036FAC">
        <w:t>permanent</w:t>
      </w:r>
      <w:r w:rsidR="00907D8C">
        <w:t xml:space="preserve"> </w:t>
      </w:r>
      <w:r w:rsidRPr="00036FAC">
        <w:t>snowfields</w:t>
      </w:r>
      <w:r w:rsidR="00907D8C">
        <w:t xml:space="preserve"> </w:t>
      </w:r>
      <w:r w:rsidRPr="00036FAC">
        <w:t>and</w:t>
      </w:r>
      <w:r w:rsidR="00907D8C">
        <w:t xml:space="preserve"> </w:t>
      </w:r>
      <w:r w:rsidRPr="00036FAC">
        <w:t>many</w:t>
      </w:r>
      <w:r w:rsidR="00907D8C">
        <w:t xml:space="preserve"> </w:t>
      </w:r>
      <w:r w:rsidRPr="00036FAC">
        <w:t>glaciers,</w:t>
      </w:r>
      <w:r w:rsidR="00907D8C">
        <w:t xml:space="preserve"> </w:t>
      </w:r>
      <w:r w:rsidRPr="00036FAC">
        <w:t>include</w:t>
      </w:r>
      <w:r w:rsidR="00907D8C">
        <w:t xml:space="preserve"> </w:t>
      </w:r>
      <w:r w:rsidRPr="00036FAC">
        <w:t>1</w:t>
      </w:r>
      <w:r w:rsidR="001B201B">
        <w:t>9</w:t>
      </w:r>
      <w:r w:rsidR="00907D8C">
        <w:t xml:space="preserve"> </w:t>
      </w:r>
      <w:r w:rsidR="001B201B">
        <w:t>peaks</w:t>
      </w:r>
      <w:r w:rsidR="00907D8C">
        <w:t xml:space="preserve"> </w:t>
      </w:r>
      <w:r w:rsidR="001B201B">
        <w:t>exceeding</w:t>
      </w:r>
      <w:r w:rsidR="00907D8C">
        <w:t xml:space="preserve"> </w:t>
      </w:r>
      <w:r w:rsidR="001B201B">
        <w:t>3,000</w:t>
      </w:r>
      <w:r w:rsidR="00907D8C">
        <w:t xml:space="preserve"> </w:t>
      </w:r>
      <w:r w:rsidR="001B201B">
        <w:t>metres.</w:t>
      </w:r>
      <w:r w:rsidR="00907D8C">
        <w:t xml:space="preserve"> </w:t>
      </w:r>
      <w:r w:rsidRPr="00036FAC">
        <w:t>The</w:t>
      </w:r>
      <w:r w:rsidR="00907D8C">
        <w:t xml:space="preserve"> </w:t>
      </w:r>
      <w:r w:rsidRPr="00036FAC">
        <w:t>two</w:t>
      </w:r>
      <w:r w:rsidR="00907D8C">
        <w:t xml:space="preserve"> </w:t>
      </w:r>
      <w:r w:rsidRPr="00036FAC">
        <w:t>main</w:t>
      </w:r>
      <w:r w:rsidR="00907D8C">
        <w:t xml:space="preserve"> </w:t>
      </w:r>
      <w:r w:rsidRPr="00036FAC">
        <w:t>islands</w:t>
      </w:r>
      <w:r w:rsidR="00907D8C">
        <w:t xml:space="preserve"> </w:t>
      </w:r>
      <w:r w:rsidRPr="00036FAC">
        <w:t>cover</w:t>
      </w:r>
      <w:r w:rsidR="00907D8C">
        <w:t xml:space="preserve"> </w:t>
      </w:r>
      <w:r w:rsidRPr="00036FAC">
        <w:t>1,600</w:t>
      </w:r>
      <w:r w:rsidR="00907D8C">
        <w:t xml:space="preserve"> </w:t>
      </w:r>
      <w:r w:rsidRPr="00036FAC">
        <w:t>kilometres</w:t>
      </w:r>
      <w:r w:rsidR="00907D8C">
        <w:t xml:space="preserve"> </w:t>
      </w:r>
      <w:r w:rsidRPr="00036FAC">
        <w:t>from</w:t>
      </w:r>
      <w:r w:rsidR="00907D8C">
        <w:t xml:space="preserve"> </w:t>
      </w:r>
      <w:r w:rsidRPr="00036FAC">
        <w:t>the</w:t>
      </w:r>
      <w:r w:rsidR="00907D8C">
        <w:t xml:space="preserve"> </w:t>
      </w:r>
      <w:r w:rsidRPr="00036FAC">
        <w:t>northern</w:t>
      </w:r>
      <w:r w:rsidR="00907D8C">
        <w:t xml:space="preserve"> </w:t>
      </w:r>
      <w:r w:rsidRPr="00036FAC">
        <w:t>tip</w:t>
      </w:r>
      <w:r w:rsidR="00907D8C">
        <w:t xml:space="preserve"> </w:t>
      </w:r>
      <w:r w:rsidRPr="00036FAC">
        <w:t>to</w:t>
      </w:r>
      <w:r w:rsidR="00907D8C">
        <w:t xml:space="preserve"> </w:t>
      </w:r>
      <w:r w:rsidRPr="00036FAC">
        <w:t>the</w:t>
      </w:r>
      <w:r w:rsidR="00907D8C">
        <w:t xml:space="preserve"> </w:t>
      </w:r>
      <w:r w:rsidRPr="00036FAC">
        <w:t>southern</w:t>
      </w:r>
      <w:r w:rsidR="00907D8C">
        <w:t xml:space="preserve"> </w:t>
      </w:r>
      <w:r w:rsidRPr="00036FAC">
        <w:t>extremity,</w:t>
      </w:r>
      <w:r w:rsidR="00907D8C">
        <w:t xml:space="preserve"> </w:t>
      </w:r>
      <w:r w:rsidRPr="00036FAC">
        <w:t>with</w:t>
      </w:r>
      <w:r w:rsidR="00907D8C">
        <w:t xml:space="preserve"> </w:t>
      </w:r>
      <w:r w:rsidRPr="00036FAC">
        <w:t>no</w:t>
      </w:r>
      <w:r w:rsidR="00907D8C">
        <w:t xml:space="preserve"> </w:t>
      </w:r>
      <w:r w:rsidRPr="00036FAC">
        <w:t>part</w:t>
      </w:r>
      <w:r w:rsidR="00907D8C">
        <w:t xml:space="preserve"> </w:t>
      </w:r>
      <w:r w:rsidRPr="00036FAC">
        <w:t>more</w:t>
      </w:r>
      <w:r w:rsidR="00907D8C">
        <w:t xml:space="preserve"> </w:t>
      </w:r>
      <w:r w:rsidRPr="00036FAC">
        <w:t>than</w:t>
      </w:r>
      <w:r w:rsidR="00907D8C">
        <w:t xml:space="preserve"> </w:t>
      </w:r>
      <w:r w:rsidRPr="00036FAC">
        <w:t>120</w:t>
      </w:r>
      <w:r w:rsidR="00907D8C">
        <w:t xml:space="preserve"> </w:t>
      </w:r>
      <w:r w:rsidRPr="00036FAC">
        <w:t>kilomet</w:t>
      </w:r>
      <w:r w:rsidR="001B201B">
        <w:t>res</w:t>
      </w:r>
      <w:r w:rsidR="00907D8C">
        <w:t xml:space="preserve"> </w:t>
      </w:r>
      <w:r w:rsidR="001B201B">
        <w:t>from</w:t>
      </w:r>
      <w:r w:rsidR="00907D8C">
        <w:t xml:space="preserve"> </w:t>
      </w:r>
      <w:r w:rsidR="001B201B">
        <w:t>the</w:t>
      </w:r>
      <w:r w:rsidR="00907D8C">
        <w:t xml:space="preserve"> </w:t>
      </w:r>
      <w:r w:rsidR="001B201B">
        <w:t>surrounding</w:t>
      </w:r>
      <w:r w:rsidR="00907D8C">
        <w:t xml:space="preserve"> </w:t>
      </w:r>
      <w:r w:rsidR="001B201B">
        <w:t>ocean.</w:t>
      </w:r>
      <w:r w:rsidR="00907D8C">
        <w:t xml:space="preserve"> </w:t>
      </w:r>
      <w:r w:rsidRPr="00036FAC">
        <w:t>The</w:t>
      </w:r>
      <w:r w:rsidR="00907D8C">
        <w:t xml:space="preserve"> </w:t>
      </w:r>
      <w:r w:rsidRPr="00036FAC">
        <w:t>long</w:t>
      </w:r>
      <w:r w:rsidR="00907D8C">
        <w:t xml:space="preserve"> </w:t>
      </w:r>
      <w:r w:rsidRPr="00036FAC">
        <w:t>coastline</w:t>
      </w:r>
      <w:r w:rsidR="00907D8C">
        <w:t xml:space="preserve"> </w:t>
      </w:r>
      <w:r w:rsidRPr="00036FAC">
        <w:t>and</w:t>
      </w:r>
      <w:r w:rsidR="00907D8C">
        <w:t xml:space="preserve"> </w:t>
      </w:r>
      <w:r w:rsidRPr="00036FAC">
        <w:t>distance</w:t>
      </w:r>
      <w:r w:rsidR="00907D8C">
        <w:t xml:space="preserve"> </w:t>
      </w:r>
      <w:r w:rsidRPr="00036FAC">
        <w:t>from</w:t>
      </w:r>
      <w:r w:rsidR="00907D8C">
        <w:t xml:space="preserve"> </w:t>
      </w:r>
      <w:r w:rsidRPr="00036FAC">
        <w:t>the</w:t>
      </w:r>
      <w:r w:rsidR="00907D8C">
        <w:t xml:space="preserve"> </w:t>
      </w:r>
      <w:r w:rsidRPr="00036FAC">
        <w:t>nearest</w:t>
      </w:r>
      <w:r w:rsidR="00907D8C">
        <w:t xml:space="preserve"> </w:t>
      </w:r>
      <w:r w:rsidRPr="00036FAC">
        <w:t>neighbouring</w:t>
      </w:r>
      <w:r w:rsidR="00907D8C">
        <w:t xml:space="preserve"> </w:t>
      </w:r>
      <w:r w:rsidRPr="00036FAC">
        <w:t>countries</w:t>
      </w:r>
      <w:r w:rsidR="00907D8C">
        <w:t xml:space="preserve"> </w:t>
      </w:r>
      <w:r w:rsidRPr="00036FAC">
        <w:t>contribute</w:t>
      </w:r>
      <w:r w:rsidR="00907D8C">
        <w:t xml:space="preserve"> </w:t>
      </w:r>
      <w:r w:rsidRPr="00036FAC">
        <w:t>to</w:t>
      </w:r>
      <w:r w:rsidR="00907D8C">
        <w:t xml:space="preserve"> </w:t>
      </w:r>
      <w:r w:rsidRPr="00036FAC">
        <w:t>giving</w:t>
      </w:r>
      <w:r w:rsidR="00907D8C">
        <w:t xml:space="preserve"> </w:t>
      </w:r>
      <w:r w:rsidRPr="00036FAC">
        <w:t>New</w:t>
      </w:r>
      <w:r w:rsidR="00907D8C">
        <w:t xml:space="preserve"> </w:t>
      </w:r>
      <w:r w:rsidRPr="00036FAC">
        <w:t>Zealand</w:t>
      </w:r>
      <w:r w:rsidR="00907D8C">
        <w:t xml:space="preserve"> </w:t>
      </w:r>
      <w:r w:rsidRPr="00036FAC">
        <w:t>a</w:t>
      </w:r>
      <w:r w:rsidR="00907D8C">
        <w:t xml:space="preserve"> </w:t>
      </w:r>
      <w:r w:rsidRPr="00036FAC">
        <w:t>large</w:t>
      </w:r>
      <w:r w:rsidR="00907D8C">
        <w:t xml:space="preserve"> </w:t>
      </w:r>
      <w:r w:rsidRPr="00036FAC">
        <w:t>mar</w:t>
      </w:r>
      <w:r w:rsidR="001B201B">
        <w:t>itime</w:t>
      </w:r>
      <w:r w:rsidR="00907D8C">
        <w:t xml:space="preserve"> </w:t>
      </w:r>
      <w:r w:rsidR="001B201B">
        <w:t>Exclusive</w:t>
      </w:r>
      <w:r w:rsidR="00907D8C">
        <w:t xml:space="preserve"> </w:t>
      </w:r>
      <w:r w:rsidR="001B201B">
        <w:t>Economic</w:t>
      </w:r>
      <w:r w:rsidR="00907D8C">
        <w:t xml:space="preserve"> </w:t>
      </w:r>
      <w:r w:rsidR="001B201B">
        <w:t>Zone.</w:t>
      </w:r>
    </w:p>
    <w:p w:rsidR="00036FAC" w:rsidRPr="00036FAC" w:rsidRDefault="00036FAC" w:rsidP="006C436C">
      <w:pPr>
        <w:pStyle w:val="H23G"/>
      </w:pPr>
      <w:r w:rsidRPr="00036FAC">
        <w:tab/>
        <w:t>2.</w:t>
      </w:r>
      <w:r w:rsidRPr="00036FAC">
        <w:tab/>
        <w:t>History</w:t>
      </w:r>
    </w:p>
    <w:p w:rsidR="00036FAC" w:rsidRPr="00036FAC" w:rsidRDefault="00036FAC" w:rsidP="001B201B">
      <w:pPr>
        <w:pStyle w:val="SingleTxtG"/>
      </w:pPr>
      <w:r w:rsidRPr="00036FAC">
        <w:t>3.</w:t>
      </w:r>
      <w:r w:rsidRPr="00036FAC">
        <w:tab/>
        <w:t>The</w:t>
      </w:r>
      <w:r w:rsidR="00907D8C">
        <w:t xml:space="preserve"> </w:t>
      </w:r>
      <w:r w:rsidRPr="00036FAC">
        <w:t>first</w:t>
      </w:r>
      <w:r w:rsidR="00907D8C">
        <w:t xml:space="preserve"> </w:t>
      </w:r>
      <w:r w:rsidRPr="00036FAC">
        <w:t>Polynesian</w:t>
      </w:r>
      <w:r w:rsidR="00907D8C">
        <w:t xml:space="preserve"> </w:t>
      </w:r>
      <w:r w:rsidRPr="00036FAC">
        <w:t>settlers</w:t>
      </w:r>
      <w:r w:rsidR="00907D8C">
        <w:t xml:space="preserve"> </w:t>
      </w:r>
      <w:r w:rsidRPr="00036FAC">
        <w:t>are</w:t>
      </w:r>
      <w:r w:rsidR="00907D8C">
        <w:t xml:space="preserve"> </w:t>
      </w:r>
      <w:r w:rsidRPr="00036FAC">
        <w:t>believed</w:t>
      </w:r>
      <w:r w:rsidR="00907D8C">
        <w:t xml:space="preserve"> </w:t>
      </w:r>
      <w:r w:rsidRPr="00036FAC">
        <w:t>to</w:t>
      </w:r>
      <w:r w:rsidR="00907D8C">
        <w:t xml:space="preserve"> </w:t>
      </w:r>
      <w:r w:rsidRPr="00036FAC">
        <w:t>have</w:t>
      </w:r>
      <w:r w:rsidR="00907D8C">
        <w:t xml:space="preserve"> </w:t>
      </w:r>
      <w:r w:rsidRPr="00036FAC">
        <w:t>arrived</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more</w:t>
      </w:r>
      <w:r w:rsidR="00907D8C">
        <w:t xml:space="preserve"> </w:t>
      </w:r>
      <w:r w:rsidRPr="00036FAC">
        <w:t>than</w:t>
      </w:r>
      <w:r w:rsidR="00907D8C">
        <w:t xml:space="preserve"> </w:t>
      </w:r>
      <w:r w:rsidRPr="00036FAC">
        <w:t>1,000</w:t>
      </w:r>
      <w:r w:rsidR="00907D8C">
        <w:t xml:space="preserve"> </w:t>
      </w:r>
      <w:r w:rsidRPr="00036FAC">
        <w:t>years</w:t>
      </w:r>
      <w:r w:rsidR="00907D8C">
        <w:t xml:space="preserve"> </w:t>
      </w:r>
      <w:r w:rsidRPr="00036FAC">
        <w:t>ago.</w:t>
      </w:r>
      <w:r w:rsidR="00907D8C">
        <w:t xml:space="preserve"> </w:t>
      </w:r>
      <w:r w:rsidRPr="00036FAC">
        <w:t>Māori</w:t>
      </w:r>
      <w:r w:rsidR="00907D8C">
        <w:t xml:space="preserve"> </w:t>
      </w:r>
      <w:r w:rsidRPr="00036FAC">
        <w:t>settlements</w:t>
      </w:r>
      <w:r w:rsidR="00907D8C">
        <w:t xml:space="preserve"> </w:t>
      </w:r>
      <w:r w:rsidRPr="00036FAC">
        <w:t>were</w:t>
      </w:r>
      <w:r w:rsidR="00907D8C">
        <w:t xml:space="preserve"> </w:t>
      </w:r>
      <w:r w:rsidRPr="00036FAC">
        <w:t>scattered</w:t>
      </w:r>
      <w:r w:rsidR="00907D8C">
        <w:t xml:space="preserve"> </w:t>
      </w:r>
      <w:r w:rsidRPr="00036FAC">
        <w:t>over</w:t>
      </w:r>
      <w:r w:rsidR="00907D8C">
        <w:t xml:space="preserve"> </w:t>
      </w:r>
      <w:r w:rsidRPr="00036FAC">
        <w:t>most</w:t>
      </w:r>
      <w:r w:rsidR="00907D8C">
        <w:t xml:space="preserve"> </w:t>
      </w:r>
      <w:r w:rsidRPr="00036FAC">
        <w:t>of</w:t>
      </w:r>
      <w:r w:rsidR="00907D8C">
        <w:t xml:space="preserve"> </w:t>
      </w:r>
      <w:r w:rsidRPr="00036FAC">
        <w:t>the</w:t>
      </w:r>
      <w:r w:rsidR="00907D8C">
        <w:t xml:space="preserve"> </w:t>
      </w:r>
      <w:r w:rsidRPr="00036FAC">
        <w:t>country</w:t>
      </w:r>
      <w:r w:rsidR="00907D8C">
        <w:t xml:space="preserve"> </w:t>
      </w:r>
      <w:r w:rsidRPr="00036FAC">
        <w:t>by</w:t>
      </w:r>
      <w:r w:rsidR="00907D8C">
        <w:t xml:space="preserve"> </w:t>
      </w:r>
      <w:r w:rsidRPr="00036FAC">
        <w:t>the</w:t>
      </w:r>
      <w:r w:rsidR="00907D8C">
        <w:t xml:space="preserve"> </w:t>
      </w:r>
      <w:r w:rsidRPr="00036FAC">
        <w:t>12th</w:t>
      </w:r>
      <w:r w:rsidR="00907D8C">
        <w:t xml:space="preserve"> </w:t>
      </w:r>
      <w:r w:rsidRPr="00036FAC">
        <w:t>century.</w:t>
      </w:r>
      <w:r w:rsidR="00907D8C">
        <w:t xml:space="preserve"> </w:t>
      </w:r>
      <w:r w:rsidRPr="00036FAC">
        <w:t>In</w:t>
      </w:r>
      <w:r w:rsidR="00907D8C">
        <w:t xml:space="preserve"> </w:t>
      </w:r>
      <w:r w:rsidRPr="00036FAC">
        <w:t>1642,</w:t>
      </w:r>
      <w:r w:rsidR="00907D8C">
        <w:t xml:space="preserve"> </w:t>
      </w:r>
      <w:r w:rsidRPr="00036FAC">
        <w:t>Dutch</w:t>
      </w:r>
      <w:r w:rsidR="00907D8C">
        <w:t xml:space="preserve"> </w:t>
      </w:r>
      <w:r w:rsidRPr="00036FAC">
        <w:t>navigator</w:t>
      </w:r>
      <w:r w:rsidR="00907D8C">
        <w:t xml:space="preserve"> </w:t>
      </w:r>
      <w:r w:rsidRPr="00036FAC">
        <w:t>Abel</w:t>
      </w:r>
      <w:r w:rsidR="00907D8C">
        <w:t xml:space="preserve"> </w:t>
      </w:r>
      <w:r w:rsidRPr="00036FAC">
        <w:t>Tasman</w:t>
      </w:r>
      <w:r w:rsidR="00907D8C">
        <w:t xml:space="preserve"> </w:t>
      </w:r>
      <w:r w:rsidRPr="00036FAC">
        <w:t>sighted</w:t>
      </w:r>
      <w:r w:rsidR="00907D8C">
        <w:t xml:space="preserve"> </w:t>
      </w:r>
      <w:r w:rsidRPr="00036FAC">
        <w:t>New</w:t>
      </w:r>
      <w:r w:rsidR="00907D8C">
        <w:t xml:space="preserve"> </w:t>
      </w:r>
      <w:r w:rsidRPr="00036FAC">
        <w:t>Zealand.</w:t>
      </w:r>
      <w:r w:rsidR="00907D8C">
        <w:t xml:space="preserve"> </w:t>
      </w:r>
      <w:r w:rsidRPr="00036FAC">
        <w:t>However,</w:t>
      </w:r>
      <w:r w:rsidR="00907D8C">
        <w:t xml:space="preserve"> </w:t>
      </w:r>
      <w:r w:rsidRPr="00036FAC">
        <w:t>it</w:t>
      </w:r>
      <w:r w:rsidR="00907D8C">
        <w:t xml:space="preserve"> </w:t>
      </w:r>
      <w:r w:rsidRPr="00036FAC">
        <w:t>was</w:t>
      </w:r>
      <w:r w:rsidR="00907D8C">
        <w:t xml:space="preserve"> </w:t>
      </w:r>
      <w:r w:rsidRPr="00036FAC">
        <w:t>another</w:t>
      </w:r>
      <w:r w:rsidR="00907D8C">
        <w:t xml:space="preserve"> </w:t>
      </w:r>
      <w:r w:rsidRPr="00036FAC">
        <w:t>127</w:t>
      </w:r>
      <w:r w:rsidR="00907D8C">
        <w:t xml:space="preserve"> </w:t>
      </w:r>
      <w:r w:rsidRPr="00036FAC">
        <w:t>years,</w:t>
      </w:r>
      <w:r w:rsidR="00907D8C">
        <w:t xml:space="preserve"> </w:t>
      </w:r>
      <w:r w:rsidRPr="00036FAC">
        <w:t>in</w:t>
      </w:r>
      <w:r w:rsidR="00907D8C">
        <w:t xml:space="preserve"> </w:t>
      </w:r>
      <w:r w:rsidRPr="00036FAC">
        <w:t>1769,</w:t>
      </w:r>
      <w:r w:rsidR="00907D8C">
        <w:t xml:space="preserve"> </w:t>
      </w:r>
      <w:r w:rsidRPr="00036FAC">
        <w:t>before</w:t>
      </w:r>
      <w:r w:rsidR="00907D8C">
        <w:t xml:space="preserve"> </w:t>
      </w:r>
      <w:r w:rsidRPr="00036FAC">
        <w:t>British</w:t>
      </w:r>
      <w:r w:rsidR="00907D8C">
        <w:t xml:space="preserve"> </w:t>
      </w:r>
      <w:r w:rsidRPr="00036FAC">
        <w:t>naval</w:t>
      </w:r>
      <w:r w:rsidR="00907D8C">
        <w:t xml:space="preserve"> </w:t>
      </w:r>
      <w:r w:rsidRPr="00036FAC">
        <w:t>captain</w:t>
      </w:r>
      <w:r w:rsidR="00907D8C">
        <w:t xml:space="preserve"> </w:t>
      </w:r>
      <w:r w:rsidRPr="00036FAC">
        <w:t>James</w:t>
      </w:r>
      <w:r w:rsidR="00907D8C">
        <w:t xml:space="preserve"> </w:t>
      </w:r>
      <w:r w:rsidRPr="00036FAC">
        <w:t>Cook</w:t>
      </w:r>
      <w:r w:rsidR="00907D8C">
        <w:t xml:space="preserve"> </w:t>
      </w:r>
      <w:r w:rsidRPr="00036FAC">
        <w:t>became</w:t>
      </w:r>
      <w:r w:rsidR="00907D8C">
        <w:t xml:space="preserve"> </w:t>
      </w:r>
      <w:r w:rsidRPr="00036FAC">
        <w:t>the</w:t>
      </w:r>
      <w:r w:rsidR="00907D8C">
        <w:t xml:space="preserve"> </w:t>
      </w:r>
      <w:r w:rsidRPr="00036FAC">
        <w:t>first</w:t>
      </w:r>
      <w:r w:rsidR="00907D8C">
        <w:t xml:space="preserve"> </w:t>
      </w:r>
      <w:r w:rsidRPr="00036FAC">
        <w:t>European</w:t>
      </w:r>
      <w:r w:rsidR="00907D8C">
        <w:t xml:space="preserve"> </w:t>
      </w:r>
      <w:r w:rsidRPr="00036FAC">
        <w:t>to</w:t>
      </w:r>
      <w:r w:rsidR="00907D8C">
        <w:t xml:space="preserve"> </w:t>
      </w:r>
      <w:r w:rsidRPr="00036FAC">
        <w:t>set</w:t>
      </w:r>
      <w:r w:rsidR="00907D8C">
        <w:t xml:space="preserve"> </w:t>
      </w:r>
      <w:r w:rsidRPr="00036FAC">
        <w:t>foot</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Organised</w:t>
      </w:r>
      <w:r w:rsidR="00907D8C">
        <w:t xml:space="preserve"> </w:t>
      </w:r>
      <w:r w:rsidRPr="00036FAC">
        <w:t>European</w:t>
      </w:r>
      <w:r w:rsidR="00907D8C">
        <w:t xml:space="preserve"> </w:t>
      </w:r>
      <w:r w:rsidRPr="00036FAC">
        <w:t>settlement</w:t>
      </w:r>
      <w:r w:rsidR="00907D8C">
        <w:t xml:space="preserve"> </w:t>
      </w:r>
      <w:r w:rsidRPr="00036FAC">
        <w:t>began</w:t>
      </w:r>
      <w:r w:rsidR="00907D8C">
        <w:t xml:space="preserve"> </w:t>
      </w:r>
      <w:r w:rsidRPr="00036FAC">
        <w:t>in</w:t>
      </w:r>
      <w:r w:rsidR="00907D8C">
        <w:t xml:space="preserve"> </w:t>
      </w:r>
      <w:r w:rsidRPr="00036FAC">
        <w:t>the</w:t>
      </w:r>
      <w:r w:rsidR="00907D8C">
        <w:t xml:space="preserve"> </w:t>
      </w:r>
      <w:r w:rsidRPr="00036FAC">
        <w:t>mid-19th</w:t>
      </w:r>
      <w:r w:rsidR="00907D8C">
        <w:t xml:space="preserve"> </w:t>
      </w:r>
      <w:r w:rsidRPr="00036FAC">
        <w:t>century.</w:t>
      </w:r>
    </w:p>
    <w:p w:rsidR="00036FAC" w:rsidRPr="00036FAC" w:rsidRDefault="00036FAC" w:rsidP="001B201B">
      <w:pPr>
        <w:pStyle w:val="SingleTxtG"/>
      </w:pPr>
      <w:r w:rsidRPr="00036FAC">
        <w:t>4.</w:t>
      </w:r>
      <w:r w:rsidRPr="00036FAC">
        <w:tab/>
        <w:t>In</w:t>
      </w:r>
      <w:r w:rsidR="00907D8C">
        <w:t xml:space="preserve"> </w:t>
      </w:r>
      <w:r w:rsidRPr="00036FAC">
        <w:t>1840,</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was</w:t>
      </w:r>
      <w:r w:rsidR="00907D8C">
        <w:t xml:space="preserve"> </w:t>
      </w:r>
      <w:r w:rsidRPr="00036FAC">
        <w:t>signed</w:t>
      </w:r>
      <w:r w:rsidR="00907D8C">
        <w:t xml:space="preserve"> </w:t>
      </w:r>
      <w:r w:rsidRPr="00036FAC">
        <w:t>between</w:t>
      </w:r>
      <w:r w:rsidR="00907D8C">
        <w:t xml:space="preserve"> </w:t>
      </w:r>
      <w:r w:rsidRPr="00036FAC">
        <w:t>iwi</w:t>
      </w:r>
      <w:r w:rsidR="00907D8C">
        <w:t xml:space="preserve"> </w:t>
      </w:r>
      <w:r w:rsidRPr="00036FAC">
        <w:t>Māori</w:t>
      </w:r>
      <w:r w:rsidR="00907D8C">
        <w:t xml:space="preserve"> </w:t>
      </w:r>
      <w:r w:rsidRPr="00036FAC">
        <w:t>(the</w:t>
      </w:r>
      <w:r w:rsidR="00907D8C">
        <w:t xml:space="preserve"> </w:t>
      </w:r>
      <w:r w:rsidRPr="00036FAC">
        <w:t>indigenous</w:t>
      </w:r>
      <w:r w:rsidR="00907D8C">
        <w:t xml:space="preserve"> </w:t>
      </w:r>
      <w:r w:rsidRPr="00036FAC">
        <w:t>tribes</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the</w:t>
      </w:r>
      <w:r w:rsidR="00907D8C">
        <w:t xml:space="preserve"> </w:t>
      </w:r>
      <w:r w:rsidRPr="00036FAC">
        <w:t>British</w:t>
      </w:r>
      <w:r w:rsidR="00907D8C">
        <w:t xml:space="preserve"> </w:t>
      </w:r>
      <w:r w:rsidRPr="00036FAC">
        <w:t>Crown.</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is</w:t>
      </w:r>
      <w:r w:rsidR="00907D8C">
        <w:t xml:space="preserve"> </w:t>
      </w:r>
      <w:r w:rsidRPr="00036FAC">
        <w:t>a</w:t>
      </w:r>
      <w:r w:rsidR="00907D8C">
        <w:t xml:space="preserve"> </w:t>
      </w:r>
      <w:r w:rsidRPr="00036FAC">
        <w:t>founding</w:t>
      </w:r>
      <w:r w:rsidR="00907D8C">
        <w:t xml:space="preserve"> </w:t>
      </w:r>
      <w:r w:rsidRPr="00036FAC">
        <w:t>document</w:t>
      </w:r>
      <w:r w:rsidR="00907D8C">
        <w:t xml:space="preserve"> </w:t>
      </w:r>
      <w:r w:rsidRPr="00036FAC">
        <w:t>of</w:t>
      </w:r>
      <w:r w:rsidR="00907D8C">
        <w:t xml:space="preserve"> </w:t>
      </w:r>
      <w:r w:rsidRPr="00036FAC">
        <w:t>modern</w:t>
      </w:r>
      <w:r w:rsidR="00907D8C">
        <w:t xml:space="preserve"> </w:t>
      </w:r>
      <w:r w:rsidRPr="00036FAC">
        <w:t>New</w:t>
      </w:r>
      <w:r w:rsidR="00907D8C">
        <w:t xml:space="preserve"> </w:t>
      </w:r>
      <w:r w:rsidRPr="00036FAC">
        <w:t>Zealand.</w:t>
      </w:r>
    </w:p>
    <w:p w:rsidR="00036FAC" w:rsidRPr="00036FAC" w:rsidRDefault="00036FAC" w:rsidP="006C436C">
      <w:pPr>
        <w:pStyle w:val="H23G"/>
      </w:pPr>
      <w:r w:rsidRPr="00036FAC">
        <w:tab/>
        <w:t>3.</w:t>
      </w:r>
      <w:r w:rsidRPr="00036FAC">
        <w:tab/>
        <w:t>Population</w:t>
      </w:r>
    </w:p>
    <w:p w:rsidR="00036FAC" w:rsidRPr="00036FAC" w:rsidRDefault="00036FAC" w:rsidP="001B201B">
      <w:pPr>
        <w:pStyle w:val="SingleTxtG"/>
      </w:pPr>
      <w:r w:rsidRPr="00036FAC">
        <w:t>5.</w:t>
      </w:r>
      <w:r w:rsidRPr="00036FAC">
        <w:tab/>
        <w:t>Some</w:t>
      </w:r>
      <w:r w:rsidR="00907D8C">
        <w:t xml:space="preserve"> </w:t>
      </w:r>
      <w:r w:rsidRPr="00036FAC">
        <w:t>data</w:t>
      </w:r>
      <w:r w:rsidR="00907D8C">
        <w:t xml:space="preserve"> </w:t>
      </w:r>
      <w:r w:rsidRPr="00036FAC">
        <w:t>in</w:t>
      </w:r>
      <w:r w:rsidR="00907D8C">
        <w:t xml:space="preserve"> </w:t>
      </w:r>
      <w:r w:rsidRPr="00036FAC">
        <w:t>this</w:t>
      </w:r>
      <w:r w:rsidR="00907D8C">
        <w:t xml:space="preserve"> </w:t>
      </w:r>
      <w:r w:rsidRPr="00036FAC">
        <w:t>report</w:t>
      </w:r>
      <w:r w:rsidR="00907D8C">
        <w:t xml:space="preserve"> </w:t>
      </w:r>
      <w:r w:rsidRPr="00036FAC">
        <w:t>is</w:t>
      </w:r>
      <w:r w:rsidR="00907D8C">
        <w:t xml:space="preserve"> </w:t>
      </w:r>
      <w:r w:rsidRPr="00036FAC">
        <w:t>drawn</w:t>
      </w:r>
      <w:r w:rsidR="00907D8C">
        <w:t xml:space="preserve"> </w:t>
      </w:r>
      <w:r w:rsidRPr="00036FAC">
        <w:t>from</w:t>
      </w:r>
      <w:r w:rsidR="00907D8C">
        <w:t xml:space="preserve"> </w:t>
      </w:r>
      <w:r w:rsidRPr="00036FAC">
        <w:t>the</w:t>
      </w:r>
      <w:r w:rsidR="00907D8C">
        <w:t xml:space="preserve"> </w:t>
      </w:r>
      <w:r w:rsidRPr="00036FAC">
        <w:t>2006</w:t>
      </w:r>
      <w:r w:rsidR="00907D8C">
        <w:t xml:space="preserve"> </w:t>
      </w:r>
      <w:r w:rsidRPr="00036FAC">
        <w:t>population</w:t>
      </w:r>
      <w:r w:rsidR="00907D8C">
        <w:t xml:space="preserve"> </w:t>
      </w:r>
      <w:r w:rsidRPr="00036FAC">
        <w:t>census.</w:t>
      </w:r>
      <w:r w:rsidR="00907D8C">
        <w:t xml:space="preserve"> </w:t>
      </w:r>
      <w:r w:rsidRPr="00036FAC">
        <w:t>The</w:t>
      </w:r>
      <w:r w:rsidR="00907D8C">
        <w:t xml:space="preserve"> </w:t>
      </w:r>
      <w:r w:rsidRPr="00036FAC">
        <w:t>next</w:t>
      </w:r>
      <w:r w:rsidR="00907D8C">
        <w:t xml:space="preserve"> </w:t>
      </w:r>
      <w:r w:rsidRPr="00036FAC">
        <w:t>census</w:t>
      </w:r>
      <w:r w:rsidR="00907D8C">
        <w:t xml:space="preserve"> </w:t>
      </w:r>
      <w:r w:rsidRPr="00036FAC">
        <w:t>will</w:t>
      </w:r>
      <w:r w:rsidR="00907D8C">
        <w:t xml:space="preserve"> </w:t>
      </w:r>
      <w:r w:rsidRPr="00036FAC">
        <w:t>be</w:t>
      </w:r>
      <w:r w:rsidR="00907D8C">
        <w:t xml:space="preserve"> </w:t>
      </w:r>
      <w:r w:rsidRPr="00036FAC">
        <w:t>held</w:t>
      </w:r>
      <w:r w:rsidR="00907D8C">
        <w:t xml:space="preserve"> </w:t>
      </w:r>
      <w:r w:rsidRPr="00036FAC">
        <w:t>in</w:t>
      </w:r>
      <w:r w:rsidR="00907D8C">
        <w:t xml:space="preserve"> </w:t>
      </w:r>
      <w:r w:rsidRPr="00036FAC">
        <w:t>March</w:t>
      </w:r>
      <w:r w:rsidR="00907D8C">
        <w:t xml:space="preserve"> </w:t>
      </w:r>
      <w:r w:rsidR="001B201B">
        <w:t>2011.</w:t>
      </w:r>
    </w:p>
    <w:p w:rsidR="00036FAC" w:rsidRPr="00036FAC" w:rsidRDefault="00036FAC" w:rsidP="001B201B">
      <w:pPr>
        <w:pStyle w:val="SingleTxtG"/>
      </w:pPr>
      <w:r w:rsidRPr="00036FAC">
        <w:t>6.</w:t>
      </w:r>
      <w:r w:rsidRPr="00036FAC">
        <w:tab/>
        <w:t>New</w:t>
      </w:r>
      <w:r w:rsidR="00907D8C">
        <w:t xml:space="preserve"> </w:t>
      </w:r>
      <w:r w:rsidRPr="00036FAC">
        <w:t>Zealand</w:t>
      </w:r>
      <w:r w:rsidR="003E4D94">
        <w:t>’</w:t>
      </w:r>
      <w:r w:rsidRPr="00036FAC">
        <w:t>s</w:t>
      </w:r>
      <w:r w:rsidR="00907D8C">
        <w:t xml:space="preserve"> </w:t>
      </w:r>
      <w:r w:rsidRPr="00036FAC">
        <w:t>resident</w:t>
      </w:r>
      <w:r w:rsidR="00907D8C">
        <w:t xml:space="preserve"> </w:t>
      </w:r>
      <w:r w:rsidRPr="00036FAC">
        <w:t>population</w:t>
      </w:r>
      <w:r w:rsidR="00907D8C">
        <w:t xml:space="preserve"> </w:t>
      </w:r>
      <w:r w:rsidRPr="00036FAC">
        <w:t>reached</w:t>
      </w:r>
      <w:r w:rsidR="00907D8C">
        <w:t xml:space="preserve"> </w:t>
      </w:r>
      <w:r w:rsidRPr="00036FAC">
        <w:t>4</w:t>
      </w:r>
      <w:r w:rsidR="00907D8C">
        <w:t xml:space="preserve"> </w:t>
      </w:r>
      <w:r w:rsidRPr="00036FAC">
        <w:t>million</w:t>
      </w:r>
      <w:r w:rsidR="00907D8C">
        <w:t xml:space="preserve"> </w:t>
      </w:r>
      <w:r w:rsidRPr="00036FAC">
        <w:t>in</w:t>
      </w:r>
      <w:r w:rsidR="00907D8C">
        <w:t xml:space="preserve"> </w:t>
      </w:r>
      <w:r w:rsidRPr="00036FAC">
        <w:t>2003</w:t>
      </w:r>
      <w:r w:rsidR="00907D8C">
        <w:t xml:space="preserve"> </w:t>
      </w:r>
      <w:r w:rsidRPr="00036FAC">
        <w:t>and</w:t>
      </w:r>
      <w:r w:rsidR="00907D8C">
        <w:t xml:space="preserve"> </w:t>
      </w:r>
      <w:r w:rsidRPr="00036FAC">
        <w:t>was</w:t>
      </w:r>
      <w:r w:rsidR="00907D8C">
        <w:t xml:space="preserve"> </w:t>
      </w:r>
      <w:r w:rsidRPr="00036FAC">
        <w:t>estimated</w:t>
      </w:r>
      <w:r w:rsidR="00907D8C">
        <w:t xml:space="preserve"> </w:t>
      </w:r>
      <w:r w:rsidRPr="00036FAC">
        <w:t>to</w:t>
      </w:r>
      <w:r w:rsidR="00907D8C">
        <w:t xml:space="preserve"> </w:t>
      </w:r>
      <w:r w:rsidRPr="00036FAC">
        <w:t>be</w:t>
      </w:r>
      <w:r w:rsidR="00907D8C">
        <w:t xml:space="preserve"> </w:t>
      </w:r>
      <w:r w:rsidRPr="00036FAC">
        <w:t>4.29</w:t>
      </w:r>
      <w:r w:rsidR="00907D8C">
        <w:t xml:space="preserve"> </w:t>
      </w:r>
      <w:r w:rsidRPr="00036FAC">
        <w:t>million</w:t>
      </w:r>
      <w:r w:rsidR="00907D8C">
        <w:t xml:space="preserve"> </w:t>
      </w:r>
      <w:r w:rsidRPr="00036FAC">
        <w:t>at</w:t>
      </w:r>
      <w:r w:rsidR="00907D8C">
        <w:t xml:space="preserve"> </w:t>
      </w:r>
      <w:r w:rsidRPr="00036FAC">
        <w:t>the</w:t>
      </w:r>
      <w:r w:rsidR="00907D8C">
        <w:t xml:space="preserve"> </w:t>
      </w:r>
      <w:r w:rsidRPr="00036FAC">
        <w:t>end</w:t>
      </w:r>
      <w:r w:rsidR="00907D8C">
        <w:t xml:space="preserve"> </w:t>
      </w:r>
      <w:r w:rsidRPr="00036FAC">
        <w:t>of</w:t>
      </w:r>
      <w:r w:rsidR="00907D8C">
        <w:t xml:space="preserve"> </w:t>
      </w:r>
      <w:r w:rsidRPr="00036FAC">
        <w:t>December</w:t>
      </w:r>
      <w:r w:rsidR="00907D8C">
        <w:t xml:space="preserve"> </w:t>
      </w:r>
      <w:r w:rsidRPr="00036FAC">
        <w:t>2008.</w:t>
      </w:r>
      <w:r w:rsidR="00907D8C">
        <w:t xml:space="preserve"> </w:t>
      </w:r>
      <w:r w:rsidRPr="00036FAC">
        <w:t>During</w:t>
      </w:r>
      <w:r w:rsidR="00907D8C">
        <w:t xml:space="preserve"> </w:t>
      </w:r>
      <w:r w:rsidRPr="00036FAC">
        <w:t>2008,</w:t>
      </w:r>
      <w:r w:rsidR="00907D8C">
        <w:t xml:space="preserve"> </w:t>
      </w:r>
      <w:r w:rsidRPr="00036FAC">
        <w:t>the</w:t>
      </w:r>
      <w:r w:rsidR="00907D8C">
        <w:t xml:space="preserve"> </w:t>
      </w:r>
      <w:r w:rsidRPr="00036FAC">
        <w:t>population</w:t>
      </w:r>
      <w:r w:rsidR="00907D8C">
        <w:t xml:space="preserve"> </w:t>
      </w:r>
      <w:r w:rsidRPr="00036FAC">
        <w:t>grew</w:t>
      </w:r>
      <w:r w:rsidR="00907D8C">
        <w:t xml:space="preserve"> </w:t>
      </w:r>
      <w:r w:rsidRPr="00036FAC">
        <w:t>by</w:t>
      </w:r>
      <w:r w:rsidR="00907D8C">
        <w:t xml:space="preserve"> </w:t>
      </w:r>
      <w:r w:rsidRPr="00036FAC">
        <w:t>0.9</w:t>
      </w:r>
      <w:r w:rsidR="00907D8C">
        <w:t xml:space="preserve"> </w:t>
      </w:r>
      <w:r w:rsidRPr="00036FAC">
        <w:t>per</w:t>
      </w:r>
      <w:r w:rsidR="00907D8C">
        <w:t xml:space="preserve"> </w:t>
      </w:r>
      <w:r w:rsidRPr="00036FAC">
        <w:t>cent.</w:t>
      </w:r>
      <w:r w:rsidR="00907D8C">
        <w:t xml:space="preserve"> </w:t>
      </w:r>
      <w:r w:rsidRPr="00036FAC">
        <w:t>This</w:t>
      </w:r>
      <w:r w:rsidR="00907D8C">
        <w:t xml:space="preserve"> </w:t>
      </w:r>
      <w:r w:rsidRPr="00036FAC">
        <w:t>rate</w:t>
      </w:r>
      <w:r w:rsidR="00907D8C">
        <w:t xml:space="preserve"> </w:t>
      </w:r>
      <w:r w:rsidRPr="00036FAC">
        <w:t>of</w:t>
      </w:r>
      <w:r w:rsidR="00907D8C">
        <w:t xml:space="preserve"> </w:t>
      </w:r>
      <w:r w:rsidRPr="00036FAC">
        <w:t>growth</w:t>
      </w:r>
      <w:r w:rsidR="00907D8C">
        <w:t xml:space="preserve"> </w:t>
      </w:r>
      <w:r w:rsidRPr="00036FAC">
        <w:t>was</w:t>
      </w:r>
      <w:r w:rsidR="00907D8C">
        <w:t xml:space="preserve"> </w:t>
      </w:r>
      <w:r w:rsidRPr="00036FAC">
        <w:t>lower</w:t>
      </w:r>
      <w:r w:rsidR="00907D8C">
        <w:t xml:space="preserve"> </w:t>
      </w:r>
      <w:r w:rsidRPr="00036FAC">
        <w:t>than</w:t>
      </w:r>
      <w:r w:rsidR="00907D8C">
        <w:t xml:space="preserve"> </w:t>
      </w:r>
      <w:r w:rsidRPr="00036FAC">
        <w:t>that</w:t>
      </w:r>
      <w:r w:rsidR="00907D8C">
        <w:t xml:space="preserve"> </w:t>
      </w:r>
      <w:r w:rsidRPr="00036FAC">
        <w:t>recorded</w:t>
      </w:r>
      <w:r w:rsidR="00907D8C">
        <w:t xml:space="preserve"> </w:t>
      </w:r>
      <w:r w:rsidRPr="00036FAC">
        <w:t>in</w:t>
      </w:r>
      <w:r w:rsidR="00907D8C">
        <w:t xml:space="preserve"> </w:t>
      </w:r>
      <w:r w:rsidRPr="00036FAC">
        <w:t>2007</w:t>
      </w:r>
      <w:r w:rsidR="00907D8C">
        <w:t xml:space="preserve"> </w:t>
      </w:r>
      <w:r w:rsidRPr="00036FAC">
        <w:t>(1.0</w:t>
      </w:r>
      <w:r w:rsidR="00907D8C">
        <w:t xml:space="preserve"> </w:t>
      </w:r>
      <w:r w:rsidRPr="00036FAC">
        <w:t>per</w:t>
      </w:r>
      <w:r w:rsidR="00907D8C">
        <w:t xml:space="preserve"> </w:t>
      </w:r>
      <w:r w:rsidRPr="00036FAC">
        <w:t>cent)</w:t>
      </w:r>
      <w:r w:rsidR="00907D8C">
        <w:t xml:space="preserve"> </w:t>
      </w:r>
      <w:r w:rsidRPr="00036FAC">
        <w:t>and</w:t>
      </w:r>
      <w:r w:rsidR="00907D8C">
        <w:t xml:space="preserve"> </w:t>
      </w:r>
      <w:r w:rsidRPr="00036FAC">
        <w:t>lower</w:t>
      </w:r>
      <w:r w:rsidR="00907D8C">
        <w:t xml:space="preserve"> </w:t>
      </w:r>
      <w:r w:rsidRPr="00036FAC">
        <w:t>than</w:t>
      </w:r>
      <w:r w:rsidR="00907D8C">
        <w:t xml:space="preserve"> </w:t>
      </w:r>
      <w:r w:rsidRPr="00036FAC">
        <w:t>the</w:t>
      </w:r>
      <w:r w:rsidR="00907D8C">
        <w:t xml:space="preserve"> </w:t>
      </w:r>
      <w:r w:rsidRPr="00036FAC">
        <w:t>average</w:t>
      </w:r>
      <w:r w:rsidR="00907D8C">
        <w:t xml:space="preserve"> </w:t>
      </w:r>
      <w:r w:rsidRPr="00036FAC">
        <w:t>annual</w:t>
      </w:r>
      <w:r w:rsidR="00907D8C">
        <w:t xml:space="preserve"> </w:t>
      </w:r>
      <w:r w:rsidRPr="00036FAC">
        <w:t>increase</w:t>
      </w:r>
      <w:r w:rsidR="00907D8C">
        <w:t xml:space="preserve"> </w:t>
      </w:r>
      <w:r w:rsidRPr="00036FAC">
        <w:t>during</w:t>
      </w:r>
      <w:r w:rsidR="00907D8C">
        <w:t xml:space="preserve"> </w:t>
      </w:r>
      <w:r w:rsidRPr="00036FAC">
        <w:t>the</w:t>
      </w:r>
      <w:r w:rsidR="00907D8C">
        <w:t xml:space="preserve"> </w:t>
      </w:r>
      <w:r w:rsidRPr="00036FAC">
        <w:t>decade</w:t>
      </w:r>
      <w:r w:rsidR="00907D8C">
        <w:t xml:space="preserve"> </w:t>
      </w:r>
      <w:r w:rsidRPr="00036FAC">
        <w:t>ended</w:t>
      </w:r>
      <w:r w:rsidR="00907D8C">
        <w:t xml:space="preserve"> </w:t>
      </w:r>
      <w:r w:rsidRPr="00036FAC">
        <w:t>December</w:t>
      </w:r>
      <w:r w:rsidR="00907D8C">
        <w:t xml:space="preserve"> </w:t>
      </w:r>
      <w:r w:rsidRPr="00036FAC">
        <w:t>2008</w:t>
      </w:r>
      <w:r w:rsidR="00907D8C">
        <w:t xml:space="preserve"> </w:t>
      </w:r>
      <w:r w:rsidRPr="00036FAC">
        <w:t>(46,300</w:t>
      </w:r>
      <w:r w:rsidR="00907D8C">
        <w:t xml:space="preserve"> </w:t>
      </w:r>
      <w:r w:rsidRPr="00036FAC">
        <w:t>or</w:t>
      </w:r>
      <w:r w:rsidR="00907D8C">
        <w:t xml:space="preserve"> </w:t>
      </w:r>
      <w:r w:rsidRPr="00036FAC">
        <w:t>1.1</w:t>
      </w:r>
      <w:r w:rsidR="00907D8C">
        <w:t xml:space="preserve"> </w:t>
      </w:r>
      <w:r w:rsidRPr="00036FAC">
        <w:t>per</w:t>
      </w:r>
      <w:r w:rsidR="00907D8C">
        <w:t xml:space="preserve"> </w:t>
      </w:r>
      <w:r w:rsidRPr="00036FAC">
        <w:t>cent).</w:t>
      </w:r>
    </w:p>
    <w:p w:rsidR="00036FAC" w:rsidRPr="00036FAC" w:rsidRDefault="00036FAC" w:rsidP="001B201B">
      <w:pPr>
        <w:pStyle w:val="SingleTxtG"/>
      </w:pPr>
      <w:r w:rsidRPr="00036FAC">
        <w:t>7.</w:t>
      </w:r>
      <w:r w:rsidRPr="00036FAC">
        <w:tab/>
        <w:t>The</w:t>
      </w:r>
      <w:r w:rsidR="00907D8C">
        <w:t xml:space="preserve"> </w:t>
      </w:r>
      <w:r w:rsidRPr="00036FAC">
        <w:t>main</w:t>
      </w:r>
      <w:r w:rsidR="00907D8C">
        <w:t xml:space="preserve"> </w:t>
      </w:r>
      <w:r w:rsidRPr="00036FAC">
        <w:t>contributing</w:t>
      </w:r>
      <w:r w:rsidR="00907D8C">
        <w:t xml:space="preserve"> </w:t>
      </w:r>
      <w:r w:rsidRPr="00036FAC">
        <w:t>countries</w:t>
      </w:r>
      <w:r w:rsidR="00907D8C">
        <w:t xml:space="preserve"> </w:t>
      </w:r>
      <w:r w:rsidRPr="00036FAC">
        <w:t>to</w:t>
      </w:r>
      <w:r w:rsidR="00907D8C">
        <w:t xml:space="preserve"> </w:t>
      </w:r>
      <w:r w:rsidRPr="00036FAC">
        <w:t>the</w:t>
      </w:r>
      <w:r w:rsidR="00907D8C">
        <w:t xml:space="preserve"> </w:t>
      </w:r>
      <w:r w:rsidRPr="00036FAC">
        <w:t>net</w:t>
      </w:r>
      <w:r w:rsidR="00907D8C">
        <w:t xml:space="preserve"> </w:t>
      </w:r>
      <w:r w:rsidRPr="00036FAC">
        <w:t>migration</w:t>
      </w:r>
      <w:r w:rsidR="00907D8C">
        <w:t xml:space="preserve"> </w:t>
      </w:r>
      <w:r w:rsidRPr="00036FAC">
        <w:t>gain</w:t>
      </w:r>
      <w:r w:rsidR="00907D8C">
        <w:t xml:space="preserve"> </w:t>
      </w:r>
      <w:r w:rsidRPr="00036FAC">
        <w:t>in</w:t>
      </w:r>
      <w:r w:rsidR="00907D8C">
        <w:t xml:space="preserve"> </w:t>
      </w:r>
      <w:r w:rsidRPr="00036FAC">
        <w:t>2008</w:t>
      </w:r>
      <w:r w:rsidR="00907D8C">
        <w:t xml:space="preserve"> </w:t>
      </w:r>
      <w:r w:rsidRPr="00036FAC">
        <w:t>were</w:t>
      </w:r>
      <w:r w:rsidR="00907D8C">
        <w:t xml:space="preserve"> </w:t>
      </w:r>
      <w:r w:rsidRPr="00036FAC">
        <w:t>the</w:t>
      </w:r>
      <w:r w:rsidR="00907D8C">
        <w:t xml:space="preserve"> </w:t>
      </w:r>
      <w:r w:rsidRPr="00036FAC">
        <w:t>United</w:t>
      </w:r>
      <w:r w:rsidR="00907D8C">
        <w:t xml:space="preserve"> </w:t>
      </w:r>
      <w:r w:rsidRPr="00036FAC">
        <w:t>Kingdom</w:t>
      </w:r>
      <w:r w:rsidR="00907D8C">
        <w:t xml:space="preserve"> </w:t>
      </w:r>
      <w:r w:rsidRPr="00036FAC">
        <w:t>of</w:t>
      </w:r>
      <w:r w:rsidR="00907D8C">
        <w:t xml:space="preserve"> </w:t>
      </w:r>
      <w:r w:rsidRPr="00036FAC">
        <w:t>Great</w:t>
      </w:r>
      <w:r w:rsidR="00907D8C">
        <w:t xml:space="preserve"> </w:t>
      </w:r>
      <w:r w:rsidRPr="00036FAC">
        <w:t>Britain</w:t>
      </w:r>
      <w:r w:rsidR="00907D8C">
        <w:t xml:space="preserve"> </w:t>
      </w:r>
      <w:r w:rsidRPr="00036FAC">
        <w:t>and</w:t>
      </w:r>
      <w:r w:rsidR="00907D8C">
        <w:t xml:space="preserve"> </w:t>
      </w:r>
      <w:r w:rsidRPr="00036FAC">
        <w:t>Northern</w:t>
      </w:r>
      <w:r w:rsidR="00907D8C">
        <w:t xml:space="preserve"> </w:t>
      </w:r>
      <w:r w:rsidRPr="00036FAC">
        <w:t>Ireland</w:t>
      </w:r>
      <w:r w:rsidR="00907D8C">
        <w:t xml:space="preserve"> </w:t>
      </w:r>
      <w:r w:rsidRPr="00036FAC">
        <w:t>(7,800),</w:t>
      </w:r>
      <w:r w:rsidR="00907D8C">
        <w:t xml:space="preserve"> </w:t>
      </w:r>
      <w:r w:rsidRPr="00036FAC">
        <w:t>India</w:t>
      </w:r>
      <w:r w:rsidR="00907D8C">
        <w:t xml:space="preserve"> </w:t>
      </w:r>
      <w:r w:rsidRPr="00036FAC">
        <w:t>(5,200),</w:t>
      </w:r>
      <w:r w:rsidR="00907D8C">
        <w:t xml:space="preserve"> </w:t>
      </w:r>
      <w:r w:rsidRPr="00036FAC">
        <w:t>the</w:t>
      </w:r>
      <w:r w:rsidR="00907D8C">
        <w:t xml:space="preserve"> </w:t>
      </w:r>
      <w:r w:rsidRPr="00036FAC">
        <w:t>Philippines</w:t>
      </w:r>
      <w:r w:rsidR="00907D8C">
        <w:t xml:space="preserve"> </w:t>
      </w:r>
      <w:r w:rsidRPr="00036FAC">
        <w:t>(3,700),</w:t>
      </w:r>
      <w:r w:rsidR="00907D8C">
        <w:t xml:space="preserve"> </w:t>
      </w:r>
      <w:r w:rsidRPr="00036FAC">
        <w:t>South</w:t>
      </w:r>
      <w:r w:rsidR="00907D8C">
        <w:t xml:space="preserve"> </w:t>
      </w:r>
      <w:r w:rsidRPr="00036FAC">
        <w:t>Africa</w:t>
      </w:r>
      <w:r w:rsidR="00907D8C">
        <w:t xml:space="preserve"> </w:t>
      </w:r>
      <w:r w:rsidRPr="00036FAC">
        <w:t>and</w:t>
      </w:r>
      <w:r w:rsidR="00907D8C">
        <w:t xml:space="preserve"> </w:t>
      </w:r>
      <w:r w:rsidRPr="00036FAC">
        <w:t>Fiji</w:t>
      </w:r>
      <w:r w:rsidR="00907D8C">
        <w:t xml:space="preserve"> </w:t>
      </w:r>
      <w:r w:rsidRPr="00036FAC">
        <w:t>(each</w:t>
      </w:r>
      <w:r w:rsidR="00907D8C">
        <w:t xml:space="preserve"> </w:t>
      </w:r>
      <w:r w:rsidRPr="00036FAC">
        <w:t>2,800),</w:t>
      </w:r>
      <w:r w:rsidR="00907D8C">
        <w:t xml:space="preserve"> </w:t>
      </w:r>
      <w:r w:rsidRPr="00036FAC">
        <w:t>and</w:t>
      </w:r>
      <w:r w:rsidR="00907D8C">
        <w:t xml:space="preserve"> </w:t>
      </w:r>
      <w:r w:rsidRPr="00036FAC">
        <w:t>China</w:t>
      </w:r>
      <w:r w:rsidR="00907D8C">
        <w:t xml:space="preserve"> </w:t>
      </w:r>
      <w:r w:rsidRPr="00036FAC">
        <w:t>(2,600).</w:t>
      </w:r>
      <w:r w:rsidR="00907D8C">
        <w:t xml:space="preserve"> </w:t>
      </w:r>
      <w:r w:rsidRPr="00036FAC">
        <w:t>Increased</w:t>
      </w:r>
      <w:r w:rsidR="00907D8C">
        <w:t xml:space="preserve"> </w:t>
      </w:r>
      <w:r w:rsidRPr="00036FAC">
        <w:t>net</w:t>
      </w:r>
      <w:r w:rsidR="00907D8C">
        <w:t xml:space="preserve"> </w:t>
      </w:r>
      <w:r w:rsidRPr="00036FAC">
        <w:t>inflows</w:t>
      </w:r>
      <w:r w:rsidR="00907D8C">
        <w:t xml:space="preserve"> </w:t>
      </w:r>
      <w:r w:rsidRPr="00036FAC">
        <w:t>of</w:t>
      </w:r>
      <w:r w:rsidR="00907D8C">
        <w:t xml:space="preserve"> </w:t>
      </w:r>
      <w:r w:rsidRPr="00036FAC">
        <w:t>people</w:t>
      </w:r>
      <w:r w:rsidR="00907D8C">
        <w:t xml:space="preserve"> </w:t>
      </w:r>
      <w:r w:rsidRPr="00036FAC">
        <w:t>from</w:t>
      </w:r>
      <w:r w:rsidR="00907D8C">
        <w:t xml:space="preserve"> </w:t>
      </w:r>
      <w:r w:rsidRPr="00036FAC">
        <w:t>these</w:t>
      </w:r>
      <w:r w:rsidR="00907D8C">
        <w:t xml:space="preserve"> </w:t>
      </w:r>
      <w:r w:rsidRPr="00036FAC">
        <w:t>six</w:t>
      </w:r>
      <w:r w:rsidR="00907D8C">
        <w:t xml:space="preserve"> </w:t>
      </w:r>
      <w:r w:rsidRPr="00036FAC">
        <w:t>countries</w:t>
      </w:r>
      <w:r w:rsidR="00907D8C">
        <w:t xml:space="preserve"> </w:t>
      </w:r>
      <w:r w:rsidRPr="00036FAC">
        <w:t>between</w:t>
      </w:r>
      <w:r w:rsidR="00907D8C">
        <w:t xml:space="preserve"> </w:t>
      </w:r>
      <w:r w:rsidRPr="00036FAC">
        <w:t>2007</w:t>
      </w:r>
      <w:r w:rsidR="00907D8C">
        <w:t xml:space="preserve"> </w:t>
      </w:r>
      <w:r w:rsidRPr="00036FAC">
        <w:t>and</w:t>
      </w:r>
      <w:r w:rsidR="00907D8C">
        <w:t xml:space="preserve"> </w:t>
      </w:r>
      <w:r w:rsidRPr="00036FAC">
        <w:t>2008</w:t>
      </w:r>
      <w:r w:rsidR="00907D8C">
        <w:t xml:space="preserve"> </w:t>
      </w:r>
      <w:r w:rsidRPr="00036FAC">
        <w:t>were</w:t>
      </w:r>
      <w:r w:rsidR="00907D8C">
        <w:t xml:space="preserve"> </w:t>
      </w:r>
      <w:r w:rsidRPr="00036FAC">
        <w:t>not</w:t>
      </w:r>
      <w:r w:rsidR="00907D8C">
        <w:t xml:space="preserve"> </w:t>
      </w:r>
      <w:r w:rsidRPr="00036FAC">
        <w:t>sufficient</w:t>
      </w:r>
      <w:r w:rsidR="00907D8C">
        <w:t xml:space="preserve"> </w:t>
      </w:r>
      <w:r w:rsidRPr="00036FAC">
        <w:t>to</w:t>
      </w:r>
      <w:r w:rsidR="00907D8C">
        <w:t xml:space="preserve"> </w:t>
      </w:r>
      <w:r w:rsidRPr="00036FAC">
        <w:t>offset</w:t>
      </w:r>
      <w:r w:rsidR="00907D8C">
        <w:t xml:space="preserve"> </w:t>
      </w:r>
      <w:r w:rsidRPr="00036FAC">
        <w:t>the</w:t>
      </w:r>
      <w:r w:rsidR="00907D8C">
        <w:t xml:space="preserve"> </w:t>
      </w:r>
      <w:r w:rsidRPr="00036FAC">
        <w:t>incr</w:t>
      </w:r>
      <w:r w:rsidR="001B201B">
        <w:t>eased</w:t>
      </w:r>
      <w:r w:rsidR="00907D8C">
        <w:t xml:space="preserve"> </w:t>
      </w:r>
      <w:r w:rsidR="001B201B">
        <w:t>net</w:t>
      </w:r>
      <w:r w:rsidR="00907D8C">
        <w:t xml:space="preserve"> </w:t>
      </w:r>
      <w:r w:rsidR="001B201B">
        <w:t>outflow</w:t>
      </w:r>
      <w:r w:rsidR="00907D8C">
        <w:t xml:space="preserve"> </w:t>
      </w:r>
      <w:r w:rsidR="001B201B">
        <w:t>to</w:t>
      </w:r>
      <w:r w:rsidR="00907D8C">
        <w:t xml:space="preserve"> </w:t>
      </w:r>
      <w:r w:rsidR="001B201B">
        <w:t>Australia.</w:t>
      </w:r>
    </w:p>
    <w:p w:rsidR="00036FAC" w:rsidRPr="00036FAC" w:rsidRDefault="00036FAC" w:rsidP="006C436C">
      <w:pPr>
        <w:pStyle w:val="H23G"/>
      </w:pPr>
      <w:r w:rsidRPr="00036FAC">
        <w:tab/>
        <w:t>(a)</w:t>
      </w:r>
      <w:r w:rsidRPr="00036FAC">
        <w:tab/>
        <w:t>Ethnic</w:t>
      </w:r>
      <w:r w:rsidR="00907D8C">
        <w:t xml:space="preserve"> </w:t>
      </w:r>
      <w:r w:rsidRPr="00036FAC">
        <w:t>composition</w:t>
      </w:r>
    </w:p>
    <w:p w:rsidR="00036FAC" w:rsidRPr="00036FAC" w:rsidRDefault="00AE58B5" w:rsidP="00AE58B5">
      <w:pPr>
        <w:pStyle w:val="SingleTxtG"/>
      </w:pPr>
      <w:r>
        <w:t>8.</w:t>
      </w:r>
      <w:r>
        <w:tab/>
      </w:r>
      <w:r w:rsidR="00036FAC" w:rsidRPr="00036FAC">
        <w:t>The</w:t>
      </w:r>
      <w:r w:rsidR="00907D8C">
        <w:t xml:space="preserve"> </w:t>
      </w:r>
      <w:r w:rsidR="00036FAC" w:rsidRPr="00036FAC">
        <w:t>ethnic</w:t>
      </w:r>
      <w:r w:rsidR="00907D8C">
        <w:t xml:space="preserve"> </w:t>
      </w:r>
      <w:r w:rsidR="00036FAC" w:rsidRPr="00036FAC">
        <w:t>diversity</w:t>
      </w:r>
      <w:r w:rsidR="00907D8C">
        <w:t xml:space="preserve"> </w:t>
      </w:r>
      <w:r w:rsidR="00036FAC" w:rsidRPr="00036FAC">
        <w:t>of</w:t>
      </w:r>
      <w:r w:rsidR="00907D8C">
        <w:t xml:space="preserve"> </w:t>
      </w:r>
      <w:r w:rsidR="00036FAC" w:rsidRPr="00036FAC">
        <w:t>the</w:t>
      </w:r>
      <w:r w:rsidR="00907D8C">
        <w:t xml:space="preserve"> </w:t>
      </w:r>
      <w:r w:rsidR="00036FAC" w:rsidRPr="00036FAC">
        <w:t>New</w:t>
      </w:r>
      <w:r w:rsidR="00907D8C">
        <w:t xml:space="preserve"> </w:t>
      </w:r>
      <w:r w:rsidR="00036FAC" w:rsidRPr="00036FAC">
        <w:t>Zealand</w:t>
      </w:r>
      <w:r w:rsidR="00907D8C">
        <w:t xml:space="preserve"> </w:t>
      </w:r>
      <w:r w:rsidR="00036FAC" w:rsidRPr="00036FAC">
        <w:t>population</w:t>
      </w:r>
      <w:r w:rsidR="00907D8C">
        <w:t xml:space="preserve"> </w:t>
      </w:r>
      <w:r w:rsidR="00036FAC" w:rsidRPr="00036FAC">
        <w:t>continues</w:t>
      </w:r>
      <w:r w:rsidR="00907D8C">
        <w:t xml:space="preserve"> </w:t>
      </w:r>
      <w:r w:rsidR="00036FAC" w:rsidRPr="00036FAC">
        <w:t>to</w:t>
      </w:r>
      <w:r w:rsidR="00907D8C">
        <w:t xml:space="preserve"> </w:t>
      </w:r>
      <w:r w:rsidR="00036FAC" w:rsidRPr="00036FAC">
        <w:t>increase.</w:t>
      </w:r>
      <w:r w:rsidR="00907D8C">
        <w:t xml:space="preserve"> </w:t>
      </w:r>
      <w:r w:rsidR="00036FAC" w:rsidRPr="00036FAC">
        <w:t>While</w:t>
      </w:r>
      <w:r w:rsidR="00907D8C">
        <w:t xml:space="preserve"> </w:t>
      </w:r>
      <w:r w:rsidR="00036FAC" w:rsidRPr="00036FAC">
        <w:t>the</w:t>
      </w:r>
      <w:r w:rsidR="00907D8C">
        <w:t xml:space="preserve"> </w:t>
      </w:r>
      <w:r w:rsidR="00036FAC" w:rsidRPr="00036FAC">
        <w:t>European</w:t>
      </w:r>
      <w:r w:rsidR="00907D8C">
        <w:t xml:space="preserve"> </w:t>
      </w:r>
      <w:r w:rsidR="00036FAC" w:rsidRPr="00036FAC">
        <w:t>ethnic</w:t>
      </w:r>
      <w:r w:rsidR="00907D8C">
        <w:t xml:space="preserve"> </w:t>
      </w:r>
      <w:r w:rsidR="00036FAC" w:rsidRPr="00036FAC">
        <w:t>group</w:t>
      </w:r>
      <w:r w:rsidR="00907D8C">
        <w:t xml:space="preserve"> </w:t>
      </w:r>
      <w:r w:rsidR="00036FAC" w:rsidRPr="00036FAC">
        <w:t>still</w:t>
      </w:r>
      <w:r w:rsidR="00907D8C">
        <w:t xml:space="preserve"> </w:t>
      </w:r>
      <w:r w:rsidR="00036FAC" w:rsidRPr="00036FAC">
        <w:t>has</w:t>
      </w:r>
      <w:r w:rsidR="00907D8C">
        <w:t xml:space="preserve"> </w:t>
      </w:r>
      <w:r w:rsidR="00036FAC" w:rsidRPr="00036FAC">
        <w:t>the</w:t>
      </w:r>
      <w:r w:rsidR="00907D8C">
        <w:t xml:space="preserve"> </w:t>
      </w:r>
      <w:r w:rsidR="00036FAC" w:rsidRPr="00036FAC">
        <w:t>largest</w:t>
      </w:r>
      <w:r w:rsidR="00907D8C">
        <w:t xml:space="preserve"> </w:t>
      </w:r>
      <w:r w:rsidR="00036FAC" w:rsidRPr="00036FAC">
        <w:t>share</w:t>
      </w:r>
      <w:r w:rsidR="00907D8C">
        <w:t xml:space="preserve"> </w:t>
      </w:r>
      <w:r w:rsidR="00036FAC" w:rsidRPr="00036FAC">
        <w:t>(78</w:t>
      </w:r>
      <w:r w:rsidR="00907D8C">
        <w:t xml:space="preserve"> </w:t>
      </w:r>
      <w:r w:rsidR="00036FAC" w:rsidRPr="00036FAC">
        <w:t>per</w:t>
      </w:r>
      <w:r w:rsidR="00907D8C">
        <w:t xml:space="preserve"> </w:t>
      </w:r>
      <w:r w:rsidR="00036FAC" w:rsidRPr="00036FAC">
        <w:t>cent)</w:t>
      </w:r>
      <w:r w:rsidR="00907D8C">
        <w:t xml:space="preserve"> </w:t>
      </w:r>
      <w:r w:rsidR="00036FAC" w:rsidRPr="00036FAC">
        <w:t>of</w:t>
      </w:r>
      <w:r w:rsidR="00907D8C">
        <w:t xml:space="preserve"> </w:t>
      </w:r>
      <w:r w:rsidR="00036FAC" w:rsidRPr="00036FAC">
        <w:t>the</w:t>
      </w:r>
      <w:r w:rsidR="00907D8C">
        <w:t xml:space="preserve"> </w:t>
      </w:r>
      <w:r w:rsidR="00036FAC" w:rsidRPr="00036FAC">
        <w:t>total</w:t>
      </w:r>
      <w:r w:rsidR="00907D8C">
        <w:t xml:space="preserve"> </w:t>
      </w:r>
      <w:r w:rsidR="00036FAC" w:rsidRPr="00036FAC">
        <w:t>population,</w:t>
      </w:r>
      <w:r w:rsidR="00907D8C">
        <w:t xml:space="preserve"> </w:t>
      </w:r>
      <w:r w:rsidR="00036FAC" w:rsidRPr="00036FAC">
        <w:t>the</w:t>
      </w:r>
      <w:r w:rsidR="00907D8C">
        <w:t xml:space="preserve"> </w:t>
      </w:r>
      <w:r w:rsidR="00036FAC" w:rsidRPr="00036FAC">
        <w:t>number</w:t>
      </w:r>
      <w:r w:rsidR="00907D8C">
        <w:t xml:space="preserve"> </w:t>
      </w:r>
      <w:r w:rsidR="00036FAC" w:rsidRPr="00036FAC">
        <w:t>of</w:t>
      </w:r>
      <w:r w:rsidR="00907D8C">
        <w:t xml:space="preserve"> </w:t>
      </w:r>
      <w:r w:rsidR="00036FAC" w:rsidRPr="00036FAC">
        <w:t>people</w:t>
      </w:r>
      <w:r w:rsidR="00907D8C">
        <w:t xml:space="preserve"> </w:t>
      </w:r>
      <w:r w:rsidR="00036FAC" w:rsidRPr="00036FAC">
        <w:t>identifying</w:t>
      </w:r>
      <w:r w:rsidR="00907D8C">
        <w:t xml:space="preserve"> </w:t>
      </w:r>
      <w:r w:rsidR="00036FAC" w:rsidRPr="00036FAC">
        <w:t>as</w:t>
      </w:r>
      <w:r w:rsidR="00907D8C">
        <w:t xml:space="preserve"> </w:t>
      </w:r>
      <w:r w:rsidR="00036FAC" w:rsidRPr="00036FAC">
        <w:t>European</w:t>
      </w:r>
      <w:r w:rsidR="00907D8C">
        <w:t xml:space="preserve"> </w:t>
      </w:r>
      <w:r w:rsidR="00036FAC" w:rsidRPr="00036FAC">
        <w:t>increased</w:t>
      </w:r>
      <w:r w:rsidR="00907D8C">
        <w:t xml:space="preserve"> </w:t>
      </w:r>
      <w:r w:rsidR="00036FAC" w:rsidRPr="00036FAC">
        <w:t>by</w:t>
      </w:r>
      <w:r w:rsidR="00907D8C">
        <w:t xml:space="preserve"> </w:t>
      </w:r>
      <w:r w:rsidR="00036FAC" w:rsidRPr="00036FAC">
        <w:t>only</w:t>
      </w:r>
      <w:r w:rsidR="00907D8C">
        <w:t xml:space="preserve"> </w:t>
      </w:r>
      <w:r w:rsidR="00036FAC" w:rsidRPr="00036FAC">
        <w:t>8</w:t>
      </w:r>
      <w:r w:rsidR="00907D8C">
        <w:t xml:space="preserve"> </w:t>
      </w:r>
      <w:r w:rsidR="001B201B">
        <w:t>per</w:t>
      </w:r>
      <w:r w:rsidR="00907D8C">
        <w:t xml:space="preserve"> </w:t>
      </w:r>
      <w:r w:rsidR="001B201B">
        <w:t>cent</w:t>
      </w:r>
      <w:r w:rsidR="00907D8C">
        <w:t xml:space="preserve"> </w:t>
      </w:r>
      <w:r w:rsidR="00036FAC" w:rsidRPr="00036FAC">
        <w:t>in</w:t>
      </w:r>
      <w:r w:rsidR="00907D8C">
        <w:t xml:space="preserve"> </w:t>
      </w:r>
      <w:r w:rsidR="00036FAC" w:rsidRPr="00036FAC">
        <w:t>the</w:t>
      </w:r>
      <w:r w:rsidR="00907D8C">
        <w:t xml:space="preserve"> </w:t>
      </w:r>
      <w:r w:rsidR="00036FAC" w:rsidRPr="00036FAC">
        <w:t>15</w:t>
      </w:r>
      <w:r w:rsidR="00907D8C">
        <w:t xml:space="preserve"> </w:t>
      </w:r>
      <w:r w:rsidR="00036FAC" w:rsidRPr="00036FAC">
        <w:t>years</w:t>
      </w:r>
      <w:r w:rsidR="00907D8C">
        <w:t xml:space="preserve"> </w:t>
      </w:r>
      <w:r w:rsidR="00036FAC" w:rsidRPr="00036FAC">
        <w:t>between</w:t>
      </w:r>
      <w:r w:rsidR="00907D8C">
        <w:t xml:space="preserve"> </w:t>
      </w:r>
      <w:r w:rsidR="00036FAC" w:rsidRPr="00036FAC">
        <w:t>1991</w:t>
      </w:r>
      <w:r w:rsidR="00907D8C">
        <w:t xml:space="preserve"> </w:t>
      </w:r>
      <w:r w:rsidR="00036FAC" w:rsidRPr="00036FAC">
        <w:t>and</w:t>
      </w:r>
      <w:r w:rsidR="00907D8C">
        <w:t xml:space="preserve"> </w:t>
      </w:r>
      <w:r w:rsidR="00036FAC" w:rsidRPr="00036FAC">
        <w:t>2006.</w:t>
      </w:r>
      <w:r w:rsidR="00907D8C">
        <w:t xml:space="preserve"> </w:t>
      </w:r>
      <w:r w:rsidR="00036FAC" w:rsidRPr="00036FAC">
        <w:t>Over</w:t>
      </w:r>
      <w:r w:rsidR="00907D8C">
        <w:t xml:space="preserve"> </w:t>
      </w:r>
      <w:r w:rsidR="00036FAC" w:rsidRPr="00036FAC">
        <w:t>the</w:t>
      </w:r>
      <w:r w:rsidR="00907D8C">
        <w:t xml:space="preserve"> </w:t>
      </w:r>
      <w:r w:rsidR="00036FAC" w:rsidRPr="00036FAC">
        <w:t>same</w:t>
      </w:r>
      <w:r w:rsidR="00907D8C">
        <w:t xml:space="preserve"> </w:t>
      </w:r>
      <w:r w:rsidR="00036FAC" w:rsidRPr="00036FAC">
        <w:t>period,</w:t>
      </w:r>
      <w:r w:rsidR="00907D8C">
        <w:t xml:space="preserve"> </w:t>
      </w:r>
      <w:r w:rsidR="00036FAC" w:rsidRPr="00036FAC">
        <w:t>the</w:t>
      </w:r>
      <w:r w:rsidR="00907D8C">
        <w:t xml:space="preserve"> </w:t>
      </w:r>
      <w:r w:rsidR="00036FAC" w:rsidRPr="00036FAC">
        <w:t>number</w:t>
      </w:r>
      <w:r w:rsidR="00907D8C">
        <w:t xml:space="preserve"> </w:t>
      </w:r>
      <w:r w:rsidR="00036FAC" w:rsidRPr="00036FAC">
        <w:t>who</w:t>
      </w:r>
      <w:r w:rsidR="00907D8C">
        <w:t xml:space="preserve"> </w:t>
      </w:r>
      <w:r w:rsidR="00036FAC" w:rsidRPr="00036FAC">
        <w:t>identified</w:t>
      </w:r>
      <w:r w:rsidR="00907D8C">
        <w:t xml:space="preserve"> </w:t>
      </w:r>
      <w:r w:rsidR="00036FAC" w:rsidRPr="00036FAC">
        <w:t>as</w:t>
      </w:r>
      <w:r w:rsidR="00907D8C">
        <w:t xml:space="preserve"> </w:t>
      </w:r>
      <w:r w:rsidR="00036FAC" w:rsidRPr="00036FAC">
        <w:t>Māori</w:t>
      </w:r>
      <w:r w:rsidR="00907D8C">
        <w:t xml:space="preserve"> </w:t>
      </w:r>
      <w:r w:rsidR="00036FAC" w:rsidRPr="00036FAC">
        <w:t>increased</w:t>
      </w:r>
      <w:r w:rsidR="00907D8C">
        <w:t xml:space="preserve"> </w:t>
      </w:r>
      <w:r w:rsidR="00036FAC" w:rsidRPr="00036FAC">
        <w:t>by</w:t>
      </w:r>
      <w:r w:rsidR="00907D8C">
        <w:t xml:space="preserve"> </w:t>
      </w:r>
      <w:r w:rsidR="00036FAC" w:rsidRPr="00036FAC">
        <w:t>30</w:t>
      </w:r>
      <w:r w:rsidR="00907D8C">
        <w:t xml:space="preserve"> </w:t>
      </w:r>
      <w:r>
        <w:t>per</w:t>
      </w:r>
      <w:r w:rsidR="00907D8C">
        <w:t xml:space="preserve"> </w:t>
      </w:r>
      <w:r>
        <w:t>cent</w:t>
      </w:r>
      <w:r w:rsidR="00036FAC" w:rsidRPr="00036FAC">
        <w:t>,</w:t>
      </w:r>
      <w:r w:rsidR="00907D8C">
        <w:t xml:space="preserve"> </w:t>
      </w:r>
      <w:r w:rsidR="00036FAC" w:rsidRPr="00036FAC">
        <w:t>the</w:t>
      </w:r>
      <w:r w:rsidR="00907D8C">
        <w:t xml:space="preserve"> </w:t>
      </w:r>
      <w:r w:rsidR="00036FAC" w:rsidRPr="00036FAC">
        <w:t>Pacific</w:t>
      </w:r>
      <w:r w:rsidR="00907D8C">
        <w:t xml:space="preserve"> </w:t>
      </w:r>
      <w:r w:rsidR="00036FAC" w:rsidRPr="00036FAC">
        <w:t>peoples</w:t>
      </w:r>
      <w:r w:rsidR="00036FAC" w:rsidRPr="00AE58B5">
        <w:rPr>
          <w:rStyle w:val="FootnoteReference"/>
        </w:rPr>
        <w:footnoteReference w:id="3"/>
      </w:r>
      <w:r w:rsidR="00907D8C">
        <w:t xml:space="preserve"> </w:t>
      </w:r>
      <w:r w:rsidR="00036FAC" w:rsidRPr="00036FAC">
        <w:t>ethnic</w:t>
      </w:r>
      <w:r w:rsidR="00907D8C">
        <w:t xml:space="preserve"> </w:t>
      </w:r>
      <w:r w:rsidR="00036FAC" w:rsidRPr="00036FAC">
        <w:t>group</w:t>
      </w:r>
      <w:r w:rsidR="00907D8C">
        <w:t xml:space="preserve"> </w:t>
      </w:r>
      <w:r w:rsidR="00036FAC" w:rsidRPr="00036FAC">
        <w:t>increased</w:t>
      </w:r>
      <w:r w:rsidR="00907D8C">
        <w:t xml:space="preserve"> </w:t>
      </w:r>
      <w:r w:rsidR="00036FAC" w:rsidRPr="00036FAC">
        <w:t>by</w:t>
      </w:r>
      <w:r w:rsidR="00907D8C">
        <w:t xml:space="preserve"> </w:t>
      </w:r>
      <w:r w:rsidR="00036FAC" w:rsidRPr="00036FAC">
        <w:t>59</w:t>
      </w:r>
      <w:r w:rsidR="00907D8C">
        <w:t xml:space="preserve"> </w:t>
      </w:r>
      <w:r w:rsidR="00036FAC" w:rsidRPr="00036FAC">
        <w:t>per</w:t>
      </w:r>
      <w:r w:rsidR="00907D8C">
        <w:t xml:space="preserve"> </w:t>
      </w:r>
      <w:r w:rsidR="00036FAC" w:rsidRPr="00036FAC">
        <w:t>cent,</w:t>
      </w:r>
      <w:r w:rsidR="00907D8C">
        <w:t xml:space="preserve"> </w:t>
      </w:r>
      <w:r w:rsidR="00036FAC" w:rsidRPr="00036FAC">
        <w:t>and</w:t>
      </w:r>
      <w:r w:rsidR="00907D8C">
        <w:t xml:space="preserve"> </w:t>
      </w:r>
      <w:r w:rsidR="00036FAC" w:rsidRPr="00036FAC">
        <w:t>the</w:t>
      </w:r>
      <w:r w:rsidR="00907D8C">
        <w:t xml:space="preserve"> </w:t>
      </w:r>
      <w:r w:rsidR="00036FAC" w:rsidRPr="00036FAC">
        <w:t>number</w:t>
      </w:r>
      <w:r w:rsidR="00907D8C">
        <w:t xml:space="preserve"> </w:t>
      </w:r>
      <w:r w:rsidR="00036FAC" w:rsidRPr="00036FAC">
        <w:t>of</w:t>
      </w:r>
      <w:r w:rsidR="00907D8C">
        <w:t xml:space="preserve"> </w:t>
      </w:r>
      <w:r w:rsidR="00036FAC" w:rsidRPr="00036FAC">
        <w:t>Asian</w:t>
      </w:r>
      <w:r w:rsidR="00907D8C">
        <w:t xml:space="preserve"> </w:t>
      </w:r>
      <w:r w:rsidR="00036FAC" w:rsidRPr="00036FAC">
        <w:t>people</w:t>
      </w:r>
      <w:r w:rsidR="00907D8C">
        <w:t xml:space="preserve"> </w:t>
      </w:r>
      <w:r w:rsidR="00036FAC" w:rsidRPr="00036FAC">
        <w:t>increased</w:t>
      </w:r>
      <w:r w:rsidR="00907D8C">
        <w:t xml:space="preserve"> </w:t>
      </w:r>
      <w:r w:rsidR="00036FAC" w:rsidRPr="00036FAC">
        <w:t>by</w:t>
      </w:r>
      <w:r w:rsidR="00907D8C">
        <w:t xml:space="preserve"> </w:t>
      </w:r>
      <w:r w:rsidR="00036FAC" w:rsidRPr="00036FAC">
        <w:t>255</w:t>
      </w:r>
      <w:r w:rsidR="00907D8C">
        <w:t xml:space="preserve"> </w:t>
      </w:r>
      <w:r w:rsidR="00036FAC" w:rsidRPr="00036FAC">
        <w:t>per</w:t>
      </w:r>
      <w:r w:rsidR="00907D8C">
        <w:t xml:space="preserve"> </w:t>
      </w:r>
      <w:r w:rsidR="00036FAC" w:rsidRPr="00036FAC">
        <w:t>cent.</w:t>
      </w:r>
      <w:r w:rsidR="00907D8C">
        <w:t xml:space="preserve"> </w:t>
      </w:r>
      <w:r w:rsidR="00036FAC" w:rsidRPr="00036FAC">
        <w:t>While</w:t>
      </w:r>
      <w:r w:rsidR="00907D8C">
        <w:t xml:space="preserve"> </w:t>
      </w:r>
      <w:r w:rsidR="00036FAC" w:rsidRPr="00036FAC">
        <w:t>people</w:t>
      </w:r>
      <w:r w:rsidR="00907D8C">
        <w:t xml:space="preserve"> </w:t>
      </w:r>
      <w:r w:rsidR="00036FAC" w:rsidRPr="00036FAC">
        <w:t>of</w:t>
      </w:r>
      <w:r w:rsidR="00907D8C">
        <w:t xml:space="preserve"> </w:t>
      </w:r>
      <w:r w:rsidR="00036FAC" w:rsidRPr="00036FAC">
        <w:t>all</w:t>
      </w:r>
      <w:r w:rsidR="00907D8C">
        <w:t xml:space="preserve"> </w:t>
      </w:r>
      <w:r w:rsidR="00036FAC" w:rsidRPr="00036FAC">
        <w:t>other</w:t>
      </w:r>
      <w:r w:rsidR="00907D8C">
        <w:t xml:space="preserve"> </w:t>
      </w:r>
      <w:r w:rsidR="00036FAC" w:rsidRPr="00036FAC">
        <w:t>ethnicities</w:t>
      </w:r>
      <w:r w:rsidR="00907D8C">
        <w:t xml:space="preserve"> </w:t>
      </w:r>
      <w:r w:rsidR="00036FAC" w:rsidRPr="00036FAC">
        <w:t>still</w:t>
      </w:r>
      <w:r w:rsidR="00907D8C">
        <w:t xml:space="preserve"> </w:t>
      </w:r>
      <w:r w:rsidR="00036FAC" w:rsidRPr="00036FAC">
        <w:t>make</w:t>
      </w:r>
      <w:r w:rsidR="00907D8C">
        <w:t xml:space="preserve"> </w:t>
      </w:r>
      <w:r w:rsidR="00036FAC" w:rsidRPr="00036FAC">
        <w:t>up</w:t>
      </w:r>
      <w:r w:rsidR="00907D8C">
        <w:t xml:space="preserve"> </w:t>
      </w:r>
      <w:r w:rsidR="00036FAC" w:rsidRPr="00036FAC">
        <w:t>less</w:t>
      </w:r>
      <w:r w:rsidR="00907D8C">
        <w:t xml:space="preserve"> </w:t>
      </w:r>
      <w:r w:rsidR="00036FAC" w:rsidRPr="00036FAC">
        <w:t>than</w:t>
      </w:r>
      <w:r w:rsidR="00907D8C">
        <w:t xml:space="preserve"> </w:t>
      </w:r>
      <w:r w:rsidR="00036FAC" w:rsidRPr="00036FAC">
        <w:t>one</w:t>
      </w:r>
      <w:r w:rsidR="00907D8C">
        <w:t xml:space="preserve"> </w:t>
      </w:r>
      <w:r w:rsidR="00036FAC" w:rsidRPr="00036FAC">
        <w:t>1</w:t>
      </w:r>
      <w:r w:rsidR="00907D8C">
        <w:t xml:space="preserve"> </w:t>
      </w:r>
      <w:r w:rsidR="001B201B">
        <w:t>per</w:t>
      </w:r>
      <w:r w:rsidR="00907D8C">
        <w:t xml:space="preserve"> </w:t>
      </w:r>
      <w:r w:rsidR="001B201B">
        <w:t>cent</w:t>
      </w:r>
      <w:r w:rsidR="00907D8C">
        <w:t xml:space="preserve"> </w:t>
      </w:r>
      <w:r w:rsidR="00036FAC" w:rsidRPr="00036FAC">
        <w:t>of</w:t>
      </w:r>
      <w:r w:rsidR="00907D8C">
        <w:t xml:space="preserve"> </w:t>
      </w:r>
      <w:r w:rsidR="00036FAC" w:rsidRPr="00036FAC">
        <w:t>the</w:t>
      </w:r>
      <w:r w:rsidR="00907D8C">
        <w:t xml:space="preserve"> </w:t>
      </w:r>
      <w:r w:rsidR="00036FAC" w:rsidRPr="00036FAC">
        <w:t>population,</w:t>
      </w:r>
      <w:r w:rsidR="00907D8C">
        <w:t xml:space="preserve"> </w:t>
      </w:r>
      <w:r w:rsidR="00036FAC" w:rsidRPr="00036FAC">
        <w:t>they</w:t>
      </w:r>
      <w:r w:rsidR="00907D8C">
        <w:t xml:space="preserve"> </w:t>
      </w:r>
      <w:r w:rsidR="00036FAC" w:rsidRPr="00036FAC">
        <w:t>grew</w:t>
      </w:r>
      <w:r w:rsidR="00907D8C">
        <w:t xml:space="preserve"> </w:t>
      </w:r>
      <w:r w:rsidR="00036FAC" w:rsidRPr="00036FAC">
        <w:t>in</w:t>
      </w:r>
      <w:r w:rsidR="00907D8C">
        <w:t xml:space="preserve"> </w:t>
      </w:r>
      <w:r w:rsidR="00036FAC" w:rsidRPr="00036FAC">
        <w:t>number</w:t>
      </w:r>
      <w:r w:rsidR="00907D8C">
        <w:t xml:space="preserve"> </w:t>
      </w:r>
      <w:r w:rsidR="00036FAC" w:rsidRPr="00036FAC">
        <w:t>faster</w:t>
      </w:r>
      <w:r w:rsidR="00907D8C">
        <w:t xml:space="preserve"> </w:t>
      </w:r>
      <w:r w:rsidR="00036FAC" w:rsidRPr="00036FAC">
        <w:t>than</w:t>
      </w:r>
      <w:r w:rsidR="00907D8C">
        <w:t xml:space="preserve"> </w:t>
      </w:r>
      <w:r w:rsidR="00036FAC" w:rsidRPr="00036FAC">
        <w:t>any</w:t>
      </w:r>
      <w:r w:rsidR="00907D8C">
        <w:t xml:space="preserve"> </w:t>
      </w:r>
      <w:r w:rsidR="00036FAC" w:rsidRPr="00036FAC">
        <w:t>of</w:t>
      </w:r>
      <w:r w:rsidR="00907D8C">
        <w:t xml:space="preserve"> </w:t>
      </w:r>
      <w:r w:rsidR="00036FAC" w:rsidRPr="00036FAC">
        <w:t>the</w:t>
      </w:r>
      <w:r w:rsidR="00907D8C">
        <w:t xml:space="preserve"> </w:t>
      </w:r>
      <w:r w:rsidR="00036FAC" w:rsidRPr="00036FAC">
        <w:t>major</w:t>
      </w:r>
      <w:r w:rsidR="00907D8C">
        <w:t xml:space="preserve"> </w:t>
      </w:r>
      <w:r w:rsidR="00036FAC" w:rsidRPr="00036FAC">
        <w:t>ethnic</w:t>
      </w:r>
      <w:r w:rsidR="00907D8C">
        <w:t xml:space="preserve"> </w:t>
      </w:r>
      <w:r w:rsidR="00036FAC" w:rsidRPr="00036FAC">
        <w:t>groups</w:t>
      </w:r>
      <w:r w:rsidR="00907D8C">
        <w:t xml:space="preserve"> </w:t>
      </w:r>
      <w:r w:rsidR="00036FAC" w:rsidRPr="00036FAC">
        <w:t>(by</w:t>
      </w:r>
      <w:r w:rsidR="00907D8C">
        <w:t xml:space="preserve"> </w:t>
      </w:r>
      <w:r w:rsidR="00036FAC" w:rsidRPr="00036FAC">
        <w:t>440</w:t>
      </w:r>
      <w:r w:rsidR="00907D8C">
        <w:t xml:space="preserve"> </w:t>
      </w:r>
      <w:r w:rsidR="00036FAC" w:rsidRPr="00036FAC">
        <w:t>per</w:t>
      </w:r>
      <w:r w:rsidR="00907D8C">
        <w:t xml:space="preserve"> </w:t>
      </w:r>
      <w:r w:rsidR="00036FAC" w:rsidRPr="00036FAC">
        <w:t>cent).</w:t>
      </w:r>
    </w:p>
    <w:p w:rsidR="00036FAC" w:rsidRPr="00036FAC" w:rsidRDefault="00036FAC" w:rsidP="00AE58B5">
      <w:pPr>
        <w:pStyle w:val="SingleTxtG"/>
      </w:pPr>
      <w:r w:rsidRPr="00036FAC">
        <w:t>9.</w:t>
      </w:r>
      <w:r w:rsidRPr="00036FAC">
        <w:tab/>
        <w:t>In</w:t>
      </w:r>
      <w:r w:rsidR="00907D8C">
        <w:t xml:space="preserve"> </w:t>
      </w:r>
      <w:r w:rsidRPr="00036FAC">
        <w:t>major</w:t>
      </w:r>
      <w:r w:rsidR="00907D8C">
        <w:t xml:space="preserve"> </w:t>
      </w:r>
      <w:r w:rsidRPr="00036FAC">
        <w:t>surveys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ethnicity</w:t>
      </w:r>
      <w:r w:rsidR="00907D8C">
        <w:t xml:space="preserve"> </w:t>
      </w:r>
      <w:r w:rsidRPr="00036FAC">
        <w:t>is</w:t>
      </w:r>
      <w:r w:rsidR="00907D8C">
        <w:t xml:space="preserve"> </w:t>
      </w:r>
      <w:r w:rsidRPr="00036FAC">
        <w:t>often</w:t>
      </w:r>
      <w:r w:rsidR="00907D8C">
        <w:t xml:space="preserve"> </w:t>
      </w:r>
      <w:r w:rsidRPr="00036FAC">
        <w:t>ascribed</w:t>
      </w:r>
      <w:r w:rsidR="00907D8C">
        <w:t xml:space="preserve"> </w:t>
      </w:r>
      <w:r w:rsidRPr="00036FAC">
        <w:t>by</w:t>
      </w:r>
      <w:r w:rsidR="00907D8C">
        <w:t xml:space="preserve"> </w:t>
      </w:r>
      <w:r w:rsidRPr="00036FAC">
        <w:t>the</w:t>
      </w:r>
      <w:r w:rsidR="00907D8C">
        <w:t xml:space="preserve"> </w:t>
      </w:r>
      <w:r w:rsidRPr="00036FAC">
        <w:t>respondent.</w:t>
      </w:r>
      <w:r w:rsidR="00907D8C">
        <w:t xml:space="preserve"> </w:t>
      </w:r>
      <w:r w:rsidRPr="00036FAC">
        <w:t>Classifying</w:t>
      </w:r>
      <w:r w:rsidR="00907D8C">
        <w:t xml:space="preserve"> </w:t>
      </w:r>
      <w:r w:rsidRPr="00036FAC">
        <w:t>households</w:t>
      </w:r>
      <w:r w:rsidR="00907D8C">
        <w:t xml:space="preserve"> </w:t>
      </w:r>
      <w:r w:rsidRPr="00036FAC">
        <w:t>by</w:t>
      </w:r>
      <w:r w:rsidR="00907D8C">
        <w:t xml:space="preserve"> </w:t>
      </w:r>
      <w:r w:rsidRPr="00036FAC">
        <w:t>ethnicity</w:t>
      </w:r>
      <w:r w:rsidR="00907D8C">
        <w:t xml:space="preserve"> </w:t>
      </w:r>
      <w:r w:rsidRPr="00036FAC">
        <w:t>presents</w:t>
      </w:r>
      <w:r w:rsidR="00907D8C">
        <w:t xml:space="preserve"> </w:t>
      </w:r>
      <w:r w:rsidRPr="00036FAC">
        <w:t>a</w:t>
      </w:r>
      <w:r w:rsidR="00907D8C">
        <w:t xml:space="preserve"> </w:t>
      </w:r>
      <w:r w:rsidRPr="00036FAC">
        <w:t>challenge</w:t>
      </w:r>
      <w:r w:rsidR="00907D8C">
        <w:t xml:space="preserve"> </w:t>
      </w:r>
      <w:r w:rsidRPr="00036FAC">
        <w:t>since</w:t>
      </w:r>
      <w:r w:rsidR="00907D8C">
        <w:t xml:space="preserve"> </w:t>
      </w:r>
      <w:r w:rsidRPr="00036FAC">
        <w:t>inter-racial</w:t>
      </w:r>
      <w:r w:rsidR="00907D8C">
        <w:t xml:space="preserve"> </w:t>
      </w:r>
      <w:r w:rsidRPr="00036FAC">
        <w:t>marriage</w:t>
      </w:r>
      <w:r w:rsidR="00907D8C">
        <w:t xml:space="preserve"> </w:t>
      </w:r>
      <w:r w:rsidRPr="00036FAC">
        <w:t>is</w:t>
      </w:r>
      <w:r w:rsidR="00907D8C">
        <w:t xml:space="preserve"> </w:t>
      </w:r>
      <w:r w:rsidRPr="00036FAC">
        <w:t>common</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Aggregate</w:t>
      </w:r>
      <w:r w:rsidR="00907D8C">
        <w:t xml:space="preserve"> </w:t>
      </w:r>
      <w:r w:rsidRPr="00036FAC">
        <w:t>comparisons</w:t>
      </w:r>
      <w:r w:rsidR="00907D8C">
        <w:t xml:space="preserve"> </w:t>
      </w:r>
      <w:r w:rsidRPr="00036FAC">
        <w:t>should</w:t>
      </w:r>
      <w:r w:rsidR="00907D8C">
        <w:t xml:space="preserve"> </w:t>
      </w:r>
      <w:r w:rsidRPr="00036FAC">
        <w:t>be</w:t>
      </w:r>
      <w:r w:rsidR="00907D8C">
        <w:t xml:space="preserve"> </w:t>
      </w:r>
      <w:r w:rsidRPr="00036FAC">
        <w:t>alert</w:t>
      </w:r>
      <w:r w:rsidR="00907D8C">
        <w:t xml:space="preserve"> </w:t>
      </w:r>
      <w:r w:rsidRPr="00036FAC">
        <w:t>to</w:t>
      </w:r>
      <w:r w:rsidR="00907D8C">
        <w:t xml:space="preserve"> </w:t>
      </w:r>
      <w:r w:rsidRPr="00036FAC">
        <w:t>demographic</w:t>
      </w:r>
      <w:r w:rsidR="00907D8C">
        <w:t xml:space="preserve"> </w:t>
      </w:r>
      <w:r w:rsidRPr="00036FAC">
        <w:t>differences</w:t>
      </w:r>
      <w:r w:rsidR="00907D8C">
        <w:t xml:space="preserve"> </w:t>
      </w:r>
      <w:r w:rsidRPr="00036FAC">
        <w:t>between</w:t>
      </w:r>
      <w:r w:rsidR="00907D8C">
        <w:t xml:space="preserve"> </w:t>
      </w:r>
      <w:r w:rsidRPr="00036FAC">
        <w:t>ethnicities.</w:t>
      </w:r>
      <w:r w:rsidR="00907D8C">
        <w:t xml:space="preserve"> </w:t>
      </w:r>
      <w:r w:rsidRPr="00036FAC">
        <w:t>For</w:t>
      </w:r>
      <w:r w:rsidR="00907D8C">
        <w:t xml:space="preserve"> </w:t>
      </w:r>
      <w:r w:rsidRPr="00036FAC">
        <w:t>instance,</w:t>
      </w:r>
      <w:r w:rsidR="00907D8C">
        <w:t xml:space="preserve"> </w:t>
      </w:r>
      <w:r w:rsidRPr="00036FAC">
        <w:t>Māori</w:t>
      </w:r>
      <w:r w:rsidR="00907D8C">
        <w:t xml:space="preserve"> </w:t>
      </w:r>
      <w:r w:rsidRPr="00036FAC">
        <w:t>tend</w:t>
      </w:r>
      <w:r w:rsidR="00907D8C">
        <w:t xml:space="preserve"> </w:t>
      </w:r>
      <w:r w:rsidRPr="00036FAC">
        <w:t>to</w:t>
      </w:r>
      <w:r w:rsidR="00907D8C">
        <w:t xml:space="preserve"> </w:t>
      </w:r>
      <w:r w:rsidRPr="00036FAC">
        <w:t>be</w:t>
      </w:r>
      <w:r w:rsidR="00907D8C">
        <w:t xml:space="preserve"> </w:t>
      </w:r>
      <w:r w:rsidRPr="00036FAC">
        <w:t>younger</w:t>
      </w:r>
      <w:r w:rsidR="00907D8C">
        <w:t xml:space="preserve"> </w:t>
      </w:r>
      <w:r w:rsidRPr="00036FAC">
        <w:t>than</w:t>
      </w:r>
      <w:r w:rsidR="00907D8C">
        <w:t xml:space="preserve"> </w:t>
      </w:r>
      <w:r w:rsidRPr="00036FAC">
        <w:t>non-Māori</w:t>
      </w:r>
      <w:r w:rsidR="00907D8C">
        <w:t xml:space="preserve"> </w:t>
      </w:r>
      <w:r w:rsidRPr="00036FAC">
        <w:t>and,</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phenomena</w:t>
      </w:r>
      <w:r w:rsidR="00907D8C">
        <w:t xml:space="preserve"> </w:t>
      </w:r>
      <w:r w:rsidRPr="00036FAC">
        <w:t>involving</w:t>
      </w:r>
      <w:r w:rsidR="00907D8C">
        <w:t xml:space="preserve"> </w:t>
      </w:r>
      <w:r w:rsidRPr="00036FAC">
        <w:t>a</w:t>
      </w:r>
      <w:r w:rsidR="00907D8C">
        <w:t xml:space="preserve"> </w:t>
      </w:r>
      <w:r w:rsidRPr="00036FAC">
        <w:t>younger</w:t>
      </w:r>
      <w:r w:rsidR="00907D8C">
        <w:t xml:space="preserve"> </w:t>
      </w:r>
      <w:r w:rsidRPr="00036FAC">
        <w:t>populatio</w:t>
      </w:r>
      <w:r w:rsidR="00AE58B5">
        <w:t>n</w:t>
      </w:r>
      <w:r w:rsidR="00907D8C">
        <w:t xml:space="preserve"> </w:t>
      </w:r>
      <w:r w:rsidR="00AE58B5">
        <w:t>tend</w:t>
      </w:r>
      <w:r w:rsidR="00907D8C">
        <w:t xml:space="preserve"> </w:t>
      </w:r>
      <w:r w:rsidR="00AE58B5">
        <w:t>to</w:t>
      </w:r>
      <w:r w:rsidR="00907D8C">
        <w:t xml:space="preserve"> </w:t>
      </w:r>
      <w:r w:rsidR="00AE58B5">
        <w:t>over-represent</w:t>
      </w:r>
      <w:r w:rsidR="00907D8C">
        <w:t xml:space="preserve"> </w:t>
      </w:r>
      <w:r w:rsidR="00AE58B5">
        <w:t>Māori.</w:t>
      </w:r>
    </w:p>
    <w:p w:rsidR="00AE58B5" w:rsidRDefault="007F44CC" w:rsidP="00AE58B5">
      <w:pPr>
        <w:pStyle w:val="Heading1"/>
      </w:pPr>
      <w:bookmarkStart w:id="21" w:name="_Toc275331902"/>
      <w:r>
        <w:t>Table</w:t>
      </w:r>
      <w:r w:rsidR="00907D8C">
        <w:t xml:space="preserve"> </w:t>
      </w:r>
      <w:r>
        <w:t>1</w:t>
      </w:r>
    </w:p>
    <w:p w:rsidR="00036FAC" w:rsidRPr="00AE58B5" w:rsidRDefault="00036FAC" w:rsidP="00AE58B5">
      <w:pPr>
        <w:pStyle w:val="SingleTxtG"/>
        <w:rPr>
          <w:b/>
        </w:rPr>
      </w:pPr>
      <w:r w:rsidRPr="00AE58B5">
        <w:rPr>
          <w:b/>
        </w:rPr>
        <w:t>Ethnic</w:t>
      </w:r>
      <w:r w:rsidR="00907D8C">
        <w:rPr>
          <w:b/>
        </w:rPr>
        <w:t xml:space="preserve"> </w:t>
      </w:r>
      <w:r w:rsidRPr="00AE58B5">
        <w:rPr>
          <w:b/>
        </w:rPr>
        <w:t>distribution</w:t>
      </w:r>
      <w:r w:rsidR="00907D8C">
        <w:rPr>
          <w:b/>
        </w:rPr>
        <w:t xml:space="preserve"> </w:t>
      </w:r>
      <w:r w:rsidRPr="00AE58B5">
        <w:rPr>
          <w:b/>
        </w:rPr>
        <w:t>of</w:t>
      </w:r>
      <w:r w:rsidR="00907D8C">
        <w:rPr>
          <w:b/>
        </w:rPr>
        <w:t xml:space="preserve"> </w:t>
      </w:r>
      <w:r w:rsidRPr="00AE58B5">
        <w:rPr>
          <w:b/>
        </w:rPr>
        <w:t>the</w:t>
      </w:r>
      <w:r w:rsidR="00907D8C">
        <w:rPr>
          <w:b/>
        </w:rPr>
        <w:t xml:space="preserve"> </w:t>
      </w:r>
      <w:r w:rsidRPr="00AE58B5">
        <w:rPr>
          <w:b/>
        </w:rPr>
        <w:t>population,</w:t>
      </w:r>
      <w:r w:rsidR="00907D8C">
        <w:rPr>
          <w:b/>
        </w:rPr>
        <w:t xml:space="preserve"> </w:t>
      </w:r>
      <w:r w:rsidRPr="00AE58B5">
        <w:rPr>
          <w:b/>
        </w:rPr>
        <w:t>1991–2006</w:t>
      </w:r>
      <w:bookmarkEnd w:id="21"/>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100"/>
        <w:gridCol w:w="700"/>
        <w:gridCol w:w="1008"/>
        <w:gridCol w:w="624"/>
        <w:gridCol w:w="1072"/>
        <w:gridCol w:w="681"/>
        <w:gridCol w:w="1109"/>
        <w:gridCol w:w="645"/>
      </w:tblGrid>
      <w:tr w:rsidR="00AE58B5" w:rsidRPr="00AE58B5" w:rsidTr="00AE58B5">
        <w:tblPrEx>
          <w:tblCellMar>
            <w:top w:w="0" w:type="dxa"/>
            <w:left w:w="0" w:type="dxa"/>
            <w:bottom w:w="0" w:type="dxa"/>
            <w:right w:w="0" w:type="dxa"/>
          </w:tblCellMar>
        </w:tblPrEx>
        <w:trPr>
          <w:trHeight w:val="60"/>
          <w:tblHeader/>
        </w:trPr>
        <w:tc>
          <w:tcPr>
            <w:tcW w:w="1566"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rPr>
                <w:i/>
                <w:sz w:val="16"/>
              </w:rPr>
            </w:pPr>
            <w:r w:rsidRPr="00AE58B5">
              <w:rPr>
                <w:i/>
                <w:sz w:val="16"/>
              </w:rPr>
              <w:t>Ethnic</w:t>
            </w:r>
            <w:r w:rsidR="00907D8C">
              <w:rPr>
                <w:i/>
                <w:sz w:val="16"/>
              </w:rPr>
              <w:t xml:space="preserve"> </w:t>
            </w:r>
            <w:r w:rsidRPr="00AE58B5">
              <w:rPr>
                <w:i/>
                <w:sz w:val="16"/>
              </w:rPr>
              <w:t>group</w:t>
            </w:r>
            <w:r w:rsidRPr="00AE58B5">
              <w:rPr>
                <w:i/>
                <w:sz w:val="16"/>
                <w:vertAlign w:val="superscript"/>
              </w:rPr>
              <w:t>(1)</w:t>
            </w:r>
          </w:p>
        </w:tc>
        <w:tc>
          <w:tcPr>
            <w:tcW w:w="1100"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1991</w:t>
            </w:r>
          </w:p>
        </w:tc>
        <w:tc>
          <w:tcPr>
            <w:tcW w:w="700"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w:t>
            </w:r>
          </w:p>
        </w:tc>
        <w:tc>
          <w:tcPr>
            <w:tcW w:w="1008"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1996</w:t>
            </w:r>
          </w:p>
        </w:tc>
        <w:tc>
          <w:tcPr>
            <w:tcW w:w="624"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w:t>
            </w:r>
          </w:p>
        </w:tc>
        <w:tc>
          <w:tcPr>
            <w:tcW w:w="1072"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2001</w:t>
            </w:r>
          </w:p>
        </w:tc>
        <w:tc>
          <w:tcPr>
            <w:tcW w:w="681"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w:t>
            </w:r>
          </w:p>
        </w:tc>
        <w:tc>
          <w:tcPr>
            <w:tcW w:w="1109"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2006</w:t>
            </w:r>
          </w:p>
        </w:tc>
        <w:tc>
          <w:tcPr>
            <w:tcW w:w="645"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D06F7E">
            <w:pPr>
              <w:suppressAutoHyphens w:val="0"/>
              <w:spacing w:before="80" w:after="80" w:line="200" w:lineRule="exact"/>
              <w:ind w:right="113"/>
              <w:jc w:val="right"/>
              <w:rPr>
                <w:i/>
                <w:sz w:val="16"/>
              </w:rPr>
            </w:pPr>
            <w:r w:rsidRPr="00AE58B5">
              <w:rPr>
                <w:i/>
                <w:sz w:val="16"/>
              </w:rPr>
              <w:t>%</w:t>
            </w:r>
          </w:p>
        </w:tc>
      </w:tr>
      <w:tr w:rsidR="00AE58B5" w:rsidRPr="00AE58B5" w:rsidTr="00AE58B5">
        <w:tblPrEx>
          <w:tblCellMar>
            <w:top w:w="0" w:type="dxa"/>
            <w:left w:w="0" w:type="dxa"/>
            <w:bottom w:w="0" w:type="dxa"/>
            <w:right w:w="0" w:type="dxa"/>
          </w:tblCellMar>
        </w:tblPrEx>
        <w:trPr>
          <w:trHeight w:val="60"/>
        </w:trPr>
        <w:tc>
          <w:tcPr>
            <w:tcW w:w="1566" w:type="dxa"/>
            <w:tcBorders>
              <w:top w:val="single" w:sz="12" w:space="0" w:color="auto"/>
            </w:tcBorders>
            <w:shd w:val="clear" w:color="auto" w:fill="auto"/>
            <w:tcMar>
              <w:top w:w="68" w:type="dxa"/>
              <w:left w:w="0" w:type="dxa"/>
              <w:bottom w:w="68" w:type="dxa"/>
              <w:right w:w="0" w:type="dxa"/>
            </w:tcMar>
          </w:tcPr>
          <w:p w:rsidR="00036FAC" w:rsidRPr="00AE58B5" w:rsidRDefault="00036FAC" w:rsidP="00AE58B5">
            <w:pPr>
              <w:suppressAutoHyphens w:val="0"/>
              <w:spacing w:before="40" w:after="40" w:line="220" w:lineRule="exact"/>
              <w:ind w:right="113"/>
              <w:rPr>
                <w:sz w:val="18"/>
              </w:rPr>
            </w:pPr>
            <w:r w:rsidRPr="00AE58B5">
              <w:rPr>
                <w:sz w:val="18"/>
              </w:rPr>
              <w:t>European</w:t>
            </w:r>
            <w:r w:rsidRPr="00AE58B5">
              <w:rPr>
                <w:sz w:val="18"/>
                <w:vertAlign w:val="superscript"/>
              </w:rPr>
              <w:t>(2)</w:t>
            </w:r>
          </w:p>
        </w:tc>
        <w:tc>
          <w:tcPr>
            <w:tcW w:w="1100" w:type="dxa"/>
            <w:tcBorders>
              <w:top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w:t>
            </w:r>
            <w:r w:rsidR="00907D8C">
              <w:rPr>
                <w:sz w:val="18"/>
              </w:rPr>
              <w:t xml:space="preserve"> </w:t>
            </w:r>
            <w:r w:rsidR="00036FAC" w:rsidRPr="00AE58B5">
              <w:rPr>
                <w:sz w:val="18"/>
              </w:rPr>
              <w:t>783</w:t>
            </w:r>
            <w:r w:rsidR="00907D8C">
              <w:rPr>
                <w:sz w:val="18"/>
              </w:rPr>
              <w:t xml:space="preserve"> </w:t>
            </w:r>
            <w:r w:rsidR="00036FAC" w:rsidRPr="00AE58B5">
              <w:rPr>
                <w:sz w:val="18"/>
              </w:rPr>
              <w:t>028</w:t>
            </w:r>
          </w:p>
        </w:tc>
        <w:tc>
          <w:tcPr>
            <w:tcW w:w="700" w:type="dxa"/>
            <w:tcBorders>
              <w:top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83.2</w:t>
            </w:r>
          </w:p>
        </w:tc>
        <w:tc>
          <w:tcPr>
            <w:tcW w:w="1008" w:type="dxa"/>
            <w:tcBorders>
              <w:top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w:t>
            </w:r>
            <w:r w:rsidR="00907D8C">
              <w:rPr>
                <w:sz w:val="18"/>
              </w:rPr>
              <w:t xml:space="preserve"> </w:t>
            </w:r>
            <w:r>
              <w:rPr>
                <w:sz w:val="18"/>
              </w:rPr>
              <w:t>879</w:t>
            </w:r>
            <w:r w:rsidR="00907D8C">
              <w:rPr>
                <w:sz w:val="18"/>
              </w:rPr>
              <w:t xml:space="preserve"> </w:t>
            </w:r>
            <w:r w:rsidR="00036FAC" w:rsidRPr="00AE58B5">
              <w:rPr>
                <w:sz w:val="18"/>
              </w:rPr>
              <w:t>085</w:t>
            </w:r>
          </w:p>
        </w:tc>
        <w:tc>
          <w:tcPr>
            <w:tcW w:w="624" w:type="dxa"/>
            <w:tcBorders>
              <w:top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83.1</w:t>
            </w:r>
          </w:p>
        </w:tc>
        <w:tc>
          <w:tcPr>
            <w:tcW w:w="1072" w:type="dxa"/>
            <w:tcBorders>
              <w:top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w:t>
            </w:r>
            <w:r w:rsidR="00907D8C">
              <w:rPr>
                <w:sz w:val="18"/>
              </w:rPr>
              <w:t xml:space="preserve"> </w:t>
            </w:r>
            <w:r>
              <w:rPr>
                <w:sz w:val="18"/>
              </w:rPr>
              <w:t>871</w:t>
            </w:r>
            <w:r w:rsidR="00907D8C">
              <w:rPr>
                <w:sz w:val="18"/>
              </w:rPr>
              <w:t xml:space="preserve"> </w:t>
            </w:r>
            <w:r w:rsidR="00036FAC" w:rsidRPr="00AE58B5">
              <w:rPr>
                <w:sz w:val="18"/>
              </w:rPr>
              <w:t>432</w:t>
            </w:r>
          </w:p>
        </w:tc>
        <w:tc>
          <w:tcPr>
            <w:tcW w:w="681" w:type="dxa"/>
            <w:tcBorders>
              <w:top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80.1</w:t>
            </w:r>
          </w:p>
        </w:tc>
        <w:tc>
          <w:tcPr>
            <w:tcW w:w="1109" w:type="dxa"/>
            <w:tcBorders>
              <w:top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w:t>
            </w:r>
            <w:r w:rsidR="00907D8C">
              <w:rPr>
                <w:sz w:val="18"/>
              </w:rPr>
              <w:t xml:space="preserve"> </w:t>
            </w:r>
            <w:r>
              <w:rPr>
                <w:sz w:val="18"/>
              </w:rPr>
              <w:t>997</w:t>
            </w:r>
            <w:r w:rsidR="00907D8C">
              <w:rPr>
                <w:sz w:val="18"/>
              </w:rPr>
              <w:t xml:space="preserve"> </w:t>
            </w:r>
            <w:r w:rsidR="00036FAC" w:rsidRPr="00AE58B5">
              <w:rPr>
                <w:sz w:val="18"/>
              </w:rPr>
              <w:t>051</w:t>
            </w:r>
          </w:p>
        </w:tc>
        <w:tc>
          <w:tcPr>
            <w:tcW w:w="645" w:type="dxa"/>
            <w:tcBorders>
              <w:top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77.6</w:t>
            </w:r>
          </w:p>
        </w:tc>
      </w:tr>
      <w:tr w:rsidR="00036FAC" w:rsidRPr="00AE58B5" w:rsidTr="00AE58B5">
        <w:tblPrEx>
          <w:tblCellMar>
            <w:top w:w="0" w:type="dxa"/>
            <w:left w:w="0" w:type="dxa"/>
            <w:bottom w:w="0" w:type="dxa"/>
            <w:right w:w="0" w:type="dxa"/>
          </w:tblCellMar>
        </w:tblPrEx>
        <w:trPr>
          <w:trHeight w:val="60"/>
        </w:trPr>
        <w:tc>
          <w:tcPr>
            <w:tcW w:w="1566" w:type="dxa"/>
            <w:shd w:val="clear" w:color="auto" w:fill="auto"/>
            <w:tcMar>
              <w:top w:w="68" w:type="dxa"/>
              <w:left w:w="0" w:type="dxa"/>
              <w:bottom w:w="68" w:type="dxa"/>
              <w:right w:w="0" w:type="dxa"/>
            </w:tcMar>
          </w:tcPr>
          <w:p w:rsidR="00036FAC" w:rsidRPr="00AE58B5" w:rsidRDefault="00036FAC" w:rsidP="00AE58B5">
            <w:pPr>
              <w:suppressAutoHyphens w:val="0"/>
              <w:spacing w:before="40" w:after="40" w:line="220" w:lineRule="exact"/>
              <w:ind w:right="113"/>
              <w:rPr>
                <w:sz w:val="18"/>
              </w:rPr>
            </w:pPr>
            <w:r w:rsidRPr="00AE58B5">
              <w:rPr>
                <w:sz w:val="18"/>
              </w:rPr>
              <w:t>Māori</w:t>
            </w:r>
          </w:p>
        </w:tc>
        <w:tc>
          <w:tcPr>
            <w:tcW w:w="1100"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434</w:t>
            </w:r>
            <w:r w:rsidR="00907D8C">
              <w:rPr>
                <w:sz w:val="18"/>
              </w:rPr>
              <w:t xml:space="preserve"> </w:t>
            </w:r>
            <w:r w:rsidR="00036FAC" w:rsidRPr="00AE58B5">
              <w:rPr>
                <w:sz w:val="18"/>
              </w:rPr>
              <w:t>847</w:t>
            </w:r>
          </w:p>
        </w:tc>
        <w:tc>
          <w:tcPr>
            <w:tcW w:w="700"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13.0</w:t>
            </w:r>
          </w:p>
        </w:tc>
        <w:tc>
          <w:tcPr>
            <w:tcW w:w="1008"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523</w:t>
            </w:r>
            <w:r w:rsidR="00907D8C">
              <w:rPr>
                <w:sz w:val="18"/>
              </w:rPr>
              <w:t xml:space="preserve"> </w:t>
            </w:r>
            <w:r w:rsidR="00036FAC" w:rsidRPr="00AE58B5">
              <w:rPr>
                <w:sz w:val="18"/>
              </w:rPr>
              <w:t>374</w:t>
            </w:r>
          </w:p>
        </w:tc>
        <w:tc>
          <w:tcPr>
            <w:tcW w:w="624"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15.1</w:t>
            </w:r>
          </w:p>
        </w:tc>
        <w:tc>
          <w:tcPr>
            <w:tcW w:w="1072"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526</w:t>
            </w:r>
            <w:r w:rsidR="00907D8C">
              <w:rPr>
                <w:sz w:val="18"/>
              </w:rPr>
              <w:t xml:space="preserve"> </w:t>
            </w:r>
            <w:r w:rsidR="00036FAC" w:rsidRPr="00AE58B5">
              <w:rPr>
                <w:sz w:val="18"/>
              </w:rPr>
              <w:t>281</w:t>
            </w:r>
          </w:p>
        </w:tc>
        <w:tc>
          <w:tcPr>
            <w:tcW w:w="681"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14.7</w:t>
            </w:r>
          </w:p>
        </w:tc>
        <w:tc>
          <w:tcPr>
            <w:tcW w:w="1109"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565</w:t>
            </w:r>
            <w:r w:rsidR="00907D8C">
              <w:rPr>
                <w:sz w:val="18"/>
              </w:rPr>
              <w:t xml:space="preserve"> </w:t>
            </w:r>
            <w:r w:rsidR="00036FAC" w:rsidRPr="00AE58B5">
              <w:rPr>
                <w:sz w:val="18"/>
              </w:rPr>
              <w:t>329</w:t>
            </w:r>
          </w:p>
        </w:tc>
        <w:tc>
          <w:tcPr>
            <w:tcW w:w="645"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14.6</w:t>
            </w:r>
          </w:p>
        </w:tc>
      </w:tr>
      <w:tr w:rsidR="00036FAC" w:rsidRPr="00AE58B5" w:rsidTr="00AE58B5">
        <w:tblPrEx>
          <w:tblCellMar>
            <w:top w:w="0" w:type="dxa"/>
            <w:left w:w="0" w:type="dxa"/>
            <w:bottom w:w="0" w:type="dxa"/>
            <w:right w:w="0" w:type="dxa"/>
          </w:tblCellMar>
        </w:tblPrEx>
        <w:trPr>
          <w:trHeight w:val="60"/>
        </w:trPr>
        <w:tc>
          <w:tcPr>
            <w:tcW w:w="1566" w:type="dxa"/>
            <w:shd w:val="clear" w:color="auto" w:fill="auto"/>
            <w:tcMar>
              <w:top w:w="68" w:type="dxa"/>
              <w:left w:w="0" w:type="dxa"/>
              <w:bottom w:w="68" w:type="dxa"/>
              <w:right w:w="0" w:type="dxa"/>
            </w:tcMar>
          </w:tcPr>
          <w:p w:rsidR="00036FAC" w:rsidRPr="00AE58B5" w:rsidRDefault="00036FAC" w:rsidP="00AE58B5">
            <w:pPr>
              <w:suppressAutoHyphens w:val="0"/>
              <w:spacing w:before="40" w:after="40" w:line="220" w:lineRule="exact"/>
              <w:ind w:right="113"/>
              <w:rPr>
                <w:sz w:val="18"/>
              </w:rPr>
            </w:pPr>
            <w:r w:rsidRPr="00AE58B5">
              <w:rPr>
                <w:sz w:val="18"/>
              </w:rPr>
              <w:t>Pacific</w:t>
            </w:r>
            <w:r w:rsidR="00907D8C">
              <w:rPr>
                <w:sz w:val="18"/>
              </w:rPr>
              <w:t xml:space="preserve"> </w:t>
            </w:r>
            <w:r w:rsidRPr="00AE58B5">
              <w:rPr>
                <w:sz w:val="18"/>
              </w:rPr>
              <w:t>peoples</w:t>
            </w:r>
          </w:p>
        </w:tc>
        <w:tc>
          <w:tcPr>
            <w:tcW w:w="1100"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167</w:t>
            </w:r>
            <w:r w:rsidR="00907D8C">
              <w:rPr>
                <w:sz w:val="18"/>
              </w:rPr>
              <w:t xml:space="preserve"> </w:t>
            </w:r>
            <w:r w:rsidR="00036FAC" w:rsidRPr="00AE58B5">
              <w:rPr>
                <w:sz w:val="18"/>
              </w:rPr>
              <w:t>070</w:t>
            </w:r>
          </w:p>
        </w:tc>
        <w:tc>
          <w:tcPr>
            <w:tcW w:w="700"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5.0</w:t>
            </w:r>
          </w:p>
        </w:tc>
        <w:tc>
          <w:tcPr>
            <w:tcW w:w="1008"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202</w:t>
            </w:r>
            <w:r w:rsidR="00907D8C">
              <w:rPr>
                <w:sz w:val="18"/>
              </w:rPr>
              <w:t xml:space="preserve"> </w:t>
            </w:r>
            <w:r w:rsidR="00036FAC" w:rsidRPr="00AE58B5">
              <w:rPr>
                <w:sz w:val="18"/>
              </w:rPr>
              <w:t>233</w:t>
            </w:r>
          </w:p>
        </w:tc>
        <w:tc>
          <w:tcPr>
            <w:tcW w:w="624"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5.8</w:t>
            </w:r>
          </w:p>
        </w:tc>
        <w:tc>
          <w:tcPr>
            <w:tcW w:w="1072"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231</w:t>
            </w:r>
            <w:r w:rsidR="00907D8C">
              <w:rPr>
                <w:sz w:val="18"/>
              </w:rPr>
              <w:t xml:space="preserve"> </w:t>
            </w:r>
            <w:r w:rsidR="00036FAC" w:rsidRPr="00AE58B5">
              <w:rPr>
                <w:sz w:val="18"/>
              </w:rPr>
              <w:t>798</w:t>
            </w:r>
          </w:p>
        </w:tc>
        <w:tc>
          <w:tcPr>
            <w:tcW w:w="681"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6.5</w:t>
            </w:r>
          </w:p>
        </w:tc>
        <w:tc>
          <w:tcPr>
            <w:tcW w:w="1109"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265</w:t>
            </w:r>
            <w:r w:rsidR="00907D8C">
              <w:rPr>
                <w:sz w:val="18"/>
              </w:rPr>
              <w:t xml:space="preserve"> </w:t>
            </w:r>
            <w:r w:rsidR="00036FAC" w:rsidRPr="00AE58B5">
              <w:rPr>
                <w:sz w:val="18"/>
              </w:rPr>
              <w:t>974</w:t>
            </w:r>
          </w:p>
        </w:tc>
        <w:tc>
          <w:tcPr>
            <w:tcW w:w="645"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6.9</w:t>
            </w:r>
          </w:p>
        </w:tc>
      </w:tr>
      <w:tr w:rsidR="00036FAC" w:rsidRPr="00AE58B5" w:rsidTr="00AE58B5">
        <w:tblPrEx>
          <w:tblCellMar>
            <w:top w:w="0" w:type="dxa"/>
            <w:left w:w="0" w:type="dxa"/>
            <w:bottom w:w="0" w:type="dxa"/>
            <w:right w:w="0" w:type="dxa"/>
          </w:tblCellMar>
        </w:tblPrEx>
        <w:trPr>
          <w:trHeight w:val="60"/>
        </w:trPr>
        <w:tc>
          <w:tcPr>
            <w:tcW w:w="1566" w:type="dxa"/>
            <w:shd w:val="clear" w:color="auto" w:fill="auto"/>
            <w:tcMar>
              <w:top w:w="68" w:type="dxa"/>
              <w:left w:w="0" w:type="dxa"/>
              <w:bottom w:w="68" w:type="dxa"/>
              <w:right w:w="0" w:type="dxa"/>
            </w:tcMar>
          </w:tcPr>
          <w:p w:rsidR="00036FAC" w:rsidRPr="00AE58B5" w:rsidRDefault="00036FAC" w:rsidP="00AE58B5">
            <w:pPr>
              <w:suppressAutoHyphens w:val="0"/>
              <w:spacing w:before="40" w:after="40" w:line="220" w:lineRule="exact"/>
              <w:ind w:right="113"/>
              <w:rPr>
                <w:sz w:val="18"/>
              </w:rPr>
            </w:pPr>
            <w:r w:rsidRPr="00AE58B5">
              <w:rPr>
                <w:sz w:val="18"/>
              </w:rPr>
              <w:t>Asian</w:t>
            </w:r>
          </w:p>
        </w:tc>
        <w:tc>
          <w:tcPr>
            <w:tcW w:w="1100"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99</w:t>
            </w:r>
            <w:r w:rsidR="00907D8C">
              <w:rPr>
                <w:sz w:val="18"/>
              </w:rPr>
              <w:t xml:space="preserve"> </w:t>
            </w:r>
            <w:r w:rsidR="00036FAC" w:rsidRPr="00AE58B5">
              <w:rPr>
                <w:sz w:val="18"/>
              </w:rPr>
              <w:t>759</w:t>
            </w:r>
          </w:p>
        </w:tc>
        <w:tc>
          <w:tcPr>
            <w:tcW w:w="700"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3.0</w:t>
            </w:r>
          </w:p>
        </w:tc>
        <w:tc>
          <w:tcPr>
            <w:tcW w:w="1008"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173</w:t>
            </w:r>
            <w:r w:rsidR="00907D8C">
              <w:rPr>
                <w:sz w:val="18"/>
              </w:rPr>
              <w:t xml:space="preserve"> </w:t>
            </w:r>
            <w:r w:rsidR="00036FAC" w:rsidRPr="00AE58B5">
              <w:rPr>
                <w:sz w:val="18"/>
              </w:rPr>
              <w:t>502</w:t>
            </w:r>
          </w:p>
        </w:tc>
        <w:tc>
          <w:tcPr>
            <w:tcW w:w="624"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5.0</w:t>
            </w:r>
          </w:p>
        </w:tc>
        <w:tc>
          <w:tcPr>
            <w:tcW w:w="1072"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238</w:t>
            </w:r>
            <w:r w:rsidR="00907D8C">
              <w:rPr>
                <w:sz w:val="18"/>
              </w:rPr>
              <w:t xml:space="preserve"> </w:t>
            </w:r>
            <w:r w:rsidR="00036FAC" w:rsidRPr="00AE58B5">
              <w:rPr>
                <w:sz w:val="18"/>
              </w:rPr>
              <w:t>176</w:t>
            </w:r>
          </w:p>
        </w:tc>
        <w:tc>
          <w:tcPr>
            <w:tcW w:w="681"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6.6</w:t>
            </w:r>
          </w:p>
        </w:tc>
        <w:tc>
          <w:tcPr>
            <w:tcW w:w="1109" w:type="dxa"/>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354</w:t>
            </w:r>
            <w:r w:rsidR="00907D8C">
              <w:rPr>
                <w:sz w:val="18"/>
              </w:rPr>
              <w:t xml:space="preserve"> </w:t>
            </w:r>
            <w:r w:rsidR="00036FAC" w:rsidRPr="00AE58B5">
              <w:rPr>
                <w:sz w:val="18"/>
              </w:rPr>
              <w:t>549</w:t>
            </w:r>
          </w:p>
        </w:tc>
        <w:tc>
          <w:tcPr>
            <w:tcW w:w="645" w:type="dxa"/>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9.2</w:t>
            </w:r>
          </w:p>
        </w:tc>
      </w:tr>
      <w:tr w:rsidR="00AE58B5" w:rsidRPr="00AE58B5" w:rsidTr="00AE58B5">
        <w:tblPrEx>
          <w:tblCellMar>
            <w:top w:w="0" w:type="dxa"/>
            <w:left w:w="0" w:type="dxa"/>
            <w:bottom w:w="0" w:type="dxa"/>
            <w:right w:w="0" w:type="dxa"/>
          </w:tblCellMar>
        </w:tblPrEx>
        <w:trPr>
          <w:trHeight w:val="60"/>
        </w:trPr>
        <w:tc>
          <w:tcPr>
            <w:tcW w:w="1566" w:type="dxa"/>
            <w:tcBorders>
              <w:bottom w:val="single" w:sz="4" w:space="0" w:color="auto"/>
            </w:tcBorders>
            <w:shd w:val="clear" w:color="auto" w:fill="auto"/>
            <w:tcMar>
              <w:top w:w="68" w:type="dxa"/>
              <w:left w:w="0" w:type="dxa"/>
              <w:bottom w:w="68" w:type="dxa"/>
              <w:right w:w="0" w:type="dxa"/>
            </w:tcMar>
          </w:tcPr>
          <w:p w:rsidR="00036FAC" w:rsidRPr="00AE58B5" w:rsidRDefault="00036FAC" w:rsidP="00AE58B5">
            <w:pPr>
              <w:suppressAutoHyphens w:val="0"/>
              <w:spacing w:before="40" w:after="40" w:line="220" w:lineRule="exact"/>
              <w:ind w:right="113"/>
              <w:rPr>
                <w:sz w:val="18"/>
              </w:rPr>
            </w:pPr>
            <w:r w:rsidRPr="00AE58B5">
              <w:rPr>
                <w:sz w:val="18"/>
              </w:rPr>
              <w:t>Other</w:t>
            </w:r>
          </w:p>
        </w:tc>
        <w:tc>
          <w:tcPr>
            <w:tcW w:w="1100"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6</w:t>
            </w:r>
            <w:r w:rsidR="00907D8C">
              <w:rPr>
                <w:sz w:val="18"/>
              </w:rPr>
              <w:t xml:space="preserve"> </w:t>
            </w:r>
            <w:r w:rsidR="00036FAC" w:rsidRPr="00AE58B5">
              <w:rPr>
                <w:sz w:val="18"/>
              </w:rPr>
              <w:t>597</w:t>
            </w:r>
          </w:p>
        </w:tc>
        <w:tc>
          <w:tcPr>
            <w:tcW w:w="700"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0.2</w:t>
            </w:r>
          </w:p>
        </w:tc>
        <w:tc>
          <w:tcPr>
            <w:tcW w:w="1008"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15</w:t>
            </w:r>
            <w:r w:rsidR="00907D8C">
              <w:rPr>
                <w:sz w:val="18"/>
              </w:rPr>
              <w:t xml:space="preserve"> </w:t>
            </w:r>
            <w:r w:rsidR="00036FAC" w:rsidRPr="00AE58B5">
              <w:rPr>
                <w:sz w:val="18"/>
              </w:rPr>
              <w:t>804</w:t>
            </w:r>
          </w:p>
        </w:tc>
        <w:tc>
          <w:tcPr>
            <w:tcW w:w="624"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0.5</w:t>
            </w:r>
          </w:p>
        </w:tc>
        <w:tc>
          <w:tcPr>
            <w:tcW w:w="1072"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24</w:t>
            </w:r>
            <w:r w:rsidR="00907D8C">
              <w:rPr>
                <w:sz w:val="18"/>
              </w:rPr>
              <w:t xml:space="preserve"> </w:t>
            </w:r>
            <w:r w:rsidR="00036FAC" w:rsidRPr="00AE58B5">
              <w:rPr>
                <w:sz w:val="18"/>
              </w:rPr>
              <w:t>885</w:t>
            </w:r>
          </w:p>
        </w:tc>
        <w:tc>
          <w:tcPr>
            <w:tcW w:w="681"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0.7</w:t>
            </w:r>
          </w:p>
        </w:tc>
        <w:tc>
          <w:tcPr>
            <w:tcW w:w="1109"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40" w:after="40" w:line="220" w:lineRule="exact"/>
              <w:ind w:right="113"/>
              <w:jc w:val="right"/>
              <w:rPr>
                <w:sz w:val="18"/>
              </w:rPr>
            </w:pPr>
            <w:r>
              <w:rPr>
                <w:sz w:val="18"/>
              </w:rPr>
              <w:t>36</w:t>
            </w:r>
            <w:r w:rsidR="00907D8C">
              <w:rPr>
                <w:sz w:val="18"/>
              </w:rPr>
              <w:t xml:space="preserve"> </w:t>
            </w:r>
            <w:r w:rsidR="00036FAC" w:rsidRPr="00AE58B5">
              <w:rPr>
                <w:sz w:val="18"/>
              </w:rPr>
              <w:t>237</w:t>
            </w:r>
          </w:p>
        </w:tc>
        <w:tc>
          <w:tcPr>
            <w:tcW w:w="645" w:type="dxa"/>
            <w:tcBorders>
              <w:bottom w:val="single" w:sz="4"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40" w:after="40" w:line="220" w:lineRule="exact"/>
              <w:ind w:right="113"/>
              <w:jc w:val="right"/>
              <w:rPr>
                <w:sz w:val="18"/>
              </w:rPr>
            </w:pPr>
            <w:r w:rsidRPr="00AE58B5">
              <w:rPr>
                <w:sz w:val="18"/>
              </w:rPr>
              <w:t>0.9</w:t>
            </w:r>
          </w:p>
        </w:tc>
      </w:tr>
      <w:tr w:rsidR="00AE58B5" w:rsidRPr="00AE58B5" w:rsidTr="00AE58B5">
        <w:tblPrEx>
          <w:tblCellMar>
            <w:top w:w="0" w:type="dxa"/>
            <w:left w:w="0" w:type="dxa"/>
            <w:bottom w:w="0" w:type="dxa"/>
            <w:right w:w="0" w:type="dxa"/>
          </w:tblCellMar>
        </w:tblPrEx>
        <w:trPr>
          <w:trHeight w:val="60"/>
        </w:trPr>
        <w:tc>
          <w:tcPr>
            <w:tcW w:w="1566" w:type="dxa"/>
            <w:tcBorders>
              <w:top w:val="single" w:sz="4" w:space="0" w:color="auto"/>
              <w:bottom w:val="single" w:sz="12" w:space="0" w:color="auto"/>
            </w:tcBorders>
            <w:shd w:val="clear" w:color="auto" w:fill="auto"/>
            <w:tcMar>
              <w:top w:w="68" w:type="dxa"/>
              <w:left w:w="0" w:type="dxa"/>
              <w:bottom w:w="68" w:type="dxa"/>
              <w:right w:w="0" w:type="dxa"/>
            </w:tcMar>
          </w:tcPr>
          <w:p w:rsidR="00036FAC" w:rsidRPr="00AE58B5" w:rsidRDefault="00036FAC" w:rsidP="00AE58B5">
            <w:pPr>
              <w:suppressAutoHyphens w:val="0"/>
              <w:spacing w:before="80" w:after="80" w:line="220" w:lineRule="exact"/>
              <w:ind w:right="113"/>
              <w:rPr>
                <w:b/>
                <w:sz w:val="18"/>
              </w:rPr>
            </w:pPr>
            <w:r w:rsidRPr="00AE58B5">
              <w:rPr>
                <w:b/>
                <w:sz w:val="18"/>
              </w:rPr>
              <w:t>Total</w:t>
            </w:r>
            <w:r w:rsidR="00907D8C">
              <w:rPr>
                <w:b/>
                <w:sz w:val="18"/>
              </w:rPr>
              <w:t xml:space="preserve"> </w:t>
            </w:r>
            <w:r w:rsidRPr="00AE58B5">
              <w:rPr>
                <w:b/>
                <w:sz w:val="18"/>
              </w:rPr>
              <w:t>people</w:t>
            </w:r>
            <w:r w:rsidR="00907D8C">
              <w:rPr>
                <w:b/>
                <w:sz w:val="18"/>
              </w:rPr>
              <w:t xml:space="preserve"> </w:t>
            </w:r>
            <w:r w:rsidRPr="00AE58B5">
              <w:rPr>
                <w:b/>
                <w:sz w:val="18"/>
              </w:rPr>
              <w:t>with</w:t>
            </w:r>
            <w:r w:rsidR="00907D8C">
              <w:rPr>
                <w:b/>
                <w:sz w:val="18"/>
              </w:rPr>
              <w:t xml:space="preserve"> </w:t>
            </w:r>
            <w:r w:rsidRPr="00AE58B5">
              <w:rPr>
                <w:b/>
                <w:sz w:val="18"/>
              </w:rPr>
              <w:t>ethnicity</w:t>
            </w:r>
            <w:r w:rsidR="00907D8C">
              <w:rPr>
                <w:b/>
                <w:sz w:val="18"/>
              </w:rPr>
              <w:t xml:space="preserve"> </w:t>
            </w:r>
            <w:r w:rsidRPr="00AE58B5">
              <w:rPr>
                <w:b/>
                <w:sz w:val="18"/>
              </w:rPr>
              <w:t>specified</w:t>
            </w:r>
          </w:p>
        </w:tc>
        <w:tc>
          <w:tcPr>
            <w:tcW w:w="1100"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80" w:after="80" w:line="220" w:lineRule="exact"/>
              <w:ind w:right="113"/>
              <w:jc w:val="right"/>
              <w:rPr>
                <w:b/>
                <w:sz w:val="18"/>
              </w:rPr>
            </w:pPr>
            <w:r>
              <w:rPr>
                <w:b/>
                <w:sz w:val="18"/>
              </w:rPr>
              <w:t>3</w:t>
            </w:r>
            <w:r w:rsidR="00907D8C">
              <w:rPr>
                <w:b/>
                <w:sz w:val="18"/>
              </w:rPr>
              <w:t xml:space="preserve"> </w:t>
            </w:r>
            <w:r w:rsidR="00036FAC" w:rsidRPr="00AE58B5">
              <w:rPr>
                <w:b/>
                <w:sz w:val="18"/>
              </w:rPr>
              <w:t>345</w:t>
            </w:r>
            <w:r w:rsidR="00907D8C">
              <w:rPr>
                <w:b/>
                <w:sz w:val="18"/>
              </w:rPr>
              <w:t xml:space="preserve"> </w:t>
            </w:r>
            <w:r w:rsidR="00036FAC" w:rsidRPr="00AE58B5">
              <w:rPr>
                <w:b/>
                <w:sz w:val="18"/>
              </w:rPr>
              <w:t>741</w:t>
            </w:r>
          </w:p>
        </w:tc>
        <w:tc>
          <w:tcPr>
            <w:tcW w:w="700"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80" w:after="80" w:line="220" w:lineRule="exact"/>
              <w:ind w:right="113"/>
              <w:jc w:val="right"/>
              <w:rPr>
                <w:b/>
                <w:sz w:val="18"/>
              </w:rPr>
            </w:pPr>
          </w:p>
        </w:tc>
        <w:tc>
          <w:tcPr>
            <w:tcW w:w="1008"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80" w:after="80" w:line="220" w:lineRule="exact"/>
              <w:ind w:right="113"/>
              <w:jc w:val="right"/>
              <w:rPr>
                <w:b/>
                <w:sz w:val="18"/>
              </w:rPr>
            </w:pPr>
            <w:r>
              <w:rPr>
                <w:b/>
                <w:sz w:val="18"/>
              </w:rPr>
              <w:t>3</w:t>
            </w:r>
            <w:r w:rsidR="00907D8C">
              <w:rPr>
                <w:b/>
                <w:sz w:val="18"/>
              </w:rPr>
              <w:t xml:space="preserve"> </w:t>
            </w:r>
            <w:r>
              <w:rPr>
                <w:b/>
                <w:sz w:val="18"/>
              </w:rPr>
              <w:t>466</w:t>
            </w:r>
            <w:r w:rsidR="00907D8C">
              <w:rPr>
                <w:b/>
                <w:sz w:val="18"/>
              </w:rPr>
              <w:t xml:space="preserve"> </w:t>
            </w:r>
            <w:r w:rsidR="00036FAC" w:rsidRPr="00AE58B5">
              <w:rPr>
                <w:b/>
                <w:sz w:val="18"/>
              </w:rPr>
              <w:t>515</w:t>
            </w:r>
          </w:p>
        </w:tc>
        <w:tc>
          <w:tcPr>
            <w:tcW w:w="624"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80" w:after="80" w:line="220" w:lineRule="exact"/>
              <w:ind w:right="113"/>
              <w:jc w:val="right"/>
              <w:rPr>
                <w:b/>
                <w:sz w:val="18"/>
              </w:rPr>
            </w:pPr>
          </w:p>
        </w:tc>
        <w:tc>
          <w:tcPr>
            <w:tcW w:w="1072"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80" w:after="80" w:line="220" w:lineRule="exact"/>
              <w:ind w:right="113"/>
              <w:jc w:val="right"/>
              <w:rPr>
                <w:b/>
                <w:sz w:val="18"/>
              </w:rPr>
            </w:pPr>
            <w:r>
              <w:rPr>
                <w:b/>
                <w:sz w:val="18"/>
              </w:rPr>
              <w:t>3</w:t>
            </w:r>
            <w:r w:rsidR="00907D8C">
              <w:rPr>
                <w:b/>
                <w:sz w:val="18"/>
              </w:rPr>
              <w:t xml:space="preserve"> </w:t>
            </w:r>
            <w:r>
              <w:rPr>
                <w:b/>
                <w:sz w:val="18"/>
              </w:rPr>
              <w:t>586</w:t>
            </w:r>
            <w:r w:rsidR="00907D8C">
              <w:rPr>
                <w:b/>
                <w:sz w:val="18"/>
              </w:rPr>
              <w:t xml:space="preserve"> </w:t>
            </w:r>
            <w:r w:rsidR="00036FAC" w:rsidRPr="00AE58B5">
              <w:rPr>
                <w:b/>
                <w:sz w:val="18"/>
              </w:rPr>
              <w:t>641</w:t>
            </w:r>
          </w:p>
        </w:tc>
        <w:tc>
          <w:tcPr>
            <w:tcW w:w="681"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80" w:after="80" w:line="220" w:lineRule="exact"/>
              <w:ind w:right="113"/>
              <w:jc w:val="right"/>
              <w:rPr>
                <w:b/>
                <w:sz w:val="18"/>
              </w:rPr>
            </w:pPr>
          </w:p>
        </w:tc>
        <w:tc>
          <w:tcPr>
            <w:tcW w:w="1109"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7F44CC" w:rsidP="00AE58B5">
            <w:pPr>
              <w:suppressAutoHyphens w:val="0"/>
              <w:spacing w:before="80" w:after="80" w:line="220" w:lineRule="exact"/>
              <w:ind w:right="113"/>
              <w:jc w:val="right"/>
              <w:rPr>
                <w:b/>
                <w:sz w:val="18"/>
              </w:rPr>
            </w:pPr>
            <w:r>
              <w:rPr>
                <w:b/>
                <w:sz w:val="18"/>
              </w:rPr>
              <w:t>3</w:t>
            </w:r>
            <w:r w:rsidR="00907D8C">
              <w:rPr>
                <w:b/>
                <w:sz w:val="18"/>
              </w:rPr>
              <w:t xml:space="preserve"> </w:t>
            </w:r>
            <w:r>
              <w:rPr>
                <w:b/>
                <w:sz w:val="18"/>
              </w:rPr>
              <w:t>860</w:t>
            </w:r>
            <w:r w:rsidR="00907D8C">
              <w:rPr>
                <w:b/>
                <w:sz w:val="18"/>
              </w:rPr>
              <w:t xml:space="preserve"> </w:t>
            </w:r>
            <w:r w:rsidR="00036FAC" w:rsidRPr="00AE58B5">
              <w:rPr>
                <w:b/>
                <w:sz w:val="18"/>
              </w:rPr>
              <w:t>163</w:t>
            </w:r>
          </w:p>
        </w:tc>
        <w:tc>
          <w:tcPr>
            <w:tcW w:w="645" w:type="dxa"/>
            <w:tcBorders>
              <w:top w:val="single" w:sz="4" w:space="0" w:color="auto"/>
              <w:bottom w:val="single" w:sz="12" w:space="0" w:color="auto"/>
            </w:tcBorders>
            <w:shd w:val="clear" w:color="auto" w:fill="auto"/>
            <w:tcMar>
              <w:top w:w="68" w:type="dxa"/>
              <w:left w:w="0" w:type="dxa"/>
              <w:bottom w:w="68" w:type="dxa"/>
              <w:right w:w="0" w:type="dxa"/>
            </w:tcMar>
            <w:vAlign w:val="bottom"/>
          </w:tcPr>
          <w:p w:rsidR="00036FAC" w:rsidRPr="00AE58B5" w:rsidRDefault="00036FAC" w:rsidP="00AE58B5">
            <w:pPr>
              <w:suppressAutoHyphens w:val="0"/>
              <w:spacing w:before="80" w:after="80" w:line="220" w:lineRule="exact"/>
              <w:ind w:right="113"/>
              <w:jc w:val="right"/>
              <w:rPr>
                <w:b/>
                <w:sz w:val="18"/>
              </w:rPr>
            </w:pPr>
          </w:p>
        </w:tc>
      </w:tr>
    </w:tbl>
    <w:p w:rsidR="00A21D29" w:rsidRPr="00A21D29" w:rsidRDefault="00A21D29" w:rsidP="00353B69">
      <w:pPr>
        <w:tabs>
          <w:tab w:val="right" w:pos="850"/>
          <w:tab w:val="left" w:pos="1134"/>
          <w:tab w:val="left" w:pos="1559"/>
          <w:tab w:val="left" w:pos="1984"/>
          <w:tab w:val="left" w:leader="dot" w:pos="7654"/>
          <w:tab w:val="right" w:pos="8929"/>
          <w:tab w:val="right" w:pos="9638"/>
        </w:tabs>
        <w:spacing w:before="120"/>
        <w:ind w:left="1134" w:right="1134" w:firstLine="170"/>
        <w:rPr>
          <w:sz w:val="18"/>
          <w:szCs w:val="18"/>
        </w:rPr>
      </w:pPr>
      <w:r w:rsidRPr="00A21D29">
        <w:rPr>
          <w:i/>
          <w:sz w:val="18"/>
          <w:szCs w:val="18"/>
        </w:rPr>
        <w:t>Source</w:t>
      </w:r>
      <w:r w:rsidRPr="00A21D29">
        <w:rPr>
          <w:sz w:val="18"/>
          <w:szCs w:val="18"/>
        </w:rPr>
        <w:t>:</w:t>
      </w:r>
      <w:r w:rsidR="00907D8C">
        <w:rPr>
          <w:sz w:val="18"/>
          <w:szCs w:val="18"/>
        </w:rPr>
        <w:t xml:space="preserve">  </w:t>
      </w:r>
      <w:r w:rsidRPr="00A21D29">
        <w:rPr>
          <w:sz w:val="18"/>
          <w:szCs w:val="18"/>
        </w:rPr>
        <w:t>Statistics</w:t>
      </w:r>
      <w:r w:rsidR="00907D8C">
        <w:rPr>
          <w:sz w:val="18"/>
          <w:szCs w:val="18"/>
        </w:rPr>
        <w:t xml:space="preserve"> </w:t>
      </w:r>
      <w:r w:rsidRPr="00A21D29">
        <w:rPr>
          <w:sz w:val="18"/>
          <w:szCs w:val="18"/>
        </w:rPr>
        <w:t>New</w:t>
      </w:r>
      <w:r w:rsidR="00907D8C">
        <w:rPr>
          <w:sz w:val="18"/>
          <w:szCs w:val="18"/>
        </w:rPr>
        <w:t xml:space="preserve"> </w:t>
      </w:r>
      <w:r w:rsidRPr="00A21D29">
        <w:rPr>
          <w:sz w:val="18"/>
          <w:szCs w:val="18"/>
        </w:rPr>
        <w:t>Zealand</w:t>
      </w:r>
      <w:r w:rsidR="00907D8C">
        <w:rPr>
          <w:sz w:val="18"/>
          <w:szCs w:val="18"/>
        </w:rPr>
        <w:t xml:space="preserve"> </w:t>
      </w:r>
      <w:r w:rsidRPr="00A21D29">
        <w:rPr>
          <w:sz w:val="18"/>
          <w:szCs w:val="18"/>
        </w:rPr>
        <w:t>(2007e)</w:t>
      </w:r>
      <w:r w:rsidR="00907D8C">
        <w:rPr>
          <w:sz w:val="18"/>
          <w:szCs w:val="18"/>
        </w:rPr>
        <w:t xml:space="preserve"> </w:t>
      </w:r>
      <w:r w:rsidRPr="00A21D29">
        <w:rPr>
          <w:sz w:val="18"/>
          <w:szCs w:val="18"/>
        </w:rPr>
        <w:t>Table</w:t>
      </w:r>
      <w:r w:rsidR="00907D8C">
        <w:rPr>
          <w:sz w:val="18"/>
          <w:szCs w:val="18"/>
        </w:rPr>
        <w:t xml:space="preserve"> </w:t>
      </w:r>
      <w:r w:rsidRPr="00A21D29">
        <w:rPr>
          <w:sz w:val="18"/>
          <w:szCs w:val="18"/>
        </w:rPr>
        <w:t>1,</w:t>
      </w:r>
      <w:r w:rsidR="00907D8C">
        <w:rPr>
          <w:sz w:val="18"/>
          <w:szCs w:val="18"/>
        </w:rPr>
        <w:t xml:space="preserve"> </w:t>
      </w:r>
      <w:r w:rsidRPr="00A21D29">
        <w:rPr>
          <w:sz w:val="18"/>
          <w:szCs w:val="18"/>
        </w:rPr>
        <w:t>and</w:t>
      </w:r>
      <w:r w:rsidR="00907D8C">
        <w:rPr>
          <w:sz w:val="18"/>
          <w:szCs w:val="18"/>
        </w:rPr>
        <w:t xml:space="preserve"> </w:t>
      </w:r>
      <w:r w:rsidRPr="00A21D29">
        <w:rPr>
          <w:sz w:val="18"/>
          <w:szCs w:val="18"/>
        </w:rPr>
        <w:t>unpublished</w:t>
      </w:r>
      <w:r w:rsidR="00907D8C">
        <w:rPr>
          <w:sz w:val="18"/>
          <w:szCs w:val="18"/>
        </w:rPr>
        <w:t xml:space="preserve"> </w:t>
      </w:r>
      <w:r w:rsidRPr="00A21D29">
        <w:rPr>
          <w:sz w:val="18"/>
          <w:szCs w:val="18"/>
        </w:rPr>
        <w:t>2006</w:t>
      </w:r>
      <w:r w:rsidR="00907D8C">
        <w:rPr>
          <w:sz w:val="18"/>
          <w:szCs w:val="18"/>
        </w:rPr>
        <w:t xml:space="preserve"> </w:t>
      </w:r>
      <w:r w:rsidRPr="00A21D29">
        <w:rPr>
          <w:sz w:val="18"/>
          <w:szCs w:val="18"/>
        </w:rPr>
        <w:t>Census</w:t>
      </w:r>
      <w:r w:rsidR="00907D8C">
        <w:rPr>
          <w:sz w:val="18"/>
          <w:szCs w:val="18"/>
        </w:rPr>
        <w:t xml:space="preserve"> </w:t>
      </w:r>
      <w:r w:rsidRPr="00A21D29">
        <w:rPr>
          <w:sz w:val="18"/>
          <w:szCs w:val="18"/>
        </w:rPr>
        <w:t>data</w:t>
      </w:r>
      <w:r w:rsidR="00907D8C">
        <w:rPr>
          <w:sz w:val="18"/>
          <w:szCs w:val="18"/>
        </w:rPr>
        <w:t xml:space="preserve"> </w:t>
      </w:r>
      <w:r w:rsidRPr="00A21D29">
        <w:rPr>
          <w:sz w:val="18"/>
          <w:szCs w:val="18"/>
        </w:rPr>
        <w:t>(for</w:t>
      </w:r>
      <w:r w:rsidR="00907D8C">
        <w:rPr>
          <w:sz w:val="18"/>
          <w:szCs w:val="18"/>
        </w:rPr>
        <w:t xml:space="preserve"> </w:t>
      </w:r>
      <w:r w:rsidRPr="00A21D29">
        <w:rPr>
          <w:sz w:val="18"/>
          <w:szCs w:val="18"/>
        </w:rPr>
        <w:t>European/New</w:t>
      </w:r>
      <w:r w:rsidR="00907D8C">
        <w:rPr>
          <w:sz w:val="18"/>
          <w:szCs w:val="18"/>
        </w:rPr>
        <w:t xml:space="preserve"> </w:t>
      </w:r>
      <w:r w:rsidRPr="00A21D29">
        <w:rPr>
          <w:sz w:val="18"/>
          <w:szCs w:val="18"/>
        </w:rPr>
        <w:t>Zealander</w:t>
      </w:r>
      <w:r w:rsidR="00907D8C">
        <w:rPr>
          <w:sz w:val="18"/>
          <w:szCs w:val="18"/>
        </w:rPr>
        <w:t xml:space="preserve"> </w:t>
      </w:r>
      <w:r w:rsidRPr="00A21D29">
        <w:rPr>
          <w:sz w:val="18"/>
          <w:szCs w:val="18"/>
        </w:rPr>
        <w:t>and</w:t>
      </w:r>
      <w:r w:rsidR="00907D8C">
        <w:rPr>
          <w:sz w:val="18"/>
          <w:szCs w:val="18"/>
        </w:rPr>
        <w:t xml:space="preserve"> </w:t>
      </w:r>
      <w:r w:rsidRPr="00A21D29">
        <w:rPr>
          <w:sz w:val="18"/>
          <w:szCs w:val="18"/>
        </w:rPr>
        <w:t>Other)</w:t>
      </w:r>
      <w:r w:rsidR="001F2C6F">
        <w:rPr>
          <w:sz w:val="18"/>
          <w:szCs w:val="18"/>
        </w:rPr>
        <w:t>.</w:t>
      </w:r>
    </w:p>
    <w:p w:rsidR="00A21D29" w:rsidRPr="00A21D29" w:rsidRDefault="00A21D29" w:rsidP="00C57DEE">
      <w:pPr>
        <w:tabs>
          <w:tab w:val="left" w:pos="1900"/>
        </w:tabs>
        <w:ind w:left="1134" w:right="1134" w:firstLine="102"/>
        <w:rPr>
          <w:sz w:val="18"/>
          <w:szCs w:val="18"/>
        </w:rPr>
      </w:pPr>
      <w:r w:rsidRPr="00A21D29">
        <w:rPr>
          <w:i/>
          <w:sz w:val="18"/>
          <w:szCs w:val="18"/>
        </w:rPr>
        <w:t>Notes</w:t>
      </w:r>
      <w:r w:rsidRPr="00A21D29">
        <w:rPr>
          <w:sz w:val="18"/>
          <w:szCs w:val="18"/>
        </w:rPr>
        <w:t>:</w:t>
      </w:r>
      <w:r w:rsidR="00907D8C">
        <w:rPr>
          <w:sz w:val="18"/>
          <w:szCs w:val="18"/>
        </w:rPr>
        <w:t xml:space="preserve">  </w:t>
      </w:r>
      <w:r>
        <w:rPr>
          <w:sz w:val="18"/>
          <w:szCs w:val="18"/>
        </w:rPr>
        <w:tab/>
      </w:r>
      <w:r w:rsidRPr="00A21D29">
        <w:rPr>
          <w:sz w:val="18"/>
          <w:szCs w:val="18"/>
          <w:vertAlign w:val="superscript"/>
        </w:rPr>
        <w:t>(1)</w:t>
      </w:r>
      <w:r w:rsidR="00907D8C">
        <w:rPr>
          <w:sz w:val="18"/>
          <w:szCs w:val="18"/>
        </w:rPr>
        <w:t xml:space="preserve"> </w:t>
      </w:r>
      <w:r w:rsidRPr="00A21D29">
        <w:rPr>
          <w:sz w:val="18"/>
          <w:szCs w:val="18"/>
        </w:rPr>
        <w:t>Includes</w:t>
      </w:r>
      <w:r w:rsidR="00907D8C">
        <w:rPr>
          <w:sz w:val="18"/>
          <w:szCs w:val="18"/>
        </w:rPr>
        <w:t xml:space="preserve"> </w:t>
      </w:r>
      <w:r w:rsidRPr="00A21D29">
        <w:rPr>
          <w:sz w:val="18"/>
          <w:szCs w:val="18"/>
        </w:rPr>
        <w:t>all</w:t>
      </w:r>
      <w:r w:rsidR="00907D8C">
        <w:rPr>
          <w:sz w:val="18"/>
          <w:szCs w:val="18"/>
        </w:rPr>
        <w:t xml:space="preserve"> </w:t>
      </w:r>
      <w:r w:rsidRPr="00A21D29">
        <w:rPr>
          <w:sz w:val="18"/>
          <w:szCs w:val="18"/>
        </w:rPr>
        <w:t>of</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who</w:t>
      </w:r>
      <w:r w:rsidR="00907D8C">
        <w:rPr>
          <w:sz w:val="18"/>
          <w:szCs w:val="18"/>
        </w:rPr>
        <w:t xml:space="preserve"> </w:t>
      </w:r>
      <w:r w:rsidRPr="00A21D29">
        <w:rPr>
          <w:sz w:val="18"/>
          <w:szCs w:val="18"/>
        </w:rPr>
        <w:t>stated</w:t>
      </w:r>
      <w:r w:rsidR="00907D8C">
        <w:rPr>
          <w:sz w:val="18"/>
          <w:szCs w:val="18"/>
        </w:rPr>
        <w:t xml:space="preserve"> </w:t>
      </w:r>
      <w:r w:rsidRPr="00A21D29">
        <w:rPr>
          <w:sz w:val="18"/>
          <w:szCs w:val="18"/>
        </w:rPr>
        <w:t>an</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whether</w:t>
      </w:r>
      <w:r w:rsidR="00907D8C">
        <w:rPr>
          <w:sz w:val="18"/>
          <w:szCs w:val="18"/>
        </w:rPr>
        <w:t xml:space="preserve"> </w:t>
      </w:r>
      <w:r w:rsidRPr="00A21D29">
        <w:rPr>
          <w:sz w:val="18"/>
          <w:szCs w:val="18"/>
        </w:rPr>
        <w:t>as</w:t>
      </w:r>
      <w:r w:rsidR="00907D8C">
        <w:rPr>
          <w:sz w:val="18"/>
          <w:szCs w:val="18"/>
        </w:rPr>
        <w:t xml:space="preserve"> </w:t>
      </w:r>
      <w:r w:rsidRPr="00A21D29">
        <w:rPr>
          <w:sz w:val="18"/>
          <w:szCs w:val="18"/>
        </w:rPr>
        <w:t>their</w:t>
      </w:r>
      <w:r w:rsidR="00907D8C">
        <w:rPr>
          <w:sz w:val="18"/>
          <w:szCs w:val="18"/>
        </w:rPr>
        <w:t xml:space="preserve"> </w:t>
      </w:r>
      <w:r w:rsidRPr="00A21D29">
        <w:rPr>
          <w:sz w:val="18"/>
          <w:szCs w:val="18"/>
        </w:rPr>
        <w:t>only</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or</w:t>
      </w:r>
      <w:r w:rsidR="00907D8C">
        <w:rPr>
          <w:sz w:val="18"/>
          <w:szCs w:val="18"/>
        </w:rPr>
        <w:t xml:space="preserve"> </w:t>
      </w:r>
      <w:r w:rsidRPr="00A21D29">
        <w:rPr>
          <w:sz w:val="18"/>
          <w:szCs w:val="18"/>
        </w:rPr>
        <w:t>as</w:t>
      </w:r>
      <w:r w:rsidR="00907D8C">
        <w:rPr>
          <w:sz w:val="18"/>
          <w:szCs w:val="18"/>
        </w:rPr>
        <w:t xml:space="preserve"> </w:t>
      </w:r>
      <w:r w:rsidRPr="00A21D29">
        <w:rPr>
          <w:sz w:val="18"/>
          <w:szCs w:val="18"/>
        </w:rPr>
        <w:t>one</w:t>
      </w:r>
      <w:r w:rsidR="00907D8C">
        <w:rPr>
          <w:sz w:val="18"/>
          <w:szCs w:val="18"/>
        </w:rPr>
        <w:t xml:space="preserve"> </w:t>
      </w:r>
      <w:r w:rsidRPr="00A21D29">
        <w:rPr>
          <w:sz w:val="18"/>
          <w:szCs w:val="18"/>
        </w:rPr>
        <w:t>of</w:t>
      </w:r>
      <w:r w:rsidR="00907D8C">
        <w:rPr>
          <w:sz w:val="18"/>
          <w:szCs w:val="18"/>
        </w:rPr>
        <w:t xml:space="preserve"> </w:t>
      </w:r>
      <w:r w:rsidRPr="00A21D29">
        <w:rPr>
          <w:sz w:val="18"/>
          <w:szCs w:val="18"/>
        </w:rPr>
        <w:t>several</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groups.</w:t>
      </w:r>
      <w:r w:rsidR="00907D8C">
        <w:rPr>
          <w:sz w:val="18"/>
          <w:szCs w:val="18"/>
        </w:rPr>
        <w:t xml:space="preserve"> </w:t>
      </w:r>
      <w:r w:rsidRPr="00A21D29">
        <w:rPr>
          <w:sz w:val="18"/>
          <w:szCs w:val="18"/>
        </w:rPr>
        <w:t>Where</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reported</w:t>
      </w:r>
      <w:r w:rsidR="00907D8C">
        <w:rPr>
          <w:sz w:val="18"/>
          <w:szCs w:val="18"/>
        </w:rPr>
        <w:t xml:space="preserve"> </w:t>
      </w:r>
      <w:r w:rsidRPr="00A21D29">
        <w:rPr>
          <w:sz w:val="18"/>
          <w:szCs w:val="18"/>
        </w:rPr>
        <w:t>more</w:t>
      </w:r>
      <w:r w:rsidR="00907D8C">
        <w:rPr>
          <w:sz w:val="18"/>
          <w:szCs w:val="18"/>
        </w:rPr>
        <w:t xml:space="preserve"> </w:t>
      </w:r>
      <w:r w:rsidRPr="00A21D29">
        <w:rPr>
          <w:sz w:val="18"/>
          <w:szCs w:val="18"/>
        </w:rPr>
        <w:t>than</w:t>
      </w:r>
      <w:r w:rsidR="00907D8C">
        <w:rPr>
          <w:sz w:val="18"/>
          <w:szCs w:val="18"/>
        </w:rPr>
        <w:t xml:space="preserve"> </w:t>
      </w:r>
      <w:r w:rsidRPr="00A21D29">
        <w:rPr>
          <w:sz w:val="18"/>
          <w:szCs w:val="18"/>
        </w:rPr>
        <w:t>one</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they</w:t>
      </w:r>
      <w:r w:rsidR="00907D8C">
        <w:rPr>
          <w:sz w:val="18"/>
          <w:szCs w:val="18"/>
        </w:rPr>
        <w:t xml:space="preserve"> </w:t>
      </w:r>
      <w:r w:rsidRPr="00A21D29">
        <w:rPr>
          <w:sz w:val="18"/>
          <w:szCs w:val="18"/>
        </w:rPr>
        <w:t>have</w:t>
      </w:r>
      <w:r w:rsidR="00907D8C">
        <w:rPr>
          <w:sz w:val="18"/>
          <w:szCs w:val="18"/>
        </w:rPr>
        <w:t xml:space="preserve"> </w:t>
      </w:r>
      <w:r w:rsidRPr="00A21D29">
        <w:rPr>
          <w:sz w:val="18"/>
          <w:szCs w:val="18"/>
        </w:rPr>
        <w:t>been</w:t>
      </w:r>
      <w:r w:rsidR="00907D8C">
        <w:rPr>
          <w:sz w:val="18"/>
          <w:szCs w:val="18"/>
        </w:rPr>
        <w:t xml:space="preserve"> </w:t>
      </w:r>
      <w:r w:rsidRPr="00A21D29">
        <w:rPr>
          <w:sz w:val="18"/>
          <w:szCs w:val="18"/>
        </w:rPr>
        <w:t>counted</w:t>
      </w:r>
      <w:r w:rsidR="00907D8C">
        <w:rPr>
          <w:sz w:val="18"/>
          <w:szCs w:val="18"/>
        </w:rPr>
        <w:t xml:space="preserve"> </w:t>
      </w:r>
      <w:r w:rsidRPr="00A21D29">
        <w:rPr>
          <w:sz w:val="18"/>
          <w:szCs w:val="18"/>
        </w:rPr>
        <w:t>in</w:t>
      </w:r>
      <w:r w:rsidR="00907D8C">
        <w:rPr>
          <w:sz w:val="18"/>
          <w:szCs w:val="18"/>
        </w:rPr>
        <w:t xml:space="preserve"> </w:t>
      </w:r>
      <w:r w:rsidRPr="00A21D29">
        <w:rPr>
          <w:sz w:val="18"/>
          <w:szCs w:val="18"/>
        </w:rPr>
        <w:t>each</w:t>
      </w:r>
      <w:r w:rsidR="00907D8C">
        <w:rPr>
          <w:sz w:val="18"/>
          <w:szCs w:val="18"/>
        </w:rPr>
        <w:t xml:space="preserve"> </w:t>
      </w:r>
      <w:r w:rsidRPr="00A21D29">
        <w:rPr>
          <w:sz w:val="18"/>
          <w:szCs w:val="18"/>
        </w:rPr>
        <w:t>applicable</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Totals</w:t>
      </w:r>
      <w:r w:rsidR="00907D8C">
        <w:rPr>
          <w:sz w:val="18"/>
          <w:szCs w:val="18"/>
        </w:rPr>
        <w:t xml:space="preserve"> </w:t>
      </w:r>
      <w:r w:rsidRPr="00A21D29">
        <w:rPr>
          <w:sz w:val="18"/>
          <w:szCs w:val="18"/>
        </w:rPr>
        <w:t>therefore</w:t>
      </w:r>
      <w:r w:rsidR="00907D8C">
        <w:rPr>
          <w:sz w:val="18"/>
          <w:szCs w:val="18"/>
        </w:rPr>
        <w:t xml:space="preserve"> </w:t>
      </w:r>
      <w:r w:rsidRPr="00A21D29">
        <w:rPr>
          <w:sz w:val="18"/>
          <w:szCs w:val="18"/>
        </w:rPr>
        <w:t>do</w:t>
      </w:r>
      <w:r w:rsidR="00907D8C">
        <w:rPr>
          <w:sz w:val="18"/>
          <w:szCs w:val="18"/>
        </w:rPr>
        <w:t xml:space="preserve"> </w:t>
      </w:r>
      <w:r w:rsidRPr="00A21D29">
        <w:rPr>
          <w:sz w:val="18"/>
          <w:szCs w:val="18"/>
        </w:rPr>
        <w:t>not</w:t>
      </w:r>
      <w:r w:rsidR="00907D8C">
        <w:rPr>
          <w:sz w:val="18"/>
          <w:szCs w:val="18"/>
        </w:rPr>
        <w:t xml:space="preserve"> </w:t>
      </w:r>
      <w:r w:rsidRPr="00A21D29">
        <w:rPr>
          <w:sz w:val="18"/>
          <w:szCs w:val="18"/>
        </w:rPr>
        <w:t>add</w:t>
      </w:r>
      <w:r w:rsidR="00907D8C">
        <w:rPr>
          <w:sz w:val="18"/>
          <w:szCs w:val="18"/>
        </w:rPr>
        <w:t xml:space="preserve"> </w:t>
      </w:r>
      <w:r w:rsidRPr="00A21D29">
        <w:rPr>
          <w:sz w:val="18"/>
          <w:szCs w:val="18"/>
        </w:rPr>
        <w:t>up</w:t>
      </w:r>
      <w:r w:rsidR="00907D8C">
        <w:rPr>
          <w:sz w:val="18"/>
          <w:szCs w:val="18"/>
        </w:rPr>
        <w:t xml:space="preserve"> </w:t>
      </w:r>
      <w:r w:rsidRPr="00A21D29">
        <w:rPr>
          <w:sz w:val="18"/>
          <w:szCs w:val="18"/>
        </w:rPr>
        <w:t>to</w:t>
      </w:r>
      <w:r w:rsidR="00907D8C">
        <w:rPr>
          <w:sz w:val="18"/>
          <w:szCs w:val="18"/>
        </w:rPr>
        <w:t xml:space="preserve"> </w:t>
      </w:r>
      <w:r w:rsidRPr="00A21D29">
        <w:rPr>
          <w:sz w:val="18"/>
          <w:szCs w:val="18"/>
        </w:rPr>
        <w:t>100</w:t>
      </w:r>
      <w:r w:rsidR="00907D8C">
        <w:rPr>
          <w:sz w:val="18"/>
          <w:szCs w:val="18"/>
        </w:rPr>
        <w:t xml:space="preserve"> </w:t>
      </w:r>
      <w:r w:rsidRPr="00A21D29">
        <w:rPr>
          <w:sz w:val="18"/>
          <w:szCs w:val="18"/>
        </w:rPr>
        <w:t>per</w:t>
      </w:r>
      <w:r w:rsidR="00907D8C">
        <w:rPr>
          <w:sz w:val="18"/>
          <w:szCs w:val="18"/>
        </w:rPr>
        <w:t xml:space="preserve"> </w:t>
      </w:r>
      <w:r w:rsidRPr="00A21D29">
        <w:rPr>
          <w:sz w:val="18"/>
          <w:szCs w:val="18"/>
        </w:rPr>
        <w:t>cent.</w:t>
      </w:r>
    </w:p>
    <w:p w:rsidR="00A21D29" w:rsidRPr="00A21D29" w:rsidRDefault="00A21D29" w:rsidP="00C57DEE">
      <w:pPr>
        <w:tabs>
          <w:tab w:val="left" w:pos="1900"/>
        </w:tabs>
        <w:ind w:left="1134" w:right="1134" w:firstLine="102"/>
        <w:rPr>
          <w:sz w:val="18"/>
          <w:szCs w:val="18"/>
        </w:rPr>
      </w:pPr>
      <w:r>
        <w:rPr>
          <w:sz w:val="18"/>
          <w:szCs w:val="18"/>
          <w:vertAlign w:val="superscript"/>
        </w:rPr>
        <w:tab/>
      </w:r>
      <w:r w:rsidRPr="00A21D29">
        <w:rPr>
          <w:sz w:val="18"/>
          <w:szCs w:val="18"/>
          <w:vertAlign w:val="superscript"/>
        </w:rPr>
        <w:t>(2)</w:t>
      </w:r>
      <w:r w:rsidR="00907D8C">
        <w:rPr>
          <w:sz w:val="18"/>
          <w:szCs w:val="18"/>
        </w:rPr>
        <w:t xml:space="preserve"> </w:t>
      </w:r>
      <w:r w:rsidRPr="00A21D29">
        <w:rPr>
          <w:sz w:val="18"/>
          <w:szCs w:val="18"/>
        </w:rPr>
        <w:t>Before</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2006</w:t>
      </w:r>
      <w:r w:rsidR="00907D8C">
        <w:rPr>
          <w:sz w:val="18"/>
          <w:szCs w:val="18"/>
        </w:rPr>
        <w:t xml:space="preserve"> </w:t>
      </w:r>
      <w:r w:rsidRPr="00A21D29">
        <w:rPr>
          <w:sz w:val="18"/>
          <w:szCs w:val="18"/>
        </w:rPr>
        <w:t>Census,</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who</w:t>
      </w:r>
      <w:r w:rsidR="00907D8C">
        <w:rPr>
          <w:sz w:val="18"/>
          <w:szCs w:val="18"/>
        </w:rPr>
        <w:t xml:space="preserve"> </w:t>
      </w:r>
      <w:r w:rsidRPr="00A21D29">
        <w:rPr>
          <w:sz w:val="18"/>
          <w:szCs w:val="18"/>
        </w:rPr>
        <w:t>specified</w:t>
      </w:r>
      <w:r w:rsidR="00907D8C">
        <w:rPr>
          <w:sz w:val="18"/>
          <w:szCs w:val="18"/>
        </w:rPr>
        <w:t xml:space="preserve"> </w:t>
      </w:r>
      <w:r w:rsidRPr="00A21D29">
        <w:rPr>
          <w:sz w:val="18"/>
          <w:szCs w:val="18"/>
        </w:rPr>
        <w:t>their</w:t>
      </w:r>
      <w:r w:rsidR="00907D8C">
        <w:rPr>
          <w:sz w:val="18"/>
          <w:szCs w:val="18"/>
        </w:rPr>
        <w:t xml:space="preserve"> </w:t>
      </w:r>
      <w:r w:rsidRPr="00A21D29">
        <w:rPr>
          <w:sz w:val="18"/>
          <w:szCs w:val="18"/>
        </w:rPr>
        <w:t>ethnicity</w:t>
      </w:r>
      <w:r w:rsidR="00907D8C">
        <w:rPr>
          <w:sz w:val="18"/>
          <w:szCs w:val="18"/>
        </w:rPr>
        <w:t xml:space="preserve"> </w:t>
      </w:r>
      <w:r w:rsidRPr="00A21D29">
        <w:rPr>
          <w:sz w:val="18"/>
          <w:szCs w:val="18"/>
        </w:rPr>
        <w:t>as</w:t>
      </w:r>
      <w:r w:rsidR="00907D8C">
        <w:rPr>
          <w:sz w:val="18"/>
          <w:szCs w:val="18"/>
        </w:rPr>
        <w:t xml:space="preserve"> </w:t>
      </w:r>
      <w:r w:rsidR="003E4D94">
        <w:rPr>
          <w:sz w:val="18"/>
          <w:szCs w:val="18"/>
        </w:rPr>
        <w:t>“</w:t>
      </w:r>
      <w:r w:rsidRPr="00A21D29">
        <w:rPr>
          <w:sz w:val="18"/>
          <w:szCs w:val="18"/>
        </w:rPr>
        <w:t>New</w:t>
      </w:r>
      <w:r w:rsidR="00907D8C">
        <w:rPr>
          <w:sz w:val="18"/>
          <w:szCs w:val="18"/>
        </w:rPr>
        <w:t xml:space="preserve"> </w:t>
      </w:r>
      <w:r w:rsidRPr="00A21D29">
        <w:rPr>
          <w:sz w:val="18"/>
          <w:szCs w:val="18"/>
        </w:rPr>
        <w:t>Zealander</w:t>
      </w:r>
      <w:r w:rsidR="003E4D94">
        <w:rPr>
          <w:sz w:val="18"/>
          <w:szCs w:val="18"/>
        </w:rPr>
        <w:t>”</w:t>
      </w:r>
      <w:r w:rsidR="00907D8C">
        <w:rPr>
          <w:sz w:val="18"/>
          <w:szCs w:val="18"/>
        </w:rPr>
        <w:t xml:space="preserve"> </w:t>
      </w:r>
      <w:r w:rsidRPr="00A21D29">
        <w:rPr>
          <w:sz w:val="18"/>
          <w:szCs w:val="18"/>
        </w:rPr>
        <w:t>were</w:t>
      </w:r>
      <w:r w:rsidR="00907D8C">
        <w:rPr>
          <w:sz w:val="18"/>
          <w:szCs w:val="18"/>
        </w:rPr>
        <w:t xml:space="preserve"> </w:t>
      </w:r>
      <w:r w:rsidRPr="00A21D29">
        <w:rPr>
          <w:sz w:val="18"/>
          <w:szCs w:val="18"/>
        </w:rPr>
        <w:t>included</w:t>
      </w:r>
      <w:r w:rsidR="00907D8C">
        <w:rPr>
          <w:sz w:val="18"/>
          <w:szCs w:val="18"/>
        </w:rPr>
        <w:t xml:space="preserve"> </w:t>
      </w:r>
      <w:r w:rsidRPr="00A21D29">
        <w:rPr>
          <w:sz w:val="18"/>
          <w:szCs w:val="18"/>
        </w:rPr>
        <w:t>in</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European</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429,429</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who</w:t>
      </w:r>
      <w:r w:rsidR="00907D8C">
        <w:rPr>
          <w:sz w:val="18"/>
          <w:szCs w:val="18"/>
        </w:rPr>
        <w:t xml:space="preserve"> </w:t>
      </w:r>
      <w:r w:rsidRPr="00A21D29">
        <w:rPr>
          <w:sz w:val="18"/>
          <w:szCs w:val="18"/>
        </w:rPr>
        <w:t>identified</w:t>
      </w:r>
      <w:r w:rsidR="00907D8C">
        <w:rPr>
          <w:sz w:val="18"/>
          <w:szCs w:val="18"/>
        </w:rPr>
        <w:t xml:space="preserve"> </w:t>
      </w:r>
      <w:r w:rsidRPr="00A21D29">
        <w:rPr>
          <w:sz w:val="18"/>
          <w:szCs w:val="18"/>
        </w:rPr>
        <w:t>as</w:t>
      </w:r>
      <w:r w:rsidR="00907D8C">
        <w:rPr>
          <w:sz w:val="18"/>
          <w:szCs w:val="18"/>
        </w:rPr>
        <w:t xml:space="preserve"> </w:t>
      </w:r>
      <w:r w:rsidR="003E4D94">
        <w:rPr>
          <w:sz w:val="18"/>
          <w:szCs w:val="18"/>
        </w:rPr>
        <w:t>“</w:t>
      </w:r>
      <w:r w:rsidRPr="00A21D29">
        <w:rPr>
          <w:sz w:val="18"/>
          <w:szCs w:val="18"/>
        </w:rPr>
        <w:t>New</w:t>
      </w:r>
      <w:r w:rsidR="00907D8C">
        <w:rPr>
          <w:sz w:val="18"/>
          <w:szCs w:val="18"/>
        </w:rPr>
        <w:t xml:space="preserve"> </w:t>
      </w:r>
      <w:r w:rsidRPr="00A21D29">
        <w:rPr>
          <w:sz w:val="18"/>
          <w:szCs w:val="18"/>
        </w:rPr>
        <w:t>Zealander</w:t>
      </w:r>
      <w:r w:rsidR="003E4D94">
        <w:rPr>
          <w:sz w:val="18"/>
          <w:szCs w:val="18"/>
        </w:rPr>
        <w:t>”</w:t>
      </w:r>
      <w:r w:rsidR="00907D8C">
        <w:rPr>
          <w:sz w:val="18"/>
          <w:szCs w:val="18"/>
        </w:rPr>
        <w:t xml:space="preserve"> </w:t>
      </w:r>
      <w:r w:rsidRPr="00A21D29">
        <w:rPr>
          <w:sz w:val="18"/>
          <w:szCs w:val="18"/>
        </w:rPr>
        <w:t>in</w:t>
      </w:r>
      <w:r w:rsidR="00907D8C">
        <w:rPr>
          <w:sz w:val="18"/>
          <w:szCs w:val="18"/>
        </w:rPr>
        <w:t xml:space="preserve"> </w:t>
      </w:r>
      <w:r w:rsidRPr="00A21D29">
        <w:rPr>
          <w:sz w:val="18"/>
          <w:szCs w:val="18"/>
        </w:rPr>
        <w:t>2006</w:t>
      </w:r>
      <w:r w:rsidR="00907D8C">
        <w:rPr>
          <w:sz w:val="18"/>
          <w:szCs w:val="18"/>
        </w:rPr>
        <w:t xml:space="preserve"> </w:t>
      </w:r>
      <w:r w:rsidRPr="00A21D29">
        <w:rPr>
          <w:sz w:val="18"/>
          <w:szCs w:val="18"/>
        </w:rPr>
        <w:t>have</w:t>
      </w:r>
      <w:r w:rsidR="00907D8C">
        <w:rPr>
          <w:sz w:val="18"/>
          <w:szCs w:val="18"/>
        </w:rPr>
        <w:t xml:space="preserve"> </w:t>
      </w:r>
      <w:r w:rsidRPr="00A21D29">
        <w:rPr>
          <w:sz w:val="18"/>
          <w:szCs w:val="18"/>
        </w:rPr>
        <w:t>been</w:t>
      </w:r>
      <w:r w:rsidR="00907D8C">
        <w:rPr>
          <w:sz w:val="18"/>
          <w:szCs w:val="18"/>
        </w:rPr>
        <w:t xml:space="preserve"> </w:t>
      </w:r>
      <w:r w:rsidRPr="00A21D29">
        <w:rPr>
          <w:sz w:val="18"/>
          <w:szCs w:val="18"/>
        </w:rPr>
        <w:t>included</w:t>
      </w:r>
      <w:r w:rsidR="00907D8C">
        <w:rPr>
          <w:sz w:val="18"/>
          <w:szCs w:val="18"/>
        </w:rPr>
        <w:t xml:space="preserve"> </w:t>
      </w:r>
      <w:r w:rsidRPr="00A21D29">
        <w:rPr>
          <w:sz w:val="18"/>
          <w:szCs w:val="18"/>
        </w:rPr>
        <w:t>in</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European</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w:t>
      </w:r>
      <w:r w:rsidR="00907D8C">
        <w:rPr>
          <w:sz w:val="18"/>
          <w:szCs w:val="18"/>
        </w:rPr>
        <w:t xml:space="preserve"> </w:t>
      </w:r>
      <w:r w:rsidRPr="00A21D29">
        <w:rPr>
          <w:sz w:val="18"/>
          <w:szCs w:val="18"/>
        </w:rPr>
        <w:t>to</w:t>
      </w:r>
      <w:r w:rsidR="00907D8C">
        <w:rPr>
          <w:sz w:val="18"/>
          <w:szCs w:val="18"/>
        </w:rPr>
        <w:t xml:space="preserve"> </w:t>
      </w:r>
      <w:r w:rsidRPr="00A21D29">
        <w:rPr>
          <w:sz w:val="18"/>
          <w:szCs w:val="18"/>
        </w:rPr>
        <w:t>maintain</w:t>
      </w:r>
      <w:r w:rsidR="00907D8C">
        <w:rPr>
          <w:sz w:val="18"/>
          <w:szCs w:val="18"/>
        </w:rPr>
        <w:t xml:space="preserve"> </w:t>
      </w:r>
      <w:r w:rsidRPr="00A21D29">
        <w:rPr>
          <w:sz w:val="18"/>
          <w:szCs w:val="18"/>
        </w:rPr>
        <w:t>consistency</w:t>
      </w:r>
      <w:r w:rsidR="00907D8C">
        <w:rPr>
          <w:sz w:val="18"/>
          <w:szCs w:val="18"/>
        </w:rPr>
        <w:t xml:space="preserve"> </w:t>
      </w:r>
      <w:r w:rsidRPr="00A21D29">
        <w:rPr>
          <w:sz w:val="18"/>
          <w:szCs w:val="18"/>
        </w:rPr>
        <w:t>over</w:t>
      </w:r>
      <w:r w:rsidR="00907D8C">
        <w:rPr>
          <w:sz w:val="18"/>
          <w:szCs w:val="18"/>
        </w:rPr>
        <w:t xml:space="preserve"> </w:t>
      </w:r>
      <w:r w:rsidRPr="00A21D29">
        <w:rPr>
          <w:sz w:val="18"/>
          <w:szCs w:val="18"/>
        </w:rPr>
        <w:t>time.</w:t>
      </w:r>
    </w:p>
    <w:p w:rsidR="00A21D29" w:rsidRPr="00A21D29" w:rsidRDefault="00A21D29" w:rsidP="00C57DEE">
      <w:pPr>
        <w:tabs>
          <w:tab w:val="left" w:pos="1900"/>
        </w:tabs>
        <w:ind w:left="1134" w:right="1134" w:firstLine="102"/>
        <w:rPr>
          <w:sz w:val="18"/>
          <w:szCs w:val="18"/>
        </w:rPr>
      </w:pPr>
      <w:r>
        <w:rPr>
          <w:sz w:val="18"/>
          <w:szCs w:val="18"/>
          <w:vertAlign w:val="superscript"/>
        </w:rPr>
        <w:tab/>
      </w:r>
      <w:r w:rsidRPr="00A21D29">
        <w:rPr>
          <w:sz w:val="18"/>
          <w:szCs w:val="18"/>
          <w:vertAlign w:val="superscript"/>
        </w:rPr>
        <w:t>(3)</w:t>
      </w:r>
      <w:r w:rsidR="00907D8C">
        <w:rPr>
          <w:sz w:val="18"/>
          <w:szCs w:val="18"/>
        </w:rPr>
        <w:t xml:space="preserve"> </w:t>
      </w:r>
      <w:r w:rsidRPr="00A21D29">
        <w:rPr>
          <w:sz w:val="18"/>
          <w:szCs w:val="18"/>
        </w:rPr>
        <w:t>In</w:t>
      </w:r>
      <w:r w:rsidR="00907D8C">
        <w:rPr>
          <w:sz w:val="18"/>
          <w:szCs w:val="18"/>
        </w:rPr>
        <w:t xml:space="preserve"> </w:t>
      </w:r>
      <w:r w:rsidRPr="00A21D29">
        <w:rPr>
          <w:sz w:val="18"/>
          <w:szCs w:val="18"/>
        </w:rPr>
        <w:t>2006,</w:t>
      </w:r>
      <w:r w:rsidR="00907D8C">
        <w:rPr>
          <w:sz w:val="18"/>
          <w:szCs w:val="18"/>
        </w:rPr>
        <w:t xml:space="preserve"> </w:t>
      </w:r>
      <w:r w:rsidRPr="00A21D29">
        <w:rPr>
          <w:sz w:val="18"/>
          <w:szCs w:val="18"/>
        </w:rPr>
        <w:t>the</w:t>
      </w:r>
      <w:r w:rsidR="00907D8C">
        <w:rPr>
          <w:sz w:val="18"/>
          <w:szCs w:val="18"/>
        </w:rPr>
        <w:t xml:space="preserve"> </w:t>
      </w:r>
      <w:r w:rsidRPr="00A21D29">
        <w:rPr>
          <w:sz w:val="18"/>
          <w:szCs w:val="18"/>
        </w:rPr>
        <w:t>Other</w:t>
      </w:r>
      <w:r w:rsidR="00907D8C">
        <w:rPr>
          <w:sz w:val="18"/>
          <w:szCs w:val="18"/>
        </w:rPr>
        <w:t xml:space="preserve"> </w:t>
      </w:r>
      <w:r w:rsidRPr="00A21D29">
        <w:rPr>
          <w:sz w:val="18"/>
          <w:szCs w:val="18"/>
        </w:rPr>
        <w:t>category</w:t>
      </w:r>
      <w:r w:rsidR="00907D8C">
        <w:rPr>
          <w:sz w:val="18"/>
          <w:szCs w:val="18"/>
        </w:rPr>
        <w:t xml:space="preserve"> </w:t>
      </w:r>
      <w:r w:rsidRPr="00A21D29">
        <w:rPr>
          <w:sz w:val="18"/>
          <w:szCs w:val="18"/>
        </w:rPr>
        <w:t>includes</w:t>
      </w:r>
      <w:r w:rsidR="00907D8C">
        <w:rPr>
          <w:sz w:val="18"/>
          <w:szCs w:val="18"/>
        </w:rPr>
        <w:t xml:space="preserve"> </w:t>
      </w:r>
      <w:r w:rsidRPr="00A21D29">
        <w:rPr>
          <w:sz w:val="18"/>
          <w:szCs w:val="18"/>
        </w:rPr>
        <w:t>17,514</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who</w:t>
      </w:r>
      <w:r w:rsidR="00907D8C">
        <w:rPr>
          <w:sz w:val="18"/>
          <w:szCs w:val="18"/>
        </w:rPr>
        <w:t xml:space="preserve"> </w:t>
      </w:r>
      <w:r w:rsidRPr="00A21D29">
        <w:rPr>
          <w:sz w:val="18"/>
          <w:szCs w:val="18"/>
        </w:rPr>
        <w:t>identified</w:t>
      </w:r>
      <w:r w:rsidR="00907D8C">
        <w:rPr>
          <w:sz w:val="18"/>
          <w:szCs w:val="18"/>
        </w:rPr>
        <w:t xml:space="preserve"> </w:t>
      </w:r>
      <w:r w:rsidRPr="00A21D29">
        <w:rPr>
          <w:sz w:val="18"/>
          <w:szCs w:val="18"/>
        </w:rPr>
        <w:t>with</w:t>
      </w:r>
      <w:r w:rsidR="00907D8C">
        <w:rPr>
          <w:sz w:val="18"/>
          <w:szCs w:val="18"/>
        </w:rPr>
        <w:t xml:space="preserve"> </w:t>
      </w:r>
      <w:r w:rsidRPr="00A21D29">
        <w:rPr>
          <w:sz w:val="18"/>
          <w:szCs w:val="18"/>
        </w:rPr>
        <w:t>Middle</w:t>
      </w:r>
      <w:r w:rsidR="00907D8C">
        <w:rPr>
          <w:sz w:val="18"/>
          <w:szCs w:val="18"/>
        </w:rPr>
        <w:t xml:space="preserve"> </w:t>
      </w:r>
      <w:r w:rsidRPr="00A21D29">
        <w:rPr>
          <w:sz w:val="18"/>
          <w:szCs w:val="18"/>
        </w:rPr>
        <w:t>Eastern</w:t>
      </w:r>
      <w:r w:rsidR="00907D8C">
        <w:rPr>
          <w:sz w:val="18"/>
          <w:szCs w:val="18"/>
        </w:rPr>
        <w:t xml:space="preserve"> </w:t>
      </w:r>
      <w:r w:rsidRPr="00A21D29">
        <w:rPr>
          <w:sz w:val="18"/>
          <w:szCs w:val="18"/>
        </w:rPr>
        <w:t>ethnic</w:t>
      </w:r>
      <w:r w:rsidR="00907D8C">
        <w:rPr>
          <w:sz w:val="18"/>
          <w:szCs w:val="18"/>
        </w:rPr>
        <w:t xml:space="preserve"> </w:t>
      </w:r>
      <w:r w:rsidRPr="00A21D29">
        <w:rPr>
          <w:sz w:val="18"/>
          <w:szCs w:val="18"/>
        </w:rPr>
        <w:t>groups,</w:t>
      </w:r>
      <w:r w:rsidR="00907D8C">
        <w:rPr>
          <w:sz w:val="18"/>
          <w:szCs w:val="18"/>
        </w:rPr>
        <w:t xml:space="preserve"> </w:t>
      </w:r>
      <w:r w:rsidRPr="00A21D29">
        <w:rPr>
          <w:sz w:val="18"/>
          <w:szCs w:val="18"/>
        </w:rPr>
        <w:t>6,657</w:t>
      </w:r>
      <w:r w:rsidR="00907D8C">
        <w:rPr>
          <w:sz w:val="18"/>
          <w:szCs w:val="18"/>
        </w:rPr>
        <w:t xml:space="preserve"> </w:t>
      </w:r>
      <w:r w:rsidRPr="00A21D29">
        <w:rPr>
          <w:sz w:val="18"/>
          <w:szCs w:val="18"/>
        </w:rPr>
        <w:t>with</w:t>
      </w:r>
      <w:r w:rsidR="00907D8C">
        <w:rPr>
          <w:sz w:val="18"/>
          <w:szCs w:val="18"/>
        </w:rPr>
        <w:t xml:space="preserve"> </w:t>
      </w:r>
      <w:r w:rsidRPr="00A21D29">
        <w:rPr>
          <w:sz w:val="18"/>
          <w:szCs w:val="18"/>
        </w:rPr>
        <w:t>Latin</w:t>
      </w:r>
      <w:r w:rsidR="00907D8C">
        <w:rPr>
          <w:sz w:val="18"/>
          <w:szCs w:val="18"/>
        </w:rPr>
        <w:t xml:space="preserve"> </w:t>
      </w:r>
      <w:r w:rsidRPr="00A21D29">
        <w:rPr>
          <w:sz w:val="18"/>
          <w:szCs w:val="18"/>
        </w:rPr>
        <w:t>American</w:t>
      </w:r>
      <w:r w:rsidR="00907D8C">
        <w:rPr>
          <w:sz w:val="18"/>
          <w:szCs w:val="18"/>
        </w:rPr>
        <w:t xml:space="preserve"> </w:t>
      </w:r>
      <w:r w:rsidRPr="00A21D29">
        <w:rPr>
          <w:sz w:val="18"/>
          <w:szCs w:val="18"/>
        </w:rPr>
        <w:t>groups,</w:t>
      </w:r>
      <w:r w:rsidR="00907D8C">
        <w:rPr>
          <w:sz w:val="18"/>
          <w:szCs w:val="18"/>
        </w:rPr>
        <w:t xml:space="preserve"> </w:t>
      </w:r>
      <w:r w:rsidRPr="00A21D29">
        <w:rPr>
          <w:sz w:val="18"/>
          <w:szCs w:val="18"/>
        </w:rPr>
        <w:t>and</w:t>
      </w:r>
      <w:r w:rsidR="00907D8C">
        <w:rPr>
          <w:sz w:val="18"/>
          <w:szCs w:val="18"/>
        </w:rPr>
        <w:t xml:space="preserve"> </w:t>
      </w:r>
      <w:r w:rsidRPr="00A21D29">
        <w:rPr>
          <w:sz w:val="18"/>
          <w:szCs w:val="18"/>
        </w:rPr>
        <w:t>10,647</w:t>
      </w:r>
      <w:r w:rsidR="00907D8C">
        <w:rPr>
          <w:sz w:val="18"/>
          <w:szCs w:val="18"/>
        </w:rPr>
        <w:t xml:space="preserve"> </w:t>
      </w:r>
      <w:r w:rsidRPr="00A21D29">
        <w:rPr>
          <w:sz w:val="18"/>
          <w:szCs w:val="18"/>
        </w:rPr>
        <w:t>people</w:t>
      </w:r>
      <w:r w:rsidR="00907D8C">
        <w:rPr>
          <w:sz w:val="18"/>
          <w:szCs w:val="18"/>
        </w:rPr>
        <w:t xml:space="preserve"> </w:t>
      </w:r>
      <w:r w:rsidRPr="00A21D29">
        <w:rPr>
          <w:sz w:val="18"/>
          <w:szCs w:val="18"/>
        </w:rPr>
        <w:t>with</w:t>
      </w:r>
      <w:r w:rsidR="00907D8C">
        <w:rPr>
          <w:sz w:val="18"/>
          <w:szCs w:val="18"/>
        </w:rPr>
        <w:t xml:space="preserve"> </w:t>
      </w:r>
      <w:r w:rsidRPr="00A21D29">
        <w:rPr>
          <w:sz w:val="18"/>
          <w:szCs w:val="18"/>
        </w:rPr>
        <w:t>African</w:t>
      </w:r>
      <w:r w:rsidR="00907D8C">
        <w:rPr>
          <w:sz w:val="18"/>
          <w:szCs w:val="18"/>
        </w:rPr>
        <w:t xml:space="preserve"> </w:t>
      </w:r>
      <w:r w:rsidRPr="00A21D29">
        <w:rPr>
          <w:sz w:val="18"/>
          <w:szCs w:val="18"/>
        </w:rPr>
        <w:t>groups.</w:t>
      </w:r>
    </w:p>
    <w:p w:rsidR="00AE58B5" w:rsidRPr="00A21D29" w:rsidRDefault="00A21D29" w:rsidP="00353B69">
      <w:pPr>
        <w:tabs>
          <w:tab w:val="left" w:pos="1900"/>
        </w:tabs>
        <w:spacing w:after="240"/>
        <w:ind w:left="1134" w:right="1134" w:firstLine="102"/>
        <w:rPr>
          <w:sz w:val="18"/>
          <w:szCs w:val="18"/>
        </w:rPr>
      </w:pPr>
      <w:r>
        <w:rPr>
          <w:sz w:val="18"/>
          <w:szCs w:val="18"/>
          <w:vertAlign w:val="superscript"/>
        </w:rPr>
        <w:tab/>
      </w:r>
      <w:r w:rsidRPr="00A21D29">
        <w:rPr>
          <w:sz w:val="18"/>
          <w:szCs w:val="18"/>
          <w:vertAlign w:val="superscript"/>
        </w:rPr>
        <w:t>(4)</w:t>
      </w:r>
      <w:r w:rsidR="00907D8C">
        <w:rPr>
          <w:sz w:val="18"/>
          <w:szCs w:val="18"/>
        </w:rPr>
        <w:t xml:space="preserve"> </w:t>
      </w:r>
      <w:r w:rsidRPr="00A21D29">
        <w:rPr>
          <w:sz w:val="18"/>
          <w:szCs w:val="18"/>
        </w:rPr>
        <w:t>Up</w:t>
      </w:r>
      <w:r w:rsidR="00907D8C">
        <w:rPr>
          <w:sz w:val="18"/>
          <w:szCs w:val="18"/>
        </w:rPr>
        <w:t xml:space="preserve"> </w:t>
      </w:r>
      <w:r w:rsidRPr="00A21D29">
        <w:rPr>
          <w:sz w:val="18"/>
          <w:szCs w:val="18"/>
        </w:rPr>
        <w:t>to</w:t>
      </w:r>
      <w:r w:rsidR="00907D8C">
        <w:rPr>
          <w:sz w:val="18"/>
          <w:szCs w:val="18"/>
        </w:rPr>
        <w:t xml:space="preserve"> </w:t>
      </w:r>
      <w:r w:rsidRPr="00A21D29">
        <w:rPr>
          <w:sz w:val="18"/>
          <w:szCs w:val="18"/>
        </w:rPr>
        <w:t>three</w:t>
      </w:r>
      <w:r w:rsidR="00907D8C">
        <w:rPr>
          <w:sz w:val="18"/>
          <w:szCs w:val="18"/>
        </w:rPr>
        <w:t xml:space="preserve"> </w:t>
      </w:r>
      <w:r w:rsidRPr="00A21D29">
        <w:rPr>
          <w:sz w:val="18"/>
          <w:szCs w:val="18"/>
        </w:rPr>
        <w:t>responses</w:t>
      </w:r>
      <w:r w:rsidR="00907D8C">
        <w:rPr>
          <w:sz w:val="18"/>
          <w:szCs w:val="18"/>
        </w:rPr>
        <w:t xml:space="preserve"> </w:t>
      </w:r>
      <w:r w:rsidRPr="00A21D29">
        <w:rPr>
          <w:sz w:val="18"/>
          <w:szCs w:val="18"/>
        </w:rPr>
        <w:t>were</w:t>
      </w:r>
      <w:r w:rsidR="00907D8C">
        <w:rPr>
          <w:sz w:val="18"/>
          <w:szCs w:val="18"/>
        </w:rPr>
        <w:t xml:space="preserve"> </w:t>
      </w:r>
      <w:r w:rsidRPr="00A21D29">
        <w:rPr>
          <w:sz w:val="18"/>
          <w:szCs w:val="18"/>
        </w:rPr>
        <w:t>used</w:t>
      </w:r>
      <w:r w:rsidR="00907D8C">
        <w:rPr>
          <w:sz w:val="18"/>
          <w:szCs w:val="18"/>
        </w:rPr>
        <w:t xml:space="preserve"> </w:t>
      </w:r>
      <w:r w:rsidRPr="00A21D29">
        <w:rPr>
          <w:sz w:val="18"/>
          <w:szCs w:val="18"/>
        </w:rPr>
        <w:t>for</w:t>
      </w:r>
      <w:r w:rsidR="00907D8C">
        <w:rPr>
          <w:sz w:val="18"/>
          <w:szCs w:val="18"/>
        </w:rPr>
        <w:t xml:space="preserve"> </w:t>
      </w:r>
      <w:r w:rsidRPr="00A21D29">
        <w:rPr>
          <w:sz w:val="18"/>
          <w:szCs w:val="18"/>
        </w:rPr>
        <w:t>1991</w:t>
      </w:r>
      <w:r w:rsidR="00907D8C">
        <w:rPr>
          <w:sz w:val="18"/>
          <w:szCs w:val="18"/>
        </w:rPr>
        <w:t xml:space="preserve"> </w:t>
      </w:r>
      <w:r w:rsidRPr="00A21D29">
        <w:rPr>
          <w:sz w:val="18"/>
          <w:szCs w:val="18"/>
        </w:rPr>
        <w:t>and</w:t>
      </w:r>
      <w:r w:rsidR="00907D8C">
        <w:rPr>
          <w:sz w:val="18"/>
          <w:szCs w:val="18"/>
        </w:rPr>
        <w:t xml:space="preserve"> </w:t>
      </w:r>
      <w:r w:rsidRPr="00A21D29">
        <w:rPr>
          <w:sz w:val="18"/>
          <w:szCs w:val="18"/>
        </w:rPr>
        <w:t>19</w:t>
      </w:r>
      <w:r w:rsidR="002B37D0">
        <w:rPr>
          <w:sz w:val="18"/>
          <w:szCs w:val="18"/>
        </w:rPr>
        <w:t>96;</w:t>
      </w:r>
      <w:r w:rsidR="00907D8C">
        <w:rPr>
          <w:sz w:val="18"/>
          <w:szCs w:val="18"/>
        </w:rPr>
        <w:t xml:space="preserve"> </w:t>
      </w:r>
      <w:r w:rsidR="002B37D0">
        <w:rPr>
          <w:sz w:val="18"/>
          <w:szCs w:val="18"/>
        </w:rPr>
        <w:t>up</w:t>
      </w:r>
      <w:r w:rsidR="00907D8C">
        <w:rPr>
          <w:sz w:val="18"/>
          <w:szCs w:val="18"/>
        </w:rPr>
        <w:t xml:space="preserve"> </w:t>
      </w:r>
      <w:r w:rsidR="002B37D0">
        <w:rPr>
          <w:sz w:val="18"/>
          <w:szCs w:val="18"/>
        </w:rPr>
        <w:t>to</w:t>
      </w:r>
      <w:r w:rsidR="00907D8C">
        <w:rPr>
          <w:sz w:val="18"/>
          <w:szCs w:val="18"/>
        </w:rPr>
        <w:t xml:space="preserve"> </w:t>
      </w:r>
      <w:r w:rsidR="002B37D0">
        <w:rPr>
          <w:sz w:val="18"/>
          <w:szCs w:val="18"/>
        </w:rPr>
        <w:t>six</w:t>
      </w:r>
      <w:r w:rsidR="00907D8C">
        <w:rPr>
          <w:sz w:val="18"/>
          <w:szCs w:val="18"/>
        </w:rPr>
        <w:t xml:space="preserve"> </w:t>
      </w:r>
      <w:r w:rsidR="002B37D0">
        <w:rPr>
          <w:sz w:val="18"/>
          <w:szCs w:val="18"/>
        </w:rPr>
        <w:t>for</w:t>
      </w:r>
      <w:r w:rsidR="00907D8C">
        <w:rPr>
          <w:sz w:val="18"/>
          <w:szCs w:val="18"/>
        </w:rPr>
        <w:t xml:space="preserve"> </w:t>
      </w:r>
      <w:r w:rsidR="002B37D0">
        <w:rPr>
          <w:sz w:val="18"/>
          <w:szCs w:val="18"/>
        </w:rPr>
        <w:t>2001</w:t>
      </w:r>
      <w:r w:rsidR="00907D8C">
        <w:rPr>
          <w:sz w:val="18"/>
          <w:szCs w:val="18"/>
        </w:rPr>
        <w:t xml:space="preserve"> </w:t>
      </w:r>
      <w:r w:rsidR="002B37D0">
        <w:rPr>
          <w:sz w:val="18"/>
          <w:szCs w:val="18"/>
        </w:rPr>
        <w:t>and</w:t>
      </w:r>
      <w:r w:rsidR="00907D8C">
        <w:rPr>
          <w:sz w:val="18"/>
          <w:szCs w:val="18"/>
        </w:rPr>
        <w:t xml:space="preserve"> </w:t>
      </w:r>
      <w:r w:rsidR="002B37D0">
        <w:rPr>
          <w:sz w:val="18"/>
          <w:szCs w:val="18"/>
        </w:rPr>
        <w:t>2006.</w:t>
      </w:r>
    </w:p>
    <w:p w:rsidR="00036FAC" w:rsidRPr="00036FAC" w:rsidRDefault="00036FAC" w:rsidP="00A21D29">
      <w:pPr>
        <w:pStyle w:val="SingleTxtG"/>
      </w:pPr>
      <w:r w:rsidRPr="00036FAC">
        <w:t>10.</w:t>
      </w:r>
      <w:r w:rsidRPr="00036FAC">
        <w:tab/>
        <w:t>Ethnic</w:t>
      </w:r>
      <w:r w:rsidR="00907D8C">
        <w:t xml:space="preserve"> </w:t>
      </w:r>
      <w:r w:rsidRPr="00036FAC">
        <w:t>diversity</w:t>
      </w:r>
      <w:r w:rsidR="00907D8C">
        <w:t xml:space="preserve"> </w:t>
      </w:r>
      <w:r w:rsidRPr="00036FAC">
        <w:t>varies</w:t>
      </w:r>
      <w:r w:rsidR="00907D8C">
        <w:t xml:space="preserve"> </w:t>
      </w:r>
      <w:r w:rsidRPr="00036FAC">
        <w:t>by</w:t>
      </w:r>
      <w:r w:rsidR="00907D8C">
        <w:t xml:space="preserve"> </w:t>
      </w:r>
      <w:r w:rsidRPr="00036FAC">
        <w:t>age:</w:t>
      </w:r>
      <w:r w:rsidR="00907D8C">
        <w:t xml:space="preserve"> </w:t>
      </w:r>
      <w:r w:rsidRPr="00036FAC">
        <w:t>among</w:t>
      </w:r>
      <w:r w:rsidR="00907D8C">
        <w:t xml:space="preserve"> </w:t>
      </w:r>
      <w:r w:rsidRPr="00036FAC">
        <w:t>those</w:t>
      </w:r>
      <w:r w:rsidR="00907D8C">
        <w:t xml:space="preserve"> </w:t>
      </w:r>
      <w:r w:rsidRPr="00036FAC">
        <w:t>aged</w:t>
      </w:r>
      <w:r w:rsidR="00907D8C">
        <w:t xml:space="preserve"> </w:t>
      </w:r>
      <w:r w:rsidRPr="00036FAC">
        <w:t>under</w:t>
      </w:r>
      <w:r w:rsidR="00907D8C">
        <w:t xml:space="preserve"> </w:t>
      </w:r>
      <w:r w:rsidRPr="00036FAC">
        <w:t>25</w:t>
      </w:r>
      <w:r w:rsidR="00907D8C">
        <w:t xml:space="preserve"> </w:t>
      </w:r>
      <w:r w:rsidRPr="00036FAC">
        <w:t>years</w:t>
      </w:r>
      <w:r w:rsidR="00907D8C">
        <w:t xml:space="preserve"> </w:t>
      </w:r>
      <w:r w:rsidRPr="00036FAC">
        <w:t>at</w:t>
      </w:r>
      <w:r w:rsidR="00907D8C">
        <w:t xml:space="preserve"> </w:t>
      </w:r>
      <w:r w:rsidRPr="00036FAC">
        <w:t>the</w:t>
      </w:r>
      <w:r w:rsidR="00907D8C">
        <w:t xml:space="preserve"> </w:t>
      </w:r>
      <w:r w:rsidRPr="00036FAC">
        <w:t>2006</w:t>
      </w:r>
      <w:r w:rsidR="00907D8C">
        <w:t xml:space="preserve"> </w:t>
      </w:r>
      <w:r w:rsidRPr="00036FAC">
        <w:t>Census,</w:t>
      </w:r>
      <w:r w:rsidR="00907D8C">
        <w:t xml:space="preserve"> </w:t>
      </w:r>
      <w:r w:rsidRPr="00036FAC">
        <w:t>Europeans</w:t>
      </w:r>
      <w:r w:rsidR="00907D8C">
        <w:t xml:space="preserve"> </w:t>
      </w:r>
      <w:r w:rsidRPr="00036FAC">
        <w:t>made</w:t>
      </w:r>
      <w:r w:rsidR="00907D8C">
        <w:t xml:space="preserve"> </w:t>
      </w:r>
      <w:r w:rsidRPr="00036FAC">
        <w:t>up</w:t>
      </w:r>
      <w:r w:rsidR="00907D8C">
        <w:t xml:space="preserve"> </w:t>
      </w:r>
      <w:r w:rsidRPr="00036FAC">
        <w:t>72</w:t>
      </w:r>
      <w:r w:rsidR="00907D8C">
        <w:t xml:space="preserve"> </w:t>
      </w:r>
      <w:r w:rsidR="00AE58B5">
        <w:t>per</w:t>
      </w:r>
      <w:r w:rsidR="00907D8C">
        <w:t xml:space="preserve"> </w:t>
      </w:r>
      <w:r w:rsidR="00AE58B5">
        <w:t>cent</w:t>
      </w:r>
      <w:r w:rsidRPr="00036FAC">
        <w:t>,</w:t>
      </w:r>
      <w:r w:rsidR="00907D8C">
        <w:t xml:space="preserve"> </w:t>
      </w:r>
      <w:r w:rsidRPr="00036FAC">
        <w:t>Māori</w:t>
      </w:r>
      <w:r w:rsidR="00907D8C">
        <w:t xml:space="preserve"> </w:t>
      </w:r>
      <w:r w:rsidRPr="00036FAC">
        <w:t>22</w:t>
      </w:r>
      <w:r w:rsidR="00907D8C">
        <w:t xml:space="preserve"> </w:t>
      </w:r>
      <w:r w:rsidR="00AE58B5">
        <w:t>per</w:t>
      </w:r>
      <w:r w:rsidR="00907D8C">
        <w:t xml:space="preserve"> </w:t>
      </w:r>
      <w:r w:rsidR="00AE58B5">
        <w:t>cent</w:t>
      </w:r>
      <w:r w:rsidRPr="00036FAC">
        <w:t>,</w:t>
      </w:r>
      <w:r w:rsidR="00907D8C">
        <w:t xml:space="preserve"> </w:t>
      </w:r>
      <w:r w:rsidRPr="00036FAC">
        <w:t>Pacific</w:t>
      </w:r>
      <w:r w:rsidR="00907D8C">
        <w:t xml:space="preserve"> </w:t>
      </w:r>
      <w:r w:rsidRPr="00036FAC">
        <w:t>and</w:t>
      </w:r>
      <w:r w:rsidR="00907D8C">
        <w:t xml:space="preserve"> </w:t>
      </w:r>
      <w:r w:rsidRPr="00036FAC">
        <w:t>Asian</w:t>
      </w:r>
      <w:r w:rsidR="00907D8C">
        <w:t xml:space="preserve"> </w:t>
      </w:r>
      <w:r w:rsidRPr="00036FAC">
        <w:t>peoples</w:t>
      </w:r>
      <w:r w:rsidR="00907D8C">
        <w:t xml:space="preserve"> </w:t>
      </w:r>
      <w:r w:rsidRPr="00036FAC">
        <w:t>each</w:t>
      </w:r>
      <w:r w:rsidR="00907D8C">
        <w:t xml:space="preserve"> </w:t>
      </w:r>
      <w:r w:rsidRPr="00036FAC">
        <w:t>11</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people</w:t>
      </w:r>
      <w:r w:rsidR="00907D8C">
        <w:t xml:space="preserve"> </w:t>
      </w:r>
      <w:r w:rsidRPr="00036FAC">
        <w:t>of</w:t>
      </w:r>
      <w:r w:rsidR="00907D8C">
        <w:t xml:space="preserve"> </w:t>
      </w:r>
      <w:r w:rsidRPr="00036FAC">
        <w:t>all</w:t>
      </w:r>
      <w:r w:rsidR="00907D8C">
        <w:t xml:space="preserve"> </w:t>
      </w:r>
      <w:r w:rsidRPr="00036FAC">
        <w:t>other</w:t>
      </w:r>
      <w:r w:rsidR="00907D8C">
        <w:t xml:space="preserve"> </w:t>
      </w:r>
      <w:r w:rsidRPr="00036FAC">
        <w:t>ethnicities</w:t>
      </w:r>
      <w:r w:rsidR="00907D8C">
        <w:t xml:space="preserve"> </w:t>
      </w:r>
      <w:r w:rsidRPr="00036FAC">
        <w:t>1</w:t>
      </w:r>
      <w:r w:rsidR="00907D8C">
        <w:t xml:space="preserve"> </w:t>
      </w:r>
      <w:r w:rsidR="00AE58B5">
        <w:t>per</w:t>
      </w:r>
      <w:r w:rsidR="00907D8C">
        <w:t xml:space="preserve"> </w:t>
      </w:r>
      <w:r w:rsidR="00AE58B5">
        <w:t>cent</w:t>
      </w:r>
      <w:r w:rsidRPr="00036FAC">
        <w:t>.</w:t>
      </w:r>
      <w:r w:rsidR="00907D8C">
        <w:t xml:space="preserve"> </w:t>
      </w:r>
      <w:r w:rsidRPr="00036FAC">
        <w:t>Among</w:t>
      </w:r>
      <w:r w:rsidR="00907D8C">
        <w:t xml:space="preserve"> </w:t>
      </w:r>
      <w:r w:rsidRPr="00036FAC">
        <w:t>those</w:t>
      </w:r>
      <w:r w:rsidR="00907D8C">
        <w:t xml:space="preserve"> </w:t>
      </w:r>
      <w:r w:rsidRPr="00036FAC">
        <w:t>aged</w:t>
      </w:r>
      <w:r w:rsidR="00907D8C">
        <w:t xml:space="preserve"> </w:t>
      </w:r>
      <w:r w:rsidRPr="00036FAC">
        <w:t>65</w:t>
      </w:r>
      <w:r w:rsidR="00907D8C">
        <w:t xml:space="preserve"> </w:t>
      </w:r>
      <w:r w:rsidRPr="00036FAC">
        <w:t>years</w:t>
      </w:r>
      <w:r w:rsidR="00907D8C">
        <w:t xml:space="preserve"> </w:t>
      </w:r>
      <w:r w:rsidRPr="00036FAC">
        <w:t>and</w:t>
      </w:r>
      <w:r w:rsidR="00907D8C">
        <w:t xml:space="preserve"> </w:t>
      </w:r>
      <w:r w:rsidRPr="00036FAC">
        <w:t>over,</w:t>
      </w:r>
      <w:r w:rsidR="00907D8C">
        <w:t xml:space="preserve"> </w:t>
      </w:r>
      <w:r w:rsidRPr="00036FAC">
        <w:t>Europeans</w:t>
      </w:r>
      <w:r w:rsidR="00907D8C">
        <w:t xml:space="preserve"> </w:t>
      </w:r>
      <w:r w:rsidRPr="00036FAC">
        <w:t>made</w:t>
      </w:r>
      <w:r w:rsidR="00907D8C">
        <w:t xml:space="preserve"> </w:t>
      </w:r>
      <w:r w:rsidRPr="00036FAC">
        <w:t>up</w:t>
      </w:r>
      <w:r w:rsidR="00907D8C">
        <w:t xml:space="preserve"> </w:t>
      </w:r>
      <w:r w:rsidRPr="00036FAC">
        <w:t>91</w:t>
      </w:r>
      <w:r w:rsidR="00907D8C">
        <w:t xml:space="preserve"> </w:t>
      </w:r>
      <w:r w:rsidR="00AE58B5">
        <w:t>per</w:t>
      </w:r>
      <w:r w:rsidR="00907D8C">
        <w:t xml:space="preserve"> </w:t>
      </w:r>
      <w:r w:rsidR="00AE58B5">
        <w:t>cent</w:t>
      </w:r>
      <w:r w:rsidRPr="00036FAC">
        <w:t>,</w:t>
      </w:r>
      <w:r w:rsidR="00907D8C">
        <w:t xml:space="preserve"> </w:t>
      </w:r>
      <w:r w:rsidRPr="00036FAC">
        <w:t>Māori</w:t>
      </w:r>
      <w:r w:rsidR="00907D8C">
        <w:t xml:space="preserve"> </w:t>
      </w:r>
      <w:r w:rsidRPr="00036FAC">
        <w:t>5</w:t>
      </w:r>
      <w:r w:rsidR="00907D8C">
        <w:t xml:space="preserve"> </w:t>
      </w:r>
      <w:r w:rsidR="00AE58B5">
        <w:t>per</w:t>
      </w:r>
      <w:r w:rsidR="00907D8C">
        <w:t xml:space="preserve"> </w:t>
      </w:r>
      <w:r w:rsidR="00AE58B5">
        <w:t>cent</w:t>
      </w:r>
      <w:r w:rsidRPr="00036FAC">
        <w:t>,</w:t>
      </w:r>
      <w:r w:rsidR="00907D8C">
        <w:t xml:space="preserve"> </w:t>
      </w:r>
      <w:r w:rsidRPr="00036FAC">
        <w:t>Asians</w:t>
      </w:r>
      <w:r w:rsidR="00907D8C">
        <w:t xml:space="preserve"> </w:t>
      </w:r>
      <w:r w:rsidRPr="00036FAC">
        <w:t>3</w:t>
      </w:r>
      <w:r w:rsidR="00907D8C">
        <w:t xml:space="preserve"> </w:t>
      </w:r>
      <w:r w:rsidR="00AE58B5">
        <w:t>per</w:t>
      </w:r>
      <w:r w:rsidR="00907D8C">
        <w:t xml:space="preserve"> </w:t>
      </w:r>
      <w:r w:rsidR="00AE58B5">
        <w:t>cent</w:t>
      </w:r>
      <w:r w:rsidRPr="00036FAC">
        <w:t>,</w:t>
      </w:r>
      <w:r w:rsidR="00907D8C">
        <w:t xml:space="preserve"> </w:t>
      </w:r>
      <w:r w:rsidRPr="00036FAC">
        <w:t>Pacific</w:t>
      </w:r>
      <w:r w:rsidR="00907D8C">
        <w:t xml:space="preserve"> </w:t>
      </w:r>
      <w:r w:rsidRPr="00036FAC">
        <w:t>peoples</w:t>
      </w:r>
      <w:r w:rsidR="00907D8C">
        <w:t xml:space="preserve"> </w:t>
      </w:r>
      <w:r w:rsidRPr="00036FAC">
        <w:t>2</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people</w:t>
      </w:r>
      <w:r w:rsidR="00907D8C">
        <w:t xml:space="preserve"> </w:t>
      </w:r>
      <w:r w:rsidRPr="00036FAC">
        <w:t>of</w:t>
      </w:r>
      <w:r w:rsidR="00907D8C">
        <w:t xml:space="preserve"> </w:t>
      </w:r>
      <w:r w:rsidR="003E4D94">
        <w:t>“</w:t>
      </w:r>
      <w:r w:rsidRPr="00036FAC">
        <w:t>Other</w:t>
      </w:r>
      <w:r w:rsidR="003E4D94">
        <w:t>”</w:t>
      </w:r>
      <w:r w:rsidR="00907D8C">
        <w:t xml:space="preserve"> </w:t>
      </w:r>
      <w:r w:rsidRPr="00036FAC">
        <w:t>ethnicities</w:t>
      </w:r>
      <w:r w:rsidR="00907D8C">
        <w:t xml:space="preserve"> </w:t>
      </w:r>
      <w:r w:rsidRPr="00036FAC">
        <w:t>0.2</w:t>
      </w:r>
      <w:r w:rsidR="00907D8C">
        <w:t xml:space="preserve"> </w:t>
      </w:r>
      <w:r w:rsidR="00AE58B5">
        <w:t>per</w:t>
      </w:r>
      <w:r w:rsidR="00907D8C">
        <w:t xml:space="preserve"> </w:t>
      </w:r>
      <w:r w:rsidR="00AE58B5">
        <w:t>cent</w:t>
      </w:r>
      <w:r w:rsidR="00A21D29">
        <w:t>.</w:t>
      </w:r>
    </w:p>
    <w:p w:rsidR="00036FAC" w:rsidRPr="00036FAC" w:rsidRDefault="00036FAC" w:rsidP="00A21D29">
      <w:pPr>
        <w:pStyle w:val="SingleTxtG"/>
      </w:pPr>
      <w:r w:rsidRPr="00036FAC">
        <w:t>11.</w:t>
      </w:r>
      <w:r w:rsidRPr="00036FAC">
        <w:tab/>
        <w:t>The</w:t>
      </w:r>
      <w:r w:rsidR="00907D8C">
        <w:t xml:space="preserve"> </w:t>
      </w:r>
      <w:r w:rsidRPr="00036FAC">
        <w:t>number</w:t>
      </w:r>
      <w:r w:rsidR="00907D8C">
        <w:t xml:space="preserve"> </w:t>
      </w:r>
      <w:r w:rsidRPr="00036FAC">
        <w:t>of</w:t>
      </w:r>
      <w:r w:rsidR="00907D8C">
        <w:t xml:space="preserve"> </w:t>
      </w:r>
      <w:r w:rsidRPr="00036FAC">
        <w:t>people</w:t>
      </w:r>
      <w:r w:rsidR="00907D8C">
        <w:t xml:space="preserve"> </w:t>
      </w:r>
      <w:r w:rsidRPr="00036FAC">
        <w:t>with</w:t>
      </w:r>
      <w:r w:rsidR="00907D8C">
        <w:t xml:space="preserve"> </w:t>
      </w:r>
      <w:r w:rsidRPr="00036FAC">
        <w:t>multiple</w:t>
      </w:r>
      <w:r w:rsidR="00907D8C">
        <w:t xml:space="preserve"> </w:t>
      </w:r>
      <w:r w:rsidRPr="00036FAC">
        <w:t>ethnic</w:t>
      </w:r>
      <w:r w:rsidR="00907D8C">
        <w:t xml:space="preserve"> </w:t>
      </w:r>
      <w:r w:rsidRPr="00036FAC">
        <w:t>identities</w:t>
      </w:r>
      <w:r w:rsidR="00907D8C">
        <w:t xml:space="preserve"> </w:t>
      </w:r>
      <w:r w:rsidRPr="00036FAC">
        <w:t>is</w:t>
      </w:r>
      <w:r w:rsidR="00907D8C">
        <w:t xml:space="preserve"> </w:t>
      </w:r>
      <w:r w:rsidRPr="00036FAC">
        <w:t>increasing.</w:t>
      </w:r>
      <w:r w:rsidR="00907D8C">
        <w:t xml:space="preserve"> </w:t>
      </w:r>
      <w:r w:rsidRPr="00036FAC">
        <w:t>In</w:t>
      </w:r>
      <w:r w:rsidR="00907D8C">
        <w:t xml:space="preserve"> </w:t>
      </w:r>
      <w:r w:rsidRPr="00036FAC">
        <w:t>2006,</w:t>
      </w:r>
      <w:r w:rsidR="00907D8C">
        <w:t xml:space="preserve"> </w:t>
      </w:r>
      <w:r w:rsidRPr="00036FAC">
        <w:t>90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identified</w:t>
      </w:r>
      <w:r w:rsidR="00907D8C">
        <w:t xml:space="preserve"> </w:t>
      </w:r>
      <w:r w:rsidRPr="00036FAC">
        <w:t>with</w:t>
      </w:r>
      <w:r w:rsidR="00907D8C">
        <w:t xml:space="preserve"> </w:t>
      </w:r>
      <w:r w:rsidRPr="00036FAC">
        <w:t>only</w:t>
      </w:r>
      <w:r w:rsidR="00907D8C">
        <w:t xml:space="preserve"> </w:t>
      </w:r>
      <w:r w:rsidRPr="00036FAC">
        <w:t>one</w:t>
      </w:r>
      <w:r w:rsidR="00907D8C">
        <w:t xml:space="preserve"> </w:t>
      </w:r>
      <w:r w:rsidRPr="00036FAC">
        <w:t>ethnicity,</w:t>
      </w:r>
      <w:r w:rsidR="00907D8C">
        <w:t xml:space="preserve"> </w:t>
      </w:r>
      <w:r w:rsidRPr="00036FAC">
        <w:t>down</w:t>
      </w:r>
      <w:r w:rsidR="00907D8C">
        <w:t xml:space="preserve"> </w:t>
      </w:r>
      <w:r w:rsidRPr="00036FAC">
        <w:t>from</w:t>
      </w:r>
      <w:r w:rsidR="00907D8C">
        <w:t xml:space="preserve"> </w:t>
      </w:r>
      <w:r w:rsidRPr="00036FAC">
        <w:t>95</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1991.</w:t>
      </w:r>
      <w:r w:rsidR="00907D8C">
        <w:t xml:space="preserve"> </w:t>
      </w:r>
      <w:r w:rsidRPr="00036FAC">
        <w:t>Younger</w:t>
      </w:r>
      <w:r w:rsidR="00907D8C">
        <w:t xml:space="preserve"> </w:t>
      </w:r>
      <w:r w:rsidRPr="00036FAC">
        <w:t>people</w:t>
      </w:r>
      <w:r w:rsidR="00907D8C">
        <w:t xml:space="preserve"> </w:t>
      </w:r>
      <w:r w:rsidRPr="00036FAC">
        <w:t>are</w:t>
      </w:r>
      <w:r w:rsidR="00907D8C">
        <w:t xml:space="preserve"> </w:t>
      </w:r>
      <w:r w:rsidRPr="00036FAC">
        <w:t>far</w:t>
      </w:r>
      <w:r w:rsidR="00907D8C">
        <w:t xml:space="preserve"> </w:t>
      </w:r>
      <w:r w:rsidRPr="00036FAC">
        <w:t>more</w:t>
      </w:r>
      <w:r w:rsidR="00907D8C">
        <w:t xml:space="preserve"> </w:t>
      </w:r>
      <w:r w:rsidRPr="00036FAC">
        <w:t>likely</w:t>
      </w:r>
      <w:r w:rsidR="00907D8C">
        <w:t xml:space="preserve"> </w:t>
      </w:r>
      <w:r w:rsidRPr="00036FAC">
        <w:t>to</w:t>
      </w:r>
      <w:r w:rsidR="00907D8C">
        <w:t xml:space="preserve"> </w:t>
      </w:r>
      <w:r w:rsidRPr="00036FAC">
        <w:t>identify</w:t>
      </w:r>
      <w:r w:rsidR="00907D8C">
        <w:t xml:space="preserve"> </w:t>
      </w:r>
      <w:r w:rsidRPr="00036FAC">
        <w:t>with</w:t>
      </w:r>
      <w:r w:rsidR="00907D8C">
        <w:t xml:space="preserve"> </w:t>
      </w:r>
      <w:r w:rsidRPr="00036FAC">
        <w:t>more</w:t>
      </w:r>
      <w:r w:rsidR="00907D8C">
        <w:t xml:space="preserve"> </w:t>
      </w:r>
      <w:r w:rsidRPr="00036FAC">
        <w:t>than</w:t>
      </w:r>
      <w:r w:rsidR="00907D8C">
        <w:t xml:space="preserve"> </w:t>
      </w:r>
      <w:r w:rsidRPr="00036FAC">
        <w:t>one</w:t>
      </w:r>
      <w:r w:rsidR="00907D8C">
        <w:t xml:space="preserve"> </w:t>
      </w:r>
      <w:r w:rsidRPr="00036FAC">
        <w:t>ethnicity</w:t>
      </w:r>
      <w:r w:rsidR="00907D8C">
        <w:t xml:space="preserve"> </w:t>
      </w:r>
      <w:r w:rsidRPr="00036FAC">
        <w:t>than</w:t>
      </w:r>
      <w:r w:rsidR="00907D8C">
        <w:t xml:space="preserve"> </w:t>
      </w:r>
      <w:r w:rsidRPr="00036FAC">
        <w:t>older</w:t>
      </w:r>
      <w:r w:rsidR="00907D8C">
        <w:t xml:space="preserve"> </w:t>
      </w:r>
      <w:r w:rsidRPr="00036FAC">
        <w:t>people,</w:t>
      </w:r>
      <w:r w:rsidR="00907D8C">
        <w:t xml:space="preserve"> </w:t>
      </w:r>
      <w:r w:rsidRPr="00036FAC">
        <w:t>with</w:t>
      </w:r>
      <w:r w:rsidR="00907D8C">
        <w:t xml:space="preserve"> </w:t>
      </w:r>
      <w:r w:rsidRPr="00036FAC">
        <w:t>19.7</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children</w:t>
      </w:r>
      <w:r w:rsidR="00907D8C">
        <w:t xml:space="preserve"> </w:t>
      </w:r>
      <w:r w:rsidRPr="00036FAC">
        <w:t>aged</w:t>
      </w:r>
      <w:r w:rsidR="00907D8C">
        <w:t xml:space="preserve"> </w:t>
      </w:r>
      <w:r w:rsidRPr="00036FAC">
        <w:t>under</w:t>
      </w:r>
      <w:r w:rsidR="00907D8C">
        <w:t xml:space="preserve"> </w:t>
      </w:r>
      <w:r w:rsidRPr="00036FAC">
        <w:t>15</w:t>
      </w:r>
      <w:r w:rsidR="00907D8C">
        <w:t xml:space="preserve"> </w:t>
      </w:r>
      <w:r w:rsidRPr="00036FAC">
        <w:t>years</w:t>
      </w:r>
      <w:r w:rsidR="00907D8C">
        <w:t xml:space="preserve"> </w:t>
      </w:r>
      <w:r w:rsidRPr="00036FAC">
        <w:t>reported</w:t>
      </w:r>
      <w:r w:rsidR="00907D8C">
        <w:t xml:space="preserve"> </w:t>
      </w:r>
      <w:r w:rsidRPr="00036FAC">
        <w:t>as</w:t>
      </w:r>
      <w:r w:rsidR="00907D8C">
        <w:t xml:space="preserve"> </w:t>
      </w:r>
      <w:r w:rsidRPr="00036FAC">
        <w:t>belonging</w:t>
      </w:r>
      <w:r w:rsidR="00907D8C">
        <w:t xml:space="preserve"> </w:t>
      </w:r>
      <w:r w:rsidRPr="00036FAC">
        <w:t>to</w:t>
      </w:r>
      <w:r w:rsidR="00907D8C">
        <w:t xml:space="preserve"> </w:t>
      </w:r>
      <w:r w:rsidRPr="00036FAC">
        <w:t>two</w:t>
      </w:r>
      <w:r w:rsidR="00907D8C">
        <w:t xml:space="preserve"> </w:t>
      </w:r>
      <w:r w:rsidRPr="00036FAC">
        <w:t>or</w:t>
      </w:r>
      <w:r w:rsidR="00907D8C">
        <w:t xml:space="preserve"> </w:t>
      </w:r>
      <w:r w:rsidRPr="00036FAC">
        <w:t>more</w:t>
      </w:r>
      <w:r w:rsidR="00907D8C">
        <w:t xml:space="preserve"> </w:t>
      </w:r>
      <w:r w:rsidRPr="00036FAC">
        <w:t>ethnic</w:t>
      </w:r>
      <w:r w:rsidR="00907D8C">
        <w:t xml:space="preserve"> </w:t>
      </w:r>
      <w:r w:rsidRPr="00036FAC">
        <w:t>gr</w:t>
      </w:r>
      <w:r w:rsidR="00A21D29">
        <w:t>oups</w:t>
      </w:r>
      <w:r w:rsidR="00907D8C">
        <w:t xml:space="preserve"> </w:t>
      </w:r>
      <w:r w:rsidR="00A21D29">
        <w:t>in</w:t>
      </w:r>
      <w:r w:rsidR="00907D8C">
        <w:t xml:space="preserve"> </w:t>
      </w:r>
      <w:r w:rsidR="00A21D29">
        <w:t>2006,</w:t>
      </w:r>
      <w:r w:rsidR="00907D8C">
        <w:t xml:space="preserve"> </w:t>
      </w:r>
      <w:r w:rsidR="00A21D29">
        <w:t>compared</w:t>
      </w:r>
      <w:r w:rsidR="00907D8C">
        <w:t xml:space="preserve"> </w:t>
      </w:r>
      <w:r w:rsidR="00A21D29">
        <w:t>with</w:t>
      </w:r>
      <w:r w:rsidR="00907D8C">
        <w:t xml:space="preserve"> </w:t>
      </w:r>
      <w:r w:rsidR="00A21D29">
        <w:t>3.5</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people</w:t>
      </w:r>
      <w:r w:rsidR="00907D8C">
        <w:t xml:space="preserve"> </w:t>
      </w:r>
      <w:r w:rsidRPr="00036FAC">
        <w:t>aged</w:t>
      </w:r>
      <w:r w:rsidR="00907D8C">
        <w:t xml:space="preserve"> </w:t>
      </w:r>
      <w:r w:rsidRPr="00036FAC">
        <w:t>65</w:t>
      </w:r>
      <w:r w:rsidR="00907D8C">
        <w:t xml:space="preserve"> </w:t>
      </w:r>
      <w:r w:rsidRPr="00036FAC">
        <w:t>years</w:t>
      </w:r>
      <w:r w:rsidR="00907D8C">
        <w:t xml:space="preserve"> </w:t>
      </w:r>
      <w:r w:rsidRPr="00036FAC">
        <w:t>and</w:t>
      </w:r>
      <w:r w:rsidR="00907D8C">
        <w:t xml:space="preserve"> </w:t>
      </w:r>
      <w:r w:rsidRPr="00036FAC">
        <w:t>over.</w:t>
      </w:r>
    </w:p>
    <w:p w:rsidR="00036FAC" w:rsidRPr="00036FAC" w:rsidRDefault="00036FAC" w:rsidP="006C436C">
      <w:pPr>
        <w:pStyle w:val="H23G"/>
      </w:pPr>
      <w:r w:rsidRPr="00036FAC">
        <w:tab/>
        <w:t>(b)</w:t>
      </w:r>
      <w:r w:rsidRPr="00036FAC">
        <w:tab/>
        <w:t>Age</w:t>
      </w:r>
      <w:r w:rsidR="00907D8C">
        <w:t xml:space="preserve"> </w:t>
      </w:r>
      <w:r w:rsidRPr="00036FAC">
        <w:t>and</w:t>
      </w:r>
      <w:r w:rsidR="00907D8C">
        <w:t xml:space="preserve"> </w:t>
      </w:r>
      <w:r w:rsidRPr="00036FAC">
        <w:t>sex</w:t>
      </w:r>
      <w:r w:rsidR="00907D8C">
        <w:t xml:space="preserve"> </w:t>
      </w:r>
      <w:r w:rsidRPr="00036FAC">
        <w:t>structure</w:t>
      </w:r>
      <w:r w:rsidR="00907D8C">
        <w:t xml:space="preserve"> </w:t>
      </w:r>
      <w:r w:rsidRPr="00036FAC">
        <w:t>of</w:t>
      </w:r>
      <w:r w:rsidR="00907D8C">
        <w:t xml:space="preserve"> </w:t>
      </w:r>
      <w:r w:rsidRPr="00036FAC">
        <w:t>the</w:t>
      </w:r>
      <w:r w:rsidR="00907D8C">
        <w:t xml:space="preserve"> </w:t>
      </w:r>
      <w:r w:rsidRPr="00036FAC">
        <w:t>population</w:t>
      </w:r>
    </w:p>
    <w:p w:rsidR="00036FAC" w:rsidRPr="00036FAC" w:rsidRDefault="00036FAC" w:rsidP="00651E2F">
      <w:pPr>
        <w:pStyle w:val="SingleTxtG"/>
      </w:pPr>
      <w:r w:rsidRPr="00036FAC">
        <w:t>12.</w:t>
      </w:r>
      <w:r w:rsidRPr="00036FAC">
        <w:tab/>
        <w:t>Just</w:t>
      </w:r>
      <w:r w:rsidR="00907D8C">
        <w:t xml:space="preserve"> </w:t>
      </w:r>
      <w:r w:rsidRPr="00036FAC">
        <w:t>over</w:t>
      </w:r>
      <w:r w:rsidR="00907D8C">
        <w:t xml:space="preserve"> </w:t>
      </w:r>
      <w:r w:rsidRPr="00036FAC">
        <w:t>half</w:t>
      </w:r>
      <w:r w:rsidR="00907D8C">
        <w:t xml:space="preserve"> </w:t>
      </w:r>
      <w:r w:rsidRPr="00036FAC">
        <w:t>(51</w:t>
      </w:r>
      <w:r w:rsidR="00907D8C">
        <w:t xml:space="preserve"> </w:t>
      </w:r>
      <w:r w:rsidR="00AE58B5">
        <w:t>per</w:t>
      </w:r>
      <w:r w:rsidR="00907D8C">
        <w:t xml:space="preserve"> </w:t>
      </w:r>
      <w:r w:rsidR="00AE58B5">
        <w:t>cent</w:t>
      </w:r>
      <w:r w:rsidRPr="00036FAC">
        <w:t>)</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population</w:t>
      </w:r>
      <w:r w:rsidR="00907D8C">
        <w:t xml:space="preserve"> </w:t>
      </w:r>
      <w:r w:rsidRPr="00036FAC">
        <w:t>is</w:t>
      </w:r>
      <w:r w:rsidR="00907D8C">
        <w:t xml:space="preserve"> </w:t>
      </w:r>
      <w:r w:rsidRPr="00036FAC">
        <w:t>female.</w:t>
      </w:r>
      <w:r w:rsidR="00907D8C">
        <w:t xml:space="preserve"> </w:t>
      </w:r>
      <w:r w:rsidRPr="00036FAC">
        <w:t>Males</w:t>
      </w:r>
      <w:r w:rsidR="00907D8C">
        <w:t xml:space="preserve"> </w:t>
      </w:r>
      <w:r w:rsidRPr="00036FAC">
        <w:t>outnumber</w:t>
      </w:r>
      <w:r w:rsidR="00907D8C">
        <w:t xml:space="preserve"> </w:t>
      </w:r>
      <w:r w:rsidRPr="00036FAC">
        <w:t>females</w:t>
      </w:r>
      <w:r w:rsidR="00907D8C">
        <w:t xml:space="preserve"> </w:t>
      </w:r>
      <w:r w:rsidRPr="00036FAC">
        <w:t>among</w:t>
      </w:r>
      <w:r w:rsidR="00907D8C">
        <w:t xml:space="preserve"> </w:t>
      </w:r>
      <w:r w:rsidRPr="00036FAC">
        <w:t>children</w:t>
      </w:r>
      <w:r w:rsidR="00907D8C">
        <w:t xml:space="preserve"> </w:t>
      </w:r>
      <w:r w:rsidRPr="00036FAC">
        <w:t>and</w:t>
      </w:r>
      <w:r w:rsidR="00907D8C">
        <w:t xml:space="preserve"> </w:t>
      </w:r>
      <w:r w:rsidRPr="00036FAC">
        <w:t>youth,</w:t>
      </w:r>
      <w:r w:rsidR="00907D8C">
        <w:t xml:space="preserve"> </w:t>
      </w:r>
      <w:r w:rsidRPr="00036FAC">
        <w:t>but</w:t>
      </w:r>
      <w:r w:rsidR="00907D8C">
        <w:t xml:space="preserve"> </w:t>
      </w:r>
      <w:r w:rsidRPr="00036FAC">
        <w:t>females</w:t>
      </w:r>
      <w:r w:rsidR="00907D8C">
        <w:t xml:space="preserve"> </w:t>
      </w:r>
      <w:r w:rsidRPr="00036FAC">
        <w:t>predominate</w:t>
      </w:r>
      <w:r w:rsidR="00907D8C">
        <w:t xml:space="preserve"> </w:t>
      </w:r>
      <w:r w:rsidRPr="00036FAC">
        <w:t>among</w:t>
      </w:r>
      <w:r w:rsidR="00907D8C">
        <w:t xml:space="preserve"> </w:t>
      </w:r>
      <w:r w:rsidRPr="00036FAC">
        <w:t>adults.</w:t>
      </w:r>
      <w:r w:rsidR="00907D8C">
        <w:t xml:space="preserve"> </w:t>
      </w:r>
      <w:r w:rsidRPr="00036FAC">
        <w:t>More</w:t>
      </w:r>
      <w:r w:rsidR="00907D8C">
        <w:t xml:space="preserve"> </w:t>
      </w:r>
      <w:r w:rsidRPr="00036FAC">
        <w:t>males</w:t>
      </w:r>
      <w:r w:rsidR="00907D8C">
        <w:t xml:space="preserve"> </w:t>
      </w:r>
      <w:r w:rsidRPr="00036FAC">
        <w:t>are</w:t>
      </w:r>
      <w:r w:rsidR="00907D8C">
        <w:t xml:space="preserve"> </w:t>
      </w:r>
      <w:r w:rsidRPr="00036FAC">
        <w:t>born</w:t>
      </w:r>
      <w:r w:rsidR="00907D8C">
        <w:t xml:space="preserve"> </w:t>
      </w:r>
      <w:r w:rsidRPr="00036FAC">
        <w:t>than</w:t>
      </w:r>
      <w:r w:rsidR="00907D8C">
        <w:t xml:space="preserve"> </w:t>
      </w:r>
      <w:r w:rsidRPr="00036FAC">
        <w:t>females,</w:t>
      </w:r>
      <w:r w:rsidR="00907D8C">
        <w:t xml:space="preserve"> </w:t>
      </w:r>
      <w:r w:rsidRPr="00036FAC">
        <w:t>but</w:t>
      </w:r>
      <w:r w:rsidR="00907D8C">
        <w:t xml:space="preserve"> </w:t>
      </w:r>
      <w:r w:rsidRPr="00036FAC">
        <w:t>males</w:t>
      </w:r>
      <w:r w:rsidR="00907D8C">
        <w:t xml:space="preserve"> </w:t>
      </w:r>
      <w:r w:rsidRPr="00036FAC">
        <w:t>have</w:t>
      </w:r>
      <w:r w:rsidR="00907D8C">
        <w:t xml:space="preserve"> </w:t>
      </w:r>
      <w:r w:rsidRPr="00036FAC">
        <w:t>higher</w:t>
      </w:r>
      <w:r w:rsidR="00907D8C">
        <w:t xml:space="preserve"> </w:t>
      </w:r>
      <w:r w:rsidRPr="00036FAC">
        <w:t>mortality</w:t>
      </w:r>
      <w:r w:rsidR="00907D8C">
        <w:t xml:space="preserve"> </w:t>
      </w:r>
      <w:r w:rsidRPr="00036FAC">
        <w:t>rates</w:t>
      </w:r>
      <w:r w:rsidR="00907D8C">
        <w:t xml:space="preserve"> </w:t>
      </w:r>
      <w:r w:rsidRPr="00036FAC">
        <w:t>than</w:t>
      </w:r>
      <w:r w:rsidR="00907D8C">
        <w:t xml:space="preserve"> </w:t>
      </w:r>
      <w:r w:rsidRPr="00036FAC">
        <w:t>females</w:t>
      </w:r>
      <w:r w:rsidR="00907D8C">
        <w:t xml:space="preserve"> </w:t>
      </w:r>
      <w:r w:rsidRPr="00036FAC">
        <w:t>at</w:t>
      </w:r>
      <w:r w:rsidR="00907D8C">
        <w:t xml:space="preserve"> </w:t>
      </w:r>
      <w:r w:rsidRPr="00036FAC">
        <w:t>all</w:t>
      </w:r>
      <w:r w:rsidR="00907D8C">
        <w:t xml:space="preserve"> </w:t>
      </w:r>
      <w:r w:rsidRPr="00036FAC">
        <w:t>ages,</w:t>
      </w:r>
      <w:r w:rsidR="00907D8C">
        <w:t xml:space="preserve"> </w:t>
      </w:r>
      <w:r w:rsidRPr="00036FAC">
        <w:t>particularly</w:t>
      </w:r>
      <w:r w:rsidR="00907D8C">
        <w:t xml:space="preserve"> </w:t>
      </w:r>
      <w:r w:rsidRPr="00036FAC">
        <w:t>at</w:t>
      </w:r>
      <w:r w:rsidR="00907D8C">
        <w:t xml:space="preserve"> </w:t>
      </w:r>
      <w:r w:rsidRPr="00036FAC">
        <w:t>20–29</w:t>
      </w:r>
      <w:r w:rsidR="00907D8C">
        <w:t xml:space="preserve"> </w:t>
      </w:r>
      <w:r w:rsidRPr="00036FAC">
        <w:t>years.</w:t>
      </w:r>
      <w:r w:rsidR="00907D8C">
        <w:t xml:space="preserve"> </w:t>
      </w:r>
      <w:r w:rsidRPr="00036FAC">
        <w:t>The</w:t>
      </w:r>
      <w:r w:rsidR="00907D8C">
        <w:t xml:space="preserve"> </w:t>
      </w:r>
      <w:r w:rsidRPr="00036FAC">
        <w:t>imbalance</w:t>
      </w:r>
      <w:r w:rsidR="00907D8C">
        <w:t xml:space="preserve"> </w:t>
      </w:r>
      <w:r w:rsidRPr="00036FAC">
        <w:t>in</w:t>
      </w:r>
      <w:r w:rsidR="00907D8C">
        <w:t xml:space="preserve"> </w:t>
      </w:r>
      <w:r w:rsidRPr="00036FAC">
        <w:t>the</w:t>
      </w:r>
      <w:r w:rsidR="00907D8C">
        <w:t xml:space="preserve"> </w:t>
      </w:r>
      <w:r w:rsidRPr="00036FAC">
        <w:t>middle</w:t>
      </w:r>
      <w:r w:rsidR="00907D8C">
        <w:t xml:space="preserve"> </w:t>
      </w:r>
      <w:r w:rsidRPr="00036FAC">
        <w:t>years</w:t>
      </w:r>
      <w:r w:rsidR="00907D8C">
        <w:t xml:space="preserve"> </w:t>
      </w:r>
      <w:r w:rsidRPr="00036FAC">
        <w:t>is</w:t>
      </w:r>
      <w:r w:rsidR="00907D8C">
        <w:t xml:space="preserve"> </w:t>
      </w:r>
      <w:r w:rsidRPr="00036FAC">
        <w:t>partly</w:t>
      </w:r>
      <w:r w:rsidR="00907D8C">
        <w:t xml:space="preserve"> </w:t>
      </w:r>
      <w:r w:rsidRPr="00036FAC">
        <w:t>an</w:t>
      </w:r>
      <w:r w:rsidR="00907D8C">
        <w:t xml:space="preserve"> </w:t>
      </w:r>
      <w:r w:rsidRPr="00036FAC">
        <w:t>outcome</w:t>
      </w:r>
      <w:r w:rsidR="00907D8C">
        <w:t xml:space="preserve"> </w:t>
      </w:r>
      <w:r w:rsidRPr="00036FAC">
        <w:t>of</w:t>
      </w:r>
      <w:r w:rsidR="00907D8C">
        <w:t xml:space="preserve"> </w:t>
      </w:r>
      <w:r w:rsidRPr="00036FAC">
        <w:t>sex</w:t>
      </w:r>
      <w:r w:rsidR="00907D8C">
        <w:t xml:space="preserve"> </w:t>
      </w:r>
      <w:r w:rsidRPr="00036FAC">
        <w:t>differences</w:t>
      </w:r>
      <w:r w:rsidR="00907D8C">
        <w:t xml:space="preserve"> </w:t>
      </w:r>
      <w:r w:rsidRPr="00036FAC">
        <w:t>in</w:t>
      </w:r>
      <w:r w:rsidR="00907D8C">
        <w:t xml:space="preserve"> </w:t>
      </w:r>
      <w:r w:rsidRPr="00036FAC">
        <w:t>net</w:t>
      </w:r>
      <w:r w:rsidR="00907D8C">
        <w:t xml:space="preserve"> </w:t>
      </w:r>
      <w:r w:rsidRPr="00036FAC">
        <w:t>migration.</w:t>
      </w:r>
      <w:r w:rsidR="00907D8C">
        <w:t xml:space="preserve"> </w:t>
      </w:r>
      <w:r w:rsidRPr="00036FAC">
        <w:t>At</w:t>
      </w:r>
      <w:r w:rsidR="00907D8C">
        <w:t xml:space="preserve"> </w:t>
      </w:r>
      <w:r w:rsidRPr="00036FAC">
        <w:t>older</w:t>
      </w:r>
      <w:r w:rsidR="00907D8C">
        <w:t xml:space="preserve"> </w:t>
      </w:r>
      <w:r w:rsidRPr="00036FAC">
        <w:t>ages,</w:t>
      </w:r>
      <w:r w:rsidR="00907D8C">
        <w:t xml:space="preserve"> </w:t>
      </w:r>
      <w:r w:rsidRPr="00036FAC">
        <w:t>the</w:t>
      </w:r>
      <w:r w:rsidR="00907D8C">
        <w:t xml:space="preserve"> </w:t>
      </w:r>
      <w:r w:rsidRPr="00036FAC">
        <w:t>difference</w:t>
      </w:r>
      <w:r w:rsidR="00907D8C">
        <w:t xml:space="preserve"> </w:t>
      </w:r>
      <w:r w:rsidRPr="00036FAC">
        <w:t>reflects</w:t>
      </w:r>
      <w:r w:rsidR="00907D8C">
        <w:t xml:space="preserve"> </w:t>
      </w:r>
      <w:r w:rsidRPr="00036FAC">
        <w:t>higher</w:t>
      </w:r>
      <w:r w:rsidR="00907D8C">
        <w:t xml:space="preserve"> </w:t>
      </w:r>
      <w:r w:rsidRPr="00036FAC">
        <w:t>male</w:t>
      </w:r>
      <w:r w:rsidR="00907D8C">
        <w:t xml:space="preserve"> </w:t>
      </w:r>
      <w:r w:rsidRPr="00036FAC">
        <w:t>mortality</w:t>
      </w:r>
      <w:r w:rsidR="00907D8C">
        <w:t xml:space="preserve"> </w:t>
      </w:r>
      <w:r w:rsidRPr="00036FAC">
        <w:t>rates.</w:t>
      </w:r>
    </w:p>
    <w:p w:rsidR="00651E2F" w:rsidRDefault="007F44CC" w:rsidP="00651E2F">
      <w:pPr>
        <w:pStyle w:val="Heading1"/>
      </w:pPr>
      <w:bookmarkStart w:id="22" w:name="_Toc275331903"/>
      <w:r>
        <w:t>Table</w:t>
      </w:r>
      <w:r w:rsidR="00907D8C">
        <w:t xml:space="preserve"> </w:t>
      </w:r>
      <w:r>
        <w:t>2</w:t>
      </w:r>
    </w:p>
    <w:p w:rsidR="00036FAC" w:rsidRPr="00651E2F" w:rsidRDefault="00036FAC" w:rsidP="00651E2F">
      <w:pPr>
        <w:pStyle w:val="SingleTxtG"/>
        <w:rPr>
          <w:b/>
        </w:rPr>
      </w:pPr>
      <w:r w:rsidRPr="00651E2F">
        <w:rPr>
          <w:b/>
        </w:rPr>
        <w:t>Population,</w:t>
      </w:r>
      <w:r w:rsidR="00907D8C">
        <w:rPr>
          <w:b/>
        </w:rPr>
        <w:t xml:space="preserve"> </w:t>
      </w:r>
      <w:r w:rsidRPr="00651E2F">
        <w:rPr>
          <w:b/>
        </w:rPr>
        <w:t>by</w:t>
      </w:r>
      <w:r w:rsidR="00907D8C">
        <w:rPr>
          <w:b/>
        </w:rPr>
        <w:t xml:space="preserve"> </w:t>
      </w:r>
      <w:r w:rsidRPr="00651E2F">
        <w:rPr>
          <w:b/>
        </w:rPr>
        <w:t>age</w:t>
      </w:r>
      <w:r w:rsidR="00907D8C">
        <w:rPr>
          <w:b/>
        </w:rPr>
        <w:t xml:space="preserve"> </w:t>
      </w:r>
      <w:r w:rsidRPr="00651E2F">
        <w:rPr>
          <w:b/>
        </w:rPr>
        <w:t>and</w:t>
      </w:r>
      <w:r w:rsidR="00907D8C">
        <w:rPr>
          <w:b/>
        </w:rPr>
        <w:t xml:space="preserve"> </w:t>
      </w:r>
      <w:r w:rsidRPr="00651E2F">
        <w:rPr>
          <w:b/>
        </w:rPr>
        <w:t>sex,</w:t>
      </w:r>
      <w:r w:rsidR="00907D8C">
        <w:rPr>
          <w:b/>
        </w:rPr>
        <w:t xml:space="preserve"> </w:t>
      </w:r>
      <w:r w:rsidRPr="00651E2F">
        <w:rPr>
          <w:b/>
        </w:rPr>
        <w:t>2008</w:t>
      </w:r>
      <w:bookmarkEnd w:id="22"/>
    </w:p>
    <w:p w:rsidR="00036FAC" w:rsidRPr="00036FAC" w:rsidRDefault="00651E2F" w:rsidP="00651E2F">
      <w:pPr>
        <w:tabs>
          <w:tab w:val="right" w:pos="850"/>
          <w:tab w:val="left" w:pos="1134"/>
          <w:tab w:val="left" w:pos="1559"/>
          <w:tab w:val="left" w:pos="1984"/>
          <w:tab w:val="left" w:leader="dot" w:pos="7654"/>
          <w:tab w:val="right" w:pos="8929"/>
          <w:tab w:val="right" w:pos="9638"/>
        </w:tabs>
        <w:spacing w:after="120"/>
        <w:ind w:left="1100"/>
      </w:pPr>
      <w:r w:rsidRPr="00036FAC">
        <w:pict>
          <v:shape id="_x0000_i1026" type="#_x0000_t75" style="width:369pt;height:262.5pt" o:allowoverlap="f">
            <v:imagedata r:id="rId8" o:title=""/>
          </v:shape>
        </w:pict>
      </w:r>
    </w:p>
    <w:p w:rsidR="00036FAC" w:rsidRPr="002B37D0" w:rsidRDefault="00036FAC" w:rsidP="00353B69">
      <w:pPr>
        <w:spacing w:before="120"/>
        <w:ind w:left="1134" w:right="1134" w:firstLine="170"/>
        <w:rPr>
          <w:i/>
          <w:sz w:val="18"/>
          <w:szCs w:val="18"/>
        </w:rPr>
      </w:pPr>
      <w:r w:rsidRPr="00651E2F">
        <w:rPr>
          <w:i/>
          <w:sz w:val="18"/>
          <w:szCs w:val="18"/>
        </w:rPr>
        <w:t>Source</w:t>
      </w:r>
      <w:r w:rsidRPr="002B37D0">
        <w:rPr>
          <w:sz w:val="18"/>
          <w:szCs w:val="18"/>
        </w:rPr>
        <w:t>:</w:t>
      </w:r>
      <w:r w:rsidR="00907D8C">
        <w:rPr>
          <w:sz w:val="18"/>
          <w:szCs w:val="18"/>
        </w:rPr>
        <w:t xml:space="preserve">  </w:t>
      </w:r>
      <w:r w:rsidRPr="002B37D0">
        <w:rPr>
          <w:sz w:val="18"/>
          <w:szCs w:val="18"/>
        </w:rPr>
        <w:t>Statistics</w:t>
      </w:r>
      <w:r w:rsidR="00907D8C">
        <w:rPr>
          <w:sz w:val="18"/>
          <w:szCs w:val="18"/>
        </w:rPr>
        <w:t xml:space="preserve"> </w:t>
      </w:r>
      <w:r w:rsidRPr="002B37D0">
        <w:rPr>
          <w:sz w:val="18"/>
          <w:szCs w:val="18"/>
        </w:rPr>
        <w:t>New</w:t>
      </w:r>
      <w:r w:rsidR="00907D8C">
        <w:rPr>
          <w:sz w:val="18"/>
          <w:szCs w:val="18"/>
        </w:rPr>
        <w:t xml:space="preserve"> </w:t>
      </w:r>
      <w:r w:rsidRPr="002B37D0">
        <w:rPr>
          <w:sz w:val="18"/>
          <w:szCs w:val="18"/>
        </w:rPr>
        <w:t>Zealand</w:t>
      </w:r>
      <w:r w:rsidR="002B37D0" w:rsidRPr="002B37D0">
        <w:rPr>
          <w:sz w:val="18"/>
          <w:szCs w:val="18"/>
        </w:rPr>
        <w:t>.</w:t>
      </w:r>
    </w:p>
    <w:p w:rsidR="00036FAC" w:rsidRPr="002B37D0" w:rsidRDefault="00036FAC" w:rsidP="00353B69">
      <w:pPr>
        <w:spacing w:after="240"/>
        <w:ind w:left="1134" w:right="1134" w:firstLine="170"/>
        <w:rPr>
          <w:sz w:val="18"/>
          <w:szCs w:val="18"/>
        </w:rPr>
      </w:pPr>
      <w:r w:rsidRPr="00651E2F">
        <w:rPr>
          <w:i/>
          <w:sz w:val="18"/>
          <w:szCs w:val="18"/>
        </w:rPr>
        <w:t>Note</w:t>
      </w:r>
      <w:r w:rsidRPr="002B37D0">
        <w:rPr>
          <w:sz w:val="18"/>
          <w:szCs w:val="18"/>
        </w:rPr>
        <w:t>:</w:t>
      </w:r>
      <w:r w:rsidR="00907D8C">
        <w:rPr>
          <w:sz w:val="18"/>
          <w:szCs w:val="18"/>
        </w:rPr>
        <w:t xml:space="preserve">  </w:t>
      </w:r>
      <w:r w:rsidRPr="002B37D0">
        <w:rPr>
          <w:sz w:val="18"/>
          <w:szCs w:val="18"/>
        </w:rPr>
        <w:t>The</w:t>
      </w:r>
      <w:r w:rsidR="00907D8C">
        <w:rPr>
          <w:sz w:val="18"/>
          <w:szCs w:val="18"/>
        </w:rPr>
        <w:t xml:space="preserve"> </w:t>
      </w:r>
      <w:r w:rsidRPr="002B37D0">
        <w:rPr>
          <w:sz w:val="18"/>
          <w:szCs w:val="18"/>
        </w:rPr>
        <w:t>apparent</w:t>
      </w:r>
      <w:r w:rsidR="00907D8C">
        <w:rPr>
          <w:sz w:val="18"/>
          <w:szCs w:val="18"/>
        </w:rPr>
        <w:t xml:space="preserve"> </w:t>
      </w:r>
      <w:r w:rsidRPr="002B37D0">
        <w:rPr>
          <w:sz w:val="18"/>
          <w:szCs w:val="18"/>
        </w:rPr>
        <w:t>population</w:t>
      </w:r>
      <w:r w:rsidR="00907D8C">
        <w:rPr>
          <w:sz w:val="18"/>
          <w:szCs w:val="18"/>
        </w:rPr>
        <w:t xml:space="preserve"> </w:t>
      </w:r>
      <w:r w:rsidRPr="002B37D0">
        <w:rPr>
          <w:sz w:val="18"/>
          <w:szCs w:val="18"/>
        </w:rPr>
        <w:t>increase</w:t>
      </w:r>
      <w:r w:rsidR="00907D8C">
        <w:rPr>
          <w:sz w:val="18"/>
          <w:szCs w:val="18"/>
        </w:rPr>
        <w:t xml:space="preserve"> </w:t>
      </w:r>
      <w:r w:rsidRPr="002B37D0">
        <w:rPr>
          <w:sz w:val="18"/>
          <w:szCs w:val="18"/>
        </w:rPr>
        <w:t>in</w:t>
      </w:r>
      <w:r w:rsidR="00907D8C">
        <w:rPr>
          <w:sz w:val="18"/>
          <w:szCs w:val="18"/>
        </w:rPr>
        <w:t xml:space="preserve"> </w:t>
      </w:r>
      <w:r w:rsidRPr="002B37D0">
        <w:rPr>
          <w:sz w:val="18"/>
          <w:szCs w:val="18"/>
        </w:rPr>
        <w:t>the</w:t>
      </w:r>
      <w:r w:rsidR="00907D8C">
        <w:rPr>
          <w:sz w:val="18"/>
          <w:szCs w:val="18"/>
        </w:rPr>
        <w:t xml:space="preserve"> </w:t>
      </w:r>
      <w:r w:rsidRPr="002B37D0">
        <w:rPr>
          <w:sz w:val="18"/>
          <w:szCs w:val="18"/>
        </w:rPr>
        <w:t>90-plus</w:t>
      </w:r>
      <w:r w:rsidR="00907D8C">
        <w:rPr>
          <w:sz w:val="18"/>
          <w:szCs w:val="18"/>
        </w:rPr>
        <w:t xml:space="preserve"> </w:t>
      </w:r>
      <w:r w:rsidRPr="002B37D0">
        <w:rPr>
          <w:sz w:val="18"/>
          <w:szCs w:val="18"/>
        </w:rPr>
        <w:t>age</w:t>
      </w:r>
      <w:r w:rsidR="00907D8C">
        <w:rPr>
          <w:sz w:val="18"/>
          <w:szCs w:val="18"/>
        </w:rPr>
        <w:t xml:space="preserve"> </w:t>
      </w:r>
      <w:r w:rsidRPr="002B37D0">
        <w:rPr>
          <w:sz w:val="18"/>
          <w:szCs w:val="18"/>
        </w:rPr>
        <w:t>grou</w:t>
      </w:r>
      <w:r w:rsidR="00651E2F" w:rsidRPr="002B37D0">
        <w:rPr>
          <w:sz w:val="18"/>
          <w:szCs w:val="18"/>
        </w:rPr>
        <w:t>p</w:t>
      </w:r>
      <w:r w:rsidR="00907D8C">
        <w:rPr>
          <w:sz w:val="18"/>
          <w:szCs w:val="18"/>
        </w:rPr>
        <w:t xml:space="preserve"> </w:t>
      </w:r>
      <w:r w:rsidR="00651E2F" w:rsidRPr="002B37D0">
        <w:rPr>
          <w:sz w:val="18"/>
          <w:szCs w:val="18"/>
        </w:rPr>
        <w:t>is</w:t>
      </w:r>
      <w:r w:rsidR="00907D8C">
        <w:rPr>
          <w:sz w:val="18"/>
          <w:szCs w:val="18"/>
        </w:rPr>
        <w:t xml:space="preserve"> </w:t>
      </w:r>
      <w:r w:rsidR="00651E2F" w:rsidRPr="002B37D0">
        <w:rPr>
          <w:sz w:val="18"/>
          <w:szCs w:val="18"/>
        </w:rPr>
        <w:t>because</w:t>
      </w:r>
      <w:r w:rsidR="00907D8C">
        <w:rPr>
          <w:sz w:val="18"/>
          <w:szCs w:val="18"/>
        </w:rPr>
        <w:t xml:space="preserve"> </w:t>
      </w:r>
      <w:r w:rsidR="00651E2F" w:rsidRPr="002B37D0">
        <w:rPr>
          <w:sz w:val="18"/>
          <w:szCs w:val="18"/>
        </w:rPr>
        <w:t>all</w:t>
      </w:r>
      <w:r w:rsidR="00907D8C">
        <w:rPr>
          <w:sz w:val="18"/>
          <w:szCs w:val="18"/>
        </w:rPr>
        <w:t xml:space="preserve"> </w:t>
      </w:r>
      <w:r w:rsidR="00651E2F" w:rsidRPr="002B37D0">
        <w:rPr>
          <w:sz w:val="18"/>
          <w:szCs w:val="18"/>
        </w:rPr>
        <w:t>persons</w:t>
      </w:r>
      <w:r w:rsidR="00907D8C">
        <w:rPr>
          <w:sz w:val="18"/>
          <w:szCs w:val="18"/>
        </w:rPr>
        <w:t xml:space="preserve"> </w:t>
      </w:r>
      <w:r w:rsidR="00651E2F" w:rsidRPr="002B37D0">
        <w:rPr>
          <w:sz w:val="18"/>
          <w:szCs w:val="18"/>
        </w:rPr>
        <w:t>aged</w:t>
      </w:r>
      <w:r w:rsidR="00907D8C">
        <w:rPr>
          <w:sz w:val="18"/>
          <w:szCs w:val="18"/>
        </w:rPr>
        <w:t xml:space="preserve"> </w:t>
      </w:r>
      <w:r w:rsidRPr="002B37D0">
        <w:rPr>
          <w:sz w:val="18"/>
          <w:szCs w:val="18"/>
        </w:rPr>
        <w:t>over</w:t>
      </w:r>
      <w:r w:rsidR="00907D8C">
        <w:rPr>
          <w:sz w:val="18"/>
          <w:szCs w:val="18"/>
        </w:rPr>
        <w:t xml:space="preserve"> </w:t>
      </w:r>
      <w:r w:rsidRPr="002B37D0">
        <w:rPr>
          <w:sz w:val="18"/>
          <w:szCs w:val="18"/>
        </w:rPr>
        <w:t>90</w:t>
      </w:r>
      <w:r w:rsidR="00907D8C">
        <w:rPr>
          <w:sz w:val="18"/>
          <w:szCs w:val="18"/>
        </w:rPr>
        <w:t xml:space="preserve"> </w:t>
      </w:r>
      <w:r w:rsidRPr="002B37D0">
        <w:rPr>
          <w:sz w:val="18"/>
          <w:szCs w:val="18"/>
        </w:rPr>
        <w:t>are</w:t>
      </w:r>
      <w:r w:rsidR="00907D8C">
        <w:rPr>
          <w:sz w:val="18"/>
          <w:szCs w:val="18"/>
        </w:rPr>
        <w:t xml:space="preserve"> </w:t>
      </w:r>
      <w:r w:rsidRPr="002B37D0">
        <w:rPr>
          <w:sz w:val="18"/>
          <w:szCs w:val="18"/>
        </w:rPr>
        <w:t>counted</w:t>
      </w:r>
      <w:r w:rsidR="00907D8C">
        <w:rPr>
          <w:sz w:val="18"/>
          <w:szCs w:val="18"/>
        </w:rPr>
        <w:t xml:space="preserve"> </w:t>
      </w:r>
      <w:r w:rsidRPr="002B37D0">
        <w:rPr>
          <w:sz w:val="18"/>
          <w:szCs w:val="18"/>
        </w:rPr>
        <w:t>in</w:t>
      </w:r>
      <w:r w:rsidR="00907D8C">
        <w:rPr>
          <w:sz w:val="18"/>
          <w:szCs w:val="18"/>
        </w:rPr>
        <w:t xml:space="preserve"> </w:t>
      </w:r>
      <w:r w:rsidRPr="002B37D0">
        <w:rPr>
          <w:sz w:val="18"/>
          <w:szCs w:val="18"/>
        </w:rPr>
        <w:t>one</w:t>
      </w:r>
      <w:r w:rsidR="00907D8C">
        <w:rPr>
          <w:sz w:val="18"/>
          <w:szCs w:val="18"/>
        </w:rPr>
        <w:t xml:space="preserve"> </w:t>
      </w:r>
      <w:r w:rsidRPr="002B37D0">
        <w:rPr>
          <w:sz w:val="18"/>
          <w:szCs w:val="18"/>
        </w:rPr>
        <w:t>grouping.</w:t>
      </w:r>
    </w:p>
    <w:p w:rsidR="00036FAC" w:rsidRPr="00036FAC" w:rsidRDefault="00036FAC" w:rsidP="00651E2F">
      <w:pPr>
        <w:pStyle w:val="SingleTxtG"/>
      </w:pPr>
      <w:r w:rsidRPr="00036FAC">
        <w:t>13.</w:t>
      </w:r>
      <w:r w:rsidRPr="00036FAC">
        <w:tab/>
        <w:t>The</w:t>
      </w:r>
      <w:r w:rsidR="00907D8C">
        <w:t xml:space="preserve"> </w:t>
      </w:r>
      <w:r w:rsidRPr="00036FAC">
        <w:t>New</w:t>
      </w:r>
      <w:r w:rsidR="00907D8C">
        <w:t xml:space="preserve"> </w:t>
      </w:r>
      <w:r w:rsidRPr="00036FAC">
        <w:t>Zealand</w:t>
      </w:r>
      <w:r w:rsidR="00907D8C">
        <w:t xml:space="preserve"> </w:t>
      </w:r>
      <w:r w:rsidRPr="00036FAC">
        <w:t>population</w:t>
      </w:r>
      <w:r w:rsidR="00907D8C">
        <w:t xml:space="preserve"> </w:t>
      </w:r>
      <w:r w:rsidRPr="00036FAC">
        <w:t>is</w:t>
      </w:r>
      <w:r w:rsidR="00907D8C">
        <w:t xml:space="preserve"> </w:t>
      </w:r>
      <w:r w:rsidRPr="00036FAC">
        <w:t>ageing:</w:t>
      </w:r>
      <w:r w:rsidR="00907D8C">
        <w:t xml:space="preserve"> </w:t>
      </w:r>
      <w:r w:rsidRPr="00036FAC">
        <w:t>the</w:t>
      </w:r>
      <w:r w:rsidR="00907D8C">
        <w:t xml:space="preserve"> </w:t>
      </w:r>
      <w:r w:rsidRPr="00036FAC">
        <w:t>median</w:t>
      </w:r>
      <w:r w:rsidR="00907D8C">
        <w:t xml:space="preserve"> </w:t>
      </w:r>
      <w:r w:rsidRPr="00036FAC">
        <w:t>age</w:t>
      </w:r>
      <w:r w:rsidR="00907D8C">
        <w:t xml:space="preserve"> </w:t>
      </w:r>
      <w:r w:rsidRPr="00036FAC">
        <w:t>of</w:t>
      </w:r>
      <w:r w:rsidR="00907D8C">
        <w:t xml:space="preserve"> </w:t>
      </w:r>
      <w:r w:rsidRPr="00036FAC">
        <w:t>the</w:t>
      </w:r>
      <w:r w:rsidR="00907D8C">
        <w:t xml:space="preserve"> </w:t>
      </w:r>
      <w:r w:rsidRPr="00036FAC">
        <w:t>total</w:t>
      </w:r>
      <w:r w:rsidR="00907D8C">
        <w:t xml:space="preserve"> </w:t>
      </w:r>
      <w:r w:rsidRPr="00036FAC">
        <w:t>population</w:t>
      </w:r>
      <w:r w:rsidR="00907D8C">
        <w:t xml:space="preserve"> </w:t>
      </w:r>
      <w:r w:rsidRPr="00036FAC">
        <w:t>was</w:t>
      </w:r>
      <w:r w:rsidR="00907D8C">
        <w:t xml:space="preserve"> </w:t>
      </w:r>
      <w:r w:rsidRPr="00036FAC">
        <w:t>36</w:t>
      </w:r>
      <w:r w:rsidR="00907D8C">
        <w:t xml:space="preserve"> </w:t>
      </w:r>
      <w:r w:rsidRPr="00036FAC">
        <w:t>years</w:t>
      </w:r>
      <w:r w:rsidR="00907D8C">
        <w:t xml:space="preserve"> </w:t>
      </w:r>
      <w:r w:rsidRPr="00036FAC">
        <w:t>in</w:t>
      </w:r>
      <w:r w:rsidR="00907D8C">
        <w:t xml:space="preserve"> </w:t>
      </w:r>
      <w:r w:rsidRPr="00036FAC">
        <w:t>2006,</w:t>
      </w:r>
      <w:r w:rsidR="00907D8C">
        <w:t xml:space="preserve"> </w:t>
      </w:r>
      <w:r w:rsidRPr="00036FAC">
        <w:t>and</w:t>
      </w:r>
      <w:r w:rsidR="00907D8C">
        <w:t xml:space="preserve"> </w:t>
      </w:r>
      <w:r w:rsidRPr="00036FAC">
        <w:t>is</w:t>
      </w:r>
      <w:r w:rsidR="00907D8C">
        <w:t xml:space="preserve"> </w:t>
      </w:r>
      <w:r w:rsidRPr="00036FAC">
        <w:t>expected</w:t>
      </w:r>
      <w:r w:rsidR="00907D8C">
        <w:t xml:space="preserve"> </w:t>
      </w:r>
      <w:r w:rsidRPr="00036FAC">
        <w:t>to</w:t>
      </w:r>
      <w:r w:rsidR="00907D8C">
        <w:t xml:space="preserve"> </w:t>
      </w:r>
      <w:r w:rsidRPr="00036FAC">
        <w:t>rise</w:t>
      </w:r>
      <w:r w:rsidR="00907D8C">
        <w:t xml:space="preserve"> </w:t>
      </w:r>
      <w:r w:rsidRPr="00036FAC">
        <w:t>to</w:t>
      </w:r>
      <w:r w:rsidR="00907D8C">
        <w:t xml:space="preserve"> </w:t>
      </w:r>
      <w:r w:rsidRPr="00036FAC">
        <w:t>38</w:t>
      </w:r>
      <w:r w:rsidR="00907D8C">
        <w:t xml:space="preserve"> </w:t>
      </w:r>
      <w:r w:rsidRPr="00036FAC">
        <w:t>years</w:t>
      </w:r>
      <w:r w:rsidR="00907D8C">
        <w:t xml:space="preserve"> </w:t>
      </w:r>
      <w:r w:rsidRPr="00036FAC">
        <w:t>by</w:t>
      </w:r>
      <w:r w:rsidR="00907D8C">
        <w:t xml:space="preserve"> </w:t>
      </w:r>
      <w:r w:rsidRPr="00036FAC">
        <w:t>2016,</w:t>
      </w:r>
      <w:r w:rsidR="00907D8C">
        <w:t xml:space="preserve"> </w:t>
      </w:r>
      <w:r w:rsidRPr="00036FAC">
        <w:t>and</w:t>
      </w:r>
      <w:r w:rsidR="00907D8C">
        <w:t xml:space="preserve"> </w:t>
      </w:r>
      <w:r w:rsidRPr="00036FAC">
        <w:t>to</w:t>
      </w:r>
      <w:r w:rsidR="00907D8C">
        <w:t xml:space="preserve"> </w:t>
      </w:r>
      <w:r w:rsidRPr="00036FAC">
        <w:t>40</w:t>
      </w:r>
      <w:r w:rsidR="00907D8C">
        <w:t xml:space="preserve"> </w:t>
      </w:r>
      <w:r w:rsidRPr="00036FAC">
        <w:t>years</w:t>
      </w:r>
      <w:r w:rsidR="00907D8C">
        <w:t xml:space="preserve"> </w:t>
      </w:r>
      <w:r w:rsidRPr="00036FAC">
        <w:t>in</w:t>
      </w:r>
      <w:r w:rsidR="00907D8C">
        <w:t xml:space="preserve"> </w:t>
      </w:r>
      <w:r w:rsidRPr="00036FAC">
        <w:t>2026.</w:t>
      </w:r>
    </w:p>
    <w:p w:rsidR="00036FAC" w:rsidRPr="00036FAC" w:rsidRDefault="00036FAC" w:rsidP="00235886">
      <w:pPr>
        <w:pStyle w:val="SingleTxtG"/>
      </w:pPr>
      <w:r w:rsidRPr="00036FAC">
        <w:t>14.</w:t>
      </w:r>
      <w:r w:rsidRPr="00036FAC">
        <w:tab/>
        <w:t>Age</w:t>
      </w:r>
      <w:r w:rsidR="00907D8C">
        <w:t xml:space="preserve"> </w:t>
      </w:r>
      <w:r w:rsidRPr="00036FAC">
        <w:t>structure</w:t>
      </w:r>
      <w:r w:rsidR="00907D8C">
        <w:t xml:space="preserve"> </w:t>
      </w:r>
      <w:r w:rsidRPr="00036FAC">
        <w:t>varies</w:t>
      </w:r>
      <w:r w:rsidR="00907D8C">
        <w:t xml:space="preserve"> </w:t>
      </w:r>
      <w:r w:rsidRPr="00036FAC">
        <w:t>by</w:t>
      </w:r>
      <w:r w:rsidR="00907D8C">
        <w:t xml:space="preserve"> </w:t>
      </w:r>
      <w:r w:rsidRPr="00036FAC">
        <w:t>ethnic</w:t>
      </w:r>
      <w:r w:rsidR="00907D8C">
        <w:t xml:space="preserve"> </w:t>
      </w:r>
      <w:r w:rsidRPr="00036FAC">
        <w:t>group.</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European</w:t>
      </w:r>
      <w:r w:rsidR="00907D8C">
        <w:t xml:space="preserve"> </w:t>
      </w:r>
      <w:r w:rsidRPr="00036FAC">
        <w:t>or</w:t>
      </w:r>
      <w:r w:rsidR="00907D8C">
        <w:t xml:space="preserve"> </w:t>
      </w:r>
      <w:r w:rsidRPr="00036FAC">
        <w:t>Other</w:t>
      </w:r>
      <w:r w:rsidR="00907D8C">
        <w:t xml:space="preserve"> </w:t>
      </w:r>
      <w:r w:rsidRPr="00036FAC">
        <w:t>population</w:t>
      </w:r>
      <w:r w:rsidR="00907D8C">
        <w:t xml:space="preserve"> </w:t>
      </w:r>
      <w:r w:rsidRPr="00036FAC">
        <w:t>was</w:t>
      </w:r>
      <w:r w:rsidR="00907D8C">
        <w:t xml:space="preserve"> </w:t>
      </w:r>
      <w:r w:rsidRPr="00036FAC">
        <w:t>the</w:t>
      </w:r>
      <w:r w:rsidR="00907D8C">
        <w:t xml:space="preserve"> </w:t>
      </w:r>
      <w:r w:rsidRPr="00036FAC">
        <w:t>oldest,</w:t>
      </w:r>
      <w:r w:rsidR="00907D8C">
        <w:t xml:space="preserve"> </w:t>
      </w:r>
      <w:r w:rsidRPr="00036FAC">
        <w:t>with</w:t>
      </w:r>
      <w:r w:rsidR="00907D8C">
        <w:t xml:space="preserve"> </w:t>
      </w:r>
      <w:r w:rsidRPr="00036FAC">
        <w:t>a</w:t>
      </w:r>
      <w:r w:rsidR="00907D8C">
        <w:t xml:space="preserve"> </w:t>
      </w:r>
      <w:r w:rsidRPr="00036FAC">
        <w:t>median</w:t>
      </w:r>
      <w:r w:rsidR="00907D8C">
        <w:t xml:space="preserve"> </w:t>
      </w:r>
      <w:r w:rsidRPr="00036FAC">
        <w:t>age</w:t>
      </w:r>
      <w:r w:rsidR="00907D8C">
        <w:t xml:space="preserve"> </w:t>
      </w:r>
      <w:r w:rsidRPr="00036FAC">
        <w:t>of</w:t>
      </w:r>
      <w:r w:rsidR="00907D8C">
        <w:t xml:space="preserve"> </w:t>
      </w:r>
      <w:r w:rsidRPr="00036FAC">
        <w:t>38</w:t>
      </w:r>
      <w:r w:rsidR="00907D8C">
        <w:t xml:space="preserve"> </w:t>
      </w:r>
      <w:r w:rsidRPr="00036FAC">
        <w:t>years,</w:t>
      </w:r>
      <w:r w:rsidR="00907D8C">
        <w:t xml:space="preserve"> </w:t>
      </w:r>
      <w:r w:rsidRPr="00036FAC">
        <w:t>followed</w:t>
      </w:r>
      <w:r w:rsidR="00907D8C">
        <w:t xml:space="preserve"> </w:t>
      </w:r>
      <w:r w:rsidRPr="00036FAC">
        <w:t>by</w:t>
      </w:r>
      <w:r w:rsidR="00907D8C">
        <w:t xml:space="preserve"> </w:t>
      </w:r>
      <w:r w:rsidRPr="00036FAC">
        <w:t>the</w:t>
      </w:r>
      <w:r w:rsidR="00907D8C">
        <w:t xml:space="preserve"> </w:t>
      </w:r>
      <w:r w:rsidRPr="00036FAC">
        <w:t>Asian</w:t>
      </w:r>
      <w:r w:rsidR="00907D8C">
        <w:t xml:space="preserve"> </w:t>
      </w:r>
      <w:r w:rsidRPr="00036FAC">
        <w:t>population</w:t>
      </w:r>
      <w:r w:rsidR="00907D8C">
        <w:t xml:space="preserve"> </w:t>
      </w:r>
      <w:r w:rsidRPr="00036FAC">
        <w:t>(28</w:t>
      </w:r>
      <w:r w:rsidR="00907D8C">
        <w:t xml:space="preserve"> </w:t>
      </w:r>
      <w:r w:rsidRPr="00036FAC">
        <w:t>years),</w:t>
      </w:r>
      <w:r w:rsidR="00907D8C">
        <w:t xml:space="preserve"> </w:t>
      </w:r>
      <w:r w:rsidRPr="00036FAC">
        <w:t>the</w:t>
      </w:r>
      <w:r w:rsidR="00907D8C">
        <w:t xml:space="preserve"> </w:t>
      </w:r>
      <w:r w:rsidRPr="00036FAC">
        <w:t>Māori</w:t>
      </w:r>
      <w:r w:rsidR="00907D8C">
        <w:t xml:space="preserve"> </w:t>
      </w:r>
      <w:r w:rsidRPr="00036FAC">
        <w:t>population</w:t>
      </w:r>
      <w:r w:rsidR="00907D8C">
        <w:t xml:space="preserve"> </w:t>
      </w:r>
      <w:r w:rsidRPr="00036FAC">
        <w:t>(23</w:t>
      </w:r>
      <w:r w:rsidR="00907D8C">
        <w:t xml:space="preserve"> </w:t>
      </w:r>
      <w:r w:rsidRPr="00036FAC">
        <w:t>years),</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(22</w:t>
      </w:r>
      <w:r w:rsidR="00907D8C">
        <w:t xml:space="preserve"> </w:t>
      </w:r>
      <w:r w:rsidRPr="00036FAC">
        <w:t>years).</w:t>
      </w:r>
      <w:r w:rsidR="00907D8C">
        <w:t xml:space="preserve"> </w:t>
      </w:r>
      <w:r w:rsidRPr="00036FAC">
        <w:t>By</w:t>
      </w:r>
      <w:r w:rsidR="00907D8C">
        <w:t xml:space="preserve"> </w:t>
      </w:r>
      <w:r w:rsidRPr="00036FAC">
        <w:t>2026,</w:t>
      </w:r>
      <w:r w:rsidR="00907D8C">
        <w:t xml:space="preserve"> </w:t>
      </w:r>
      <w:r w:rsidRPr="00036FAC">
        <w:t>half</w:t>
      </w:r>
      <w:r w:rsidR="00907D8C">
        <w:t xml:space="preserve"> </w:t>
      </w:r>
      <w:r w:rsidRPr="00036FAC">
        <w:t>of</w:t>
      </w:r>
      <w:r w:rsidR="00907D8C">
        <w:t xml:space="preserve"> </w:t>
      </w:r>
      <w:r w:rsidRPr="00036FAC">
        <w:t>all</w:t>
      </w:r>
      <w:r w:rsidR="00907D8C">
        <w:t xml:space="preserve"> </w:t>
      </w:r>
      <w:r w:rsidRPr="00036FAC">
        <w:t>Māori</w:t>
      </w:r>
      <w:r w:rsidR="00907D8C">
        <w:t xml:space="preserve"> </w:t>
      </w:r>
      <w:r w:rsidRPr="00036FAC">
        <w:t>will</w:t>
      </w:r>
      <w:r w:rsidR="00907D8C">
        <w:t xml:space="preserve"> </w:t>
      </w:r>
      <w:r w:rsidRPr="00036FAC">
        <w:t>be</w:t>
      </w:r>
      <w:r w:rsidR="00907D8C">
        <w:t xml:space="preserve"> </w:t>
      </w:r>
      <w:r w:rsidRPr="00036FAC">
        <w:t>older</w:t>
      </w:r>
      <w:r w:rsidR="00907D8C">
        <w:t xml:space="preserve"> </w:t>
      </w:r>
      <w:r w:rsidRPr="00036FAC">
        <w:t>than</w:t>
      </w:r>
      <w:r w:rsidR="00907D8C">
        <w:t xml:space="preserve"> </w:t>
      </w:r>
      <w:r w:rsidRPr="00036FAC">
        <w:t>25</w:t>
      </w:r>
      <w:r w:rsidR="00907D8C">
        <w:t xml:space="preserve"> </w:t>
      </w:r>
      <w:r w:rsidRPr="00036FAC">
        <w:t>years</w:t>
      </w:r>
      <w:r w:rsidR="00907D8C">
        <w:t xml:space="preserve"> </w:t>
      </w:r>
      <w:r w:rsidRPr="00036FAC">
        <w:t>and</w:t>
      </w:r>
      <w:r w:rsidR="00907D8C">
        <w:t xml:space="preserve"> </w:t>
      </w:r>
      <w:r w:rsidRPr="00036FAC">
        <w:t>half</w:t>
      </w:r>
      <w:r w:rsidR="00907D8C">
        <w:t xml:space="preserve"> </w:t>
      </w:r>
      <w:r w:rsidRPr="00036FAC">
        <w:t>of</w:t>
      </w:r>
      <w:r w:rsidR="00907D8C">
        <w:t xml:space="preserve"> </w:t>
      </w:r>
      <w:r w:rsidRPr="00036FAC">
        <w:t>all</w:t>
      </w:r>
      <w:r w:rsidR="00907D8C">
        <w:t xml:space="preserve"> </w:t>
      </w:r>
      <w:r w:rsidRPr="00036FAC">
        <w:t>Pacific</w:t>
      </w:r>
      <w:r w:rsidR="00907D8C">
        <w:t xml:space="preserve"> </w:t>
      </w:r>
      <w:r w:rsidRPr="00036FAC">
        <w:t>peoples</w:t>
      </w:r>
      <w:r w:rsidR="00907D8C">
        <w:t xml:space="preserve"> </w:t>
      </w:r>
      <w:r w:rsidRPr="00036FAC">
        <w:t>will</w:t>
      </w:r>
      <w:r w:rsidR="00907D8C">
        <w:t xml:space="preserve"> </w:t>
      </w:r>
      <w:r w:rsidRPr="00036FAC">
        <w:t>be</w:t>
      </w:r>
      <w:r w:rsidR="00907D8C">
        <w:t xml:space="preserve"> </w:t>
      </w:r>
      <w:r w:rsidRPr="00036FAC">
        <w:t>older</w:t>
      </w:r>
      <w:r w:rsidR="00907D8C">
        <w:t xml:space="preserve"> </w:t>
      </w:r>
      <w:r w:rsidRPr="00036FAC">
        <w:t>than</w:t>
      </w:r>
      <w:r w:rsidR="00907D8C">
        <w:t xml:space="preserve"> </w:t>
      </w:r>
      <w:r w:rsidRPr="00036FAC">
        <w:t>23</w:t>
      </w:r>
      <w:r w:rsidR="00907D8C">
        <w:t xml:space="preserve"> </w:t>
      </w:r>
      <w:r w:rsidRPr="00036FAC">
        <w:t>years.</w:t>
      </w:r>
      <w:r w:rsidR="00907D8C">
        <w:t xml:space="preserve"> </w:t>
      </w:r>
      <w:r w:rsidRPr="00036FAC">
        <w:t>Over</w:t>
      </w:r>
      <w:r w:rsidR="00907D8C">
        <w:t xml:space="preserve"> </w:t>
      </w:r>
      <w:r w:rsidRPr="00036FAC">
        <w:t>the</w:t>
      </w:r>
      <w:r w:rsidR="00907D8C">
        <w:t xml:space="preserve"> </w:t>
      </w:r>
      <w:r w:rsidRPr="00036FAC">
        <w:t>same</w:t>
      </w:r>
      <w:r w:rsidR="00907D8C">
        <w:t xml:space="preserve"> </w:t>
      </w:r>
      <w:r w:rsidRPr="00036FAC">
        <w:t>period,</w:t>
      </w:r>
      <w:r w:rsidR="00907D8C">
        <w:t xml:space="preserve"> </w:t>
      </w:r>
      <w:r w:rsidRPr="00036FAC">
        <w:t>the</w:t>
      </w:r>
      <w:r w:rsidR="00907D8C">
        <w:t xml:space="preserve"> </w:t>
      </w:r>
      <w:r w:rsidRPr="00036FAC">
        <w:t>median</w:t>
      </w:r>
      <w:r w:rsidR="00907D8C">
        <w:t xml:space="preserve"> </w:t>
      </w:r>
      <w:r w:rsidRPr="00036FAC">
        <w:t>age</w:t>
      </w:r>
      <w:r w:rsidR="00907D8C">
        <w:t xml:space="preserve"> </w:t>
      </w:r>
      <w:r w:rsidRPr="00036FAC">
        <w:t>of</w:t>
      </w:r>
      <w:r w:rsidR="00907D8C">
        <w:t xml:space="preserve"> </w:t>
      </w:r>
      <w:r w:rsidRPr="00036FAC">
        <w:t>Asian</w:t>
      </w:r>
      <w:r w:rsidR="00907D8C">
        <w:t xml:space="preserve"> </w:t>
      </w:r>
      <w:r w:rsidRPr="00036FAC">
        <w:t>New</w:t>
      </w:r>
      <w:r w:rsidR="00907D8C">
        <w:t xml:space="preserve"> </w:t>
      </w:r>
      <w:r w:rsidRPr="00036FAC">
        <w:t>Zealanders</w:t>
      </w:r>
      <w:r w:rsidR="00907D8C">
        <w:t xml:space="preserve"> </w:t>
      </w:r>
      <w:r w:rsidRPr="00036FAC">
        <w:t>is</w:t>
      </w:r>
      <w:r w:rsidR="00907D8C">
        <w:t xml:space="preserve"> </w:t>
      </w:r>
      <w:r w:rsidRPr="00036FAC">
        <w:t>expected</w:t>
      </w:r>
      <w:r w:rsidR="00907D8C">
        <w:t xml:space="preserve"> </w:t>
      </w:r>
      <w:r w:rsidRPr="00036FAC">
        <w:t>to</w:t>
      </w:r>
      <w:r w:rsidR="00907D8C">
        <w:t xml:space="preserve"> </w:t>
      </w:r>
      <w:r w:rsidRPr="00036FAC">
        <w:t>rise</w:t>
      </w:r>
      <w:r w:rsidR="00907D8C">
        <w:t xml:space="preserve"> </w:t>
      </w:r>
      <w:r w:rsidRPr="00036FAC">
        <w:t>to</w:t>
      </w:r>
      <w:r w:rsidR="00907D8C">
        <w:t xml:space="preserve"> </w:t>
      </w:r>
      <w:r w:rsidRPr="00036FAC">
        <w:t>36</w:t>
      </w:r>
      <w:r w:rsidR="00907D8C">
        <w:t xml:space="preserve"> </w:t>
      </w:r>
      <w:r w:rsidRPr="00036FAC">
        <w:t>years,</w:t>
      </w:r>
      <w:r w:rsidR="00907D8C">
        <w:t xml:space="preserve"> </w:t>
      </w:r>
      <w:r w:rsidRPr="00036FAC">
        <w:t>while</w:t>
      </w:r>
      <w:r w:rsidR="00907D8C">
        <w:t xml:space="preserve"> </w:t>
      </w:r>
      <w:r w:rsidRPr="00036FAC">
        <w:t>for</w:t>
      </w:r>
      <w:r w:rsidR="00907D8C">
        <w:t xml:space="preserve"> </w:t>
      </w:r>
      <w:r w:rsidRPr="00036FAC">
        <w:t>European</w:t>
      </w:r>
      <w:r w:rsidR="00907D8C">
        <w:t xml:space="preserve"> </w:t>
      </w:r>
      <w:r w:rsidRPr="00036FAC">
        <w:t>or</w:t>
      </w:r>
      <w:r w:rsidR="00907D8C">
        <w:t xml:space="preserve"> </w:t>
      </w:r>
      <w:r w:rsidRPr="00036FAC">
        <w:t>Other</w:t>
      </w:r>
      <w:r w:rsidR="00907D8C">
        <w:t xml:space="preserve"> </w:t>
      </w:r>
      <w:r w:rsidRPr="00036FAC">
        <w:t>New</w:t>
      </w:r>
      <w:r w:rsidR="00907D8C">
        <w:t xml:space="preserve"> </w:t>
      </w:r>
      <w:r w:rsidRPr="00036FAC">
        <w:t>Zealanders</w:t>
      </w:r>
      <w:r w:rsidR="00907D8C">
        <w:t xml:space="preserve"> </w:t>
      </w:r>
      <w:r w:rsidRPr="00036FAC">
        <w:t>it</w:t>
      </w:r>
      <w:r w:rsidR="00907D8C">
        <w:t xml:space="preserve"> </w:t>
      </w:r>
      <w:r w:rsidRPr="00036FAC">
        <w:t>will</w:t>
      </w:r>
      <w:r w:rsidR="00907D8C">
        <w:t xml:space="preserve"> </w:t>
      </w:r>
      <w:r w:rsidRPr="00036FAC">
        <w:t>rise</w:t>
      </w:r>
      <w:r w:rsidR="00907D8C">
        <w:t xml:space="preserve"> </w:t>
      </w:r>
      <w:r w:rsidRPr="00036FAC">
        <w:t>to</w:t>
      </w:r>
      <w:r w:rsidR="00907D8C">
        <w:t xml:space="preserve"> </w:t>
      </w:r>
      <w:r w:rsidRPr="00036FAC">
        <w:t>43</w:t>
      </w:r>
      <w:r w:rsidR="00907D8C">
        <w:t xml:space="preserve"> </w:t>
      </w:r>
      <w:r w:rsidRPr="00036FAC">
        <w:t>years.</w:t>
      </w:r>
    </w:p>
    <w:p w:rsidR="00036FAC" w:rsidRPr="00036FAC" w:rsidRDefault="00036FAC" w:rsidP="006C436C">
      <w:pPr>
        <w:pStyle w:val="H23G"/>
      </w:pPr>
      <w:r w:rsidRPr="00036FAC">
        <w:tab/>
        <w:t>4.</w:t>
      </w:r>
      <w:r w:rsidRPr="00036FAC">
        <w:tab/>
        <w:t>Distribution</w:t>
      </w:r>
      <w:r w:rsidR="00907D8C">
        <w:t xml:space="preserve"> </w:t>
      </w:r>
      <w:r w:rsidRPr="00036FAC">
        <w:t>of</w:t>
      </w:r>
      <w:r w:rsidR="00907D8C">
        <w:t xml:space="preserve"> </w:t>
      </w:r>
      <w:r w:rsidRPr="00036FAC">
        <w:t>the</w:t>
      </w:r>
      <w:r w:rsidR="00907D8C">
        <w:t xml:space="preserve"> </w:t>
      </w:r>
      <w:r w:rsidRPr="00036FAC">
        <w:t>population</w:t>
      </w:r>
    </w:p>
    <w:p w:rsidR="00036FAC" w:rsidRPr="00036FAC" w:rsidRDefault="00036FAC" w:rsidP="00235886">
      <w:pPr>
        <w:pStyle w:val="SingleTxtG"/>
      </w:pPr>
      <w:r w:rsidRPr="00036FAC">
        <w:t>15.</w:t>
      </w:r>
      <w:r w:rsidRPr="00036FAC">
        <w:tab/>
        <w:t>The</w:t>
      </w:r>
      <w:r w:rsidR="00907D8C">
        <w:t xml:space="preserve"> </w:t>
      </w:r>
      <w:r w:rsidRPr="00036FAC">
        <w:t>New</w:t>
      </w:r>
      <w:r w:rsidR="00907D8C">
        <w:t xml:space="preserve"> </w:t>
      </w:r>
      <w:r w:rsidRPr="00036FAC">
        <w:t>Zealand</w:t>
      </w:r>
      <w:r w:rsidR="00907D8C">
        <w:t xml:space="preserve"> </w:t>
      </w:r>
      <w:r w:rsidRPr="00036FAC">
        <w:t>population</w:t>
      </w:r>
      <w:r w:rsidR="00907D8C">
        <w:t xml:space="preserve"> </w:t>
      </w:r>
      <w:r w:rsidRPr="00036FAC">
        <w:t>is</w:t>
      </w:r>
      <w:r w:rsidR="00907D8C">
        <w:t xml:space="preserve"> </w:t>
      </w:r>
      <w:r w:rsidRPr="00036FAC">
        <w:t>highly</w:t>
      </w:r>
      <w:r w:rsidR="00907D8C">
        <w:t xml:space="preserve"> </w:t>
      </w:r>
      <w:r w:rsidRPr="00036FAC">
        <w:t>urbanised.</w:t>
      </w:r>
      <w:r w:rsidR="00907D8C">
        <w:t xml:space="preserve"> </w:t>
      </w:r>
      <w:r w:rsidRPr="00036FAC">
        <w:t>At</w:t>
      </w:r>
      <w:r w:rsidR="00907D8C">
        <w:t xml:space="preserve"> </w:t>
      </w:r>
      <w:r w:rsidRPr="00036FAC">
        <w:t>the</w:t>
      </w:r>
      <w:r w:rsidR="00907D8C">
        <w:t xml:space="preserve"> </w:t>
      </w:r>
      <w:r w:rsidRPr="00036FAC">
        <w:t>2006</w:t>
      </w:r>
      <w:r w:rsidR="00907D8C">
        <w:t xml:space="preserve"> </w:t>
      </w:r>
      <w:r w:rsidRPr="00036FAC">
        <w:t>Census,</w:t>
      </w:r>
      <w:r w:rsidR="00907D8C">
        <w:t xml:space="preserve"> </w:t>
      </w:r>
      <w:r w:rsidRPr="00036FAC">
        <w:t>86</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was</w:t>
      </w:r>
      <w:r w:rsidR="00907D8C">
        <w:t xml:space="preserve"> </w:t>
      </w:r>
      <w:r w:rsidRPr="00036FAC">
        <w:t>living</w:t>
      </w:r>
      <w:r w:rsidR="00907D8C">
        <w:t xml:space="preserve"> </w:t>
      </w:r>
      <w:r w:rsidRPr="00036FAC">
        <w:t>in</w:t>
      </w:r>
      <w:r w:rsidR="00907D8C">
        <w:t xml:space="preserve"> </w:t>
      </w:r>
      <w:r w:rsidRPr="00036FAC">
        <w:t>an</w:t>
      </w:r>
      <w:r w:rsidR="00907D8C">
        <w:t xml:space="preserve"> </w:t>
      </w:r>
      <w:r w:rsidRPr="00036FAC">
        <w:t>urban</w:t>
      </w:r>
      <w:r w:rsidR="00907D8C">
        <w:t xml:space="preserve"> </w:t>
      </w:r>
      <w:r w:rsidRPr="00036FAC">
        <w:t>area.</w:t>
      </w:r>
      <w:r w:rsidR="00907D8C">
        <w:t xml:space="preserve"> </w:t>
      </w:r>
      <w:r w:rsidRPr="00036FAC">
        <w:t>This</w:t>
      </w:r>
      <w:r w:rsidR="00907D8C">
        <w:t xml:space="preserve"> </w:t>
      </w:r>
      <w:r w:rsidRPr="00036FAC">
        <w:t>includes</w:t>
      </w:r>
      <w:r w:rsidR="00907D8C">
        <w:t xml:space="preserve"> </w:t>
      </w:r>
      <w:r w:rsidRPr="00036FAC">
        <w:t>72</w:t>
      </w:r>
      <w:r w:rsidR="00907D8C">
        <w:t xml:space="preserve"> </w:t>
      </w:r>
      <w:r w:rsidR="001B201B">
        <w:t>per</w:t>
      </w:r>
      <w:r w:rsidR="00907D8C">
        <w:t xml:space="preserve"> </w:t>
      </w:r>
      <w:r w:rsidR="001B201B">
        <w:t>cent</w:t>
      </w:r>
      <w:r w:rsidR="00907D8C">
        <w:t xml:space="preserve"> </w:t>
      </w:r>
      <w:r w:rsidRPr="00036FAC">
        <w:t>living</w:t>
      </w:r>
      <w:r w:rsidR="00907D8C">
        <w:t xml:space="preserve"> </w:t>
      </w:r>
      <w:r w:rsidRPr="00036FAC">
        <w:t>in</w:t>
      </w:r>
      <w:r w:rsidR="00907D8C">
        <w:t xml:space="preserve"> </w:t>
      </w:r>
      <w:r w:rsidRPr="00036FAC">
        <w:t>main</w:t>
      </w:r>
      <w:r w:rsidR="00907D8C">
        <w:t xml:space="preserve"> </w:t>
      </w:r>
      <w:r w:rsidRPr="00036FAC">
        <w:t>urban</w:t>
      </w:r>
      <w:r w:rsidR="00907D8C">
        <w:t xml:space="preserve"> </w:t>
      </w:r>
      <w:r w:rsidRPr="00036FAC">
        <w:t>areas</w:t>
      </w:r>
      <w:r w:rsidR="00907D8C">
        <w:t xml:space="preserve"> </w:t>
      </w:r>
      <w:r w:rsidRPr="00036FAC">
        <w:t>(population</w:t>
      </w:r>
      <w:r w:rsidR="00907D8C">
        <w:t xml:space="preserve"> </w:t>
      </w:r>
      <w:r w:rsidRPr="00036FAC">
        <w:t>of</w:t>
      </w:r>
      <w:r w:rsidR="00907D8C">
        <w:t xml:space="preserve"> </w:t>
      </w:r>
      <w:r w:rsidRPr="00036FAC">
        <w:t>30,000</w:t>
      </w:r>
      <w:r w:rsidR="00907D8C">
        <w:t xml:space="preserve"> </w:t>
      </w:r>
      <w:r w:rsidRPr="00036FAC">
        <w:t>or</w:t>
      </w:r>
      <w:r w:rsidR="00907D8C">
        <w:t xml:space="preserve"> </w:t>
      </w:r>
      <w:r w:rsidRPr="00036FAC">
        <w:t>more),</w:t>
      </w:r>
      <w:r w:rsidR="00907D8C">
        <w:t xml:space="preserve"> </w:t>
      </w:r>
      <w:r w:rsidRPr="00036FAC">
        <w:t>6</w:t>
      </w:r>
      <w:r w:rsidR="00907D8C">
        <w:t xml:space="preserve"> </w:t>
      </w:r>
      <w:r w:rsidR="001B201B">
        <w:t>per</w:t>
      </w:r>
      <w:r w:rsidR="00907D8C">
        <w:t xml:space="preserve"> </w:t>
      </w:r>
      <w:r w:rsidR="001B201B">
        <w:t>cent</w:t>
      </w:r>
      <w:r w:rsidR="00907D8C">
        <w:t xml:space="preserve"> </w:t>
      </w:r>
      <w:r w:rsidRPr="00036FAC">
        <w:t>living</w:t>
      </w:r>
      <w:r w:rsidR="00907D8C">
        <w:t xml:space="preserve"> </w:t>
      </w:r>
      <w:r w:rsidRPr="00036FAC">
        <w:t>in</w:t>
      </w:r>
      <w:r w:rsidR="00907D8C">
        <w:t xml:space="preserve"> </w:t>
      </w:r>
      <w:r w:rsidRPr="00036FAC">
        <w:t>secondary</w:t>
      </w:r>
      <w:r w:rsidR="00907D8C">
        <w:t xml:space="preserve"> </w:t>
      </w:r>
      <w:r w:rsidRPr="00036FAC">
        <w:t>urban</w:t>
      </w:r>
      <w:r w:rsidR="00907D8C">
        <w:t xml:space="preserve"> </w:t>
      </w:r>
      <w:r w:rsidRPr="00036FAC">
        <w:t>areas</w:t>
      </w:r>
      <w:r w:rsidR="00907D8C">
        <w:t xml:space="preserve"> </w:t>
      </w:r>
      <w:r w:rsidR="003E4D94">
        <w:t>(10,000–</w:t>
      </w:r>
      <w:r w:rsidRPr="00036FAC">
        <w:t>29,999),</w:t>
      </w:r>
      <w:r w:rsidR="00907D8C">
        <w:t xml:space="preserve"> </w:t>
      </w:r>
      <w:r w:rsidRPr="00036FAC">
        <w:t>and</w:t>
      </w:r>
      <w:r w:rsidR="00907D8C">
        <w:t xml:space="preserve"> </w:t>
      </w:r>
      <w:r w:rsidRPr="00036FAC">
        <w:t>8</w:t>
      </w:r>
      <w:r w:rsidR="00907D8C">
        <w:t xml:space="preserve"> </w:t>
      </w:r>
      <w:r w:rsidR="001B201B">
        <w:t>per</w:t>
      </w:r>
      <w:r w:rsidR="00907D8C">
        <w:t xml:space="preserve"> </w:t>
      </w:r>
      <w:r w:rsidR="001B201B">
        <w:t>cent</w:t>
      </w:r>
      <w:r w:rsidR="00907D8C">
        <w:t xml:space="preserve"> </w:t>
      </w:r>
      <w:r w:rsidRPr="00036FAC">
        <w:t>living</w:t>
      </w:r>
      <w:r w:rsidR="00907D8C">
        <w:t xml:space="preserve"> </w:t>
      </w:r>
      <w:r w:rsidRPr="00036FAC">
        <w:t>in</w:t>
      </w:r>
      <w:r w:rsidR="00907D8C">
        <w:t xml:space="preserve"> </w:t>
      </w:r>
      <w:r w:rsidRPr="00036FAC">
        <w:t>minor</w:t>
      </w:r>
      <w:r w:rsidR="00907D8C">
        <w:t xml:space="preserve"> </w:t>
      </w:r>
      <w:r w:rsidRPr="00036FAC">
        <w:t>urban</w:t>
      </w:r>
      <w:r w:rsidR="00907D8C">
        <w:t xml:space="preserve"> </w:t>
      </w:r>
      <w:r w:rsidRPr="00036FAC">
        <w:t>areas</w:t>
      </w:r>
      <w:r w:rsidR="00907D8C">
        <w:t xml:space="preserve"> </w:t>
      </w:r>
      <w:r w:rsidRPr="00036FAC">
        <w:t>(1,000</w:t>
      </w:r>
      <w:r w:rsidR="003E4D94">
        <w:t>–</w:t>
      </w:r>
      <w:r w:rsidRPr="00036FAC">
        <w:t>9,999).</w:t>
      </w:r>
    </w:p>
    <w:p w:rsidR="00235886" w:rsidRDefault="007F44CC" w:rsidP="00235886">
      <w:pPr>
        <w:pStyle w:val="Heading1"/>
      </w:pPr>
      <w:bookmarkStart w:id="23" w:name="_Toc275331904"/>
      <w:r>
        <w:t>Table</w:t>
      </w:r>
      <w:r w:rsidR="00907D8C">
        <w:t xml:space="preserve"> </w:t>
      </w:r>
      <w:r>
        <w:t>3</w:t>
      </w:r>
    </w:p>
    <w:p w:rsidR="00036FAC" w:rsidRDefault="00036FAC" w:rsidP="00235886">
      <w:pPr>
        <w:pStyle w:val="SingleTxtG"/>
        <w:rPr>
          <w:b/>
        </w:rPr>
      </w:pPr>
      <w:r w:rsidRPr="00235886">
        <w:rPr>
          <w:b/>
        </w:rPr>
        <w:t>Urban</w:t>
      </w:r>
      <w:r w:rsidR="00907D8C">
        <w:rPr>
          <w:b/>
        </w:rPr>
        <w:t xml:space="preserve"> </w:t>
      </w:r>
      <w:r w:rsidRPr="00235886">
        <w:rPr>
          <w:b/>
        </w:rPr>
        <w:t>and</w:t>
      </w:r>
      <w:r w:rsidR="00907D8C">
        <w:rPr>
          <w:b/>
        </w:rPr>
        <w:t xml:space="preserve"> </w:t>
      </w:r>
      <w:r w:rsidRPr="00235886">
        <w:rPr>
          <w:b/>
        </w:rPr>
        <w:t>rural</w:t>
      </w:r>
      <w:r w:rsidR="00907D8C">
        <w:rPr>
          <w:b/>
        </w:rPr>
        <w:t xml:space="preserve"> </w:t>
      </w:r>
      <w:r w:rsidRPr="00235886">
        <w:rPr>
          <w:b/>
        </w:rPr>
        <w:t>residence</w:t>
      </w:r>
      <w:r w:rsidR="00907D8C">
        <w:rPr>
          <w:b/>
        </w:rPr>
        <w:t xml:space="preserve"> </w:t>
      </w:r>
      <w:r w:rsidRPr="00235886">
        <w:rPr>
          <w:b/>
        </w:rPr>
        <w:t>(%),</w:t>
      </w:r>
      <w:r w:rsidR="00907D8C">
        <w:rPr>
          <w:b/>
        </w:rPr>
        <w:t xml:space="preserve"> </w:t>
      </w:r>
      <w:r w:rsidRPr="00235886">
        <w:rPr>
          <w:b/>
        </w:rPr>
        <w:t>by</w:t>
      </w:r>
      <w:r w:rsidR="00907D8C">
        <w:rPr>
          <w:b/>
        </w:rPr>
        <w:t xml:space="preserve"> </w:t>
      </w:r>
      <w:r w:rsidRPr="00235886">
        <w:rPr>
          <w:b/>
        </w:rPr>
        <w:t>ethnic</w:t>
      </w:r>
      <w:r w:rsidR="00907D8C">
        <w:rPr>
          <w:b/>
        </w:rPr>
        <w:t xml:space="preserve"> </w:t>
      </w:r>
      <w:r w:rsidRPr="00235886">
        <w:rPr>
          <w:b/>
        </w:rPr>
        <w:t>group,</w:t>
      </w:r>
      <w:r w:rsidR="00907D8C">
        <w:rPr>
          <w:b/>
        </w:rPr>
        <w:t xml:space="preserve"> </w:t>
      </w:r>
      <w:r w:rsidRPr="00235886">
        <w:rPr>
          <w:b/>
        </w:rPr>
        <w:t>2006</w:t>
      </w:r>
      <w:bookmarkEnd w:id="23"/>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6"/>
        <w:gridCol w:w="867"/>
        <w:gridCol w:w="867"/>
        <w:gridCol w:w="868"/>
        <w:gridCol w:w="867"/>
        <w:gridCol w:w="867"/>
        <w:gridCol w:w="868"/>
      </w:tblGrid>
      <w:tr w:rsidR="00235886" w:rsidRPr="00353B69" w:rsidTr="00353B69">
        <w:tc>
          <w:tcPr>
            <w:tcW w:w="2166" w:type="dxa"/>
            <w:tcBorders>
              <w:top w:val="single" w:sz="4" w:space="0" w:color="auto"/>
              <w:bottom w:val="single" w:sz="12" w:space="0" w:color="auto"/>
            </w:tcBorders>
            <w:shd w:val="clear" w:color="auto" w:fill="auto"/>
            <w:vAlign w:val="bottom"/>
          </w:tcPr>
          <w:p w:rsidR="00235886" w:rsidRPr="00353B69" w:rsidRDefault="00235886" w:rsidP="00353B69">
            <w:pPr>
              <w:spacing w:before="80" w:after="80" w:line="200" w:lineRule="exact"/>
              <w:ind w:right="113"/>
              <w:rPr>
                <w:i/>
                <w:sz w:val="16"/>
                <w:szCs w:val="16"/>
              </w:rPr>
            </w:pPr>
          </w:p>
        </w:tc>
        <w:tc>
          <w:tcPr>
            <w:tcW w:w="867"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i/>
                <w:sz w:val="16"/>
                <w:szCs w:val="16"/>
              </w:rPr>
            </w:pPr>
            <w:r w:rsidRPr="00353B69">
              <w:rPr>
                <w:i/>
                <w:sz w:val="16"/>
                <w:szCs w:val="16"/>
              </w:rPr>
              <w:t>European</w:t>
            </w:r>
          </w:p>
        </w:tc>
        <w:tc>
          <w:tcPr>
            <w:tcW w:w="867"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i/>
                <w:sz w:val="16"/>
                <w:szCs w:val="16"/>
              </w:rPr>
            </w:pPr>
            <w:r w:rsidRPr="00353B69">
              <w:rPr>
                <w:i/>
                <w:sz w:val="16"/>
                <w:szCs w:val="16"/>
              </w:rPr>
              <w:t>Māori</w:t>
            </w:r>
          </w:p>
        </w:tc>
        <w:tc>
          <w:tcPr>
            <w:tcW w:w="868"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i/>
                <w:sz w:val="16"/>
                <w:szCs w:val="16"/>
              </w:rPr>
            </w:pPr>
            <w:r w:rsidRPr="00353B69">
              <w:rPr>
                <w:i/>
                <w:sz w:val="16"/>
                <w:szCs w:val="16"/>
              </w:rPr>
              <w:t>Pacific</w:t>
            </w:r>
            <w:r w:rsidR="00907D8C" w:rsidRPr="00353B69">
              <w:rPr>
                <w:i/>
                <w:sz w:val="16"/>
                <w:szCs w:val="16"/>
              </w:rPr>
              <w:t xml:space="preserve"> </w:t>
            </w:r>
            <w:r w:rsidRPr="00353B69">
              <w:rPr>
                <w:i/>
                <w:sz w:val="16"/>
                <w:szCs w:val="16"/>
              </w:rPr>
              <w:t>peoples</w:t>
            </w:r>
          </w:p>
        </w:tc>
        <w:tc>
          <w:tcPr>
            <w:tcW w:w="867"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i/>
                <w:sz w:val="16"/>
                <w:szCs w:val="16"/>
              </w:rPr>
            </w:pPr>
            <w:r w:rsidRPr="00353B69">
              <w:rPr>
                <w:i/>
                <w:sz w:val="16"/>
                <w:szCs w:val="16"/>
              </w:rPr>
              <w:t>Asian</w:t>
            </w:r>
          </w:p>
        </w:tc>
        <w:tc>
          <w:tcPr>
            <w:tcW w:w="867"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i/>
                <w:sz w:val="16"/>
                <w:szCs w:val="16"/>
              </w:rPr>
            </w:pPr>
            <w:r w:rsidRPr="00353B69">
              <w:rPr>
                <w:i/>
                <w:sz w:val="16"/>
                <w:szCs w:val="16"/>
              </w:rPr>
              <w:t>Other</w:t>
            </w:r>
          </w:p>
        </w:tc>
        <w:tc>
          <w:tcPr>
            <w:tcW w:w="868" w:type="dxa"/>
            <w:tcBorders>
              <w:top w:val="single" w:sz="4" w:space="0" w:color="auto"/>
              <w:bottom w:val="single" w:sz="12" w:space="0" w:color="auto"/>
            </w:tcBorders>
            <w:shd w:val="clear" w:color="auto" w:fill="auto"/>
            <w:vAlign w:val="bottom"/>
          </w:tcPr>
          <w:p w:rsidR="00235886" w:rsidRPr="00353B69" w:rsidRDefault="00235886" w:rsidP="00353B69">
            <w:pPr>
              <w:suppressAutoHyphens w:val="0"/>
              <w:spacing w:before="80" w:after="80" w:line="200" w:lineRule="exact"/>
              <w:ind w:right="113"/>
              <w:jc w:val="right"/>
              <w:rPr>
                <w:b/>
                <w:i/>
                <w:sz w:val="16"/>
                <w:szCs w:val="16"/>
              </w:rPr>
            </w:pPr>
            <w:r w:rsidRPr="00353B69">
              <w:rPr>
                <w:b/>
                <w:i/>
                <w:sz w:val="16"/>
                <w:szCs w:val="16"/>
              </w:rPr>
              <w:t>Total</w:t>
            </w:r>
          </w:p>
        </w:tc>
      </w:tr>
      <w:tr w:rsidR="00235886" w:rsidRPr="00235886" w:rsidTr="00353B69">
        <w:tc>
          <w:tcPr>
            <w:tcW w:w="2166"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rPr>
                <w:sz w:val="18"/>
              </w:rPr>
            </w:pPr>
            <w:r w:rsidRPr="00235886">
              <w:rPr>
                <w:sz w:val="18"/>
              </w:rPr>
              <w:t>Main</w:t>
            </w:r>
            <w:r w:rsidR="00907D8C">
              <w:rPr>
                <w:sz w:val="18"/>
              </w:rPr>
              <w:t xml:space="preserve"> </w:t>
            </w:r>
            <w:r w:rsidRPr="00235886">
              <w:rPr>
                <w:sz w:val="18"/>
              </w:rPr>
              <w:t>urban</w:t>
            </w:r>
            <w:r w:rsidR="00907D8C">
              <w:rPr>
                <w:sz w:val="18"/>
              </w:rPr>
              <w:t xml:space="preserve"> </w:t>
            </w:r>
            <w:r w:rsidRPr="00235886">
              <w:rPr>
                <w:sz w:val="18"/>
              </w:rPr>
              <w:t>area</w:t>
            </w:r>
            <w:r w:rsidR="00907D8C">
              <w:rPr>
                <w:sz w:val="18"/>
              </w:rPr>
              <w:t xml:space="preserve"> </w:t>
            </w:r>
            <w:r w:rsidRPr="00235886">
              <w:rPr>
                <w:sz w:val="18"/>
              </w:rPr>
              <w:t>(30,000+)</w:t>
            </w:r>
          </w:p>
        </w:tc>
        <w:tc>
          <w:tcPr>
            <w:tcW w:w="867"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69</w:t>
            </w:r>
          </w:p>
        </w:tc>
        <w:tc>
          <w:tcPr>
            <w:tcW w:w="867"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65</w:t>
            </w:r>
          </w:p>
        </w:tc>
        <w:tc>
          <w:tcPr>
            <w:tcW w:w="868"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92</w:t>
            </w:r>
          </w:p>
        </w:tc>
        <w:tc>
          <w:tcPr>
            <w:tcW w:w="867"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94</w:t>
            </w:r>
          </w:p>
        </w:tc>
        <w:tc>
          <w:tcPr>
            <w:tcW w:w="867"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91</w:t>
            </w:r>
          </w:p>
        </w:tc>
        <w:tc>
          <w:tcPr>
            <w:tcW w:w="868" w:type="dxa"/>
            <w:tcBorders>
              <w:top w:val="single" w:sz="12" w:space="0" w:color="auto"/>
            </w:tcBorders>
            <w:shd w:val="clear" w:color="auto" w:fill="auto"/>
            <w:vAlign w:val="bottom"/>
          </w:tcPr>
          <w:p w:rsidR="00235886" w:rsidRPr="00235886" w:rsidRDefault="00235886" w:rsidP="00BD732C">
            <w:pPr>
              <w:suppressAutoHyphens w:val="0"/>
              <w:spacing w:before="40" w:after="40" w:line="220" w:lineRule="exact"/>
              <w:ind w:right="113"/>
              <w:jc w:val="right"/>
              <w:rPr>
                <w:b/>
                <w:sz w:val="18"/>
              </w:rPr>
            </w:pPr>
            <w:r w:rsidRPr="00235886">
              <w:rPr>
                <w:b/>
                <w:sz w:val="18"/>
              </w:rPr>
              <w:t>72</w:t>
            </w:r>
          </w:p>
        </w:tc>
      </w:tr>
      <w:tr w:rsidR="00235886" w:rsidRPr="00235886" w:rsidTr="00353B69">
        <w:tc>
          <w:tcPr>
            <w:tcW w:w="2166" w:type="dxa"/>
            <w:shd w:val="clear" w:color="auto" w:fill="auto"/>
            <w:vAlign w:val="bottom"/>
          </w:tcPr>
          <w:p w:rsidR="00235886" w:rsidRPr="00235886" w:rsidRDefault="00235886" w:rsidP="00BD732C">
            <w:pPr>
              <w:suppressAutoHyphens w:val="0"/>
              <w:spacing w:before="40" w:after="40" w:line="220" w:lineRule="exact"/>
              <w:ind w:right="113"/>
              <w:rPr>
                <w:sz w:val="18"/>
              </w:rPr>
            </w:pPr>
            <w:r w:rsidRPr="00235886">
              <w:rPr>
                <w:sz w:val="18"/>
              </w:rPr>
              <w:t>Secondary</w:t>
            </w:r>
            <w:r w:rsidR="00907D8C">
              <w:rPr>
                <w:sz w:val="18"/>
              </w:rPr>
              <w:t xml:space="preserve"> </w:t>
            </w:r>
            <w:r w:rsidRPr="00235886">
              <w:rPr>
                <w:sz w:val="18"/>
              </w:rPr>
              <w:t>urban</w:t>
            </w:r>
            <w:r w:rsidR="00907D8C">
              <w:rPr>
                <w:sz w:val="18"/>
              </w:rPr>
              <w:t xml:space="preserve"> </w:t>
            </w:r>
            <w:r w:rsidRPr="00235886">
              <w:rPr>
                <w:sz w:val="18"/>
              </w:rPr>
              <w:t>area</w:t>
            </w:r>
            <w:r w:rsidR="00907D8C">
              <w:rPr>
                <w:sz w:val="18"/>
              </w:rPr>
              <w:t xml:space="preserve"> </w:t>
            </w:r>
            <w:r w:rsidRPr="00235886">
              <w:rPr>
                <w:sz w:val="18"/>
              </w:rPr>
              <w:br/>
              <w:t>(10,000–29,999)</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7</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7</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3</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2</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2</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b/>
                <w:sz w:val="18"/>
              </w:rPr>
            </w:pPr>
            <w:r w:rsidRPr="00235886">
              <w:rPr>
                <w:b/>
                <w:sz w:val="18"/>
              </w:rPr>
              <w:t>6</w:t>
            </w:r>
          </w:p>
        </w:tc>
      </w:tr>
      <w:tr w:rsidR="00235886" w:rsidRPr="00235886" w:rsidTr="00353B69">
        <w:tc>
          <w:tcPr>
            <w:tcW w:w="2166" w:type="dxa"/>
            <w:shd w:val="clear" w:color="auto" w:fill="auto"/>
            <w:vAlign w:val="bottom"/>
          </w:tcPr>
          <w:p w:rsidR="00235886" w:rsidRPr="00235886" w:rsidRDefault="00235886" w:rsidP="00BD732C">
            <w:pPr>
              <w:suppressAutoHyphens w:val="0"/>
              <w:spacing w:before="40" w:after="40" w:line="220" w:lineRule="exact"/>
              <w:ind w:right="113"/>
              <w:rPr>
                <w:sz w:val="18"/>
              </w:rPr>
            </w:pPr>
            <w:r w:rsidRPr="00235886">
              <w:rPr>
                <w:sz w:val="18"/>
              </w:rPr>
              <w:t>Minor</w:t>
            </w:r>
            <w:r w:rsidR="00907D8C">
              <w:rPr>
                <w:sz w:val="18"/>
              </w:rPr>
              <w:t xml:space="preserve"> </w:t>
            </w:r>
            <w:r w:rsidRPr="00235886">
              <w:rPr>
                <w:sz w:val="18"/>
              </w:rPr>
              <w:t>urban</w:t>
            </w:r>
            <w:r w:rsidR="00907D8C">
              <w:rPr>
                <w:sz w:val="18"/>
              </w:rPr>
              <w:t xml:space="preserve"> </w:t>
            </w:r>
            <w:r w:rsidRPr="00235886">
              <w:rPr>
                <w:sz w:val="18"/>
              </w:rPr>
              <w:t>area</w:t>
            </w:r>
            <w:r w:rsidR="00353B69">
              <w:rPr>
                <w:sz w:val="18"/>
              </w:rPr>
              <w:br/>
            </w:r>
            <w:r w:rsidRPr="00235886">
              <w:rPr>
                <w:sz w:val="18"/>
              </w:rPr>
              <w:t>(1,000–9,999)</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13</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2</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2</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3</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b/>
                <w:sz w:val="18"/>
              </w:rPr>
            </w:pPr>
            <w:r w:rsidRPr="00235886">
              <w:rPr>
                <w:b/>
                <w:sz w:val="18"/>
              </w:rPr>
              <w:t>8</w:t>
            </w:r>
          </w:p>
        </w:tc>
      </w:tr>
      <w:tr w:rsidR="00235886" w:rsidRPr="00235886" w:rsidTr="00353B69">
        <w:tc>
          <w:tcPr>
            <w:tcW w:w="2166" w:type="dxa"/>
            <w:shd w:val="clear" w:color="auto" w:fill="auto"/>
            <w:vAlign w:val="bottom"/>
          </w:tcPr>
          <w:p w:rsidR="00235886" w:rsidRPr="00235886" w:rsidRDefault="00235886" w:rsidP="00BD732C">
            <w:pPr>
              <w:suppressAutoHyphens w:val="0"/>
              <w:spacing w:before="40" w:after="40" w:line="220" w:lineRule="exact"/>
              <w:ind w:right="113"/>
              <w:rPr>
                <w:sz w:val="18"/>
              </w:rPr>
            </w:pPr>
            <w:r w:rsidRPr="00235886">
              <w:rPr>
                <w:sz w:val="18"/>
              </w:rPr>
              <w:t>Total</w:t>
            </w:r>
            <w:r w:rsidR="00907D8C">
              <w:rPr>
                <w:sz w:val="18"/>
              </w:rPr>
              <w:t xml:space="preserve"> </w:t>
            </w:r>
            <w:r w:rsidRPr="00235886">
              <w:rPr>
                <w:sz w:val="18"/>
              </w:rPr>
              <w:t>urban</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84</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84</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97</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98</w:t>
            </w:r>
          </w:p>
        </w:tc>
        <w:tc>
          <w:tcPr>
            <w:tcW w:w="867" w:type="dxa"/>
            <w:shd w:val="clear" w:color="auto" w:fill="auto"/>
            <w:vAlign w:val="bottom"/>
          </w:tcPr>
          <w:p w:rsidR="00235886" w:rsidRPr="00235886" w:rsidRDefault="00235886" w:rsidP="00BD732C">
            <w:pPr>
              <w:suppressAutoHyphens w:val="0"/>
              <w:spacing w:before="40" w:after="40" w:line="220" w:lineRule="exact"/>
              <w:ind w:right="113"/>
              <w:jc w:val="right"/>
              <w:rPr>
                <w:sz w:val="18"/>
              </w:rPr>
            </w:pPr>
            <w:r w:rsidRPr="00235886">
              <w:rPr>
                <w:sz w:val="18"/>
              </w:rPr>
              <w:t>96</w:t>
            </w:r>
          </w:p>
        </w:tc>
        <w:tc>
          <w:tcPr>
            <w:tcW w:w="868" w:type="dxa"/>
            <w:shd w:val="clear" w:color="auto" w:fill="auto"/>
            <w:vAlign w:val="bottom"/>
          </w:tcPr>
          <w:p w:rsidR="00235886" w:rsidRPr="00235886" w:rsidRDefault="00235886" w:rsidP="00BD732C">
            <w:pPr>
              <w:suppressAutoHyphens w:val="0"/>
              <w:spacing w:before="40" w:after="40" w:line="220" w:lineRule="exact"/>
              <w:ind w:right="113"/>
              <w:jc w:val="right"/>
              <w:rPr>
                <w:b/>
                <w:sz w:val="18"/>
              </w:rPr>
            </w:pPr>
            <w:r w:rsidRPr="00235886">
              <w:rPr>
                <w:b/>
                <w:sz w:val="18"/>
              </w:rPr>
              <w:t>86</w:t>
            </w:r>
          </w:p>
        </w:tc>
      </w:tr>
      <w:tr w:rsidR="00235886" w:rsidRPr="00235886" w:rsidTr="00353B69">
        <w:tc>
          <w:tcPr>
            <w:tcW w:w="2166"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rPr>
                <w:sz w:val="18"/>
              </w:rPr>
            </w:pPr>
            <w:r w:rsidRPr="00235886">
              <w:rPr>
                <w:sz w:val="18"/>
              </w:rPr>
              <w:t>Rural</w:t>
            </w:r>
          </w:p>
        </w:tc>
        <w:tc>
          <w:tcPr>
            <w:tcW w:w="867"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sz w:val="18"/>
              </w:rPr>
            </w:pPr>
            <w:r w:rsidRPr="00235886">
              <w:rPr>
                <w:sz w:val="18"/>
              </w:rPr>
              <w:t>16</w:t>
            </w:r>
          </w:p>
        </w:tc>
        <w:tc>
          <w:tcPr>
            <w:tcW w:w="867"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sz w:val="18"/>
              </w:rPr>
            </w:pPr>
            <w:r w:rsidRPr="00235886">
              <w:rPr>
                <w:sz w:val="18"/>
              </w:rPr>
              <w:t>16</w:t>
            </w:r>
          </w:p>
        </w:tc>
        <w:tc>
          <w:tcPr>
            <w:tcW w:w="868"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sz w:val="18"/>
              </w:rPr>
            </w:pPr>
            <w:r w:rsidRPr="00235886">
              <w:rPr>
                <w:sz w:val="18"/>
              </w:rPr>
              <w:t>2</w:t>
            </w:r>
          </w:p>
        </w:tc>
        <w:tc>
          <w:tcPr>
            <w:tcW w:w="867"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sz w:val="18"/>
              </w:rPr>
            </w:pPr>
            <w:r w:rsidRPr="00235886">
              <w:rPr>
                <w:sz w:val="18"/>
              </w:rPr>
              <w:t>2</w:t>
            </w:r>
          </w:p>
        </w:tc>
        <w:tc>
          <w:tcPr>
            <w:tcW w:w="867"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sz w:val="18"/>
              </w:rPr>
            </w:pPr>
            <w:r w:rsidRPr="00235886">
              <w:rPr>
                <w:sz w:val="18"/>
              </w:rPr>
              <w:t>4</w:t>
            </w:r>
          </w:p>
        </w:tc>
        <w:tc>
          <w:tcPr>
            <w:tcW w:w="868" w:type="dxa"/>
            <w:tcBorders>
              <w:bottom w:val="single" w:sz="4" w:space="0" w:color="auto"/>
            </w:tcBorders>
            <w:shd w:val="clear" w:color="auto" w:fill="auto"/>
            <w:vAlign w:val="bottom"/>
          </w:tcPr>
          <w:p w:rsidR="00235886" w:rsidRPr="00235886" w:rsidRDefault="00235886" w:rsidP="00D06F7E">
            <w:pPr>
              <w:suppressAutoHyphens w:val="0"/>
              <w:spacing w:before="40" w:after="40" w:line="220" w:lineRule="exact"/>
              <w:ind w:right="113"/>
              <w:jc w:val="right"/>
              <w:rPr>
                <w:b/>
                <w:sz w:val="18"/>
              </w:rPr>
            </w:pPr>
            <w:r w:rsidRPr="00235886">
              <w:rPr>
                <w:b/>
                <w:sz w:val="18"/>
              </w:rPr>
              <w:t>14</w:t>
            </w:r>
          </w:p>
        </w:tc>
      </w:tr>
      <w:tr w:rsidR="00235886" w:rsidRPr="00235886" w:rsidTr="00353B69">
        <w:tc>
          <w:tcPr>
            <w:tcW w:w="2166" w:type="dxa"/>
            <w:tcBorders>
              <w:top w:val="single" w:sz="4" w:space="0" w:color="auto"/>
              <w:bottom w:val="single" w:sz="12" w:space="0" w:color="auto"/>
            </w:tcBorders>
            <w:shd w:val="clear" w:color="auto" w:fill="auto"/>
            <w:vAlign w:val="bottom"/>
          </w:tcPr>
          <w:p w:rsidR="00235886" w:rsidRPr="00235886" w:rsidRDefault="00235886" w:rsidP="00353B69">
            <w:pPr>
              <w:suppressAutoHyphens w:val="0"/>
              <w:spacing w:before="80" w:after="80" w:line="220" w:lineRule="exact"/>
              <w:ind w:left="284" w:right="113"/>
              <w:rPr>
                <w:b/>
                <w:sz w:val="18"/>
              </w:rPr>
            </w:pPr>
            <w:r w:rsidRPr="00235886">
              <w:rPr>
                <w:b/>
                <w:sz w:val="18"/>
              </w:rPr>
              <w:t>Total</w:t>
            </w:r>
          </w:p>
        </w:tc>
        <w:tc>
          <w:tcPr>
            <w:tcW w:w="867"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c>
          <w:tcPr>
            <w:tcW w:w="867"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c>
          <w:tcPr>
            <w:tcW w:w="868"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c>
          <w:tcPr>
            <w:tcW w:w="867"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c>
          <w:tcPr>
            <w:tcW w:w="867"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c>
          <w:tcPr>
            <w:tcW w:w="868" w:type="dxa"/>
            <w:tcBorders>
              <w:top w:val="single" w:sz="4" w:space="0" w:color="auto"/>
              <w:bottom w:val="single" w:sz="12" w:space="0" w:color="auto"/>
            </w:tcBorders>
            <w:shd w:val="clear" w:color="auto" w:fill="auto"/>
            <w:vAlign w:val="bottom"/>
          </w:tcPr>
          <w:p w:rsidR="00235886" w:rsidRPr="00235886" w:rsidRDefault="00235886" w:rsidP="00235886">
            <w:pPr>
              <w:suppressAutoHyphens w:val="0"/>
              <w:spacing w:before="80" w:after="80" w:line="220" w:lineRule="exact"/>
              <w:ind w:right="113"/>
              <w:jc w:val="right"/>
              <w:rPr>
                <w:b/>
                <w:sz w:val="18"/>
              </w:rPr>
            </w:pPr>
            <w:r w:rsidRPr="00235886">
              <w:rPr>
                <w:b/>
                <w:sz w:val="18"/>
              </w:rPr>
              <w:t>100</w:t>
            </w:r>
          </w:p>
        </w:tc>
      </w:tr>
    </w:tbl>
    <w:p w:rsidR="002B37D0" w:rsidRDefault="002B37D0" w:rsidP="002B37D0">
      <w:pPr>
        <w:spacing w:before="120"/>
        <w:ind w:left="1134" w:right="1134" w:firstLine="170"/>
        <w:rPr>
          <w:sz w:val="18"/>
          <w:szCs w:val="18"/>
        </w:rPr>
      </w:pPr>
      <w:r w:rsidRPr="007C016E">
        <w:rPr>
          <w:i/>
          <w:sz w:val="18"/>
          <w:szCs w:val="18"/>
        </w:rPr>
        <w:t>Source</w:t>
      </w:r>
      <w:r>
        <w:rPr>
          <w:sz w:val="18"/>
          <w:szCs w:val="18"/>
        </w:rPr>
        <w:t>:</w:t>
      </w:r>
      <w:r w:rsidR="00907D8C">
        <w:rPr>
          <w:sz w:val="18"/>
          <w:szCs w:val="18"/>
        </w:rPr>
        <w:t xml:space="preserve">  </w:t>
      </w:r>
      <w:r>
        <w:rPr>
          <w:sz w:val="18"/>
          <w:szCs w:val="18"/>
        </w:rPr>
        <w:t>Statistics</w:t>
      </w:r>
      <w:r w:rsidR="00907D8C">
        <w:rPr>
          <w:sz w:val="18"/>
          <w:szCs w:val="18"/>
        </w:rPr>
        <w:t xml:space="preserve"> </w:t>
      </w:r>
      <w:r>
        <w:rPr>
          <w:sz w:val="18"/>
          <w:szCs w:val="18"/>
        </w:rPr>
        <w:t>New</w:t>
      </w:r>
      <w:r w:rsidR="00907D8C">
        <w:rPr>
          <w:sz w:val="18"/>
          <w:szCs w:val="18"/>
        </w:rPr>
        <w:t xml:space="preserve"> </w:t>
      </w:r>
      <w:r>
        <w:rPr>
          <w:sz w:val="18"/>
          <w:szCs w:val="18"/>
        </w:rPr>
        <w:t>Zealand,</w:t>
      </w:r>
      <w:r w:rsidR="00907D8C">
        <w:rPr>
          <w:sz w:val="18"/>
          <w:szCs w:val="18"/>
        </w:rPr>
        <w:t xml:space="preserve"> </w:t>
      </w:r>
      <w:r w:rsidR="00235886" w:rsidRPr="00235886">
        <w:rPr>
          <w:sz w:val="18"/>
          <w:szCs w:val="18"/>
        </w:rPr>
        <w:t>2006</w:t>
      </w:r>
      <w:r w:rsidR="00907D8C">
        <w:rPr>
          <w:sz w:val="18"/>
          <w:szCs w:val="18"/>
        </w:rPr>
        <w:t xml:space="preserve"> </w:t>
      </w:r>
      <w:r w:rsidR="00235886" w:rsidRPr="00235886">
        <w:rPr>
          <w:sz w:val="18"/>
          <w:szCs w:val="18"/>
        </w:rPr>
        <w:t>Census,</w:t>
      </w:r>
      <w:r w:rsidR="00907D8C">
        <w:rPr>
          <w:sz w:val="18"/>
          <w:szCs w:val="18"/>
        </w:rPr>
        <w:t xml:space="preserve"> </w:t>
      </w:r>
      <w:r w:rsidR="00235886" w:rsidRPr="00235886">
        <w:rPr>
          <w:sz w:val="18"/>
          <w:szCs w:val="18"/>
        </w:rPr>
        <w:t>unpublished</w:t>
      </w:r>
      <w:r w:rsidR="00907D8C">
        <w:rPr>
          <w:sz w:val="18"/>
          <w:szCs w:val="18"/>
        </w:rPr>
        <w:t xml:space="preserve"> </w:t>
      </w:r>
      <w:r w:rsidR="00235886" w:rsidRPr="00235886">
        <w:rPr>
          <w:sz w:val="18"/>
          <w:szCs w:val="18"/>
        </w:rPr>
        <w:t>data.</w:t>
      </w:r>
    </w:p>
    <w:p w:rsidR="00036FAC" w:rsidRPr="00235886" w:rsidRDefault="00235886" w:rsidP="00353B69">
      <w:pPr>
        <w:spacing w:after="240"/>
        <w:ind w:left="1134" w:right="1134" w:firstLine="170"/>
        <w:rPr>
          <w:sz w:val="18"/>
          <w:szCs w:val="18"/>
        </w:rPr>
      </w:pPr>
      <w:r w:rsidRPr="00235886">
        <w:rPr>
          <w:i/>
          <w:sz w:val="18"/>
          <w:szCs w:val="18"/>
        </w:rPr>
        <w:t>Note</w:t>
      </w:r>
      <w:r w:rsidRPr="00235886">
        <w:rPr>
          <w:sz w:val="18"/>
          <w:szCs w:val="18"/>
        </w:rPr>
        <w:t>:</w:t>
      </w:r>
      <w:r w:rsidR="00907D8C">
        <w:rPr>
          <w:sz w:val="18"/>
          <w:szCs w:val="18"/>
        </w:rPr>
        <w:t xml:space="preserve">  </w:t>
      </w:r>
      <w:r w:rsidRPr="00235886">
        <w:rPr>
          <w:sz w:val="18"/>
          <w:szCs w:val="18"/>
        </w:rPr>
        <w:t>New</w:t>
      </w:r>
      <w:r w:rsidR="00907D8C">
        <w:rPr>
          <w:sz w:val="18"/>
          <w:szCs w:val="18"/>
        </w:rPr>
        <w:t xml:space="preserve"> </w:t>
      </w:r>
      <w:r w:rsidRPr="00235886">
        <w:rPr>
          <w:sz w:val="18"/>
          <w:szCs w:val="18"/>
        </w:rPr>
        <w:t>Zealander</w:t>
      </w:r>
      <w:r w:rsidR="00907D8C">
        <w:rPr>
          <w:sz w:val="18"/>
          <w:szCs w:val="18"/>
        </w:rPr>
        <w:t xml:space="preserve"> </w:t>
      </w:r>
      <w:r w:rsidRPr="00235886">
        <w:rPr>
          <w:sz w:val="18"/>
          <w:szCs w:val="18"/>
        </w:rPr>
        <w:t>is</w:t>
      </w:r>
      <w:r w:rsidR="00907D8C">
        <w:rPr>
          <w:sz w:val="18"/>
          <w:szCs w:val="18"/>
        </w:rPr>
        <w:t xml:space="preserve"> </w:t>
      </w:r>
      <w:r w:rsidRPr="00235886">
        <w:rPr>
          <w:sz w:val="18"/>
          <w:szCs w:val="18"/>
        </w:rPr>
        <w:t>included</w:t>
      </w:r>
      <w:r w:rsidR="00907D8C">
        <w:rPr>
          <w:sz w:val="18"/>
          <w:szCs w:val="18"/>
        </w:rPr>
        <w:t xml:space="preserve"> </w:t>
      </w:r>
      <w:r w:rsidRPr="00235886">
        <w:rPr>
          <w:sz w:val="18"/>
          <w:szCs w:val="18"/>
        </w:rPr>
        <w:t>in</w:t>
      </w:r>
      <w:r w:rsidR="00907D8C">
        <w:rPr>
          <w:sz w:val="18"/>
          <w:szCs w:val="18"/>
        </w:rPr>
        <w:t xml:space="preserve"> </w:t>
      </w:r>
      <w:r w:rsidRPr="00235886">
        <w:rPr>
          <w:sz w:val="18"/>
          <w:szCs w:val="18"/>
        </w:rPr>
        <w:t>European;</w:t>
      </w:r>
      <w:r w:rsidR="00907D8C">
        <w:rPr>
          <w:sz w:val="18"/>
          <w:szCs w:val="18"/>
        </w:rPr>
        <w:t xml:space="preserve"> </w:t>
      </w:r>
      <w:r w:rsidRPr="00235886">
        <w:rPr>
          <w:sz w:val="18"/>
          <w:szCs w:val="18"/>
        </w:rPr>
        <w:t>Middle</w:t>
      </w:r>
      <w:r w:rsidR="00907D8C">
        <w:rPr>
          <w:sz w:val="18"/>
          <w:szCs w:val="18"/>
        </w:rPr>
        <w:t xml:space="preserve"> </w:t>
      </w:r>
      <w:r w:rsidRPr="00235886">
        <w:rPr>
          <w:sz w:val="18"/>
          <w:szCs w:val="18"/>
        </w:rPr>
        <w:t>Eastern,</w:t>
      </w:r>
      <w:r w:rsidR="00907D8C">
        <w:rPr>
          <w:sz w:val="18"/>
          <w:szCs w:val="18"/>
        </w:rPr>
        <w:t xml:space="preserve"> </w:t>
      </w:r>
      <w:r w:rsidRPr="00235886">
        <w:rPr>
          <w:sz w:val="18"/>
          <w:szCs w:val="18"/>
        </w:rPr>
        <w:t>Latin</w:t>
      </w:r>
      <w:r w:rsidR="00907D8C">
        <w:rPr>
          <w:sz w:val="18"/>
          <w:szCs w:val="18"/>
        </w:rPr>
        <w:t xml:space="preserve"> </w:t>
      </w:r>
      <w:r w:rsidRPr="00235886">
        <w:rPr>
          <w:sz w:val="18"/>
          <w:szCs w:val="18"/>
        </w:rPr>
        <w:t>American,</w:t>
      </w:r>
      <w:r w:rsidR="00907D8C">
        <w:rPr>
          <w:sz w:val="18"/>
          <w:szCs w:val="18"/>
        </w:rPr>
        <w:t xml:space="preserve"> </w:t>
      </w:r>
      <w:r w:rsidRPr="00235886">
        <w:rPr>
          <w:sz w:val="18"/>
          <w:szCs w:val="18"/>
        </w:rPr>
        <w:t>and</w:t>
      </w:r>
      <w:r w:rsidR="00907D8C">
        <w:rPr>
          <w:sz w:val="18"/>
          <w:szCs w:val="18"/>
        </w:rPr>
        <w:t xml:space="preserve"> </w:t>
      </w:r>
      <w:r w:rsidRPr="00235886">
        <w:rPr>
          <w:sz w:val="18"/>
          <w:szCs w:val="18"/>
        </w:rPr>
        <w:t>African</w:t>
      </w:r>
      <w:r w:rsidR="00907D8C">
        <w:rPr>
          <w:sz w:val="18"/>
          <w:szCs w:val="18"/>
        </w:rPr>
        <w:t xml:space="preserve"> </w:t>
      </w:r>
      <w:r w:rsidRPr="00235886">
        <w:rPr>
          <w:sz w:val="18"/>
          <w:szCs w:val="18"/>
        </w:rPr>
        <w:t>groups</w:t>
      </w:r>
      <w:r w:rsidR="00907D8C">
        <w:rPr>
          <w:sz w:val="18"/>
          <w:szCs w:val="18"/>
        </w:rPr>
        <w:t xml:space="preserve"> </w:t>
      </w:r>
      <w:r w:rsidRPr="00235886">
        <w:rPr>
          <w:sz w:val="18"/>
          <w:szCs w:val="18"/>
        </w:rPr>
        <w:t>are</w:t>
      </w:r>
      <w:r w:rsidR="00907D8C">
        <w:rPr>
          <w:sz w:val="18"/>
          <w:szCs w:val="18"/>
        </w:rPr>
        <w:t xml:space="preserve"> </w:t>
      </w:r>
      <w:r w:rsidRPr="00235886">
        <w:rPr>
          <w:sz w:val="18"/>
          <w:szCs w:val="18"/>
        </w:rPr>
        <w:t>included</w:t>
      </w:r>
      <w:r w:rsidR="00907D8C">
        <w:rPr>
          <w:sz w:val="18"/>
          <w:szCs w:val="18"/>
        </w:rPr>
        <w:t xml:space="preserve"> </w:t>
      </w:r>
      <w:r w:rsidRPr="00235886">
        <w:rPr>
          <w:sz w:val="18"/>
          <w:szCs w:val="18"/>
        </w:rPr>
        <w:t>in</w:t>
      </w:r>
      <w:r w:rsidR="00907D8C">
        <w:rPr>
          <w:sz w:val="18"/>
          <w:szCs w:val="18"/>
        </w:rPr>
        <w:t xml:space="preserve"> </w:t>
      </w:r>
      <w:r w:rsidRPr="00235886">
        <w:rPr>
          <w:sz w:val="18"/>
          <w:szCs w:val="18"/>
        </w:rPr>
        <w:t>Other.</w:t>
      </w:r>
    </w:p>
    <w:p w:rsidR="00036FAC" w:rsidRPr="00036FAC" w:rsidRDefault="00036FAC" w:rsidP="00797C82">
      <w:pPr>
        <w:pStyle w:val="SingleTxtG"/>
      </w:pPr>
      <w:r w:rsidRPr="00036FAC">
        <w:t>16.</w:t>
      </w:r>
      <w:r w:rsidRPr="00036FAC">
        <w:tab/>
        <w:t>There</w:t>
      </w:r>
      <w:r w:rsidR="00907D8C">
        <w:t xml:space="preserve"> </w:t>
      </w:r>
      <w:r w:rsidRPr="00036FAC">
        <w:t>are</w:t>
      </w:r>
      <w:r w:rsidR="00907D8C">
        <w:t xml:space="preserve"> </w:t>
      </w:r>
      <w:r w:rsidRPr="00036FAC">
        <w:t>marked</w:t>
      </w:r>
      <w:r w:rsidR="00907D8C">
        <w:t xml:space="preserve"> </w:t>
      </w:r>
      <w:r w:rsidRPr="00036FAC">
        <w:t>ethnic</w:t>
      </w:r>
      <w:r w:rsidR="00907D8C">
        <w:t xml:space="preserve"> </w:t>
      </w:r>
      <w:r w:rsidRPr="00036FAC">
        <w:t>differences</w:t>
      </w:r>
      <w:r w:rsidR="00907D8C">
        <w:t xml:space="preserve"> </w:t>
      </w:r>
      <w:r w:rsidRPr="00036FAC">
        <w:t>in</w:t>
      </w:r>
      <w:r w:rsidR="00907D8C">
        <w:t xml:space="preserve"> </w:t>
      </w:r>
      <w:r w:rsidRPr="00036FAC">
        <w:t>urbanisation,</w:t>
      </w:r>
      <w:r w:rsidR="00907D8C">
        <w:t xml:space="preserve"> </w:t>
      </w:r>
      <w:r w:rsidRPr="00036FAC">
        <w:t>with</w:t>
      </w:r>
      <w:r w:rsidR="00907D8C">
        <w:t xml:space="preserve"> </w:t>
      </w:r>
      <w:r w:rsidRPr="00036FAC">
        <w:t>the</w:t>
      </w:r>
      <w:r w:rsidR="00907D8C">
        <w:t xml:space="preserve"> </w:t>
      </w:r>
      <w:r w:rsidRPr="00036FAC">
        <w:t>great</w:t>
      </w:r>
      <w:r w:rsidR="00907D8C">
        <w:t xml:space="preserve"> </w:t>
      </w:r>
      <w:r w:rsidRPr="00036FAC">
        <w:t>majority</w:t>
      </w:r>
      <w:r w:rsidR="00907D8C">
        <w:t xml:space="preserve"> </w:t>
      </w:r>
      <w:r w:rsidRPr="00036FAC">
        <w:t>of</w:t>
      </w:r>
      <w:r w:rsidR="00907D8C">
        <w:t xml:space="preserve"> </w:t>
      </w:r>
      <w:r w:rsidRPr="00036FAC">
        <w:t>Pacific</w:t>
      </w:r>
      <w:r w:rsidR="00907D8C">
        <w:t xml:space="preserve"> </w:t>
      </w:r>
      <w:r w:rsidRPr="00036FAC">
        <w:t>peoples,</w:t>
      </w:r>
      <w:r w:rsidR="00907D8C">
        <w:t xml:space="preserve"> </w:t>
      </w:r>
      <w:r w:rsidRPr="00036FAC">
        <w:t>Asian,</w:t>
      </w:r>
      <w:r w:rsidR="00907D8C">
        <w:t xml:space="preserve"> </w:t>
      </w:r>
      <w:r w:rsidRPr="00036FAC">
        <w:t>and</w:t>
      </w:r>
      <w:r w:rsidR="00907D8C">
        <w:t xml:space="preserve"> </w:t>
      </w:r>
      <w:r w:rsidRPr="00036FAC">
        <w:t>Other</w:t>
      </w:r>
      <w:r w:rsidR="00907D8C">
        <w:t xml:space="preserve"> </w:t>
      </w:r>
      <w:r w:rsidRPr="00036FAC">
        <w:t>ethnic</w:t>
      </w:r>
      <w:r w:rsidR="00907D8C">
        <w:t xml:space="preserve"> </w:t>
      </w:r>
      <w:r w:rsidRPr="00036FAC">
        <w:t>groups</w:t>
      </w:r>
      <w:r w:rsidR="00907D8C">
        <w:t xml:space="preserve"> </w:t>
      </w:r>
      <w:r w:rsidRPr="00036FAC">
        <w:t>living</w:t>
      </w:r>
      <w:r w:rsidR="00907D8C">
        <w:t xml:space="preserve"> </w:t>
      </w:r>
      <w:r w:rsidRPr="00036FAC">
        <w:t>in</w:t>
      </w:r>
      <w:r w:rsidR="00907D8C">
        <w:t xml:space="preserve"> </w:t>
      </w:r>
      <w:r w:rsidRPr="00036FAC">
        <w:t>main</w:t>
      </w:r>
      <w:r w:rsidR="00907D8C">
        <w:t xml:space="preserve"> </w:t>
      </w:r>
      <w:r w:rsidRPr="00036FAC">
        <w:t>urban</w:t>
      </w:r>
      <w:r w:rsidR="00907D8C">
        <w:t xml:space="preserve"> </w:t>
      </w:r>
      <w:r w:rsidRPr="00036FAC">
        <w:t>are</w:t>
      </w:r>
      <w:r w:rsidR="00797C82">
        <w:t>as</w:t>
      </w:r>
      <w:r w:rsidR="00907D8C">
        <w:t xml:space="preserve"> </w:t>
      </w:r>
      <w:r w:rsidR="00797C82">
        <w:t>and</w:t>
      </w:r>
      <w:r w:rsidR="00907D8C">
        <w:t xml:space="preserve"> </w:t>
      </w:r>
      <w:r w:rsidR="00797C82">
        <w:t>very</w:t>
      </w:r>
      <w:r w:rsidR="00907D8C">
        <w:t xml:space="preserve"> </w:t>
      </w:r>
      <w:r w:rsidR="00797C82">
        <w:t>few</w:t>
      </w:r>
      <w:r w:rsidR="00907D8C">
        <w:t xml:space="preserve"> </w:t>
      </w:r>
      <w:r w:rsidR="00797C82">
        <w:t>in</w:t>
      </w:r>
      <w:r w:rsidR="00907D8C">
        <w:t xml:space="preserve"> </w:t>
      </w:r>
      <w:r w:rsidR="00797C82">
        <w:t>rural</w:t>
      </w:r>
      <w:r w:rsidR="00907D8C">
        <w:t xml:space="preserve"> </w:t>
      </w:r>
      <w:r w:rsidR="00797C82">
        <w:t>areas.</w:t>
      </w:r>
    </w:p>
    <w:p w:rsidR="00036FAC" w:rsidRPr="00036FAC" w:rsidRDefault="00036FAC" w:rsidP="00797C82">
      <w:pPr>
        <w:pStyle w:val="SingleTxtG"/>
      </w:pPr>
      <w:r w:rsidRPr="00036FAC">
        <w:t>17.</w:t>
      </w:r>
      <w:r w:rsidRPr="00036FAC">
        <w:tab/>
        <w:t>Over</w:t>
      </w:r>
      <w:r w:rsidR="00907D8C">
        <w:t xml:space="preserve"> </w:t>
      </w:r>
      <w:r w:rsidRPr="00036FAC">
        <w:t>three-quarters</w:t>
      </w:r>
      <w:r w:rsidR="00907D8C">
        <w:t xml:space="preserve"> </w:t>
      </w:r>
      <w:r w:rsidRPr="00036FAC">
        <w:t>(76</w:t>
      </w:r>
      <w:r w:rsidR="00907D8C">
        <w:t xml:space="preserve"> </w:t>
      </w:r>
      <w:r w:rsidR="00AE58B5">
        <w:t>per</w:t>
      </w:r>
      <w:r w:rsidR="00907D8C">
        <w:t xml:space="preserve"> </w:t>
      </w:r>
      <w:r w:rsidR="00AE58B5">
        <w:t>cent</w:t>
      </w:r>
      <w:r w:rsidRPr="00036FAC">
        <w:t>)</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live</w:t>
      </w:r>
      <w:r w:rsidR="00907D8C">
        <w:t xml:space="preserve"> </w:t>
      </w:r>
      <w:r w:rsidRPr="00036FAC">
        <w:t>in</w:t>
      </w:r>
      <w:r w:rsidR="00907D8C">
        <w:t xml:space="preserve"> </w:t>
      </w:r>
      <w:r w:rsidRPr="00036FAC">
        <w:t>the</w:t>
      </w:r>
      <w:r w:rsidR="00907D8C">
        <w:t xml:space="preserve"> </w:t>
      </w:r>
      <w:r w:rsidRPr="00036FAC">
        <w:t>North</w:t>
      </w:r>
      <w:r w:rsidR="00907D8C">
        <w:t xml:space="preserve"> </w:t>
      </w:r>
      <w:r w:rsidRPr="00036FAC">
        <w:t>Island</w:t>
      </w:r>
      <w:r w:rsidR="00907D8C">
        <w:t xml:space="preserve"> </w:t>
      </w:r>
      <w:r w:rsidRPr="00036FAC">
        <w:t>and</w:t>
      </w:r>
      <w:r w:rsidR="00907D8C">
        <w:t xml:space="preserve"> </w:t>
      </w:r>
      <w:r w:rsidRPr="00036FAC">
        <w:t>one</w:t>
      </w:r>
      <w:r w:rsidR="00907D8C">
        <w:t xml:space="preserve"> </w:t>
      </w:r>
      <w:r w:rsidRPr="00036FAC">
        <w:t>third</w:t>
      </w:r>
      <w:r w:rsidR="00907D8C">
        <w:t xml:space="preserve"> </w:t>
      </w:r>
      <w:r w:rsidRPr="00036FAC">
        <w:t>(33</w:t>
      </w:r>
      <w:r w:rsidR="00907D8C">
        <w:t xml:space="preserve"> </w:t>
      </w:r>
      <w:r w:rsidR="00AE58B5">
        <w:t>per</w:t>
      </w:r>
      <w:r w:rsidR="00907D8C">
        <w:t xml:space="preserve"> </w:t>
      </w:r>
      <w:r w:rsidR="00AE58B5">
        <w:t>cent</w:t>
      </w:r>
      <w:r w:rsidRPr="00036FAC">
        <w:t>)</w:t>
      </w:r>
      <w:r w:rsidR="00907D8C">
        <w:t xml:space="preserve"> </w:t>
      </w:r>
      <w:r w:rsidRPr="00036FAC">
        <w:t>in</w:t>
      </w:r>
      <w:r w:rsidR="00907D8C">
        <w:t xml:space="preserve"> </w:t>
      </w:r>
      <w:r w:rsidRPr="00036FAC">
        <w:t>the</w:t>
      </w:r>
      <w:r w:rsidR="00907D8C">
        <w:t xml:space="preserve"> </w:t>
      </w:r>
      <w:r w:rsidRPr="00036FAC">
        <w:t>Auckland</w:t>
      </w:r>
      <w:r w:rsidR="00907D8C">
        <w:t xml:space="preserve"> </w:t>
      </w:r>
      <w:r w:rsidRPr="00036FAC">
        <w:t>region.</w:t>
      </w:r>
      <w:r w:rsidR="00907D8C">
        <w:t xml:space="preserve"> </w:t>
      </w:r>
      <w:r w:rsidRPr="00036FAC">
        <w:t>Auckland</w:t>
      </w:r>
      <w:r w:rsidR="00907D8C">
        <w:t xml:space="preserve"> </w:t>
      </w:r>
      <w:r w:rsidRPr="00036FAC">
        <w:t>City</w:t>
      </w:r>
      <w:r w:rsidR="00907D8C">
        <w:t xml:space="preserve"> </w:t>
      </w:r>
      <w:r w:rsidRPr="00036FAC">
        <w:t>is</w:t>
      </w:r>
      <w:r w:rsidR="00907D8C">
        <w:t xml:space="preserve"> </w:t>
      </w:r>
      <w:r w:rsidRPr="00036FAC">
        <w:t>t</w:t>
      </w:r>
      <w:r w:rsidR="00797C82">
        <w:t>he</w:t>
      </w:r>
      <w:r w:rsidR="00907D8C">
        <w:t xml:space="preserve"> </w:t>
      </w:r>
      <w:r w:rsidR="00797C82">
        <w:t>largest</w:t>
      </w:r>
      <w:r w:rsidR="00907D8C">
        <w:t xml:space="preserve"> </w:t>
      </w:r>
      <w:r w:rsidR="00797C82">
        <w:t>city</w:t>
      </w:r>
      <w:r w:rsidR="00907D8C">
        <w:t xml:space="preserve"> </w:t>
      </w:r>
      <w:r w:rsidR="00797C82">
        <w:t>in</w:t>
      </w:r>
      <w:r w:rsidR="00907D8C">
        <w:t xml:space="preserve"> </w:t>
      </w:r>
      <w:r w:rsidR="00797C82">
        <w:t>New</w:t>
      </w:r>
      <w:r w:rsidR="00907D8C">
        <w:t xml:space="preserve"> </w:t>
      </w:r>
      <w:r w:rsidR="00797C82">
        <w:t>Zealand.</w:t>
      </w:r>
    </w:p>
    <w:p w:rsidR="00036FAC" w:rsidRPr="00036FAC" w:rsidRDefault="00036FAC" w:rsidP="006F52B3">
      <w:pPr>
        <w:pStyle w:val="H23G"/>
      </w:pPr>
      <w:r w:rsidRPr="00036FAC">
        <w:tab/>
        <w:t>5.</w:t>
      </w:r>
      <w:r w:rsidRPr="00036FAC">
        <w:tab/>
        <w:t>Fertility</w:t>
      </w:r>
    </w:p>
    <w:p w:rsidR="00036FAC" w:rsidRDefault="00036FAC" w:rsidP="00797C82">
      <w:pPr>
        <w:pStyle w:val="SingleTxtG"/>
      </w:pPr>
      <w:r w:rsidRPr="00036FAC">
        <w:t>18.</w:t>
      </w:r>
      <w:r w:rsidRPr="00036FAC">
        <w:tab/>
        <w:t>Fertility</w:t>
      </w:r>
      <w:r w:rsidR="00907D8C">
        <w:t xml:space="preserve"> </w:t>
      </w:r>
      <w:r w:rsidRPr="00036FAC">
        <w:t>rates</w:t>
      </w:r>
      <w:r w:rsidR="00907D8C">
        <w:t xml:space="preserve"> </w:t>
      </w:r>
      <w:r w:rsidRPr="00036FAC">
        <w:t>for</w:t>
      </w:r>
      <w:r w:rsidR="00907D8C">
        <w:t xml:space="preserve"> </w:t>
      </w:r>
      <w:r w:rsidRPr="00036FAC">
        <w:t>the</w:t>
      </w:r>
      <w:r w:rsidR="00907D8C">
        <w:t xml:space="preserve"> </w:t>
      </w:r>
      <w:r w:rsidRPr="00036FAC">
        <w:t>year</w:t>
      </w:r>
      <w:r w:rsidR="00907D8C">
        <w:t xml:space="preserve"> </w:t>
      </w:r>
      <w:r w:rsidRPr="00036FAC">
        <w:t>2008</w:t>
      </w:r>
      <w:r w:rsidR="00907D8C">
        <w:t xml:space="preserve"> </w:t>
      </w:r>
      <w:r w:rsidRPr="00036FAC">
        <w:t>indicate</w:t>
      </w:r>
      <w:r w:rsidR="00907D8C">
        <w:t xml:space="preserve"> </w:t>
      </w:r>
      <w:r w:rsidRPr="00036FAC">
        <w:t>that</w:t>
      </w:r>
      <w:r w:rsidR="00907D8C">
        <w:t xml:space="preserve"> </w:t>
      </w:r>
      <w:r w:rsidRPr="00036FAC">
        <w:t>New</w:t>
      </w:r>
      <w:r w:rsidR="00907D8C">
        <w:t xml:space="preserve"> </w:t>
      </w:r>
      <w:r w:rsidRPr="00036FAC">
        <w:t>Zealand</w:t>
      </w:r>
      <w:r w:rsidR="00907D8C">
        <w:t xml:space="preserve"> </w:t>
      </w:r>
      <w:r w:rsidRPr="00036FAC">
        <w:t>women</w:t>
      </w:r>
      <w:r w:rsidR="00907D8C">
        <w:t xml:space="preserve"> </w:t>
      </w:r>
      <w:r w:rsidRPr="00036FAC">
        <w:t>average</w:t>
      </w:r>
      <w:r w:rsidR="00907D8C">
        <w:t xml:space="preserve"> </w:t>
      </w:r>
      <w:r w:rsidRPr="00036FAC">
        <w:t>2.18</w:t>
      </w:r>
      <w:r w:rsidR="00907D8C">
        <w:t xml:space="preserve"> </w:t>
      </w:r>
      <w:r w:rsidRPr="00036FAC">
        <w:t>births</w:t>
      </w:r>
      <w:r w:rsidR="00907D8C">
        <w:t xml:space="preserve"> </w:t>
      </w:r>
      <w:r w:rsidRPr="00036FAC">
        <w:t>per</w:t>
      </w:r>
      <w:r w:rsidR="00907D8C">
        <w:t xml:space="preserve"> </w:t>
      </w:r>
      <w:r w:rsidRPr="00036FAC">
        <w:t>woman.</w:t>
      </w:r>
      <w:r w:rsidR="00907D8C">
        <w:t xml:space="preserve"> </w:t>
      </w:r>
      <w:r w:rsidRPr="00036FAC">
        <w:t>This</w:t>
      </w:r>
      <w:r w:rsidR="00907D8C">
        <w:t xml:space="preserve"> </w:t>
      </w:r>
      <w:r w:rsidRPr="00036FAC">
        <w:t>is</w:t>
      </w:r>
      <w:r w:rsidR="00907D8C">
        <w:t xml:space="preserve"> </w:t>
      </w:r>
      <w:r w:rsidRPr="00036FAC">
        <w:t>slightly</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of</w:t>
      </w:r>
      <w:r w:rsidR="00907D8C">
        <w:t xml:space="preserve"> </w:t>
      </w:r>
      <w:r w:rsidRPr="00036FAC">
        <w:t>2.17</w:t>
      </w:r>
      <w:r w:rsidR="00907D8C">
        <w:t xml:space="preserve"> </w:t>
      </w:r>
      <w:r w:rsidRPr="00036FAC">
        <w:t>births</w:t>
      </w:r>
      <w:r w:rsidR="00907D8C">
        <w:t xml:space="preserve"> </w:t>
      </w:r>
      <w:r w:rsidRPr="00036FAC">
        <w:t>per</w:t>
      </w:r>
      <w:r w:rsidR="00907D8C">
        <w:t xml:space="preserve"> </w:t>
      </w:r>
      <w:r w:rsidRPr="00036FAC">
        <w:t>woman</w:t>
      </w:r>
      <w:r w:rsidR="00907D8C">
        <w:t xml:space="preserve"> </w:t>
      </w:r>
      <w:r w:rsidRPr="00036FAC">
        <w:t>in</w:t>
      </w:r>
      <w:r w:rsidR="00907D8C">
        <w:t xml:space="preserve"> </w:t>
      </w:r>
      <w:r w:rsidRPr="00036FAC">
        <w:t>2007</w:t>
      </w:r>
      <w:r w:rsidR="00907D8C">
        <w:t xml:space="preserve"> </w:t>
      </w:r>
      <w:r w:rsidRPr="00036FAC">
        <w:t>and</w:t>
      </w:r>
      <w:r w:rsidR="00907D8C">
        <w:t xml:space="preserve"> </w:t>
      </w:r>
      <w:r w:rsidRPr="00036FAC">
        <w:t>just</w:t>
      </w:r>
      <w:r w:rsidR="00907D8C">
        <w:t xml:space="preserve"> </w:t>
      </w:r>
      <w:r w:rsidRPr="00036FAC">
        <w:t>above</w:t>
      </w:r>
      <w:r w:rsidR="00907D8C">
        <w:t xml:space="preserve"> </w:t>
      </w:r>
      <w:r w:rsidRPr="00036FAC">
        <w:t>the</w:t>
      </w:r>
      <w:r w:rsidR="00907D8C">
        <w:t xml:space="preserve"> </w:t>
      </w:r>
      <w:r w:rsidRPr="00036FAC">
        <w:t>level</w:t>
      </w:r>
      <w:r w:rsidR="00907D8C">
        <w:t xml:space="preserve"> </w:t>
      </w:r>
      <w:r w:rsidRPr="00036FAC">
        <w:t>required</w:t>
      </w:r>
      <w:r w:rsidR="00907D8C">
        <w:t xml:space="preserve"> </w:t>
      </w:r>
      <w:r w:rsidRPr="00036FAC">
        <w:t>by</w:t>
      </w:r>
      <w:r w:rsidR="00907D8C">
        <w:t xml:space="preserve"> </w:t>
      </w:r>
      <w:r w:rsidRPr="00036FAC">
        <w:t>any</w:t>
      </w:r>
      <w:r w:rsidR="00907D8C">
        <w:t xml:space="preserve"> </w:t>
      </w:r>
      <w:r w:rsidRPr="00036FAC">
        <w:t>population</w:t>
      </w:r>
      <w:r w:rsidR="00907D8C">
        <w:t xml:space="preserve"> </w:t>
      </w:r>
      <w:r w:rsidRPr="00036FAC">
        <w:t>to</w:t>
      </w:r>
      <w:r w:rsidR="00907D8C">
        <w:t xml:space="preserve"> </w:t>
      </w:r>
      <w:r w:rsidRPr="00036FAC">
        <w:t>replace</w:t>
      </w:r>
      <w:r w:rsidR="00907D8C">
        <w:t xml:space="preserve"> </w:t>
      </w:r>
      <w:r w:rsidRPr="00036FAC">
        <w:t>itself</w:t>
      </w:r>
      <w:r w:rsidR="00907D8C">
        <w:t xml:space="preserve"> </w:t>
      </w:r>
      <w:r w:rsidRPr="00036FAC">
        <w:t>without</w:t>
      </w:r>
      <w:r w:rsidR="00907D8C">
        <w:t xml:space="preserve"> </w:t>
      </w:r>
      <w:r w:rsidRPr="00036FAC">
        <w:t>migration</w:t>
      </w:r>
      <w:r w:rsidR="00907D8C">
        <w:t xml:space="preserve"> </w:t>
      </w:r>
      <w:r w:rsidRPr="00036FAC">
        <w:t>(2.1</w:t>
      </w:r>
      <w:r w:rsidR="00907D8C">
        <w:t xml:space="preserve"> </w:t>
      </w:r>
      <w:r w:rsidRPr="00036FAC">
        <w:t>births</w:t>
      </w:r>
      <w:r w:rsidR="00907D8C">
        <w:t xml:space="preserve"> </w:t>
      </w:r>
      <w:r w:rsidRPr="00036FAC">
        <w:t>per</w:t>
      </w:r>
      <w:r w:rsidR="00907D8C">
        <w:t xml:space="preserve"> </w:t>
      </w:r>
      <w:r w:rsidRPr="00036FAC">
        <w:t>woman).</w:t>
      </w:r>
      <w:r w:rsidR="00907D8C">
        <w:t xml:space="preserve"> </w:t>
      </w:r>
      <w:r w:rsidRPr="00036FAC">
        <w:t>Despite</w:t>
      </w:r>
      <w:r w:rsidR="00907D8C">
        <w:t xml:space="preserve"> </w:t>
      </w:r>
      <w:r w:rsidRPr="00036FAC">
        <w:t>the</w:t>
      </w:r>
      <w:r w:rsidR="00907D8C">
        <w:t xml:space="preserve"> </w:t>
      </w:r>
      <w:r w:rsidRPr="00036FAC">
        <w:t>recent</w:t>
      </w:r>
      <w:r w:rsidR="00907D8C">
        <w:t xml:space="preserve"> </w:t>
      </w:r>
      <w:r w:rsidRPr="00036FAC">
        <w:t>upturn,</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total</w:t>
      </w:r>
      <w:r w:rsidR="00907D8C">
        <w:t xml:space="preserve"> </w:t>
      </w:r>
      <w:r w:rsidRPr="00036FAC">
        <w:t>fertility</w:t>
      </w:r>
      <w:r w:rsidR="00907D8C">
        <w:t xml:space="preserve"> </w:t>
      </w:r>
      <w:r w:rsidRPr="00036FAC">
        <w:t>rate</w:t>
      </w:r>
      <w:r w:rsidR="00907D8C">
        <w:t xml:space="preserve"> </w:t>
      </w:r>
      <w:r w:rsidRPr="00036FAC">
        <w:t>has</w:t>
      </w:r>
      <w:r w:rsidR="00907D8C">
        <w:t xml:space="preserve"> </w:t>
      </w:r>
      <w:r w:rsidRPr="00036FAC">
        <w:t>been</w:t>
      </w:r>
      <w:r w:rsidR="00907D8C">
        <w:t xml:space="preserve"> </w:t>
      </w:r>
      <w:r w:rsidRPr="00036FAC">
        <w:t>relatively</w:t>
      </w:r>
      <w:r w:rsidR="00907D8C">
        <w:t xml:space="preserve"> </w:t>
      </w:r>
      <w:r w:rsidRPr="00036FAC">
        <w:t>stable</w:t>
      </w:r>
      <w:r w:rsidR="00907D8C">
        <w:t xml:space="preserve"> </w:t>
      </w:r>
      <w:r w:rsidRPr="00036FAC">
        <w:t>over</w:t>
      </w:r>
      <w:r w:rsidR="00907D8C">
        <w:t xml:space="preserve"> </w:t>
      </w:r>
      <w:r w:rsidRPr="00036FAC">
        <w:t>the</w:t>
      </w:r>
      <w:r w:rsidR="00907D8C">
        <w:t xml:space="preserve"> </w:t>
      </w:r>
      <w:r w:rsidRPr="00036FAC">
        <w:t>last</w:t>
      </w:r>
      <w:r w:rsidR="00907D8C">
        <w:t xml:space="preserve"> </w:t>
      </w:r>
      <w:r w:rsidRPr="00036FAC">
        <w:t>three</w:t>
      </w:r>
      <w:r w:rsidR="00907D8C">
        <w:t xml:space="preserve"> </w:t>
      </w:r>
      <w:r w:rsidRPr="00036FAC">
        <w:t>decades,</w:t>
      </w:r>
      <w:r w:rsidR="00907D8C">
        <w:t xml:space="preserve"> </w:t>
      </w:r>
      <w:r w:rsidRPr="00036FAC">
        <w:t>averaging</w:t>
      </w:r>
      <w:r w:rsidR="00907D8C">
        <w:t xml:space="preserve"> </w:t>
      </w:r>
      <w:r w:rsidRPr="00036FAC">
        <w:t>2.01</w:t>
      </w:r>
      <w:r w:rsidR="00907D8C">
        <w:t xml:space="preserve"> </w:t>
      </w:r>
      <w:r w:rsidRPr="00036FAC">
        <w:t>births</w:t>
      </w:r>
      <w:r w:rsidR="00907D8C">
        <w:t xml:space="preserve"> </w:t>
      </w:r>
      <w:r w:rsidRPr="00036FAC">
        <w:t>per</w:t>
      </w:r>
      <w:r w:rsidR="00907D8C">
        <w:t xml:space="preserve"> </w:t>
      </w:r>
      <w:r w:rsidRPr="00036FAC">
        <w:t>woman.</w:t>
      </w:r>
      <w:r w:rsidR="00907D8C">
        <w:t xml:space="preserve"> </w:t>
      </w:r>
      <w:r w:rsidRPr="00036FAC">
        <w:t>During</w:t>
      </w:r>
      <w:r w:rsidR="00907D8C">
        <w:t xml:space="preserve"> </w:t>
      </w:r>
      <w:r w:rsidRPr="00036FAC">
        <w:t>this</w:t>
      </w:r>
      <w:r w:rsidR="00907D8C">
        <w:t xml:space="preserve"> </w:t>
      </w:r>
      <w:r w:rsidRPr="00036FAC">
        <w:t>period,</w:t>
      </w:r>
      <w:r w:rsidR="00907D8C">
        <w:t xml:space="preserve"> </w:t>
      </w:r>
      <w:r w:rsidRPr="00036FAC">
        <w:t>the</w:t>
      </w:r>
      <w:r w:rsidR="00907D8C">
        <w:t xml:space="preserve"> </w:t>
      </w:r>
      <w:r w:rsidRPr="00036FAC">
        <w:t>total</w:t>
      </w:r>
      <w:r w:rsidR="00907D8C">
        <w:t xml:space="preserve"> </w:t>
      </w:r>
      <w:r w:rsidRPr="00036FAC">
        <w:t>fertility</w:t>
      </w:r>
      <w:r w:rsidR="00907D8C">
        <w:t xml:space="preserve"> </w:t>
      </w:r>
      <w:r w:rsidRPr="00036FAC">
        <w:t>rate</w:t>
      </w:r>
      <w:r w:rsidR="00907D8C">
        <w:t xml:space="preserve"> </w:t>
      </w:r>
      <w:r w:rsidRPr="00036FAC">
        <w:t>varied</w:t>
      </w:r>
      <w:r w:rsidR="00907D8C">
        <w:t xml:space="preserve"> </w:t>
      </w:r>
      <w:r w:rsidRPr="00036FAC">
        <w:t>from</w:t>
      </w:r>
      <w:r w:rsidR="00907D8C">
        <w:t xml:space="preserve"> </w:t>
      </w:r>
      <w:r w:rsidRPr="00036FAC">
        <w:t>2.18</w:t>
      </w:r>
      <w:r w:rsidR="00907D8C">
        <w:t xml:space="preserve"> </w:t>
      </w:r>
      <w:r w:rsidRPr="00036FAC">
        <w:t>births</w:t>
      </w:r>
      <w:r w:rsidR="00907D8C">
        <w:t xml:space="preserve"> </w:t>
      </w:r>
      <w:r w:rsidRPr="00036FAC">
        <w:t>per</w:t>
      </w:r>
      <w:r w:rsidR="00907D8C">
        <w:t xml:space="preserve"> </w:t>
      </w:r>
      <w:r w:rsidRPr="00036FAC">
        <w:t>woman</w:t>
      </w:r>
      <w:r w:rsidR="00907D8C">
        <w:t xml:space="preserve"> </w:t>
      </w:r>
      <w:r w:rsidRPr="00036FAC">
        <w:t>in</w:t>
      </w:r>
      <w:r w:rsidR="00907D8C">
        <w:t xml:space="preserve"> </w:t>
      </w:r>
      <w:r w:rsidRPr="00036FAC">
        <w:t>1990</w:t>
      </w:r>
      <w:r w:rsidR="00907D8C">
        <w:t xml:space="preserve"> </w:t>
      </w:r>
      <w:r w:rsidRPr="00036FAC">
        <w:t>and</w:t>
      </w:r>
      <w:r w:rsidR="00907D8C">
        <w:t xml:space="preserve"> </w:t>
      </w:r>
      <w:r w:rsidRPr="00036FAC">
        <w:t>2008</w:t>
      </w:r>
      <w:r w:rsidR="00907D8C">
        <w:t xml:space="preserve"> </w:t>
      </w:r>
      <w:r w:rsidRPr="00036FAC">
        <w:t>to</w:t>
      </w:r>
      <w:r w:rsidR="00907D8C">
        <w:t xml:space="preserve"> </w:t>
      </w:r>
      <w:r w:rsidRPr="00036FAC">
        <w:t>1.89</w:t>
      </w:r>
      <w:r w:rsidR="00907D8C">
        <w:t xml:space="preserve"> </w:t>
      </w:r>
      <w:r w:rsidRPr="00036FAC">
        <w:t>in</w:t>
      </w:r>
      <w:r w:rsidR="00907D8C">
        <w:t xml:space="preserve"> </w:t>
      </w:r>
      <w:r w:rsidRPr="00036FAC">
        <w:t>1998</w:t>
      </w:r>
      <w:r w:rsidR="00907D8C">
        <w:t xml:space="preserve"> </w:t>
      </w:r>
      <w:r w:rsidRPr="00036FAC">
        <w:t>and</w:t>
      </w:r>
      <w:r w:rsidR="00907D8C">
        <w:t xml:space="preserve"> </w:t>
      </w:r>
      <w:r w:rsidRPr="00036FAC">
        <w:t>2002.</w:t>
      </w:r>
    </w:p>
    <w:p w:rsidR="00797C82" w:rsidRDefault="007F44CC" w:rsidP="00797C82">
      <w:pPr>
        <w:pStyle w:val="Heading1"/>
        <w:keepNext/>
      </w:pPr>
      <w:bookmarkStart w:id="24" w:name="_Toc275331905"/>
      <w:r>
        <w:t>Table</w:t>
      </w:r>
      <w:r w:rsidR="00907D8C">
        <w:t xml:space="preserve"> </w:t>
      </w:r>
      <w:r>
        <w:t>4</w:t>
      </w:r>
    </w:p>
    <w:p w:rsidR="00036FAC" w:rsidRPr="00797C82" w:rsidRDefault="00036FAC" w:rsidP="00797C82">
      <w:pPr>
        <w:pStyle w:val="SingleTxtG"/>
        <w:keepNext/>
        <w:rPr>
          <w:b/>
        </w:rPr>
      </w:pPr>
      <w:r w:rsidRPr="00797C82">
        <w:rPr>
          <w:b/>
        </w:rPr>
        <w:t>Total</w:t>
      </w:r>
      <w:r w:rsidR="00907D8C">
        <w:rPr>
          <w:b/>
        </w:rPr>
        <w:t xml:space="preserve"> </w:t>
      </w:r>
      <w:r w:rsidRPr="00797C82">
        <w:rPr>
          <w:b/>
        </w:rPr>
        <w:t>fertility</w:t>
      </w:r>
      <w:r w:rsidR="00907D8C">
        <w:rPr>
          <w:b/>
        </w:rPr>
        <w:t xml:space="preserve"> </w:t>
      </w:r>
      <w:r w:rsidRPr="00797C82">
        <w:rPr>
          <w:b/>
        </w:rPr>
        <w:t>rate,</w:t>
      </w:r>
      <w:r w:rsidR="00907D8C">
        <w:rPr>
          <w:b/>
        </w:rPr>
        <w:t xml:space="preserve"> </w:t>
      </w:r>
      <w:r w:rsidRPr="00797C82">
        <w:rPr>
          <w:b/>
        </w:rPr>
        <w:t>1978–2008</w:t>
      </w:r>
      <w:bookmarkEnd w:id="24"/>
    </w:p>
    <w:p w:rsidR="00036FAC" w:rsidRPr="00036FAC" w:rsidRDefault="00797C82" w:rsidP="00797C82">
      <w:pPr>
        <w:tabs>
          <w:tab w:val="right" w:pos="850"/>
          <w:tab w:val="left" w:pos="1134"/>
          <w:tab w:val="left" w:pos="1559"/>
          <w:tab w:val="left" w:pos="1984"/>
          <w:tab w:val="left" w:leader="dot" w:pos="7654"/>
          <w:tab w:val="right" w:pos="8929"/>
          <w:tab w:val="right" w:pos="9638"/>
        </w:tabs>
        <w:spacing w:after="120"/>
        <w:ind w:left="1100"/>
      </w:pPr>
      <w:r w:rsidRPr="00036FAC">
        <w:pict>
          <v:shape id="_x0000_i1027" type="#_x0000_t75" style="width:425.25pt;height:264pt">
            <v:imagedata r:id="rId9" o:title=""/>
          </v:shape>
        </w:pict>
      </w:r>
    </w:p>
    <w:p w:rsidR="002B37D0" w:rsidRPr="007C016E" w:rsidRDefault="002B37D0" w:rsidP="00353B69">
      <w:pPr>
        <w:spacing w:before="120" w:after="24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p>
    <w:p w:rsidR="00006538" w:rsidRPr="00036FAC" w:rsidRDefault="00006538" w:rsidP="00006538">
      <w:pPr>
        <w:pStyle w:val="SingleTxtG"/>
      </w:pPr>
      <w:r w:rsidRPr="00036FAC">
        <w:t>19.</w:t>
      </w:r>
      <w:r w:rsidRPr="00036FAC">
        <w:tab/>
        <w:t>New</w:t>
      </w:r>
      <w:r>
        <w:t xml:space="preserve"> </w:t>
      </w:r>
      <w:r w:rsidRPr="00036FAC">
        <w:t>Zealand</w:t>
      </w:r>
      <w:r>
        <w:t>’</w:t>
      </w:r>
      <w:r w:rsidRPr="00036FAC">
        <w:t>s</w:t>
      </w:r>
      <w:r>
        <w:t xml:space="preserve"> </w:t>
      </w:r>
      <w:r w:rsidRPr="00036FAC">
        <w:t>comparatively</w:t>
      </w:r>
      <w:r>
        <w:t xml:space="preserve"> </w:t>
      </w:r>
      <w:r w:rsidRPr="00036FAC">
        <w:t>high</w:t>
      </w:r>
      <w:r>
        <w:t xml:space="preserve"> </w:t>
      </w:r>
      <w:r w:rsidRPr="00036FAC">
        <w:t>fertility</w:t>
      </w:r>
      <w:r>
        <w:t xml:space="preserve"> </w:t>
      </w:r>
      <w:r w:rsidRPr="00036FAC">
        <w:t>rate</w:t>
      </w:r>
      <w:r>
        <w:t xml:space="preserve"> </w:t>
      </w:r>
      <w:r w:rsidRPr="00036FAC">
        <w:t>reflects,</w:t>
      </w:r>
      <w:r>
        <w:t xml:space="preserve"> </w:t>
      </w:r>
      <w:r w:rsidRPr="00036FAC">
        <w:t>in</w:t>
      </w:r>
      <w:r>
        <w:t xml:space="preserve"> </w:t>
      </w:r>
      <w:r w:rsidRPr="00036FAC">
        <w:t>part,</w:t>
      </w:r>
      <w:r>
        <w:t xml:space="preserve"> </w:t>
      </w:r>
      <w:r w:rsidRPr="00036FAC">
        <w:t>the</w:t>
      </w:r>
      <w:r>
        <w:t xml:space="preserve"> </w:t>
      </w:r>
      <w:r w:rsidRPr="00036FAC">
        <w:t>higher</w:t>
      </w:r>
      <w:r>
        <w:t xml:space="preserve"> </w:t>
      </w:r>
      <w:r w:rsidRPr="00036FAC">
        <w:t>fertility</w:t>
      </w:r>
      <w:r>
        <w:t xml:space="preserve"> </w:t>
      </w:r>
      <w:r w:rsidRPr="00036FAC">
        <w:t>rates</w:t>
      </w:r>
      <w:r>
        <w:t xml:space="preserve"> </w:t>
      </w:r>
      <w:r w:rsidRPr="00036FAC">
        <w:t>of</w:t>
      </w:r>
      <w:r>
        <w:t xml:space="preserve"> </w:t>
      </w:r>
      <w:proofErr w:type="spellStart"/>
      <w:r w:rsidRPr="00036FAC">
        <w:t>Māori</w:t>
      </w:r>
      <w:proofErr w:type="spellEnd"/>
      <w:r>
        <w:t xml:space="preserve"> </w:t>
      </w:r>
      <w:r w:rsidRPr="00036FAC">
        <w:t>women</w:t>
      </w:r>
      <w:r>
        <w:t xml:space="preserve"> </w:t>
      </w:r>
      <w:r w:rsidRPr="00036FAC">
        <w:t>(2.95</w:t>
      </w:r>
      <w:r>
        <w:t xml:space="preserve"> </w:t>
      </w:r>
      <w:r w:rsidRPr="00036FAC">
        <w:t>births</w:t>
      </w:r>
      <w:r>
        <w:t xml:space="preserve"> </w:t>
      </w:r>
      <w:r w:rsidRPr="00036FAC">
        <w:t>per</w:t>
      </w:r>
      <w:r>
        <w:t xml:space="preserve"> </w:t>
      </w:r>
      <w:r w:rsidRPr="00036FAC">
        <w:t>woman</w:t>
      </w:r>
      <w:r>
        <w:t xml:space="preserve"> </w:t>
      </w:r>
      <w:r w:rsidRPr="00036FAC">
        <w:t>in</w:t>
      </w:r>
      <w:r>
        <w:t xml:space="preserve"> </w:t>
      </w:r>
      <w:r w:rsidRPr="00036FAC">
        <w:t>2008)</w:t>
      </w:r>
      <w:r>
        <w:t xml:space="preserve"> </w:t>
      </w:r>
      <w:r w:rsidRPr="00036FAC">
        <w:t>and</w:t>
      </w:r>
      <w:r>
        <w:t xml:space="preserve"> </w:t>
      </w:r>
      <w:r w:rsidRPr="00036FAC">
        <w:t>Pacific</w:t>
      </w:r>
      <w:r>
        <w:t xml:space="preserve"> </w:t>
      </w:r>
      <w:r w:rsidRPr="00036FAC">
        <w:t>women</w:t>
      </w:r>
      <w:r>
        <w:t xml:space="preserve"> </w:t>
      </w:r>
      <w:r w:rsidRPr="00036FAC">
        <w:t>(2.95</w:t>
      </w:r>
      <w:r>
        <w:t xml:space="preserve"> </w:t>
      </w:r>
      <w:r w:rsidRPr="00036FAC">
        <w:t>in</w:t>
      </w:r>
      <w:r>
        <w:t xml:space="preserve"> </w:t>
      </w:r>
      <w:r w:rsidRPr="00036FAC">
        <w:t>2005–</w:t>
      </w:r>
      <w:r>
        <w:t>20</w:t>
      </w:r>
      <w:r w:rsidRPr="00036FAC">
        <w:t>07)</w:t>
      </w:r>
      <w:r>
        <w:t xml:space="preserve"> </w:t>
      </w:r>
      <w:r w:rsidRPr="00036FAC">
        <w:t>as</w:t>
      </w:r>
      <w:r>
        <w:t xml:space="preserve"> </w:t>
      </w:r>
      <w:r w:rsidRPr="00036FAC">
        <w:t>well</w:t>
      </w:r>
      <w:r>
        <w:t xml:space="preserve"> </w:t>
      </w:r>
      <w:r w:rsidRPr="00036FAC">
        <w:t>as</w:t>
      </w:r>
      <w:r>
        <w:t xml:space="preserve"> </w:t>
      </w:r>
      <w:r w:rsidRPr="00036FAC">
        <w:t>the</w:t>
      </w:r>
      <w:r>
        <w:t xml:space="preserve"> </w:t>
      </w:r>
      <w:r w:rsidRPr="00036FAC">
        <w:t>higher</w:t>
      </w:r>
      <w:r>
        <w:t xml:space="preserve"> </w:t>
      </w:r>
      <w:r w:rsidRPr="00036FAC">
        <w:t>share</w:t>
      </w:r>
      <w:r>
        <w:t xml:space="preserve"> </w:t>
      </w:r>
      <w:r w:rsidRPr="00036FAC">
        <w:t>of</w:t>
      </w:r>
      <w:r>
        <w:t xml:space="preserve"> </w:t>
      </w:r>
      <w:proofErr w:type="spellStart"/>
      <w:r w:rsidRPr="00036FAC">
        <w:t>Māori</w:t>
      </w:r>
      <w:proofErr w:type="spellEnd"/>
      <w:r>
        <w:t xml:space="preserve"> </w:t>
      </w:r>
      <w:r w:rsidRPr="00036FAC">
        <w:t>and</w:t>
      </w:r>
      <w:r>
        <w:t xml:space="preserve"> </w:t>
      </w:r>
      <w:r w:rsidRPr="00036FAC">
        <w:t>Pacific</w:t>
      </w:r>
      <w:r>
        <w:t xml:space="preserve"> </w:t>
      </w:r>
      <w:r w:rsidRPr="00036FAC">
        <w:t>women</w:t>
      </w:r>
      <w:r>
        <w:t xml:space="preserve"> </w:t>
      </w:r>
      <w:r w:rsidRPr="00036FAC">
        <w:t>in</w:t>
      </w:r>
      <w:r>
        <w:t xml:space="preserve"> </w:t>
      </w:r>
      <w:r w:rsidRPr="00036FAC">
        <w:t>the</w:t>
      </w:r>
      <w:r>
        <w:t xml:space="preserve"> </w:t>
      </w:r>
      <w:r w:rsidRPr="00036FAC">
        <w:t>female</w:t>
      </w:r>
      <w:r>
        <w:t xml:space="preserve"> </w:t>
      </w:r>
      <w:r w:rsidRPr="00036FAC">
        <w:t>population</w:t>
      </w:r>
      <w:r>
        <w:t xml:space="preserve"> </w:t>
      </w:r>
      <w:r w:rsidRPr="00036FAC">
        <w:t>of</w:t>
      </w:r>
      <w:r>
        <w:t xml:space="preserve"> </w:t>
      </w:r>
      <w:r w:rsidRPr="00036FAC">
        <w:t>childbearing</w:t>
      </w:r>
      <w:r>
        <w:t xml:space="preserve"> </w:t>
      </w:r>
      <w:r w:rsidRPr="00036FAC">
        <w:t>age.</w:t>
      </w:r>
      <w:r>
        <w:t xml:space="preserve"> </w:t>
      </w:r>
      <w:r w:rsidRPr="00036FAC">
        <w:t>In</w:t>
      </w:r>
      <w:r>
        <w:t xml:space="preserve"> </w:t>
      </w:r>
      <w:r w:rsidRPr="00036FAC">
        <w:t>the</w:t>
      </w:r>
      <w:r>
        <w:t xml:space="preserve"> </w:t>
      </w:r>
      <w:r w:rsidRPr="00036FAC">
        <w:t>December</w:t>
      </w:r>
      <w:r>
        <w:t xml:space="preserve"> </w:t>
      </w:r>
      <w:r w:rsidRPr="00036FAC">
        <w:t>2008</w:t>
      </w:r>
      <w:r>
        <w:t xml:space="preserve"> </w:t>
      </w:r>
      <w:r w:rsidRPr="00036FAC">
        <w:t>year,</w:t>
      </w:r>
      <w:r>
        <w:t xml:space="preserve"> </w:t>
      </w:r>
      <w:r w:rsidRPr="00036FAC">
        <w:t>births</w:t>
      </w:r>
      <w:r>
        <w:t xml:space="preserve"> </w:t>
      </w:r>
      <w:r w:rsidRPr="00036FAC">
        <w:t>registered</w:t>
      </w:r>
      <w:r>
        <w:t xml:space="preserve"> </w:t>
      </w:r>
      <w:r w:rsidRPr="00036FAC">
        <w:t>to</w:t>
      </w:r>
      <w:r>
        <w:t xml:space="preserve"> </w:t>
      </w:r>
      <w:proofErr w:type="spellStart"/>
      <w:r w:rsidRPr="00036FAC">
        <w:t>Māori</w:t>
      </w:r>
      <w:proofErr w:type="spellEnd"/>
      <w:r>
        <w:t xml:space="preserve"> </w:t>
      </w:r>
      <w:r w:rsidRPr="00036FAC">
        <w:t>women</w:t>
      </w:r>
      <w:r>
        <w:t xml:space="preserve"> </w:t>
      </w:r>
      <w:r w:rsidRPr="00036FAC">
        <w:t>accounted</w:t>
      </w:r>
      <w:r>
        <w:t xml:space="preserve"> </w:t>
      </w:r>
      <w:r w:rsidRPr="00036FAC">
        <w:t>for</w:t>
      </w:r>
      <w:r>
        <w:t xml:space="preserve"> </w:t>
      </w:r>
      <w:r w:rsidRPr="00036FAC">
        <w:t>23</w:t>
      </w:r>
      <w:r>
        <w:t xml:space="preserve"> per cent </w:t>
      </w:r>
      <w:r w:rsidRPr="00036FAC">
        <w:t>of</w:t>
      </w:r>
      <w:r>
        <w:t xml:space="preserve"> </w:t>
      </w:r>
      <w:r w:rsidRPr="00036FAC">
        <w:t>all</w:t>
      </w:r>
      <w:r>
        <w:t xml:space="preserve"> </w:t>
      </w:r>
      <w:r w:rsidRPr="00036FAC">
        <w:t>live</w:t>
      </w:r>
      <w:r>
        <w:t xml:space="preserve"> </w:t>
      </w:r>
      <w:r w:rsidRPr="00036FAC">
        <w:t>births</w:t>
      </w:r>
      <w:r>
        <w:t xml:space="preserve"> </w:t>
      </w:r>
      <w:r w:rsidRPr="00036FAC">
        <w:t>registered.</w:t>
      </w:r>
      <w:r>
        <w:t xml:space="preserve"> </w:t>
      </w:r>
      <w:r w:rsidRPr="00036FAC">
        <w:t>In</w:t>
      </w:r>
      <w:r>
        <w:t xml:space="preserve"> </w:t>
      </w:r>
      <w:r w:rsidRPr="00036FAC">
        <w:t>the</w:t>
      </w:r>
      <w:r>
        <w:t xml:space="preserve"> </w:t>
      </w:r>
      <w:r w:rsidRPr="00036FAC">
        <w:t>period</w:t>
      </w:r>
      <w:r>
        <w:t xml:space="preserve"> </w:t>
      </w:r>
      <w:r w:rsidRPr="00036FAC">
        <w:t>2005–</w:t>
      </w:r>
      <w:r>
        <w:t>20</w:t>
      </w:r>
      <w:r w:rsidRPr="00036FAC">
        <w:t>07,</w:t>
      </w:r>
      <w:r>
        <w:t xml:space="preserve"> </w:t>
      </w:r>
      <w:r w:rsidRPr="00036FAC">
        <w:t>11</w:t>
      </w:r>
      <w:r>
        <w:t xml:space="preserve"> per cent </w:t>
      </w:r>
      <w:r w:rsidRPr="00036FAC">
        <w:t>of</w:t>
      </w:r>
      <w:r>
        <w:t xml:space="preserve"> </w:t>
      </w:r>
      <w:r w:rsidRPr="00036FAC">
        <w:t>all</w:t>
      </w:r>
      <w:r>
        <w:t xml:space="preserve"> </w:t>
      </w:r>
      <w:r w:rsidRPr="00036FAC">
        <w:t>live</w:t>
      </w:r>
      <w:r>
        <w:t xml:space="preserve"> </w:t>
      </w:r>
      <w:r w:rsidRPr="00036FAC">
        <w:t>births</w:t>
      </w:r>
      <w:r>
        <w:t xml:space="preserve"> </w:t>
      </w:r>
      <w:r w:rsidRPr="00036FAC">
        <w:t>were</w:t>
      </w:r>
      <w:r>
        <w:t xml:space="preserve"> </w:t>
      </w:r>
      <w:r w:rsidRPr="00036FAC">
        <w:t>registered</w:t>
      </w:r>
      <w:r>
        <w:t xml:space="preserve"> </w:t>
      </w:r>
      <w:r w:rsidRPr="00036FAC">
        <w:t>to</w:t>
      </w:r>
      <w:r>
        <w:t xml:space="preserve"> </w:t>
      </w:r>
      <w:r w:rsidRPr="00036FAC">
        <w:t>Pacific</w:t>
      </w:r>
      <w:r>
        <w:t xml:space="preserve"> </w:t>
      </w:r>
      <w:r w:rsidRPr="00036FAC">
        <w:t>women.</w:t>
      </w:r>
      <w:r>
        <w:t xml:space="preserve"> </w:t>
      </w:r>
      <w:r w:rsidRPr="00036FAC">
        <w:t>The</w:t>
      </w:r>
      <w:r>
        <w:t xml:space="preserve"> </w:t>
      </w:r>
      <w:r w:rsidRPr="00036FAC">
        <w:t>total</w:t>
      </w:r>
      <w:r>
        <w:t xml:space="preserve"> </w:t>
      </w:r>
      <w:r w:rsidRPr="00036FAC">
        <w:t>fertility</w:t>
      </w:r>
      <w:r>
        <w:t xml:space="preserve"> </w:t>
      </w:r>
      <w:r w:rsidRPr="00036FAC">
        <w:t>rate</w:t>
      </w:r>
      <w:r>
        <w:t xml:space="preserve"> </w:t>
      </w:r>
      <w:r w:rsidRPr="00036FAC">
        <w:t>for</w:t>
      </w:r>
      <w:r>
        <w:t xml:space="preserve"> </w:t>
      </w:r>
      <w:r w:rsidRPr="00036FAC">
        <w:t>Asian</w:t>
      </w:r>
      <w:r>
        <w:t xml:space="preserve"> </w:t>
      </w:r>
      <w:r w:rsidRPr="00036FAC">
        <w:t>women</w:t>
      </w:r>
      <w:r>
        <w:t xml:space="preserve"> </w:t>
      </w:r>
      <w:r w:rsidRPr="00036FAC">
        <w:t>in</w:t>
      </w:r>
      <w:r>
        <w:t xml:space="preserve"> </w:t>
      </w:r>
      <w:r w:rsidRPr="00036FAC">
        <w:t>2005–</w:t>
      </w:r>
      <w:r>
        <w:t>20</w:t>
      </w:r>
      <w:r w:rsidRPr="00036FAC">
        <w:t>07</w:t>
      </w:r>
      <w:r>
        <w:t xml:space="preserve"> </w:t>
      </w:r>
      <w:r w:rsidRPr="00036FAC">
        <w:t>was</w:t>
      </w:r>
      <w:r>
        <w:t xml:space="preserve"> </w:t>
      </w:r>
      <w:r w:rsidRPr="00036FAC">
        <w:t>1.52</w:t>
      </w:r>
      <w:r>
        <w:t xml:space="preserve"> </w:t>
      </w:r>
      <w:r w:rsidRPr="00036FAC">
        <w:t>births</w:t>
      </w:r>
      <w:r>
        <w:t xml:space="preserve"> </w:t>
      </w:r>
      <w:r w:rsidRPr="00036FAC">
        <w:t>per</w:t>
      </w:r>
      <w:r>
        <w:t xml:space="preserve"> </w:t>
      </w:r>
      <w:r w:rsidRPr="00036FAC">
        <w:t>woman</w:t>
      </w:r>
      <w:r>
        <w:t xml:space="preserve"> </w:t>
      </w:r>
      <w:r w:rsidRPr="00036FAC">
        <w:t>and</w:t>
      </w:r>
      <w:r>
        <w:t xml:space="preserve"> </w:t>
      </w:r>
      <w:r w:rsidRPr="00036FAC">
        <w:t>10</w:t>
      </w:r>
      <w:r>
        <w:t xml:space="preserve"> per cent </w:t>
      </w:r>
      <w:r w:rsidRPr="00036FAC">
        <w:t>of</w:t>
      </w:r>
      <w:r>
        <w:t xml:space="preserve"> </w:t>
      </w:r>
      <w:r w:rsidRPr="00036FAC">
        <w:t>all</w:t>
      </w:r>
      <w:r>
        <w:t xml:space="preserve"> </w:t>
      </w:r>
      <w:r w:rsidRPr="00036FAC">
        <w:t>live</w:t>
      </w:r>
      <w:r>
        <w:t xml:space="preserve"> </w:t>
      </w:r>
      <w:r w:rsidRPr="00036FAC">
        <w:t>births</w:t>
      </w:r>
      <w:r>
        <w:t xml:space="preserve"> </w:t>
      </w:r>
      <w:r w:rsidRPr="00036FAC">
        <w:t>were</w:t>
      </w:r>
      <w:r>
        <w:t xml:space="preserve"> </w:t>
      </w:r>
      <w:r w:rsidRPr="00036FAC">
        <w:t>registered</w:t>
      </w:r>
      <w:r>
        <w:t xml:space="preserve"> </w:t>
      </w:r>
      <w:r w:rsidRPr="00036FAC">
        <w:t>to</w:t>
      </w:r>
      <w:r>
        <w:t xml:space="preserve"> </w:t>
      </w:r>
      <w:r w:rsidRPr="00036FAC">
        <w:t>Asian</w:t>
      </w:r>
      <w:r>
        <w:t xml:space="preserve"> </w:t>
      </w:r>
      <w:r w:rsidRPr="00036FAC">
        <w:t>women</w:t>
      </w:r>
      <w:r>
        <w:t xml:space="preserve"> </w:t>
      </w:r>
      <w:r w:rsidRPr="00036FAC">
        <w:t>in</w:t>
      </w:r>
      <w:r>
        <w:t xml:space="preserve"> </w:t>
      </w:r>
      <w:r w:rsidRPr="00036FAC">
        <w:t>that</w:t>
      </w:r>
      <w:r>
        <w:t xml:space="preserve"> </w:t>
      </w:r>
      <w:r w:rsidRPr="00036FAC">
        <w:t>period.</w:t>
      </w:r>
    </w:p>
    <w:p w:rsidR="00036FAC" w:rsidRPr="00036FAC" w:rsidRDefault="00036FAC" w:rsidP="00797C82">
      <w:pPr>
        <w:pStyle w:val="SingleTxtG"/>
      </w:pPr>
      <w:r w:rsidRPr="00036FAC">
        <w:t>20.</w:t>
      </w:r>
      <w:r w:rsidRPr="00036FAC">
        <w:tab/>
        <w:t>New</w:t>
      </w:r>
      <w:r w:rsidR="00907D8C">
        <w:t xml:space="preserve"> </w:t>
      </w:r>
      <w:r w:rsidRPr="00036FAC">
        <w:t>Zealand</w:t>
      </w:r>
      <w:r w:rsidR="00907D8C">
        <w:t xml:space="preserve"> </w:t>
      </w:r>
      <w:r w:rsidRPr="00036FAC">
        <w:t>has</w:t>
      </w:r>
      <w:r w:rsidR="00907D8C">
        <w:t xml:space="preserve"> </w:t>
      </w:r>
      <w:r w:rsidRPr="00036FAC">
        <w:t>a</w:t>
      </w:r>
      <w:r w:rsidR="00907D8C">
        <w:t xml:space="preserve"> </w:t>
      </w:r>
      <w:r w:rsidRPr="00036FAC">
        <w:t>relatively</w:t>
      </w:r>
      <w:r w:rsidR="00907D8C">
        <w:t xml:space="preserve"> </w:t>
      </w:r>
      <w:r w:rsidRPr="00036FAC">
        <w:t>high</w:t>
      </w:r>
      <w:r w:rsidR="00907D8C">
        <w:t xml:space="preserve"> </w:t>
      </w:r>
      <w:r w:rsidRPr="00036FAC">
        <w:t>rate</w:t>
      </w:r>
      <w:r w:rsidR="00907D8C">
        <w:t xml:space="preserve"> </w:t>
      </w:r>
      <w:r w:rsidRPr="00036FAC">
        <w:t>of</w:t>
      </w:r>
      <w:r w:rsidR="00907D8C">
        <w:t xml:space="preserve"> </w:t>
      </w:r>
      <w:r w:rsidRPr="00036FAC">
        <w:t>childbearing</w:t>
      </w:r>
      <w:r w:rsidR="00907D8C">
        <w:t xml:space="preserve"> </w:t>
      </w:r>
      <w:r w:rsidRPr="00036FAC">
        <w:t>at</w:t>
      </w:r>
      <w:r w:rsidR="00907D8C">
        <w:t xml:space="preserve"> </w:t>
      </w:r>
      <w:r w:rsidRPr="00036FAC">
        <w:t>young</w:t>
      </w:r>
      <w:r w:rsidR="00907D8C">
        <w:t xml:space="preserve"> </w:t>
      </w:r>
      <w:r w:rsidRPr="00036FAC">
        <w:t>ages</w:t>
      </w:r>
      <w:r w:rsidR="00907D8C">
        <w:t xml:space="preserve"> </w:t>
      </w:r>
      <w:r w:rsidRPr="00036FAC">
        <w:t>compared</w:t>
      </w:r>
      <w:r w:rsidR="00907D8C">
        <w:t xml:space="preserve"> </w:t>
      </w:r>
      <w:r w:rsidRPr="00036FAC">
        <w:t>with</w:t>
      </w:r>
      <w:r w:rsidR="00907D8C">
        <w:t xml:space="preserve"> </w:t>
      </w:r>
      <w:r w:rsidRPr="00036FAC">
        <w:t>most</w:t>
      </w:r>
      <w:r w:rsidR="00907D8C">
        <w:t xml:space="preserve"> </w:t>
      </w:r>
      <w:r w:rsidRPr="00036FAC">
        <w:t>other</w:t>
      </w:r>
      <w:r w:rsidR="00907D8C">
        <w:t xml:space="preserve"> </w:t>
      </w:r>
      <w:r w:rsidRPr="00036FAC">
        <w:t>developed</w:t>
      </w:r>
      <w:r w:rsidR="00907D8C">
        <w:t xml:space="preserve"> </w:t>
      </w:r>
      <w:r w:rsidRPr="00036FAC">
        <w:t>countries.</w:t>
      </w:r>
      <w:r w:rsidR="00907D8C">
        <w:t xml:space="preserve"> </w:t>
      </w:r>
      <w:r w:rsidRPr="00036FAC">
        <w:t>At</w:t>
      </w:r>
      <w:r w:rsidR="00907D8C">
        <w:t xml:space="preserve"> </w:t>
      </w:r>
      <w:r w:rsidRPr="00036FAC">
        <w:t>33.1</w:t>
      </w:r>
      <w:r w:rsidR="00907D8C">
        <w:t xml:space="preserve"> </w:t>
      </w:r>
      <w:r w:rsidRPr="00036FAC">
        <w:t>births</w:t>
      </w:r>
      <w:r w:rsidR="00907D8C">
        <w:t xml:space="preserve"> </w:t>
      </w:r>
      <w:r w:rsidRPr="00036FAC">
        <w:t>per</w:t>
      </w:r>
      <w:r w:rsidR="00907D8C">
        <w:t xml:space="preserve"> </w:t>
      </w:r>
      <w:r w:rsidRPr="00036FAC">
        <w:t>1,000</w:t>
      </w:r>
      <w:r w:rsidR="00907D8C">
        <w:t xml:space="preserve"> </w:t>
      </w:r>
      <w:r w:rsidRPr="00036FAC">
        <w:t>females</w:t>
      </w:r>
      <w:r w:rsidR="00907D8C">
        <w:t xml:space="preserve"> </w:t>
      </w:r>
      <w:r w:rsidRPr="00036FAC">
        <w:t>aged</w:t>
      </w:r>
      <w:r w:rsidR="00907D8C">
        <w:t xml:space="preserve"> </w:t>
      </w:r>
      <w:r w:rsidRPr="00036FAC">
        <w:t>15–19</w:t>
      </w:r>
      <w:r w:rsidR="00907D8C">
        <w:t xml:space="preserve"> </w:t>
      </w:r>
      <w:r w:rsidRPr="00036FAC">
        <w:t>years</w:t>
      </w:r>
      <w:r w:rsidR="00907D8C">
        <w:t xml:space="preserve"> </w:t>
      </w:r>
      <w:r w:rsidRPr="00036FAC">
        <w:t>in</w:t>
      </w:r>
      <w:r w:rsidR="00907D8C">
        <w:t xml:space="preserve"> </w:t>
      </w:r>
      <w:r w:rsidRPr="00036FAC">
        <w:t>2008,</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teenage</w:t>
      </w:r>
      <w:r w:rsidR="00907D8C">
        <w:t xml:space="preserve"> </w:t>
      </w:r>
      <w:r w:rsidRPr="00036FAC">
        <w:t>birth</w:t>
      </w:r>
      <w:r w:rsidR="00907D8C">
        <w:t xml:space="preserve"> </w:t>
      </w:r>
      <w:r w:rsidRPr="00036FAC">
        <w:t>rate</w:t>
      </w:r>
      <w:r w:rsidR="00907D8C">
        <w:t xml:space="preserve"> </w:t>
      </w:r>
      <w:r w:rsidRPr="00036FAC">
        <w:t>is</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in</w:t>
      </w:r>
      <w:r w:rsidR="00907D8C">
        <w:t xml:space="preserve"> </w:t>
      </w:r>
      <w:r w:rsidRPr="00036FAC">
        <w:t>England</w:t>
      </w:r>
      <w:r w:rsidR="00907D8C">
        <w:t xml:space="preserve"> </w:t>
      </w:r>
      <w:r w:rsidRPr="00036FAC">
        <w:t>and</w:t>
      </w:r>
      <w:r w:rsidR="00907D8C">
        <w:t xml:space="preserve"> </w:t>
      </w:r>
      <w:r w:rsidRPr="00036FAC">
        <w:t>Wales</w:t>
      </w:r>
      <w:r w:rsidR="00907D8C">
        <w:t xml:space="preserve"> </w:t>
      </w:r>
      <w:r w:rsidRPr="00036FAC">
        <w:t>(26.0</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2007)</w:t>
      </w:r>
      <w:r w:rsidR="00907D8C">
        <w:t xml:space="preserve"> </w:t>
      </w:r>
      <w:r w:rsidRPr="00036FAC">
        <w:t>but</w:t>
      </w:r>
      <w:r w:rsidR="00907D8C">
        <w:t xml:space="preserve"> </w:t>
      </w:r>
      <w:r w:rsidRPr="00036FAC">
        <w:t>considerably</w:t>
      </w:r>
      <w:r w:rsidR="00907D8C">
        <w:t xml:space="preserve"> </w:t>
      </w:r>
      <w:r w:rsidRPr="00036FAC">
        <w:t>lower</w:t>
      </w:r>
      <w:r w:rsidR="00907D8C">
        <w:t xml:space="preserve"> </w:t>
      </w:r>
      <w:r w:rsidRPr="00036FAC">
        <w:t>than</w:t>
      </w:r>
      <w:r w:rsidR="00907D8C">
        <w:t xml:space="preserve"> </w:t>
      </w:r>
      <w:r w:rsidR="00797C82">
        <w:t>that</w:t>
      </w:r>
      <w:r w:rsidR="00907D8C">
        <w:t xml:space="preserve"> </w:t>
      </w:r>
      <w:r w:rsidR="00797C82">
        <w:t>of</w:t>
      </w:r>
      <w:r w:rsidR="00907D8C">
        <w:t xml:space="preserve"> </w:t>
      </w:r>
      <w:r w:rsidR="00797C82">
        <w:t>the</w:t>
      </w:r>
      <w:r w:rsidR="00907D8C">
        <w:t xml:space="preserve"> </w:t>
      </w:r>
      <w:r w:rsidR="00797C82">
        <w:t>United</w:t>
      </w:r>
      <w:r w:rsidR="00907D8C">
        <w:t xml:space="preserve"> </w:t>
      </w:r>
      <w:r w:rsidR="00797C82">
        <w:t>States</w:t>
      </w:r>
      <w:r w:rsidR="00907D8C">
        <w:t xml:space="preserve"> </w:t>
      </w:r>
      <w:r w:rsidR="00797C82">
        <w:t>(41.9</w:t>
      </w:r>
      <w:r w:rsidR="00907D8C">
        <w:t xml:space="preserve"> </w:t>
      </w:r>
      <w:r w:rsidR="00797C82">
        <w:t>per</w:t>
      </w:r>
      <w:r w:rsidR="00907D8C">
        <w:t xml:space="preserve"> </w:t>
      </w:r>
      <w:r w:rsidRPr="00036FAC">
        <w:t>1,000</w:t>
      </w:r>
      <w:r w:rsidR="00907D8C">
        <w:t xml:space="preserve"> </w:t>
      </w:r>
      <w:r w:rsidRPr="00036FAC">
        <w:t>in</w:t>
      </w:r>
      <w:r w:rsidR="00907D8C">
        <w:t xml:space="preserve"> </w:t>
      </w:r>
      <w:r w:rsidRPr="00036FAC">
        <w:t>2006).</w:t>
      </w:r>
    </w:p>
    <w:p w:rsidR="00036FAC" w:rsidRPr="00036FAC" w:rsidRDefault="00036FAC" w:rsidP="00797C82">
      <w:pPr>
        <w:pStyle w:val="SingleTxtG"/>
      </w:pPr>
      <w:r w:rsidRPr="00036FAC">
        <w:t>21.</w:t>
      </w:r>
      <w:r w:rsidRPr="00036FAC">
        <w:tab/>
        <w:t>In</w:t>
      </w:r>
      <w:r w:rsidR="00907D8C">
        <w:t xml:space="preserve"> </w:t>
      </w:r>
      <w:r w:rsidRPr="00036FAC">
        <w:t>2008,</w:t>
      </w:r>
      <w:r w:rsidR="00907D8C">
        <w:t xml:space="preserve"> </w:t>
      </w:r>
      <w:r w:rsidRPr="00036FAC">
        <w:t>the</w:t>
      </w:r>
      <w:r w:rsidR="00907D8C">
        <w:t xml:space="preserve"> </w:t>
      </w:r>
      <w:r w:rsidRPr="00036FAC">
        <w:t>teenage</w:t>
      </w:r>
      <w:r w:rsidR="00907D8C">
        <w:t xml:space="preserve"> </w:t>
      </w:r>
      <w:r w:rsidRPr="00036FAC">
        <w:t>(under</w:t>
      </w:r>
      <w:r w:rsidR="00907D8C">
        <w:t xml:space="preserve"> </w:t>
      </w:r>
      <w:r w:rsidRPr="00036FAC">
        <w:t>20</w:t>
      </w:r>
      <w:r w:rsidR="00907D8C">
        <w:t xml:space="preserve"> </w:t>
      </w:r>
      <w:r w:rsidRPr="00036FAC">
        <w:t>years)</w:t>
      </w:r>
      <w:r w:rsidR="00907D8C">
        <w:t xml:space="preserve"> </w:t>
      </w:r>
      <w:r w:rsidRPr="00036FAC">
        <w:t>fertility</w:t>
      </w:r>
      <w:r w:rsidR="00907D8C">
        <w:t xml:space="preserve"> </w:t>
      </w:r>
      <w:r w:rsidRPr="00036FAC">
        <w:t>rate</w:t>
      </w:r>
      <w:r w:rsidR="00907D8C">
        <w:t xml:space="preserve"> </w:t>
      </w:r>
      <w:r w:rsidRPr="00036FAC">
        <w:t>was</w:t>
      </w:r>
      <w:r w:rsidR="00907D8C">
        <w:t xml:space="preserve"> </w:t>
      </w:r>
      <w:r w:rsidRPr="00036FAC">
        <w:t>33.1</w:t>
      </w:r>
      <w:r w:rsidR="00907D8C">
        <w:t xml:space="preserve"> </w:t>
      </w:r>
      <w:r w:rsidRPr="00036FAC">
        <w:t>births</w:t>
      </w:r>
      <w:r w:rsidR="00907D8C">
        <w:t xml:space="preserve"> </w:t>
      </w:r>
      <w:r w:rsidRPr="00036FAC">
        <w:t>per</w:t>
      </w:r>
      <w:r w:rsidR="00907D8C">
        <w:t xml:space="preserve"> </w:t>
      </w:r>
      <w:r w:rsidRPr="00036FAC">
        <w:t>1,000</w:t>
      </w:r>
      <w:r w:rsidR="00907D8C">
        <w:t xml:space="preserve"> </w:t>
      </w:r>
      <w:r w:rsidRPr="00036FAC">
        <w:t>females</w:t>
      </w:r>
      <w:r w:rsidR="00907D8C">
        <w:t xml:space="preserve"> </w:t>
      </w:r>
      <w:r w:rsidRPr="00036FAC">
        <w:t>aged</w:t>
      </w:r>
      <w:r w:rsidR="00907D8C">
        <w:t xml:space="preserve"> </w:t>
      </w:r>
      <w:r w:rsidRPr="00036FAC">
        <w:t>15–19</w:t>
      </w:r>
      <w:r w:rsidR="00907D8C">
        <w:t xml:space="preserve"> </w:t>
      </w:r>
      <w:r w:rsidRPr="00036FAC">
        <w:t>years,</w:t>
      </w:r>
      <w:r w:rsidR="00907D8C">
        <w:t xml:space="preserve"> </w:t>
      </w:r>
      <w:r w:rsidRPr="00036FAC">
        <w:t>an</w:t>
      </w:r>
      <w:r w:rsidR="00907D8C">
        <w:t xml:space="preserve"> </w:t>
      </w:r>
      <w:r w:rsidRPr="00036FAC">
        <w:t>increase</w:t>
      </w:r>
      <w:r w:rsidR="00907D8C">
        <w:t xml:space="preserve"> </w:t>
      </w:r>
      <w:r w:rsidRPr="00036FAC">
        <w:t>from</w:t>
      </w:r>
      <w:r w:rsidR="00907D8C">
        <w:t xml:space="preserve"> </w:t>
      </w:r>
      <w:r w:rsidRPr="00036FAC">
        <w:t>31.6</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2007.</w:t>
      </w:r>
      <w:r w:rsidR="00907D8C">
        <w:t xml:space="preserve"> </w:t>
      </w:r>
      <w:r w:rsidRPr="00036FAC">
        <w:t>The</w:t>
      </w:r>
      <w:r w:rsidR="00907D8C">
        <w:t xml:space="preserve"> </w:t>
      </w:r>
      <w:r w:rsidRPr="00036FAC">
        <w:t>teenage</w:t>
      </w:r>
      <w:r w:rsidR="00907D8C">
        <w:t xml:space="preserve"> </w:t>
      </w:r>
      <w:r w:rsidRPr="00036FAC">
        <w:t>fertility</w:t>
      </w:r>
      <w:r w:rsidR="00907D8C">
        <w:t xml:space="preserve"> </w:t>
      </w:r>
      <w:r w:rsidRPr="00036FAC">
        <w:t>rate</w:t>
      </w:r>
      <w:r w:rsidR="00907D8C">
        <w:t xml:space="preserve"> </w:t>
      </w:r>
      <w:r w:rsidRPr="00036FAC">
        <w:t>fell</w:t>
      </w:r>
      <w:r w:rsidR="00907D8C">
        <w:t xml:space="preserve"> </w:t>
      </w:r>
      <w:r w:rsidRPr="00036FAC">
        <w:t>between</w:t>
      </w:r>
      <w:r w:rsidR="00907D8C">
        <w:t xml:space="preserve"> </w:t>
      </w:r>
      <w:r w:rsidRPr="00036FAC">
        <w:t>1997</w:t>
      </w:r>
      <w:r w:rsidR="00907D8C">
        <w:t xml:space="preserve"> </w:t>
      </w:r>
      <w:r w:rsidRPr="00036FAC">
        <w:t>and</w:t>
      </w:r>
      <w:r w:rsidR="00907D8C">
        <w:t xml:space="preserve"> </w:t>
      </w:r>
      <w:r w:rsidRPr="00036FAC">
        <w:t>2002</w:t>
      </w:r>
      <w:r w:rsidR="00907D8C">
        <w:t xml:space="preserve"> </w:t>
      </w:r>
      <w:r w:rsidRPr="00036FAC">
        <w:t>(from</w:t>
      </w:r>
      <w:r w:rsidR="00907D8C">
        <w:t xml:space="preserve"> </w:t>
      </w:r>
      <w:r w:rsidRPr="00036FAC">
        <w:t>33.2</w:t>
      </w:r>
      <w:r w:rsidR="00907D8C">
        <w:t xml:space="preserve"> </w:t>
      </w:r>
      <w:r w:rsidRPr="00036FAC">
        <w:t>to</w:t>
      </w:r>
      <w:r w:rsidR="00907D8C">
        <w:t xml:space="preserve"> </w:t>
      </w:r>
      <w:r w:rsidRPr="00036FAC">
        <w:t>25.8</w:t>
      </w:r>
      <w:r w:rsidR="00907D8C">
        <w:t xml:space="preserve"> </w:t>
      </w:r>
      <w:r w:rsidRPr="00036FAC">
        <w:t>per</w:t>
      </w:r>
      <w:r w:rsidR="00907D8C">
        <w:t xml:space="preserve"> </w:t>
      </w:r>
      <w:r w:rsidRPr="00036FAC">
        <w:t>1,000)</w:t>
      </w:r>
      <w:r w:rsidR="00907D8C">
        <w:t xml:space="preserve"> </w:t>
      </w:r>
      <w:r w:rsidRPr="00036FAC">
        <w:t>but</w:t>
      </w:r>
      <w:r w:rsidR="00907D8C">
        <w:t xml:space="preserve"> </w:t>
      </w:r>
      <w:r w:rsidRPr="00036FAC">
        <w:t>rose</w:t>
      </w:r>
      <w:r w:rsidR="00907D8C">
        <w:t xml:space="preserve"> </w:t>
      </w:r>
      <w:r w:rsidRPr="00036FAC">
        <w:t>by</w:t>
      </w:r>
      <w:r w:rsidR="00907D8C">
        <w:t xml:space="preserve"> </w:t>
      </w:r>
      <w:r w:rsidRPr="00036FAC">
        <w:t>almost</w:t>
      </w:r>
      <w:r w:rsidR="00907D8C">
        <w:t xml:space="preserve"> </w:t>
      </w:r>
      <w:r w:rsidRPr="00036FAC">
        <w:t>as</w:t>
      </w:r>
      <w:r w:rsidR="00907D8C">
        <w:t xml:space="preserve"> </w:t>
      </w:r>
      <w:r w:rsidRPr="00036FAC">
        <w:t>much</w:t>
      </w:r>
      <w:r w:rsidR="00907D8C">
        <w:t xml:space="preserve"> </w:t>
      </w:r>
      <w:r w:rsidRPr="00036FAC">
        <w:t>between</w:t>
      </w:r>
      <w:r w:rsidR="00907D8C">
        <w:t xml:space="preserve"> </w:t>
      </w:r>
      <w:r w:rsidRPr="00036FAC">
        <w:t>2002</w:t>
      </w:r>
      <w:r w:rsidR="00907D8C">
        <w:t xml:space="preserve"> </w:t>
      </w:r>
      <w:r w:rsidRPr="00036FAC">
        <w:t>and</w:t>
      </w:r>
      <w:r w:rsidR="00907D8C">
        <w:t xml:space="preserve"> </w:t>
      </w:r>
      <w:r w:rsidRPr="00036FAC">
        <w:t>2008.</w:t>
      </w:r>
      <w:r w:rsidR="00907D8C">
        <w:t xml:space="preserve"> </w:t>
      </w:r>
      <w:r w:rsidRPr="00036FAC">
        <w:t>Over</w:t>
      </w:r>
      <w:r w:rsidR="00907D8C">
        <w:t xml:space="preserve"> </w:t>
      </w:r>
      <w:r w:rsidRPr="00036FAC">
        <w:t>the</w:t>
      </w:r>
      <w:r w:rsidR="00907D8C">
        <w:t xml:space="preserve"> </w:t>
      </w:r>
      <w:r w:rsidRPr="00036FAC">
        <w:t>same</w:t>
      </w:r>
      <w:r w:rsidR="00907D8C">
        <w:t xml:space="preserve"> </w:t>
      </w:r>
      <w:r w:rsidRPr="00036FAC">
        <w:t>period,</w:t>
      </w:r>
      <w:r w:rsidR="00907D8C">
        <w:t xml:space="preserve"> </w:t>
      </w:r>
      <w:r w:rsidRPr="00036FAC">
        <w:t>the</w:t>
      </w:r>
      <w:r w:rsidR="00907D8C">
        <w:t xml:space="preserve"> </w:t>
      </w:r>
      <w:r w:rsidRPr="00036FAC">
        <w:t>Māori</w:t>
      </w:r>
      <w:r w:rsidR="00907D8C">
        <w:t xml:space="preserve"> </w:t>
      </w:r>
      <w:r w:rsidRPr="00036FAC">
        <w:t>teenage</w:t>
      </w:r>
      <w:r w:rsidR="00907D8C">
        <w:t xml:space="preserve"> </w:t>
      </w:r>
      <w:r w:rsidRPr="00036FAC">
        <w:t>fertility</w:t>
      </w:r>
      <w:r w:rsidR="00907D8C">
        <w:t xml:space="preserve"> </w:t>
      </w:r>
      <w:r w:rsidRPr="00036FAC">
        <w:t>rate</w:t>
      </w:r>
      <w:r w:rsidR="00907D8C">
        <w:t xml:space="preserve"> </w:t>
      </w:r>
      <w:r w:rsidRPr="00036FAC">
        <w:t>fell</w:t>
      </w:r>
      <w:r w:rsidR="00907D8C">
        <w:t xml:space="preserve"> </w:t>
      </w:r>
      <w:r w:rsidRPr="00036FAC">
        <w:t>from</w:t>
      </w:r>
      <w:r w:rsidR="00907D8C">
        <w:t xml:space="preserve"> </w:t>
      </w:r>
      <w:r w:rsidRPr="00036FAC">
        <w:t>84.0</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1997</w:t>
      </w:r>
      <w:r w:rsidR="00907D8C">
        <w:t xml:space="preserve"> </w:t>
      </w:r>
      <w:r w:rsidRPr="00036FAC">
        <w:t>to</w:t>
      </w:r>
      <w:r w:rsidR="00907D8C">
        <w:t xml:space="preserve"> </w:t>
      </w:r>
      <w:r w:rsidRPr="00036FAC">
        <w:t>61.8</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2002,</w:t>
      </w:r>
      <w:r w:rsidR="00907D8C">
        <w:t xml:space="preserve"> </w:t>
      </w:r>
      <w:r w:rsidRPr="00036FAC">
        <w:t>rising</w:t>
      </w:r>
      <w:r w:rsidR="00907D8C">
        <w:t xml:space="preserve"> </w:t>
      </w:r>
      <w:r w:rsidRPr="00036FAC">
        <w:t>to</w:t>
      </w:r>
      <w:r w:rsidR="00907D8C">
        <w:t xml:space="preserve"> </w:t>
      </w:r>
      <w:r w:rsidRPr="00036FAC">
        <w:t>80.7</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2008.</w:t>
      </w:r>
    </w:p>
    <w:p w:rsidR="00036FAC" w:rsidRPr="00036FAC" w:rsidRDefault="00036FAC" w:rsidP="00797C82">
      <w:pPr>
        <w:pStyle w:val="SingleTxtG"/>
      </w:pPr>
      <w:r w:rsidRPr="00036FAC">
        <w:t>22.</w:t>
      </w:r>
      <w:r w:rsidRPr="00036FAC">
        <w:tab/>
        <w:t>For</w:t>
      </w:r>
      <w:r w:rsidR="00907D8C">
        <w:t xml:space="preserve"> </w:t>
      </w:r>
      <w:r w:rsidRPr="00036FAC">
        <w:t>non-Māori</w:t>
      </w:r>
      <w:r w:rsidR="00907D8C">
        <w:t xml:space="preserve"> </w:t>
      </w:r>
      <w:r w:rsidRPr="00036FAC">
        <w:t>females</w:t>
      </w:r>
      <w:r w:rsidR="00907D8C">
        <w:t xml:space="preserve"> </w:t>
      </w:r>
      <w:r w:rsidRPr="00036FAC">
        <w:t>aged</w:t>
      </w:r>
      <w:r w:rsidR="00907D8C">
        <w:t xml:space="preserve"> </w:t>
      </w:r>
      <w:r w:rsidRPr="00036FAC">
        <w:t>under</w:t>
      </w:r>
      <w:r w:rsidR="00907D8C">
        <w:t xml:space="preserve"> </w:t>
      </w:r>
      <w:r w:rsidRPr="00036FAC">
        <w:t>20</w:t>
      </w:r>
      <w:r w:rsidR="00907D8C">
        <w:t xml:space="preserve"> </w:t>
      </w:r>
      <w:r w:rsidRPr="00036FAC">
        <w:t>years,</w:t>
      </w:r>
      <w:r w:rsidR="00907D8C">
        <w:t xml:space="preserve"> </w:t>
      </w:r>
      <w:r w:rsidRPr="00036FAC">
        <w:t>the</w:t>
      </w:r>
      <w:r w:rsidR="00907D8C">
        <w:t xml:space="preserve"> </w:t>
      </w:r>
      <w:r w:rsidRPr="00036FAC">
        <w:t>pattern</w:t>
      </w:r>
      <w:r w:rsidR="00907D8C">
        <w:t xml:space="preserve"> </w:t>
      </w:r>
      <w:r w:rsidRPr="00036FAC">
        <w:t>was</w:t>
      </w:r>
      <w:r w:rsidR="00907D8C">
        <w:t xml:space="preserve"> </w:t>
      </w:r>
      <w:r w:rsidRPr="00036FAC">
        <w:t>similar</w:t>
      </w:r>
      <w:r w:rsidR="00907D8C">
        <w:t xml:space="preserve"> </w:t>
      </w:r>
      <w:r w:rsidRPr="00036FAC">
        <w:t>but</w:t>
      </w:r>
      <w:r w:rsidR="00907D8C">
        <w:t xml:space="preserve"> </w:t>
      </w:r>
      <w:r w:rsidRPr="00036FAC">
        <w:t>less</w:t>
      </w:r>
      <w:r w:rsidR="00907D8C">
        <w:t xml:space="preserve"> </w:t>
      </w:r>
      <w:r w:rsidRPr="00036FAC">
        <w:t>pronounced:</w:t>
      </w:r>
      <w:r w:rsidR="00907D8C">
        <w:t xml:space="preserve"> </w:t>
      </w:r>
      <w:r w:rsidRPr="00036FAC">
        <w:t>a</w:t>
      </w:r>
      <w:r w:rsidR="00907D8C">
        <w:t xml:space="preserve"> </w:t>
      </w:r>
      <w:r w:rsidRPr="00036FAC">
        <w:t>fall</w:t>
      </w:r>
      <w:r w:rsidR="00907D8C">
        <w:t xml:space="preserve"> </w:t>
      </w:r>
      <w:r w:rsidRPr="00036FAC">
        <w:t>in</w:t>
      </w:r>
      <w:r w:rsidR="00907D8C">
        <w:t xml:space="preserve"> </w:t>
      </w:r>
      <w:r w:rsidRPr="00036FAC">
        <w:t>the</w:t>
      </w:r>
      <w:r w:rsidR="00907D8C">
        <w:t xml:space="preserve"> </w:t>
      </w:r>
      <w:r w:rsidRPr="00036FAC">
        <w:t>fertility</w:t>
      </w:r>
      <w:r w:rsidR="00907D8C">
        <w:t xml:space="preserve"> </w:t>
      </w:r>
      <w:r w:rsidRPr="00036FAC">
        <w:t>rate</w:t>
      </w:r>
      <w:r w:rsidR="00907D8C">
        <w:t xml:space="preserve"> </w:t>
      </w:r>
      <w:r w:rsidRPr="00036FAC">
        <w:t>between</w:t>
      </w:r>
      <w:r w:rsidR="00907D8C">
        <w:t xml:space="preserve"> </w:t>
      </w:r>
      <w:r w:rsidRPr="00036FAC">
        <w:t>1997</w:t>
      </w:r>
      <w:r w:rsidR="00907D8C">
        <w:t xml:space="preserve"> </w:t>
      </w:r>
      <w:r w:rsidRPr="00036FAC">
        <w:t>and</w:t>
      </w:r>
      <w:r w:rsidR="00907D8C">
        <w:t xml:space="preserve"> </w:t>
      </w:r>
      <w:r w:rsidRPr="00036FAC">
        <w:t>2003</w:t>
      </w:r>
      <w:r w:rsidR="00907D8C">
        <w:t xml:space="preserve"> </w:t>
      </w:r>
      <w:r w:rsidRPr="00036FAC">
        <w:t>(from</w:t>
      </w:r>
      <w:r w:rsidR="00907D8C">
        <w:t xml:space="preserve"> </w:t>
      </w:r>
      <w:r w:rsidRPr="00036FAC">
        <w:t>19.9</w:t>
      </w:r>
      <w:r w:rsidR="00907D8C">
        <w:t xml:space="preserve"> </w:t>
      </w:r>
      <w:r w:rsidRPr="00036FAC">
        <w:t>to</w:t>
      </w:r>
      <w:r w:rsidR="00907D8C">
        <w:t xml:space="preserve"> </w:t>
      </w:r>
      <w:r w:rsidRPr="00036FAC">
        <w:t>15.7</w:t>
      </w:r>
      <w:r w:rsidR="00907D8C">
        <w:t xml:space="preserve"> </w:t>
      </w:r>
      <w:r w:rsidRPr="00036FAC">
        <w:t>per</w:t>
      </w:r>
      <w:r w:rsidR="00907D8C">
        <w:t xml:space="preserve"> </w:t>
      </w:r>
      <w:r w:rsidRPr="00036FAC">
        <w:t>1,000),</w:t>
      </w:r>
      <w:r w:rsidR="00907D8C">
        <w:t xml:space="preserve"> </w:t>
      </w:r>
      <w:r w:rsidRPr="00036FAC">
        <w:t>followed</w:t>
      </w:r>
      <w:r w:rsidR="00907D8C">
        <w:t xml:space="preserve"> </w:t>
      </w:r>
      <w:r w:rsidRPr="00036FAC">
        <w:t>by</w:t>
      </w:r>
      <w:r w:rsidR="00907D8C">
        <w:t xml:space="preserve"> </w:t>
      </w:r>
      <w:r w:rsidRPr="00036FAC">
        <w:t>a</w:t>
      </w:r>
      <w:r w:rsidR="00907D8C">
        <w:t xml:space="preserve"> </w:t>
      </w:r>
      <w:r w:rsidRPr="00036FAC">
        <w:t>rise</w:t>
      </w:r>
      <w:r w:rsidR="00907D8C">
        <w:t xml:space="preserve"> </w:t>
      </w:r>
      <w:r w:rsidRPr="00036FAC">
        <w:t>to</w:t>
      </w:r>
      <w:r w:rsidR="00907D8C">
        <w:t xml:space="preserve"> </w:t>
      </w:r>
      <w:r w:rsidRPr="00036FAC">
        <w:t>20.3</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2008.</w:t>
      </w:r>
      <w:r w:rsidR="00907D8C">
        <w:t xml:space="preserve"> </w:t>
      </w:r>
      <w:r w:rsidRPr="00036FAC">
        <w:t>The</w:t>
      </w:r>
      <w:r w:rsidR="00907D8C">
        <w:t xml:space="preserve"> </w:t>
      </w:r>
      <w:r w:rsidRPr="00036FAC">
        <w:t>birth</w:t>
      </w:r>
      <w:r w:rsidR="00907D8C">
        <w:t xml:space="preserve"> </w:t>
      </w:r>
      <w:r w:rsidRPr="00036FAC">
        <w:t>rate</w:t>
      </w:r>
      <w:r w:rsidR="00907D8C">
        <w:t xml:space="preserve"> </w:t>
      </w:r>
      <w:r w:rsidRPr="00036FAC">
        <w:t>for</w:t>
      </w:r>
      <w:r w:rsidR="00907D8C">
        <w:t xml:space="preserve"> </w:t>
      </w:r>
      <w:r w:rsidRPr="00036FAC">
        <w:t>Pacific</w:t>
      </w:r>
      <w:r w:rsidR="00907D8C">
        <w:t xml:space="preserve"> </w:t>
      </w:r>
      <w:r w:rsidRPr="00036FAC">
        <w:t>females</w:t>
      </w:r>
      <w:r w:rsidR="00907D8C">
        <w:t xml:space="preserve"> </w:t>
      </w:r>
      <w:r w:rsidRPr="00036FAC">
        <w:t>aged</w:t>
      </w:r>
      <w:r w:rsidR="00907D8C">
        <w:t xml:space="preserve"> </w:t>
      </w:r>
      <w:r w:rsidRPr="00036FAC">
        <w:t>15–19</w:t>
      </w:r>
      <w:r w:rsidR="00907D8C">
        <w:t xml:space="preserve"> </w:t>
      </w:r>
      <w:r w:rsidRPr="00036FAC">
        <w:t>years</w:t>
      </w:r>
      <w:r w:rsidR="00907D8C">
        <w:t xml:space="preserve"> </w:t>
      </w:r>
      <w:r w:rsidRPr="00036FAC">
        <w:t>declined</w:t>
      </w:r>
      <w:r w:rsidR="00907D8C">
        <w:t xml:space="preserve"> </w:t>
      </w:r>
      <w:r w:rsidRPr="00036FAC">
        <w:t>from</w:t>
      </w:r>
      <w:r w:rsidR="00907D8C">
        <w:t xml:space="preserve"> </w:t>
      </w:r>
      <w:r w:rsidRPr="00036FAC">
        <w:t>47.4</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2000–</w:t>
      </w:r>
      <w:r w:rsidR="00C57DEE">
        <w:t>20</w:t>
      </w:r>
      <w:r w:rsidRPr="00036FAC">
        <w:t>02</w:t>
      </w:r>
      <w:r w:rsidR="00907D8C">
        <w:t xml:space="preserve"> </w:t>
      </w:r>
      <w:r w:rsidRPr="00036FAC">
        <w:t>to</w:t>
      </w:r>
      <w:r w:rsidR="00907D8C">
        <w:t xml:space="preserve"> </w:t>
      </w:r>
      <w:r w:rsidRPr="00036FAC">
        <w:t>42.5</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2005–</w:t>
      </w:r>
      <w:r w:rsidR="00C57DEE">
        <w:t>20</w:t>
      </w:r>
      <w:r w:rsidRPr="00036FAC">
        <w:t>07.</w:t>
      </w:r>
      <w:r w:rsidR="00907D8C">
        <w:t xml:space="preserve"> </w:t>
      </w:r>
      <w:r w:rsidRPr="00036FAC">
        <w:t>Over</w:t>
      </w:r>
      <w:r w:rsidR="00907D8C">
        <w:t xml:space="preserve"> </w:t>
      </w:r>
      <w:r w:rsidRPr="00036FAC">
        <w:t>the</w:t>
      </w:r>
      <w:r w:rsidR="00907D8C">
        <w:t xml:space="preserve"> </w:t>
      </w:r>
      <w:r w:rsidRPr="00036FAC">
        <w:t>same</w:t>
      </w:r>
      <w:r w:rsidR="00907D8C">
        <w:t xml:space="preserve"> </w:t>
      </w:r>
      <w:r w:rsidRPr="00036FAC">
        <w:t>period,</w:t>
      </w:r>
      <w:r w:rsidR="00907D8C">
        <w:t xml:space="preserve"> </w:t>
      </w:r>
      <w:r w:rsidRPr="00036FAC">
        <w:t>the</w:t>
      </w:r>
      <w:r w:rsidR="00907D8C">
        <w:t xml:space="preserve"> </w:t>
      </w:r>
      <w:r w:rsidRPr="00036FAC">
        <w:t>birth</w:t>
      </w:r>
      <w:r w:rsidR="00907D8C">
        <w:t xml:space="preserve"> </w:t>
      </w:r>
      <w:r w:rsidRPr="00036FAC">
        <w:t>rate</w:t>
      </w:r>
      <w:r w:rsidR="00907D8C">
        <w:t xml:space="preserve"> </w:t>
      </w:r>
      <w:r w:rsidRPr="00036FAC">
        <w:t>for</w:t>
      </w:r>
      <w:r w:rsidR="00907D8C">
        <w:t xml:space="preserve"> </w:t>
      </w:r>
      <w:r w:rsidRPr="00036FAC">
        <w:t>Asian</w:t>
      </w:r>
      <w:r w:rsidR="00907D8C">
        <w:t xml:space="preserve"> </w:t>
      </w:r>
      <w:r w:rsidRPr="00036FAC">
        <w:t>teens</w:t>
      </w:r>
      <w:r w:rsidR="00907D8C">
        <w:t xml:space="preserve"> </w:t>
      </w:r>
      <w:r w:rsidRPr="00036FAC">
        <w:t>fell</w:t>
      </w:r>
      <w:r w:rsidR="00907D8C">
        <w:t xml:space="preserve"> </w:t>
      </w:r>
      <w:r w:rsidRPr="00036FAC">
        <w:t>from</w:t>
      </w:r>
      <w:r w:rsidR="00907D8C">
        <w:t xml:space="preserve"> </w:t>
      </w:r>
      <w:r w:rsidRPr="00036FAC">
        <w:t>7.4</w:t>
      </w:r>
      <w:r w:rsidR="00907D8C">
        <w:t xml:space="preserve"> </w:t>
      </w:r>
      <w:r w:rsidRPr="00036FAC">
        <w:t>to</w:t>
      </w:r>
      <w:r w:rsidR="00907D8C">
        <w:t xml:space="preserve"> </w:t>
      </w:r>
      <w:r w:rsidRPr="00036FAC">
        <w:t>6.9</w:t>
      </w:r>
      <w:r w:rsidR="00907D8C">
        <w:t xml:space="preserve"> </w:t>
      </w:r>
      <w:r w:rsidRPr="00036FAC">
        <w:t>per</w:t>
      </w:r>
      <w:r w:rsidR="00907D8C">
        <w:t xml:space="preserve"> </w:t>
      </w:r>
      <w:r w:rsidRPr="00036FAC">
        <w:t>1,000.</w:t>
      </w:r>
    </w:p>
    <w:p w:rsidR="00036FAC" w:rsidRPr="00036FAC" w:rsidRDefault="00036FAC" w:rsidP="006C436C">
      <w:pPr>
        <w:pStyle w:val="H23G"/>
      </w:pPr>
      <w:r w:rsidRPr="00036FAC">
        <w:tab/>
        <w:t>6.</w:t>
      </w:r>
      <w:r w:rsidRPr="00036FAC">
        <w:tab/>
        <w:t>Official</w:t>
      </w:r>
      <w:r w:rsidR="00907D8C">
        <w:t xml:space="preserve"> </w:t>
      </w:r>
      <w:r w:rsidRPr="00036FAC">
        <w:t>languages</w:t>
      </w:r>
    </w:p>
    <w:p w:rsidR="00036FAC" w:rsidRPr="00036FAC" w:rsidRDefault="00036FAC" w:rsidP="00797C82">
      <w:pPr>
        <w:pStyle w:val="SingleTxtG"/>
      </w:pPr>
      <w:r w:rsidRPr="00036FAC">
        <w:t>23.</w:t>
      </w:r>
      <w:r w:rsidRPr="00036FAC">
        <w:tab/>
        <w:t>New</w:t>
      </w:r>
      <w:r w:rsidR="00907D8C">
        <w:t xml:space="preserve"> </w:t>
      </w:r>
      <w:r w:rsidRPr="00036FAC">
        <w:t>Zealand</w:t>
      </w:r>
      <w:r w:rsidR="00907D8C">
        <w:t xml:space="preserve"> </w:t>
      </w:r>
      <w:r w:rsidRPr="00036FAC">
        <w:t>has</w:t>
      </w:r>
      <w:r w:rsidR="00907D8C">
        <w:t xml:space="preserve"> </w:t>
      </w:r>
      <w:r w:rsidRPr="00036FAC">
        <w:t>three</w:t>
      </w:r>
      <w:r w:rsidR="00907D8C">
        <w:t xml:space="preserve"> </w:t>
      </w:r>
      <w:r w:rsidRPr="00036FAC">
        <w:t>official</w:t>
      </w:r>
      <w:r w:rsidR="00907D8C">
        <w:t xml:space="preserve"> </w:t>
      </w:r>
      <w:r w:rsidRPr="00036FAC">
        <w:t>languages:</w:t>
      </w:r>
      <w:r w:rsidR="00907D8C">
        <w:t xml:space="preserve"> </w:t>
      </w:r>
      <w:r w:rsidRPr="00036FAC">
        <w:t>English,</w:t>
      </w:r>
      <w:r w:rsidR="00907D8C">
        <w:t xml:space="preserve"> </w:t>
      </w:r>
      <w:r w:rsidRPr="00036FAC">
        <w:t>Māori</w:t>
      </w:r>
      <w:r w:rsidR="00907D8C">
        <w:t xml:space="preserve"> </w:t>
      </w:r>
      <w:r w:rsidRPr="00036FAC">
        <w:t>(from</w:t>
      </w:r>
      <w:r w:rsidR="00907D8C">
        <w:t xml:space="preserve"> </w:t>
      </w:r>
      <w:r w:rsidRPr="00036FAC">
        <w:t>1987),</w:t>
      </w:r>
      <w:r w:rsidR="00907D8C">
        <w:t xml:space="preserve"> </w:t>
      </w:r>
      <w:r w:rsidRPr="00036FAC">
        <w:t>and</w:t>
      </w:r>
      <w:r w:rsidR="00907D8C">
        <w:t xml:space="preserve"> </w:t>
      </w:r>
      <w:r w:rsidRPr="00036FAC">
        <w:t>New</w:t>
      </w:r>
      <w:r w:rsidR="00907D8C">
        <w:t xml:space="preserve"> </w:t>
      </w:r>
      <w:r w:rsidRPr="00036FAC">
        <w:t>Zealand</w:t>
      </w:r>
      <w:r w:rsidR="00907D8C">
        <w:t xml:space="preserve"> </w:t>
      </w:r>
      <w:r w:rsidRPr="00036FAC">
        <w:t>Sign</w:t>
      </w:r>
      <w:r w:rsidR="00907D8C">
        <w:t xml:space="preserve"> </w:t>
      </w:r>
      <w:r w:rsidRPr="00036FAC">
        <w:t>Language</w:t>
      </w:r>
      <w:r w:rsidR="00907D8C">
        <w:t xml:space="preserve"> </w:t>
      </w:r>
      <w:r w:rsidRPr="00036FAC">
        <w:t>(from</w:t>
      </w:r>
      <w:r w:rsidR="00907D8C">
        <w:t xml:space="preserve"> </w:t>
      </w:r>
      <w:r w:rsidRPr="00036FAC">
        <w:t>April</w:t>
      </w:r>
      <w:r w:rsidR="00907D8C">
        <w:t xml:space="preserve"> </w:t>
      </w:r>
      <w:r w:rsidRPr="00036FAC">
        <w:t>2006).</w:t>
      </w:r>
      <w:r w:rsidR="00907D8C">
        <w:t xml:space="preserve"> </w:t>
      </w:r>
      <w:r w:rsidRPr="00036FAC">
        <w:t>The</w:t>
      </w:r>
      <w:r w:rsidR="00907D8C">
        <w:t xml:space="preserve"> </w:t>
      </w:r>
      <w:r w:rsidRPr="00036FAC">
        <w:t>2006</w:t>
      </w:r>
      <w:r w:rsidR="00907D8C">
        <w:t xml:space="preserve"> </w:t>
      </w:r>
      <w:r w:rsidRPr="00036FAC">
        <w:t>Census</w:t>
      </w:r>
      <w:r w:rsidR="00907D8C">
        <w:t xml:space="preserve"> </w:t>
      </w:r>
      <w:r w:rsidRPr="00036FAC">
        <w:t>recorded</w:t>
      </w:r>
      <w:r w:rsidR="00907D8C">
        <w:t xml:space="preserve"> </w:t>
      </w:r>
      <w:r w:rsidRPr="00036FAC">
        <w:t>that</w:t>
      </w:r>
      <w:r w:rsidR="00907D8C">
        <w:t xml:space="preserve"> </w:t>
      </w:r>
      <w:r w:rsidRPr="00036FAC">
        <w:t>96</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people</w:t>
      </w:r>
      <w:r w:rsidR="00907D8C">
        <w:t xml:space="preserve"> </w:t>
      </w:r>
      <w:r w:rsidRPr="00036FAC">
        <w:t>could</w:t>
      </w:r>
      <w:r w:rsidR="00907D8C">
        <w:t xml:space="preserve"> </w:t>
      </w:r>
      <w:r w:rsidRPr="00036FAC">
        <w:t>speak</w:t>
      </w:r>
      <w:r w:rsidR="00907D8C">
        <w:t xml:space="preserve"> </w:t>
      </w:r>
      <w:r w:rsidRPr="00036FAC">
        <w:t>English,</w:t>
      </w:r>
      <w:r w:rsidR="00907D8C">
        <w:t xml:space="preserve"> </w:t>
      </w:r>
      <w:r w:rsidRPr="00036FAC">
        <w:t>4</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people</w:t>
      </w:r>
      <w:r w:rsidR="00907D8C">
        <w:t xml:space="preserve"> </w:t>
      </w:r>
      <w:r w:rsidRPr="00036FAC">
        <w:t>could</w:t>
      </w:r>
      <w:r w:rsidR="00907D8C">
        <w:t xml:space="preserve"> </w:t>
      </w:r>
      <w:r w:rsidRPr="00036FAC">
        <w:t>speak</w:t>
      </w:r>
      <w:r w:rsidR="00907D8C">
        <w:t xml:space="preserve"> </w:t>
      </w:r>
      <w:r w:rsidRPr="00036FAC">
        <w:t>Māori,</w:t>
      </w:r>
      <w:r w:rsidR="00907D8C">
        <w:t xml:space="preserve"> </w:t>
      </w:r>
      <w:r w:rsidRPr="00036FAC">
        <w:t>and</w:t>
      </w:r>
      <w:r w:rsidR="00907D8C">
        <w:t xml:space="preserve"> </w:t>
      </w:r>
      <w:r w:rsidRPr="00036FAC">
        <w:t>0.6</w:t>
      </w:r>
      <w:r w:rsidR="00907D8C">
        <w:t xml:space="preserve"> </w:t>
      </w:r>
      <w:r w:rsidR="001B201B">
        <w:t>per</w:t>
      </w:r>
      <w:r w:rsidR="00907D8C">
        <w:t xml:space="preserve"> </w:t>
      </w:r>
      <w:r w:rsidR="001B201B">
        <w:t>cent</w:t>
      </w:r>
      <w:r w:rsidR="00907D8C">
        <w:t xml:space="preserve"> </w:t>
      </w:r>
      <w:r w:rsidRPr="00036FAC">
        <w:t>could</w:t>
      </w:r>
      <w:r w:rsidR="00907D8C">
        <w:t xml:space="preserve"> </w:t>
      </w:r>
      <w:r w:rsidRPr="00036FAC">
        <w:t>converse</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Sign</w:t>
      </w:r>
      <w:r w:rsidR="00907D8C">
        <w:t xml:space="preserve"> </w:t>
      </w:r>
      <w:r w:rsidRPr="00036FAC">
        <w:t>Language.</w:t>
      </w:r>
    </w:p>
    <w:p w:rsidR="00036FAC" w:rsidRPr="00036FAC" w:rsidRDefault="00036FAC" w:rsidP="00797C82">
      <w:pPr>
        <w:pStyle w:val="SingleTxtG"/>
      </w:pPr>
      <w:r w:rsidRPr="00036FAC">
        <w:t>24.</w:t>
      </w:r>
      <w:r w:rsidRPr="00036FAC">
        <w:tab/>
        <w:t>In</w:t>
      </w:r>
      <w:r w:rsidR="00907D8C">
        <w:t xml:space="preserve"> </w:t>
      </w:r>
      <w:r w:rsidRPr="00036FAC">
        <w:t>2006,</w:t>
      </w:r>
      <w:r w:rsidR="00907D8C">
        <w:t xml:space="preserve"> </w:t>
      </w:r>
      <w:r w:rsidRPr="00036FAC">
        <w:t>eight</w:t>
      </w:r>
      <w:r w:rsidR="00907D8C">
        <w:t xml:space="preserve"> </w:t>
      </w:r>
      <w:r w:rsidRPr="00036FAC">
        <w:t>out</w:t>
      </w:r>
      <w:r w:rsidR="00907D8C">
        <w:t xml:space="preserve"> </w:t>
      </w:r>
      <w:r w:rsidRPr="00036FAC">
        <w:t>of</w:t>
      </w:r>
      <w:r w:rsidR="00907D8C">
        <w:t xml:space="preserve"> </w:t>
      </w:r>
      <w:r w:rsidRPr="00036FAC">
        <w:t>10</w:t>
      </w:r>
      <w:r w:rsidR="00907D8C">
        <w:t xml:space="preserve"> </w:t>
      </w:r>
      <w:r w:rsidRPr="00036FAC">
        <w:t>people</w:t>
      </w:r>
      <w:r w:rsidR="00907D8C">
        <w:t xml:space="preserve"> </w:t>
      </w:r>
      <w:r w:rsidRPr="00036FAC">
        <w:t>(79</w:t>
      </w:r>
      <w:r w:rsidR="00907D8C">
        <w:t xml:space="preserve"> </w:t>
      </w:r>
      <w:r w:rsidR="00AE58B5">
        <w:t>per</w:t>
      </w:r>
      <w:r w:rsidR="00907D8C">
        <w:t xml:space="preserve"> </w:t>
      </w:r>
      <w:r w:rsidR="00AE58B5">
        <w:t>cent</w:t>
      </w:r>
      <w:r w:rsidRPr="00036FAC">
        <w:t>)</w:t>
      </w:r>
      <w:r w:rsidR="00907D8C">
        <w:t xml:space="preserve"> </w:t>
      </w:r>
      <w:r w:rsidRPr="00036FAC">
        <w:t>spoke</w:t>
      </w:r>
      <w:r w:rsidR="00907D8C">
        <w:t xml:space="preserve"> </w:t>
      </w:r>
      <w:r w:rsidRPr="00036FAC">
        <w:t>English</w:t>
      </w:r>
      <w:r w:rsidR="00907D8C">
        <w:t xml:space="preserve"> </w:t>
      </w:r>
      <w:r w:rsidRPr="00036FAC">
        <w:t>as</w:t>
      </w:r>
      <w:r w:rsidR="00907D8C">
        <w:t xml:space="preserve"> </w:t>
      </w:r>
      <w:r w:rsidRPr="00036FAC">
        <w:t>their</w:t>
      </w:r>
      <w:r w:rsidR="00907D8C">
        <w:t xml:space="preserve"> </w:t>
      </w:r>
      <w:r w:rsidRPr="00036FAC">
        <w:t>only</w:t>
      </w:r>
      <w:r w:rsidR="00907D8C">
        <w:t xml:space="preserve"> </w:t>
      </w:r>
      <w:r w:rsidRPr="00036FAC">
        <w:t>language</w:t>
      </w:r>
      <w:r w:rsidR="00907D8C">
        <w:t xml:space="preserve"> </w:t>
      </w:r>
      <w:r w:rsidRPr="00036FAC">
        <w:t>while</w:t>
      </w:r>
      <w:r w:rsidR="00907D8C">
        <w:t xml:space="preserve"> </w:t>
      </w:r>
      <w:r w:rsidRPr="00036FAC">
        <w:t>a</w:t>
      </w:r>
      <w:r w:rsidR="00907D8C">
        <w:t xml:space="preserve"> </w:t>
      </w:r>
      <w:r w:rsidRPr="00036FAC">
        <w:t>further</w:t>
      </w:r>
      <w:r w:rsidR="00907D8C">
        <w:t xml:space="preserve"> </w:t>
      </w:r>
      <w:r w:rsidRPr="00036FAC">
        <w:t>17</w:t>
      </w:r>
      <w:r w:rsidR="00907D8C">
        <w:t xml:space="preserve"> </w:t>
      </w:r>
      <w:r w:rsidR="001B201B">
        <w:t>per</w:t>
      </w:r>
      <w:r w:rsidR="00907D8C">
        <w:t xml:space="preserve"> </w:t>
      </w:r>
      <w:r w:rsidR="001B201B">
        <w:t>cent</w:t>
      </w:r>
      <w:r w:rsidR="00907D8C">
        <w:t xml:space="preserve"> </w:t>
      </w:r>
      <w:r w:rsidRPr="00036FAC">
        <w:t>spoke</w:t>
      </w:r>
      <w:r w:rsidR="00907D8C">
        <w:t xml:space="preserve"> </w:t>
      </w:r>
      <w:r w:rsidRPr="00036FAC">
        <w:t>English</w:t>
      </w:r>
      <w:r w:rsidR="00907D8C">
        <w:t xml:space="preserve"> </w:t>
      </w:r>
      <w:r w:rsidRPr="00036FAC">
        <w:t>along</w:t>
      </w:r>
      <w:r w:rsidR="00907D8C">
        <w:t xml:space="preserve"> </w:t>
      </w:r>
      <w:r w:rsidRPr="00036FAC">
        <w:t>with</w:t>
      </w:r>
      <w:r w:rsidR="00907D8C">
        <w:t xml:space="preserve"> </w:t>
      </w:r>
      <w:r w:rsidRPr="00036FAC">
        <w:t>at</w:t>
      </w:r>
      <w:r w:rsidR="00907D8C">
        <w:t xml:space="preserve"> </w:t>
      </w:r>
      <w:r w:rsidRPr="00036FAC">
        <w:t>least</w:t>
      </w:r>
      <w:r w:rsidR="00907D8C">
        <w:t xml:space="preserve"> </w:t>
      </w:r>
      <w:r w:rsidRPr="00036FAC">
        <w:t>one</w:t>
      </w:r>
      <w:r w:rsidR="00907D8C">
        <w:t xml:space="preserve"> </w:t>
      </w:r>
      <w:r w:rsidRPr="00036FAC">
        <w:t>other</w:t>
      </w:r>
      <w:r w:rsidR="00907D8C">
        <w:t xml:space="preserve"> </w:t>
      </w:r>
      <w:r w:rsidRPr="00036FAC">
        <w:t>language.</w:t>
      </w:r>
      <w:r w:rsidR="00907D8C">
        <w:t xml:space="preserve"> </w:t>
      </w:r>
      <w:r w:rsidRPr="00036FAC">
        <w:t>Of</w:t>
      </w:r>
      <w:r w:rsidR="00907D8C">
        <w:t xml:space="preserve"> </w:t>
      </w:r>
      <w:r w:rsidRPr="00036FAC">
        <w:t>the</w:t>
      </w:r>
      <w:r w:rsidR="00907D8C">
        <w:t xml:space="preserve"> </w:t>
      </w:r>
      <w:r w:rsidRPr="00036FAC">
        <w:t>4</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New</w:t>
      </w:r>
      <w:r w:rsidR="00907D8C">
        <w:t xml:space="preserve"> </w:t>
      </w:r>
      <w:r w:rsidRPr="00036FAC">
        <w:t>Zealanders</w:t>
      </w:r>
      <w:r w:rsidR="00907D8C">
        <w:t xml:space="preserve"> </w:t>
      </w:r>
      <w:r w:rsidRPr="00036FAC">
        <w:t>who</w:t>
      </w:r>
      <w:r w:rsidR="00907D8C">
        <w:t xml:space="preserve"> </w:t>
      </w:r>
      <w:r w:rsidRPr="00036FAC">
        <w:t>could</w:t>
      </w:r>
      <w:r w:rsidR="00907D8C">
        <w:t xml:space="preserve"> </w:t>
      </w:r>
      <w:r w:rsidRPr="00036FAC">
        <w:t>not</w:t>
      </w:r>
      <w:r w:rsidR="00907D8C">
        <w:t xml:space="preserve"> </w:t>
      </w:r>
      <w:r w:rsidRPr="00036FAC">
        <w:t>speak</w:t>
      </w:r>
      <w:r w:rsidR="00907D8C">
        <w:t xml:space="preserve"> </w:t>
      </w:r>
      <w:r w:rsidRPr="00036FAC">
        <w:t>English,</w:t>
      </w:r>
      <w:r w:rsidR="00907D8C">
        <w:t xml:space="preserve"> </w:t>
      </w:r>
      <w:r w:rsidRPr="00036FAC">
        <w:t>almost</w:t>
      </w:r>
      <w:r w:rsidR="00907D8C">
        <w:t xml:space="preserve"> </w:t>
      </w:r>
      <w:r w:rsidRPr="00036FAC">
        <w:t>half</w:t>
      </w:r>
      <w:r w:rsidR="00907D8C">
        <w:t xml:space="preserve"> </w:t>
      </w:r>
      <w:r w:rsidRPr="00036FAC">
        <w:t>(49</w:t>
      </w:r>
      <w:r w:rsidR="00907D8C">
        <w:t xml:space="preserve"> </w:t>
      </w:r>
      <w:r w:rsidR="00AE58B5">
        <w:t>per</w:t>
      </w:r>
      <w:r w:rsidR="00907D8C">
        <w:t xml:space="preserve"> </w:t>
      </w:r>
      <w:r w:rsidR="00AE58B5">
        <w:t>cent</w:t>
      </w:r>
      <w:r w:rsidRPr="00036FAC">
        <w:t>)</w:t>
      </w:r>
      <w:r w:rsidR="00907D8C">
        <w:t xml:space="preserve"> </w:t>
      </w:r>
      <w:r w:rsidRPr="00036FAC">
        <w:t>were</w:t>
      </w:r>
      <w:r w:rsidR="00907D8C">
        <w:t xml:space="preserve"> </w:t>
      </w:r>
      <w:r w:rsidRPr="00036FAC">
        <w:t>children</w:t>
      </w:r>
      <w:r w:rsidR="00907D8C">
        <w:t xml:space="preserve"> </w:t>
      </w:r>
      <w:r w:rsidRPr="00036FAC">
        <w:t>under</w:t>
      </w:r>
      <w:r w:rsidR="00907D8C">
        <w:t xml:space="preserve"> </w:t>
      </w:r>
      <w:r w:rsidRPr="00036FAC">
        <w:t>the</w:t>
      </w:r>
      <w:r w:rsidR="00907D8C">
        <w:t xml:space="preserve"> </w:t>
      </w:r>
      <w:r w:rsidRPr="00036FAC">
        <w:t>age</w:t>
      </w:r>
      <w:r w:rsidR="00907D8C">
        <w:t xml:space="preserve"> </w:t>
      </w:r>
      <w:r w:rsidRPr="00036FAC">
        <w:t>of</w:t>
      </w:r>
      <w:r w:rsidR="00907D8C">
        <w:t xml:space="preserve"> </w:t>
      </w:r>
      <w:r w:rsidRPr="00036FAC">
        <w:t>five,</w:t>
      </w:r>
      <w:r w:rsidR="00907D8C">
        <w:t xml:space="preserve"> </w:t>
      </w:r>
      <w:r w:rsidRPr="00036FAC">
        <w:t>most</w:t>
      </w:r>
      <w:r w:rsidR="00907D8C">
        <w:t xml:space="preserve"> </w:t>
      </w:r>
      <w:r w:rsidRPr="00036FAC">
        <w:t>of</w:t>
      </w:r>
      <w:r w:rsidR="00907D8C">
        <w:t xml:space="preserve"> </w:t>
      </w:r>
      <w:r w:rsidRPr="00036FAC">
        <w:t>whom</w:t>
      </w:r>
      <w:r w:rsidR="00907D8C">
        <w:t xml:space="preserve"> </w:t>
      </w:r>
      <w:r w:rsidRPr="00036FAC">
        <w:t>would</w:t>
      </w:r>
      <w:r w:rsidR="00907D8C">
        <w:t xml:space="preserve"> </w:t>
      </w:r>
      <w:r w:rsidRPr="00036FAC">
        <w:t>still</w:t>
      </w:r>
      <w:r w:rsidR="00907D8C">
        <w:t xml:space="preserve"> </w:t>
      </w:r>
      <w:r w:rsidRPr="00036FAC">
        <w:t>be</w:t>
      </w:r>
      <w:r w:rsidR="00907D8C">
        <w:t xml:space="preserve"> </w:t>
      </w:r>
      <w:r w:rsidRPr="00036FAC">
        <w:t>learning</w:t>
      </w:r>
      <w:r w:rsidR="00907D8C">
        <w:t xml:space="preserve"> </w:t>
      </w:r>
      <w:r w:rsidRPr="00036FAC">
        <w:t>to</w:t>
      </w:r>
      <w:r w:rsidR="00907D8C">
        <w:t xml:space="preserve"> </w:t>
      </w:r>
      <w:r w:rsidRPr="00036FAC">
        <w:t>speak.</w:t>
      </w:r>
      <w:r w:rsidR="00907D8C">
        <w:t xml:space="preserve"> </w:t>
      </w:r>
      <w:r w:rsidRPr="00036FAC">
        <w:t>Of</w:t>
      </w:r>
      <w:r w:rsidR="00907D8C">
        <w:t xml:space="preserve"> </w:t>
      </w:r>
      <w:r w:rsidRPr="00036FAC">
        <w:t>the</w:t>
      </w:r>
      <w:r w:rsidR="00907D8C">
        <w:t xml:space="preserve"> </w:t>
      </w:r>
      <w:r w:rsidRPr="00036FAC">
        <w:t>2</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people</w:t>
      </w:r>
      <w:r w:rsidR="00907D8C">
        <w:t xml:space="preserve"> </w:t>
      </w:r>
      <w:r w:rsidRPr="00036FAC">
        <w:t>who</w:t>
      </w:r>
      <w:r w:rsidR="00907D8C">
        <w:t xml:space="preserve"> </w:t>
      </w:r>
      <w:r w:rsidRPr="00036FAC">
        <w:t>spoke</w:t>
      </w:r>
      <w:r w:rsidR="00907D8C">
        <w:t xml:space="preserve"> </w:t>
      </w:r>
      <w:r w:rsidRPr="00036FAC">
        <w:t>at</w:t>
      </w:r>
      <w:r w:rsidR="00907D8C">
        <w:t xml:space="preserve"> </w:t>
      </w:r>
      <w:r w:rsidRPr="00036FAC">
        <w:t>least</w:t>
      </w:r>
      <w:r w:rsidR="00907D8C">
        <w:t xml:space="preserve"> </w:t>
      </w:r>
      <w:r w:rsidRPr="00036FAC">
        <w:t>one</w:t>
      </w:r>
      <w:r w:rsidR="00907D8C">
        <w:t xml:space="preserve"> </w:t>
      </w:r>
      <w:r w:rsidRPr="00036FAC">
        <w:t>language</w:t>
      </w:r>
      <w:r w:rsidR="00907D8C">
        <w:t xml:space="preserve"> </w:t>
      </w:r>
      <w:r w:rsidRPr="00036FAC">
        <w:t>but</w:t>
      </w:r>
      <w:r w:rsidR="00907D8C">
        <w:t xml:space="preserve"> </w:t>
      </w:r>
      <w:r w:rsidRPr="00036FAC">
        <w:t>not</w:t>
      </w:r>
      <w:r w:rsidR="00907D8C">
        <w:t xml:space="preserve"> </w:t>
      </w:r>
      <w:r w:rsidRPr="00036FAC">
        <w:t>English,</w:t>
      </w:r>
      <w:r w:rsidR="00907D8C">
        <w:t xml:space="preserve"> </w:t>
      </w:r>
      <w:r w:rsidRPr="00036FAC">
        <w:t>most</w:t>
      </w:r>
      <w:r w:rsidR="00907D8C">
        <w:t xml:space="preserve"> </w:t>
      </w:r>
      <w:r w:rsidRPr="00036FAC">
        <w:t>(80</w:t>
      </w:r>
      <w:r w:rsidR="00907D8C">
        <w:t xml:space="preserve"> </w:t>
      </w:r>
      <w:r w:rsidR="00AE58B5">
        <w:t>per</w:t>
      </w:r>
      <w:r w:rsidR="00907D8C">
        <w:t xml:space="preserve"> </w:t>
      </w:r>
      <w:r w:rsidR="00AE58B5">
        <w:t>cent</w:t>
      </w:r>
      <w:r w:rsidRPr="00036FAC">
        <w:t>)</w:t>
      </w:r>
      <w:r w:rsidR="00907D8C">
        <w:t xml:space="preserve"> </w:t>
      </w:r>
      <w:r w:rsidRPr="00036FAC">
        <w:t>were</w:t>
      </w:r>
      <w:r w:rsidR="00907D8C">
        <w:t xml:space="preserve"> </w:t>
      </w:r>
      <w:r w:rsidRPr="00036FAC">
        <w:t>born</w:t>
      </w:r>
      <w:r w:rsidR="00907D8C">
        <w:t xml:space="preserve"> </w:t>
      </w:r>
      <w:r w:rsidRPr="00036FAC">
        <w:t>overseas.</w:t>
      </w:r>
      <w:r w:rsidR="00907D8C">
        <w:t xml:space="preserve"> </w:t>
      </w:r>
      <w:r w:rsidRPr="00036FAC">
        <w:t>People</w:t>
      </w:r>
      <w:r w:rsidR="00907D8C">
        <w:t xml:space="preserve"> </w:t>
      </w:r>
      <w:r w:rsidRPr="00036FAC">
        <w:t>born</w:t>
      </w:r>
      <w:r w:rsidR="00907D8C">
        <w:t xml:space="preserve"> </w:t>
      </w:r>
      <w:r w:rsidRPr="00036FAC">
        <w:t>in</w:t>
      </w:r>
      <w:r w:rsidR="00907D8C">
        <w:t xml:space="preserve"> </w:t>
      </w:r>
      <w:r w:rsidRPr="00036FAC">
        <w:t>Asian</w:t>
      </w:r>
      <w:r w:rsidR="00907D8C">
        <w:t xml:space="preserve"> </w:t>
      </w:r>
      <w:r w:rsidRPr="00036FAC">
        <w:t>countries</w:t>
      </w:r>
      <w:r w:rsidR="00907D8C">
        <w:t xml:space="preserve"> </w:t>
      </w:r>
      <w:r w:rsidRPr="00036FAC">
        <w:t>(17</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those</w:t>
      </w:r>
      <w:r w:rsidR="00907D8C">
        <w:t xml:space="preserve"> </w:t>
      </w:r>
      <w:r w:rsidRPr="00036FAC">
        <w:t>born</w:t>
      </w:r>
      <w:r w:rsidR="00907D8C">
        <w:t xml:space="preserve"> </w:t>
      </w:r>
      <w:r w:rsidRPr="00036FAC">
        <w:t>in</w:t>
      </w:r>
      <w:r w:rsidR="00907D8C">
        <w:t xml:space="preserve"> </w:t>
      </w:r>
      <w:r w:rsidRPr="00036FAC">
        <w:t>Pacific</w:t>
      </w:r>
      <w:r w:rsidR="00907D8C">
        <w:t xml:space="preserve"> </w:t>
      </w:r>
      <w:r w:rsidRPr="00036FAC">
        <w:t>countries</w:t>
      </w:r>
      <w:r w:rsidR="00907D8C">
        <w:t xml:space="preserve"> </w:t>
      </w:r>
      <w:r w:rsidRPr="00036FAC">
        <w:t>(12</w:t>
      </w:r>
      <w:r w:rsidR="00907D8C">
        <w:t xml:space="preserve"> </w:t>
      </w:r>
      <w:r w:rsidR="00AE58B5">
        <w:t>per</w:t>
      </w:r>
      <w:r w:rsidR="00907D8C">
        <w:t xml:space="preserve"> </w:t>
      </w:r>
      <w:r w:rsidR="00AE58B5">
        <w:t>cent</w:t>
      </w:r>
      <w:r w:rsidRPr="00036FAC">
        <w:t>)</w:t>
      </w:r>
      <w:r w:rsidR="00907D8C">
        <w:t xml:space="preserve"> </w:t>
      </w:r>
      <w:r w:rsidRPr="00036FAC">
        <w:t>had</w:t>
      </w:r>
      <w:r w:rsidR="00907D8C">
        <w:t xml:space="preserve"> </w:t>
      </w:r>
      <w:r w:rsidRPr="00036FAC">
        <w:t>the</w:t>
      </w:r>
      <w:r w:rsidR="00907D8C">
        <w:t xml:space="preserve"> </w:t>
      </w:r>
      <w:r w:rsidRPr="00036FAC">
        <w:t>highest</w:t>
      </w:r>
      <w:r w:rsidR="00907D8C">
        <w:t xml:space="preserve"> </w:t>
      </w:r>
      <w:r w:rsidRPr="00036FAC">
        <w:t>proportions</w:t>
      </w:r>
      <w:r w:rsidR="00907D8C">
        <w:t xml:space="preserve"> </w:t>
      </w:r>
      <w:r w:rsidRPr="00036FAC">
        <w:t>who</w:t>
      </w:r>
      <w:r w:rsidR="00907D8C">
        <w:t xml:space="preserve"> </w:t>
      </w:r>
      <w:r w:rsidRPr="00036FAC">
        <w:t>spoke</w:t>
      </w:r>
      <w:r w:rsidR="00907D8C">
        <w:t xml:space="preserve"> </w:t>
      </w:r>
      <w:r w:rsidRPr="00036FAC">
        <w:t>at</w:t>
      </w:r>
      <w:r w:rsidR="00907D8C">
        <w:t xml:space="preserve"> </w:t>
      </w:r>
      <w:r w:rsidRPr="00036FAC">
        <w:t>least</w:t>
      </w:r>
      <w:r w:rsidR="00907D8C">
        <w:t xml:space="preserve"> </w:t>
      </w:r>
      <w:r w:rsidRPr="00036FAC">
        <w:t>one</w:t>
      </w:r>
      <w:r w:rsidR="00907D8C">
        <w:t xml:space="preserve"> </w:t>
      </w:r>
      <w:r w:rsidRPr="00036FAC">
        <w:t>language</w:t>
      </w:r>
      <w:r w:rsidR="00907D8C">
        <w:t xml:space="preserve"> </w:t>
      </w:r>
      <w:r w:rsidRPr="00036FAC">
        <w:t>but</w:t>
      </w:r>
      <w:r w:rsidR="00907D8C">
        <w:t xml:space="preserve"> </w:t>
      </w:r>
      <w:r w:rsidRPr="00036FAC">
        <w:t>not</w:t>
      </w:r>
      <w:r w:rsidR="00907D8C">
        <w:t xml:space="preserve"> </w:t>
      </w:r>
      <w:r w:rsidRPr="00036FAC">
        <w:t>English.</w:t>
      </w:r>
    </w:p>
    <w:p w:rsidR="00036FAC" w:rsidRPr="00036FAC" w:rsidRDefault="00036FAC" w:rsidP="006F52B3">
      <w:pPr>
        <w:pStyle w:val="H23G"/>
      </w:pPr>
      <w:r w:rsidRPr="00036FAC">
        <w:tab/>
        <w:t>7.</w:t>
      </w:r>
      <w:r w:rsidRPr="00036FAC">
        <w:tab/>
        <w:t>Religious</w:t>
      </w:r>
      <w:r w:rsidR="00907D8C">
        <w:t xml:space="preserve"> </w:t>
      </w:r>
      <w:r w:rsidRPr="00036FAC">
        <w:t>affiliation</w:t>
      </w:r>
    </w:p>
    <w:p w:rsidR="00797C82" w:rsidRDefault="007F44CC" w:rsidP="00797C82">
      <w:pPr>
        <w:pStyle w:val="Heading1"/>
      </w:pPr>
      <w:bookmarkStart w:id="25" w:name="_Toc275331906"/>
      <w:r>
        <w:t>Table</w:t>
      </w:r>
      <w:r w:rsidR="00907D8C">
        <w:t xml:space="preserve"> </w:t>
      </w:r>
      <w:r>
        <w:t>5</w:t>
      </w:r>
    </w:p>
    <w:p w:rsidR="00036FAC" w:rsidRPr="00797C82" w:rsidRDefault="00036FAC" w:rsidP="00797C82">
      <w:pPr>
        <w:pStyle w:val="SingleTxtG"/>
        <w:rPr>
          <w:b/>
        </w:rPr>
      </w:pPr>
      <w:r w:rsidRPr="00797C82">
        <w:rPr>
          <w:b/>
        </w:rPr>
        <w:t>Religious</w:t>
      </w:r>
      <w:r w:rsidR="00907D8C">
        <w:rPr>
          <w:b/>
        </w:rPr>
        <w:t xml:space="preserve"> </w:t>
      </w:r>
      <w:r w:rsidRPr="00797C82">
        <w:rPr>
          <w:b/>
        </w:rPr>
        <w:t>affiliation</w:t>
      </w:r>
      <w:r w:rsidR="00907D8C">
        <w:rPr>
          <w:b/>
        </w:rPr>
        <w:t xml:space="preserve"> </w:t>
      </w:r>
      <w:r w:rsidRPr="00797C82">
        <w:rPr>
          <w:b/>
        </w:rPr>
        <w:t>(total</w:t>
      </w:r>
      <w:r w:rsidR="00907D8C">
        <w:rPr>
          <w:b/>
        </w:rPr>
        <w:t xml:space="preserve"> </w:t>
      </w:r>
      <w:r w:rsidRPr="00797C82">
        <w:rPr>
          <w:b/>
        </w:rPr>
        <w:t>response)</w:t>
      </w:r>
      <w:r w:rsidR="00907D8C">
        <w:rPr>
          <w:b/>
        </w:rPr>
        <w:t xml:space="preserve"> </w:t>
      </w:r>
      <w:r w:rsidRPr="00797C82">
        <w:rPr>
          <w:b/>
        </w:rPr>
        <w:t>by</w:t>
      </w:r>
      <w:r w:rsidR="00907D8C">
        <w:rPr>
          <w:b/>
        </w:rPr>
        <w:t xml:space="preserve"> </w:t>
      </w:r>
      <w:r w:rsidRPr="00797C82">
        <w:rPr>
          <w:b/>
        </w:rPr>
        <w:t>area</w:t>
      </w:r>
      <w:r w:rsidR="00907D8C">
        <w:rPr>
          <w:b/>
        </w:rPr>
        <w:t xml:space="preserve"> </w:t>
      </w:r>
      <w:r w:rsidRPr="00797C82">
        <w:rPr>
          <w:b/>
        </w:rPr>
        <w:t>of</w:t>
      </w:r>
      <w:r w:rsidR="00907D8C">
        <w:rPr>
          <w:b/>
        </w:rPr>
        <w:t xml:space="preserve"> </w:t>
      </w:r>
      <w:r w:rsidRPr="00797C82">
        <w:rPr>
          <w:b/>
        </w:rPr>
        <w:t>usual</w:t>
      </w:r>
      <w:r w:rsidR="00907D8C">
        <w:rPr>
          <w:b/>
        </w:rPr>
        <w:t xml:space="preserve"> </w:t>
      </w:r>
      <w:r w:rsidRPr="00797C82">
        <w:rPr>
          <w:b/>
        </w:rPr>
        <w:t>residence</w:t>
      </w:r>
      <w:r w:rsidR="00907D8C">
        <w:rPr>
          <w:b/>
        </w:rPr>
        <w:t xml:space="preserve"> </w:t>
      </w:r>
      <w:r w:rsidRPr="00797C82">
        <w:rPr>
          <w:b/>
        </w:rPr>
        <w:t>(urban</w:t>
      </w:r>
      <w:r w:rsidR="00907D8C">
        <w:rPr>
          <w:b/>
        </w:rPr>
        <w:t xml:space="preserve"> </w:t>
      </w:r>
      <w:r w:rsidRPr="00797C82">
        <w:rPr>
          <w:b/>
        </w:rPr>
        <w:t>and</w:t>
      </w:r>
      <w:r w:rsidR="00907D8C">
        <w:rPr>
          <w:b/>
        </w:rPr>
        <w:t xml:space="preserve"> </w:t>
      </w:r>
      <w:r w:rsidRPr="00797C82">
        <w:rPr>
          <w:b/>
        </w:rPr>
        <w:t>rural</w:t>
      </w:r>
      <w:r w:rsidR="00907D8C">
        <w:rPr>
          <w:b/>
        </w:rPr>
        <w:t xml:space="preserve"> </w:t>
      </w:r>
      <w:r w:rsidRPr="00797C82">
        <w:rPr>
          <w:b/>
        </w:rPr>
        <w:t>area</w:t>
      </w:r>
      <w:r w:rsidR="00907D8C">
        <w:rPr>
          <w:b/>
        </w:rPr>
        <w:t xml:space="preserve"> </w:t>
      </w:r>
      <w:r w:rsidRPr="00797C82">
        <w:rPr>
          <w:b/>
        </w:rPr>
        <w:t>indicator)</w:t>
      </w:r>
      <w:r w:rsidR="00907D8C">
        <w:rPr>
          <w:b/>
        </w:rPr>
        <w:t xml:space="preserve"> </w:t>
      </w:r>
      <w:r w:rsidRPr="00797C82">
        <w:rPr>
          <w:b/>
        </w:rPr>
        <w:t>for</w:t>
      </w:r>
      <w:r w:rsidR="00907D8C">
        <w:rPr>
          <w:b/>
        </w:rPr>
        <w:t xml:space="preserve"> </w:t>
      </w:r>
      <w:r w:rsidRPr="00797C82">
        <w:rPr>
          <w:b/>
        </w:rPr>
        <w:t>the</w:t>
      </w:r>
      <w:r w:rsidR="00907D8C">
        <w:rPr>
          <w:b/>
        </w:rPr>
        <w:t xml:space="preserve"> </w:t>
      </w:r>
      <w:r w:rsidRPr="00797C82">
        <w:rPr>
          <w:b/>
        </w:rPr>
        <w:t>2006</w:t>
      </w:r>
      <w:r w:rsidR="00907D8C">
        <w:rPr>
          <w:b/>
        </w:rPr>
        <w:t xml:space="preserve"> </w:t>
      </w:r>
      <w:r w:rsidRPr="00797C82">
        <w:rPr>
          <w:b/>
        </w:rPr>
        <w:t>Census</w:t>
      </w:r>
      <w:r w:rsidR="00907D8C">
        <w:rPr>
          <w:b/>
        </w:rPr>
        <w:t xml:space="preserve"> </w:t>
      </w:r>
      <w:r w:rsidRPr="00797C82">
        <w:rPr>
          <w:b/>
        </w:rPr>
        <w:t>usually</w:t>
      </w:r>
      <w:r w:rsidR="00907D8C">
        <w:rPr>
          <w:b/>
        </w:rPr>
        <w:t xml:space="preserve"> </w:t>
      </w:r>
      <w:r w:rsidRPr="00797C82">
        <w:rPr>
          <w:b/>
        </w:rPr>
        <w:t>resident</w:t>
      </w:r>
      <w:r w:rsidR="00907D8C">
        <w:rPr>
          <w:b/>
        </w:rPr>
        <w:t xml:space="preserve"> </w:t>
      </w:r>
      <w:r w:rsidRPr="00797C82">
        <w:rPr>
          <w:b/>
        </w:rPr>
        <w:t>population</w:t>
      </w:r>
      <w:r w:rsidR="00907D8C">
        <w:rPr>
          <w:b/>
        </w:rPr>
        <w:t xml:space="preserve"> </w:t>
      </w:r>
      <w:r w:rsidRPr="00797C82">
        <w:rPr>
          <w:b/>
        </w:rPr>
        <w:t>count</w:t>
      </w:r>
      <w:bookmarkEnd w:id="25"/>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00"/>
        <w:gridCol w:w="1099"/>
        <w:gridCol w:w="1101"/>
        <w:gridCol w:w="1500"/>
        <w:gridCol w:w="905"/>
      </w:tblGrid>
      <w:tr w:rsidR="00036FAC" w:rsidRPr="007F44CC" w:rsidTr="005C0300">
        <w:tblPrEx>
          <w:tblCellMar>
            <w:top w:w="0" w:type="dxa"/>
            <w:bottom w:w="0" w:type="dxa"/>
          </w:tblCellMar>
        </w:tblPrEx>
        <w:trPr>
          <w:trHeight w:val="240"/>
          <w:tblHeader/>
        </w:trPr>
        <w:tc>
          <w:tcPr>
            <w:tcW w:w="2293"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rPr>
                <w:i/>
                <w:sz w:val="16"/>
              </w:rPr>
            </w:pPr>
            <w:r w:rsidRPr="007F44CC">
              <w:rPr>
                <w:i/>
                <w:sz w:val="16"/>
              </w:rPr>
              <w:t>Religious</w:t>
            </w:r>
            <w:r w:rsidR="00907D8C">
              <w:rPr>
                <w:i/>
                <w:sz w:val="16"/>
              </w:rPr>
              <w:t xml:space="preserve"> </w:t>
            </w:r>
            <w:r w:rsidRPr="007F44CC">
              <w:rPr>
                <w:i/>
                <w:sz w:val="16"/>
              </w:rPr>
              <w:t>affiliation</w:t>
            </w:r>
          </w:p>
        </w:tc>
        <w:tc>
          <w:tcPr>
            <w:tcW w:w="646"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jc w:val="right"/>
              <w:rPr>
                <w:i/>
                <w:sz w:val="16"/>
              </w:rPr>
            </w:pPr>
            <w:r w:rsidRPr="007F44CC">
              <w:rPr>
                <w:i/>
                <w:sz w:val="16"/>
              </w:rPr>
              <w:t>Total</w:t>
            </w:r>
            <w:r w:rsidR="00907D8C">
              <w:rPr>
                <w:i/>
                <w:sz w:val="16"/>
              </w:rPr>
              <w:t xml:space="preserve"> </w:t>
            </w:r>
            <w:r w:rsidRPr="007F44CC">
              <w:rPr>
                <w:i/>
                <w:sz w:val="16"/>
              </w:rPr>
              <w:t>urban</w:t>
            </w:r>
            <w:r w:rsidR="00907D8C">
              <w:rPr>
                <w:i/>
                <w:sz w:val="16"/>
              </w:rPr>
              <w:t xml:space="preserve"> </w:t>
            </w:r>
            <w:r w:rsidRPr="007F44CC">
              <w:rPr>
                <w:i/>
                <w:sz w:val="16"/>
              </w:rPr>
              <w:t>area</w:t>
            </w:r>
          </w:p>
        </w:tc>
        <w:tc>
          <w:tcPr>
            <w:tcW w:w="647"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jc w:val="right"/>
              <w:rPr>
                <w:i/>
                <w:sz w:val="16"/>
              </w:rPr>
            </w:pPr>
            <w:r w:rsidRPr="007F44CC">
              <w:rPr>
                <w:i/>
                <w:sz w:val="16"/>
              </w:rPr>
              <w:t>Total</w:t>
            </w:r>
            <w:r w:rsidR="00907D8C">
              <w:rPr>
                <w:i/>
                <w:sz w:val="16"/>
              </w:rPr>
              <w:t xml:space="preserve"> </w:t>
            </w:r>
            <w:r w:rsidRPr="007F44CC">
              <w:rPr>
                <w:i/>
                <w:sz w:val="16"/>
              </w:rPr>
              <w:t>rural</w:t>
            </w:r>
            <w:r w:rsidR="00907D8C">
              <w:rPr>
                <w:i/>
                <w:sz w:val="16"/>
              </w:rPr>
              <w:t xml:space="preserve"> </w:t>
            </w:r>
            <w:r w:rsidRPr="007F44CC">
              <w:rPr>
                <w:i/>
                <w:sz w:val="16"/>
              </w:rPr>
              <w:t>area</w:t>
            </w:r>
          </w:p>
        </w:tc>
        <w:tc>
          <w:tcPr>
            <w:tcW w:w="882"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jc w:val="right"/>
              <w:rPr>
                <w:i/>
                <w:sz w:val="16"/>
              </w:rPr>
            </w:pPr>
            <w:r w:rsidRPr="007F44CC">
              <w:rPr>
                <w:i/>
                <w:sz w:val="16"/>
              </w:rPr>
              <w:t>Other</w:t>
            </w:r>
            <w:r w:rsidR="00907D8C">
              <w:rPr>
                <w:i/>
                <w:sz w:val="16"/>
              </w:rPr>
              <w:t xml:space="preserve"> </w:t>
            </w:r>
            <w:r w:rsidRPr="007F44CC">
              <w:rPr>
                <w:i/>
                <w:sz w:val="16"/>
              </w:rPr>
              <w:t>(inland</w:t>
            </w:r>
            <w:r w:rsidR="00907D8C">
              <w:rPr>
                <w:i/>
                <w:sz w:val="16"/>
              </w:rPr>
              <w:t xml:space="preserve"> </w:t>
            </w:r>
            <w:r w:rsidRPr="007F44CC">
              <w:rPr>
                <w:i/>
                <w:sz w:val="16"/>
              </w:rPr>
              <w:t>water,</w:t>
            </w:r>
            <w:r w:rsidR="00907D8C">
              <w:rPr>
                <w:i/>
                <w:sz w:val="16"/>
              </w:rPr>
              <w:t xml:space="preserve"> </w:t>
            </w:r>
            <w:r w:rsidRPr="007F44CC">
              <w:rPr>
                <w:i/>
                <w:sz w:val="16"/>
              </w:rPr>
              <w:t>inlet</w:t>
            </w:r>
            <w:r w:rsidR="00907D8C">
              <w:rPr>
                <w:i/>
                <w:sz w:val="16"/>
              </w:rPr>
              <w:t xml:space="preserve"> </w:t>
            </w:r>
            <w:r w:rsidRPr="007F44CC">
              <w:rPr>
                <w:i/>
                <w:sz w:val="16"/>
              </w:rPr>
              <w:t>and</w:t>
            </w:r>
            <w:r w:rsidR="00907D8C">
              <w:rPr>
                <w:i/>
                <w:sz w:val="16"/>
              </w:rPr>
              <w:t xml:space="preserve"> </w:t>
            </w:r>
            <w:r w:rsidRPr="007F44CC">
              <w:rPr>
                <w:i/>
                <w:sz w:val="16"/>
              </w:rPr>
              <w:t>oceanic)</w:t>
            </w:r>
          </w:p>
        </w:tc>
        <w:tc>
          <w:tcPr>
            <w:tcW w:w="532"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jc w:val="right"/>
              <w:rPr>
                <w:b/>
                <w:i/>
                <w:sz w:val="16"/>
              </w:rPr>
            </w:pPr>
            <w:r w:rsidRPr="007F44CC">
              <w:rPr>
                <w:b/>
                <w:i/>
                <w:sz w:val="16"/>
              </w:rPr>
              <w:t>Total</w:t>
            </w:r>
          </w:p>
        </w:tc>
      </w:tr>
      <w:tr w:rsidR="00036FAC" w:rsidRPr="007F44CC" w:rsidTr="005C0300">
        <w:tblPrEx>
          <w:tblCellMar>
            <w:top w:w="0" w:type="dxa"/>
            <w:bottom w:w="0" w:type="dxa"/>
          </w:tblCellMar>
        </w:tblPrEx>
        <w:trPr>
          <w:trHeight w:val="240"/>
        </w:trPr>
        <w:tc>
          <w:tcPr>
            <w:tcW w:w="2293" w:type="pct"/>
            <w:tcBorders>
              <w:top w:val="single" w:sz="12" w:space="0" w:color="auto"/>
            </w:tcBorders>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Anglican</w:t>
            </w:r>
          </w:p>
        </w:tc>
        <w:tc>
          <w:tcPr>
            <w:tcW w:w="646" w:type="pct"/>
            <w:tcBorders>
              <w:top w:val="single" w:sz="12" w:space="0" w:color="auto"/>
            </w:tcBorders>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461</w:t>
            </w:r>
            <w:r w:rsidR="00907D8C">
              <w:rPr>
                <w:sz w:val="18"/>
              </w:rPr>
              <w:t xml:space="preserve"> </w:t>
            </w:r>
            <w:r w:rsidR="00036FAC" w:rsidRPr="007F44CC">
              <w:rPr>
                <w:sz w:val="18"/>
              </w:rPr>
              <w:t>043</w:t>
            </w:r>
          </w:p>
        </w:tc>
        <w:tc>
          <w:tcPr>
            <w:tcW w:w="647" w:type="pct"/>
            <w:tcBorders>
              <w:top w:val="single" w:sz="12" w:space="0" w:color="auto"/>
            </w:tcBorders>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93</w:t>
            </w:r>
            <w:r w:rsidR="00907D8C">
              <w:rPr>
                <w:sz w:val="18"/>
              </w:rPr>
              <w:t xml:space="preserve"> </w:t>
            </w:r>
            <w:r w:rsidR="00036FAC" w:rsidRPr="007F44CC">
              <w:rPr>
                <w:sz w:val="18"/>
              </w:rPr>
              <w:t>789</w:t>
            </w:r>
          </w:p>
        </w:tc>
        <w:tc>
          <w:tcPr>
            <w:tcW w:w="882" w:type="pct"/>
            <w:tcBorders>
              <w:top w:val="single" w:sz="12" w:space="0" w:color="auto"/>
            </w:tcBorders>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93</w:t>
            </w:r>
          </w:p>
        </w:tc>
        <w:tc>
          <w:tcPr>
            <w:tcW w:w="532" w:type="pct"/>
            <w:tcBorders>
              <w:top w:val="single" w:sz="12" w:space="0" w:color="auto"/>
            </w:tcBorders>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554</w:t>
            </w:r>
            <w:r w:rsidR="00907D8C">
              <w:rPr>
                <w:b/>
                <w:sz w:val="18"/>
              </w:rPr>
              <w:t xml:space="preserve"> </w:t>
            </w:r>
            <w:r w:rsidR="00036FAC" w:rsidRPr="007F44CC">
              <w:rPr>
                <w:b/>
                <w:sz w:val="18"/>
              </w:rPr>
              <w:t>925</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Baptist</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51</w:t>
            </w:r>
            <w:r w:rsidR="00907D8C">
              <w:rPr>
                <w:sz w:val="18"/>
              </w:rPr>
              <w:t xml:space="preserve"> </w:t>
            </w:r>
            <w:r w:rsidR="00036FAC" w:rsidRPr="007F44CC">
              <w:rPr>
                <w:sz w:val="18"/>
              </w:rPr>
              <w:t>030</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5</w:t>
            </w:r>
            <w:r w:rsidR="00907D8C">
              <w:rPr>
                <w:sz w:val="18"/>
              </w:rPr>
              <w:t xml:space="preserve"> </w:t>
            </w:r>
            <w:r w:rsidR="00036FAC" w:rsidRPr="007F44CC">
              <w:rPr>
                <w:sz w:val="18"/>
              </w:rPr>
              <w:t>877</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56</w:t>
            </w:r>
            <w:r w:rsidR="00907D8C">
              <w:rPr>
                <w:b/>
                <w:sz w:val="18"/>
              </w:rPr>
              <w:t xml:space="preserve"> </w:t>
            </w:r>
            <w:r w:rsidR="00036FAC" w:rsidRPr="007F44CC">
              <w:rPr>
                <w:b/>
                <w:sz w:val="18"/>
              </w:rPr>
              <w:t>913</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Catholic</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447</w:t>
            </w:r>
            <w:r w:rsidR="00907D8C">
              <w:rPr>
                <w:sz w:val="18"/>
              </w:rPr>
              <w:t xml:space="preserve"> </w:t>
            </w:r>
            <w:r w:rsidR="00036FAC" w:rsidRPr="007F44CC">
              <w:rPr>
                <w:sz w:val="18"/>
              </w:rPr>
              <w:t>039</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61</w:t>
            </w:r>
            <w:r w:rsidR="00907D8C">
              <w:rPr>
                <w:sz w:val="18"/>
              </w:rPr>
              <w:t xml:space="preserve"> </w:t>
            </w:r>
            <w:r w:rsidRPr="007F44CC">
              <w:rPr>
                <w:sz w:val="18"/>
              </w:rPr>
              <w:t>338</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508</w:t>
            </w:r>
            <w:r w:rsidR="00907D8C">
              <w:rPr>
                <w:b/>
                <w:sz w:val="18"/>
              </w:rPr>
              <w:t xml:space="preserve"> </w:t>
            </w:r>
            <w:r w:rsidR="00036FAC" w:rsidRPr="007F44CC">
              <w:rPr>
                <w:b/>
                <w:sz w:val="18"/>
              </w:rPr>
              <w:t>437</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Christian</w:t>
            </w:r>
            <w:r w:rsidR="00907D8C">
              <w:rPr>
                <w:sz w:val="18"/>
              </w:rPr>
              <w:t xml:space="preserve"> </w:t>
            </w:r>
            <w:r w:rsidRPr="007F44CC">
              <w:rPr>
                <w:sz w:val="18"/>
              </w:rPr>
              <w:t>(not</w:t>
            </w:r>
            <w:r w:rsidR="00907D8C">
              <w:rPr>
                <w:sz w:val="18"/>
              </w:rPr>
              <w:t xml:space="preserve"> </w:t>
            </w:r>
            <w:r w:rsidRPr="007F44CC">
              <w:rPr>
                <w:sz w:val="18"/>
              </w:rPr>
              <w:t>further</w:t>
            </w:r>
            <w:r w:rsidR="00907D8C">
              <w:rPr>
                <w:sz w:val="18"/>
              </w:rPr>
              <w:t xml:space="preserve"> </w:t>
            </w:r>
            <w:r w:rsidRPr="007F44CC">
              <w:rPr>
                <w:sz w:val="18"/>
              </w:rPr>
              <w:t>defined)</w:t>
            </w:r>
            <w:r w:rsidR="00907D8C">
              <w:rPr>
                <w:sz w:val="18"/>
              </w:rPr>
              <w:t xml:space="preserve"> </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159</w:t>
            </w:r>
            <w:r w:rsidR="00907D8C">
              <w:rPr>
                <w:sz w:val="18"/>
              </w:rPr>
              <w:t xml:space="preserve"> </w:t>
            </w:r>
            <w:r w:rsidR="00036FAC" w:rsidRPr="007F44CC">
              <w:rPr>
                <w:sz w:val="18"/>
              </w:rPr>
              <w:t>216</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26</w:t>
            </w:r>
            <w:r w:rsidR="00907D8C">
              <w:rPr>
                <w:sz w:val="18"/>
              </w:rPr>
              <w:t xml:space="preserve"> </w:t>
            </w:r>
            <w:r w:rsidR="00036FAC" w:rsidRPr="007F44CC">
              <w:rPr>
                <w:sz w:val="18"/>
              </w:rPr>
              <w:t>982</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36</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186</w:t>
            </w:r>
            <w:r w:rsidR="00907D8C">
              <w:rPr>
                <w:b/>
                <w:sz w:val="18"/>
              </w:rPr>
              <w:t xml:space="preserve"> </w:t>
            </w:r>
            <w:r w:rsidR="00036FAC" w:rsidRPr="007F44CC">
              <w:rPr>
                <w:b/>
                <w:sz w:val="18"/>
              </w:rPr>
              <w:t>234</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Latter-day</w:t>
            </w:r>
            <w:r w:rsidR="00907D8C">
              <w:rPr>
                <w:sz w:val="18"/>
              </w:rPr>
              <w:t xml:space="preserve"> </w:t>
            </w:r>
            <w:r w:rsidRPr="007F44CC">
              <w:rPr>
                <w:sz w:val="18"/>
              </w:rPr>
              <w:t>Saints</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40</w:t>
            </w:r>
            <w:r w:rsidR="00907D8C">
              <w:rPr>
                <w:sz w:val="18"/>
              </w:rPr>
              <w:t xml:space="preserve"> </w:t>
            </w:r>
            <w:r w:rsidR="00036FAC" w:rsidRPr="007F44CC">
              <w:rPr>
                <w:sz w:val="18"/>
              </w:rPr>
              <w:t>122</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3</w:t>
            </w:r>
            <w:r w:rsidR="00907D8C">
              <w:rPr>
                <w:sz w:val="18"/>
              </w:rPr>
              <w:t xml:space="preserve"> </w:t>
            </w:r>
            <w:r w:rsidR="00036FAC" w:rsidRPr="007F44CC">
              <w:rPr>
                <w:sz w:val="18"/>
              </w:rPr>
              <w:t>414</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43</w:t>
            </w:r>
            <w:r w:rsidR="00907D8C">
              <w:rPr>
                <w:b/>
                <w:sz w:val="18"/>
              </w:rPr>
              <w:t xml:space="preserve"> </w:t>
            </w:r>
            <w:r w:rsidR="00036FAC" w:rsidRPr="007F44CC">
              <w:rPr>
                <w:b/>
                <w:sz w:val="18"/>
              </w:rPr>
              <w:t>536</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Methodist</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108</w:t>
            </w:r>
            <w:r w:rsidR="00907D8C">
              <w:rPr>
                <w:sz w:val="18"/>
              </w:rPr>
              <w:t xml:space="preserve"> </w:t>
            </w:r>
            <w:r w:rsidR="00036FAC" w:rsidRPr="007F44CC">
              <w:rPr>
                <w:sz w:val="18"/>
              </w:rPr>
              <w:t>234</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13</w:t>
            </w:r>
            <w:r w:rsidR="00907D8C">
              <w:rPr>
                <w:sz w:val="18"/>
              </w:rPr>
              <w:t xml:space="preserve"> </w:t>
            </w:r>
            <w:r w:rsidR="00036FAC" w:rsidRPr="007F44CC">
              <w:rPr>
                <w:sz w:val="18"/>
              </w:rPr>
              <w:t>557</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12</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121</w:t>
            </w:r>
            <w:r w:rsidR="00907D8C">
              <w:rPr>
                <w:b/>
                <w:sz w:val="18"/>
              </w:rPr>
              <w:t xml:space="preserve"> </w:t>
            </w:r>
            <w:r w:rsidR="00036FAC" w:rsidRPr="007F44CC">
              <w:rPr>
                <w:b/>
                <w:sz w:val="18"/>
              </w:rPr>
              <w:t>806</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Pentecostal</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72</w:t>
            </w:r>
            <w:r w:rsidR="00907D8C">
              <w:rPr>
                <w:sz w:val="18"/>
              </w:rPr>
              <w:t xml:space="preserve"> </w:t>
            </w:r>
            <w:r w:rsidR="00036FAC" w:rsidRPr="007F44CC">
              <w:rPr>
                <w:sz w:val="18"/>
              </w:rPr>
              <w:t>717</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6</w:t>
            </w:r>
            <w:r w:rsidR="00907D8C">
              <w:rPr>
                <w:sz w:val="18"/>
              </w:rPr>
              <w:t xml:space="preserve"> </w:t>
            </w:r>
            <w:r w:rsidR="00036FAC" w:rsidRPr="007F44CC">
              <w:rPr>
                <w:sz w:val="18"/>
              </w:rPr>
              <w:t>432</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3</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79</w:t>
            </w:r>
            <w:r w:rsidR="00907D8C">
              <w:rPr>
                <w:b/>
                <w:sz w:val="18"/>
              </w:rPr>
              <w:t xml:space="preserve"> </w:t>
            </w:r>
            <w:r w:rsidR="00036FAC" w:rsidRPr="007F44CC">
              <w:rPr>
                <w:b/>
                <w:sz w:val="18"/>
              </w:rPr>
              <w:t>155</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Presbyterian,</w:t>
            </w:r>
            <w:r w:rsidR="00907D8C">
              <w:rPr>
                <w:sz w:val="18"/>
              </w:rPr>
              <w:t xml:space="preserve"> </w:t>
            </w:r>
            <w:r w:rsidRPr="007F44CC">
              <w:rPr>
                <w:sz w:val="18"/>
              </w:rPr>
              <w:t>Congregational</w:t>
            </w:r>
            <w:r w:rsidR="00907D8C">
              <w:rPr>
                <w:sz w:val="18"/>
              </w:rPr>
              <w:t xml:space="preserve"> </w:t>
            </w:r>
            <w:r w:rsidRPr="007F44CC">
              <w:rPr>
                <w:sz w:val="18"/>
              </w:rPr>
              <w:t>and</w:t>
            </w:r>
            <w:r w:rsidR="00907D8C">
              <w:rPr>
                <w:sz w:val="18"/>
              </w:rPr>
              <w:t xml:space="preserve"> </w:t>
            </w:r>
            <w:r w:rsidRPr="007F44CC">
              <w:rPr>
                <w:sz w:val="18"/>
              </w:rPr>
              <w:t>Reformed</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335</w:t>
            </w:r>
            <w:r w:rsidR="00907D8C">
              <w:rPr>
                <w:sz w:val="18"/>
              </w:rPr>
              <w:t xml:space="preserve"> </w:t>
            </w:r>
            <w:r w:rsidR="00036FAC" w:rsidRPr="007F44CC">
              <w:rPr>
                <w:sz w:val="18"/>
              </w:rPr>
              <w:t>421</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65</w:t>
            </w:r>
            <w:r w:rsidR="00907D8C">
              <w:rPr>
                <w:sz w:val="18"/>
              </w:rPr>
              <w:t xml:space="preserve"> </w:t>
            </w:r>
            <w:r w:rsidRPr="007F44CC">
              <w:rPr>
                <w:sz w:val="18"/>
              </w:rPr>
              <w:t>367</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54</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400</w:t>
            </w:r>
            <w:r w:rsidR="00907D8C">
              <w:rPr>
                <w:b/>
                <w:sz w:val="18"/>
              </w:rPr>
              <w:t xml:space="preserve"> </w:t>
            </w:r>
            <w:r w:rsidR="00036FAC" w:rsidRPr="007F44CC">
              <w:rPr>
                <w:b/>
                <w:sz w:val="18"/>
              </w:rPr>
              <w:t>839</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Other</w:t>
            </w:r>
            <w:r w:rsidR="00907D8C">
              <w:rPr>
                <w:sz w:val="18"/>
              </w:rPr>
              <w:t xml:space="preserve"> </w:t>
            </w:r>
            <w:r w:rsidRPr="007F44CC">
              <w:rPr>
                <w:sz w:val="18"/>
              </w:rPr>
              <w:t>Christian</w:t>
            </w:r>
            <w:r w:rsidR="00907D8C">
              <w:rPr>
                <w:sz w:val="18"/>
              </w:rPr>
              <w:t xml:space="preserve"> </w:t>
            </w:r>
            <w:r w:rsidR="00F3240B">
              <w:rPr>
                <w:sz w:val="18"/>
              </w:rPr>
              <w:t>r</w:t>
            </w:r>
            <w:r w:rsidRPr="007F44CC">
              <w:rPr>
                <w:sz w:val="18"/>
              </w:rPr>
              <w:t>eligions</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98</w:t>
            </w:r>
            <w:r w:rsidR="00907D8C">
              <w:rPr>
                <w:sz w:val="18"/>
              </w:rPr>
              <w:t xml:space="preserve"> </w:t>
            </w:r>
            <w:r w:rsidR="00036FAC" w:rsidRPr="007F44CC">
              <w:rPr>
                <w:sz w:val="18"/>
              </w:rPr>
              <w:t>250</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10</w:t>
            </w:r>
            <w:r w:rsidR="00907D8C">
              <w:rPr>
                <w:sz w:val="18"/>
              </w:rPr>
              <w:t xml:space="preserve"> </w:t>
            </w:r>
            <w:r w:rsidR="00036FAC" w:rsidRPr="007F44CC">
              <w:rPr>
                <w:sz w:val="18"/>
              </w:rPr>
              <w:t>653</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18</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108</w:t>
            </w:r>
            <w:r w:rsidR="00907D8C">
              <w:rPr>
                <w:b/>
                <w:sz w:val="18"/>
              </w:rPr>
              <w:t xml:space="preserve"> </w:t>
            </w:r>
            <w:r w:rsidR="00036FAC" w:rsidRPr="007F44CC">
              <w:rPr>
                <w:b/>
                <w:sz w:val="18"/>
              </w:rPr>
              <w:t>924</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Ratana</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42</w:t>
            </w:r>
            <w:r w:rsidR="00907D8C">
              <w:rPr>
                <w:sz w:val="18"/>
              </w:rPr>
              <w:t xml:space="preserve"> </w:t>
            </w:r>
            <w:r w:rsidR="00036FAC" w:rsidRPr="007F44CC">
              <w:rPr>
                <w:sz w:val="18"/>
              </w:rPr>
              <w:t>141</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8</w:t>
            </w:r>
            <w:r w:rsidR="00907D8C">
              <w:rPr>
                <w:sz w:val="18"/>
              </w:rPr>
              <w:t xml:space="preserve"> </w:t>
            </w:r>
            <w:r w:rsidR="00036FAC" w:rsidRPr="007F44CC">
              <w:rPr>
                <w:sz w:val="18"/>
              </w:rPr>
              <w:t>421</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50</w:t>
            </w:r>
            <w:r w:rsidR="00907D8C">
              <w:rPr>
                <w:b/>
                <w:sz w:val="18"/>
              </w:rPr>
              <w:t xml:space="preserve"> </w:t>
            </w:r>
            <w:r w:rsidR="00036FAC" w:rsidRPr="007F44CC">
              <w:rPr>
                <w:b/>
                <w:sz w:val="18"/>
              </w:rPr>
              <w:t>565</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Ringatū</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12</w:t>
            </w:r>
            <w:r w:rsidR="00907D8C">
              <w:rPr>
                <w:sz w:val="18"/>
              </w:rPr>
              <w:t xml:space="preserve"> </w:t>
            </w:r>
            <w:r w:rsidR="00036FAC" w:rsidRPr="007F44CC">
              <w:rPr>
                <w:sz w:val="18"/>
              </w:rPr>
              <w:t>213</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w:t>
            </w:r>
            <w:r w:rsidR="00907D8C">
              <w:rPr>
                <w:sz w:val="18"/>
              </w:rPr>
              <w:t xml:space="preserve"> </w:t>
            </w:r>
            <w:r w:rsidR="00036FAC" w:rsidRPr="007F44CC">
              <w:rPr>
                <w:sz w:val="18"/>
              </w:rPr>
              <w:t>206</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16</w:t>
            </w:r>
            <w:r w:rsidR="00907D8C">
              <w:rPr>
                <w:b/>
                <w:sz w:val="18"/>
              </w:rPr>
              <w:t xml:space="preserve"> </w:t>
            </w:r>
            <w:r w:rsidR="00036FAC" w:rsidRPr="007F44CC">
              <w:rPr>
                <w:b/>
                <w:sz w:val="18"/>
              </w:rPr>
              <w:t>419</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Other</w:t>
            </w:r>
            <w:r w:rsidR="00907D8C">
              <w:rPr>
                <w:sz w:val="18"/>
              </w:rPr>
              <w:t xml:space="preserve"> </w:t>
            </w:r>
            <w:r w:rsidRPr="007F44CC">
              <w:rPr>
                <w:sz w:val="18"/>
              </w:rPr>
              <w:t>Māori</w:t>
            </w:r>
            <w:r w:rsidR="00907D8C">
              <w:rPr>
                <w:sz w:val="18"/>
              </w:rPr>
              <w:t xml:space="preserve"> </w:t>
            </w:r>
            <w:r w:rsidRPr="007F44CC">
              <w:rPr>
                <w:sz w:val="18"/>
              </w:rPr>
              <w:t>Christian</w:t>
            </w:r>
            <w:r w:rsidR="00907D8C">
              <w:rPr>
                <w:sz w:val="18"/>
              </w:rPr>
              <w:t xml:space="preserve"> </w:t>
            </w:r>
            <w:r w:rsidR="00F3240B">
              <w:rPr>
                <w:sz w:val="18"/>
              </w:rPr>
              <w:t>r</w:t>
            </w:r>
            <w:r w:rsidRPr="007F44CC">
              <w:rPr>
                <w:sz w:val="18"/>
              </w:rPr>
              <w:t>eligions</w:t>
            </w:r>
          </w:p>
        </w:tc>
        <w:tc>
          <w:tcPr>
            <w:tcW w:w="646"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456</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123</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036FAC" w:rsidP="007F44CC">
            <w:pPr>
              <w:suppressAutoHyphens w:val="0"/>
              <w:spacing w:before="40" w:after="40" w:line="220" w:lineRule="exact"/>
              <w:ind w:right="113"/>
              <w:jc w:val="right"/>
              <w:rPr>
                <w:b/>
                <w:sz w:val="18"/>
              </w:rPr>
            </w:pPr>
            <w:r w:rsidRPr="007F44CC">
              <w:rPr>
                <w:b/>
                <w:sz w:val="18"/>
              </w:rPr>
              <w:t>576</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Buddhist</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49</w:t>
            </w:r>
            <w:r w:rsidR="00907D8C">
              <w:rPr>
                <w:sz w:val="18"/>
              </w:rPr>
              <w:t xml:space="preserve"> </w:t>
            </w:r>
            <w:r w:rsidR="00036FAC" w:rsidRPr="007F44CC">
              <w:rPr>
                <w:sz w:val="18"/>
              </w:rPr>
              <w:t>785</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w:t>
            </w:r>
            <w:r w:rsidR="00907D8C">
              <w:rPr>
                <w:sz w:val="18"/>
              </w:rPr>
              <w:t xml:space="preserve"> </w:t>
            </w:r>
            <w:r w:rsidR="00036FAC" w:rsidRPr="007F44CC">
              <w:rPr>
                <w:sz w:val="18"/>
              </w:rPr>
              <w:t>574</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52</w:t>
            </w:r>
            <w:r w:rsidR="00907D8C">
              <w:rPr>
                <w:b/>
                <w:sz w:val="18"/>
              </w:rPr>
              <w:t xml:space="preserve"> </w:t>
            </w:r>
            <w:r w:rsidR="00036FAC" w:rsidRPr="007F44CC">
              <w:rPr>
                <w:b/>
                <w:sz w:val="18"/>
              </w:rPr>
              <w:t>362</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Hindu</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63</w:t>
            </w:r>
            <w:r w:rsidR="00907D8C">
              <w:rPr>
                <w:sz w:val="18"/>
              </w:rPr>
              <w:t xml:space="preserve"> </w:t>
            </w:r>
            <w:r w:rsidR="00036FAC" w:rsidRPr="007F44CC">
              <w:rPr>
                <w:sz w:val="18"/>
              </w:rPr>
              <w:t>396</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993</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64</w:t>
            </w:r>
            <w:r w:rsidR="00907D8C">
              <w:rPr>
                <w:b/>
                <w:sz w:val="18"/>
              </w:rPr>
              <w:t xml:space="preserve"> </w:t>
            </w:r>
            <w:r w:rsidR="00036FAC" w:rsidRPr="007F44CC">
              <w:rPr>
                <w:b/>
                <w:sz w:val="18"/>
              </w:rPr>
              <w:t>389</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Islam/Muslim</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35</w:t>
            </w:r>
            <w:r w:rsidR="00907D8C">
              <w:rPr>
                <w:sz w:val="18"/>
              </w:rPr>
              <w:t xml:space="preserve"> </w:t>
            </w:r>
            <w:r w:rsidR="00036FAC" w:rsidRPr="007F44CC">
              <w:rPr>
                <w:sz w:val="18"/>
              </w:rPr>
              <w:t>364</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705</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36</w:t>
            </w:r>
            <w:r w:rsidR="00907D8C">
              <w:rPr>
                <w:b/>
                <w:sz w:val="18"/>
              </w:rPr>
              <w:t xml:space="preserve"> </w:t>
            </w:r>
            <w:r w:rsidR="00036FAC" w:rsidRPr="007F44CC">
              <w:rPr>
                <w:b/>
                <w:sz w:val="18"/>
              </w:rPr>
              <w:t>072</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Judaism/Jewish</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6</w:t>
            </w:r>
            <w:r w:rsidR="00907D8C">
              <w:rPr>
                <w:sz w:val="18"/>
              </w:rPr>
              <w:t xml:space="preserve"> </w:t>
            </w:r>
            <w:r w:rsidR="00036FAC" w:rsidRPr="007F44CC">
              <w:rPr>
                <w:sz w:val="18"/>
              </w:rPr>
              <w:t>312</w:t>
            </w:r>
          </w:p>
        </w:tc>
        <w:tc>
          <w:tcPr>
            <w:tcW w:w="647"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543</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0</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6</w:t>
            </w:r>
            <w:r w:rsidR="00907D8C">
              <w:rPr>
                <w:b/>
                <w:sz w:val="18"/>
              </w:rPr>
              <w:t xml:space="preserve"> </w:t>
            </w:r>
            <w:r w:rsidR="00036FAC" w:rsidRPr="007F44CC">
              <w:rPr>
                <w:b/>
                <w:sz w:val="18"/>
              </w:rPr>
              <w:t>855</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Spiritualism</w:t>
            </w:r>
            <w:r w:rsidR="00907D8C">
              <w:rPr>
                <w:sz w:val="18"/>
              </w:rPr>
              <w:t xml:space="preserve"> </w:t>
            </w:r>
            <w:r w:rsidRPr="007F44CC">
              <w:rPr>
                <w:sz w:val="18"/>
              </w:rPr>
              <w:t>and</w:t>
            </w:r>
            <w:r w:rsidR="00907D8C">
              <w:rPr>
                <w:sz w:val="18"/>
              </w:rPr>
              <w:t xml:space="preserve"> </w:t>
            </w:r>
            <w:r w:rsidRPr="007F44CC">
              <w:rPr>
                <w:sz w:val="18"/>
              </w:rPr>
              <w:t>New</w:t>
            </w:r>
            <w:r w:rsidR="00907D8C">
              <w:rPr>
                <w:sz w:val="18"/>
              </w:rPr>
              <w:t xml:space="preserve"> </w:t>
            </w:r>
            <w:r w:rsidRPr="007F44CC">
              <w:rPr>
                <w:sz w:val="18"/>
              </w:rPr>
              <w:t>Age</w:t>
            </w:r>
            <w:r w:rsidR="00907D8C">
              <w:rPr>
                <w:sz w:val="18"/>
              </w:rPr>
              <w:t xml:space="preserve"> </w:t>
            </w:r>
            <w:r w:rsidR="00F3240B">
              <w:rPr>
                <w:sz w:val="18"/>
              </w:rPr>
              <w:t>r</w:t>
            </w:r>
            <w:r w:rsidRPr="007F44CC">
              <w:rPr>
                <w:sz w:val="18"/>
              </w:rPr>
              <w:t>eligions</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16</w:t>
            </w:r>
            <w:r w:rsidR="00907D8C">
              <w:rPr>
                <w:sz w:val="18"/>
              </w:rPr>
              <w:t xml:space="preserve"> </w:t>
            </w:r>
            <w:r w:rsidR="00036FAC" w:rsidRPr="007F44CC">
              <w:rPr>
                <w:sz w:val="18"/>
              </w:rPr>
              <w:t>869</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w:t>
            </w:r>
            <w:r w:rsidR="00907D8C">
              <w:rPr>
                <w:sz w:val="18"/>
              </w:rPr>
              <w:t xml:space="preserve"> </w:t>
            </w:r>
            <w:r w:rsidR="00036FAC" w:rsidRPr="007F44CC">
              <w:rPr>
                <w:sz w:val="18"/>
              </w:rPr>
              <w:t>928</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w:t>
            </w:r>
          </w:p>
        </w:tc>
        <w:tc>
          <w:tcPr>
            <w:tcW w:w="532" w:type="pct"/>
            <w:shd w:val="clear" w:color="auto" w:fill="auto"/>
            <w:vAlign w:val="bottom"/>
          </w:tcPr>
          <w:p w:rsidR="00036FAC" w:rsidRPr="007F44CC" w:rsidRDefault="00036FAC" w:rsidP="007F44CC">
            <w:pPr>
              <w:suppressAutoHyphens w:val="0"/>
              <w:spacing w:before="40" w:after="40" w:line="220" w:lineRule="exact"/>
              <w:ind w:right="113"/>
              <w:jc w:val="right"/>
              <w:rPr>
                <w:b/>
                <w:sz w:val="18"/>
              </w:rPr>
            </w:pPr>
            <w:r w:rsidRPr="007F44CC">
              <w:rPr>
                <w:b/>
                <w:sz w:val="18"/>
              </w:rPr>
              <w:t>19</w:t>
            </w:r>
            <w:r w:rsidR="00907D8C">
              <w:rPr>
                <w:b/>
                <w:sz w:val="18"/>
              </w:rPr>
              <w:t xml:space="preserve"> </w:t>
            </w:r>
            <w:r w:rsidRPr="007F44CC">
              <w:rPr>
                <w:b/>
                <w:sz w:val="18"/>
              </w:rPr>
              <w:t>797</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Other</w:t>
            </w:r>
            <w:r w:rsidR="00907D8C">
              <w:rPr>
                <w:sz w:val="18"/>
              </w:rPr>
              <w:t xml:space="preserve"> </w:t>
            </w:r>
            <w:r w:rsidR="00F3240B">
              <w:rPr>
                <w:sz w:val="18"/>
              </w:rPr>
              <w:t>r</w:t>
            </w:r>
            <w:r w:rsidRPr="007F44CC">
              <w:rPr>
                <w:sz w:val="18"/>
              </w:rPr>
              <w:t>eligions</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22</w:t>
            </w:r>
            <w:r w:rsidR="00907D8C">
              <w:rPr>
                <w:sz w:val="18"/>
              </w:rPr>
              <w:t xml:space="preserve"> </w:t>
            </w:r>
            <w:r w:rsidR="00036FAC" w:rsidRPr="007F44CC">
              <w:rPr>
                <w:sz w:val="18"/>
              </w:rPr>
              <w:t>128</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w:t>
            </w:r>
            <w:r w:rsidR="00907D8C">
              <w:rPr>
                <w:sz w:val="18"/>
              </w:rPr>
              <w:t xml:space="preserve"> </w:t>
            </w:r>
            <w:r w:rsidR="00036FAC" w:rsidRPr="007F44CC">
              <w:rPr>
                <w:sz w:val="18"/>
              </w:rPr>
              <w:t>319</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3</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24</w:t>
            </w:r>
            <w:r w:rsidR="00907D8C">
              <w:rPr>
                <w:b/>
                <w:sz w:val="18"/>
              </w:rPr>
              <w:t xml:space="preserve"> </w:t>
            </w:r>
            <w:r w:rsidR="00036FAC" w:rsidRPr="007F44CC">
              <w:rPr>
                <w:b/>
                <w:sz w:val="18"/>
              </w:rPr>
              <w:t>450</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No</w:t>
            </w:r>
            <w:r w:rsidR="00907D8C">
              <w:rPr>
                <w:sz w:val="18"/>
              </w:rPr>
              <w:t xml:space="preserve"> </w:t>
            </w:r>
            <w:r w:rsidR="00F3240B">
              <w:rPr>
                <w:sz w:val="18"/>
              </w:rPr>
              <w:t>r</w:t>
            </w:r>
            <w:r w:rsidRPr="007F44CC">
              <w:rPr>
                <w:sz w:val="18"/>
              </w:rPr>
              <w:t>eligion</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w:t>
            </w:r>
            <w:r w:rsidR="00907D8C">
              <w:rPr>
                <w:sz w:val="18"/>
              </w:rPr>
              <w:t xml:space="preserve"> </w:t>
            </w:r>
            <w:r>
              <w:rPr>
                <w:sz w:val="18"/>
              </w:rPr>
              <w:t>104</w:t>
            </w:r>
            <w:r w:rsidR="00907D8C">
              <w:rPr>
                <w:sz w:val="18"/>
              </w:rPr>
              <w:t xml:space="preserve"> </w:t>
            </w:r>
            <w:r w:rsidR="00036FAC" w:rsidRPr="007F44CC">
              <w:rPr>
                <w:sz w:val="18"/>
              </w:rPr>
              <w:t>588</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192</w:t>
            </w:r>
            <w:r w:rsidR="00907D8C">
              <w:rPr>
                <w:sz w:val="18"/>
              </w:rPr>
              <w:t xml:space="preserve"> </w:t>
            </w:r>
            <w:r w:rsidR="00036FAC" w:rsidRPr="007F44CC">
              <w:rPr>
                <w:sz w:val="18"/>
              </w:rPr>
              <w:t>270</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249</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1</w:t>
            </w:r>
            <w:r w:rsidR="00907D8C">
              <w:rPr>
                <w:b/>
                <w:sz w:val="18"/>
              </w:rPr>
              <w:t xml:space="preserve"> </w:t>
            </w:r>
            <w:r>
              <w:rPr>
                <w:b/>
                <w:sz w:val="18"/>
              </w:rPr>
              <w:t>297</w:t>
            </w:r>
            <w:r w:rsidR="00907D8C">
              <w:rPr>
                <w:b/>
                <w:sz w:val="18"/>
              </w:rPr>
              <w:t xml:space="preserve"> </w:t>
            </w:r>
            <w:r w:rsidR="00036FAC" w:rsidRPr="007F44CC">
              <w:rPr>
                <w:b/>
                <w:sz w:val="18"/>
              </w:rPr>
              <w:t>104</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7F44CC">
            <w:pPr>
              <w:suppressAutoHyphens w:val="0"/>
              <w:spacing w:before="40" w:after="40" w:line="220" w:lineRule="exact"/>
              <w:ind w:right="113"/>
              <w:rPr>
                <w:sz w:val="18"/>
              </w:rPr>
            </w:pPr>
            <w:r w:rsidRPr="007F44CC">
              <w:rPr>
                <w:sz w:val="18"/>
              </w:rPr>
              <w:t>Object</w:t>
            </w:r>
            <w:r w:rsidR="00907D8C">
              <w:rPr>
                <w:sz w:val="18"/>
              </w:rPr>
              <w:t xml:space="preserve"> </w:t>
            </w:r>
            <w:r w:rsidRPr="007F44CC">
              <w:rPr>
                <w:sz w:val="18"/>
              </w:rPr>
              <w:t>to</w:t>
            </w:r>
            <w:r w:rsidR="00907D8C">
              <w:rPr>
                <w:sz w:val="18"/>
              </w:rPr>
              <w:t xml:space="preserve"> </w:t>
            </w:r>
            <w:r w:rsidR="00F3240B">
              <w:rPr>
                <w:sz w:val="18"/>
              </w:rPr>
              <w:t>a</w:t>
            </w:r>
            <w:r w:rsidRPr="007F44CC">
              <w:rPr>
                <w:sz w:val="18"/>
              </w:rPr>
              <w:t>nswering</w:t>
            </w:r>
          </w:p>
        </w:tc>
        <w:tc>
          <w:tcPr>
            <w:tcW w:w="646"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202</w:t>
            </w:r>
            <w:r w:rsidR="00907D8C">
              <w:rPr>
                <w:sz w:val="18"/>
              </w:rPr>
              <w:t xml:space="preserve"> </w:t>
            </w:r>
            <w:r w:rsidR="00036FAC" w:rsidRPr="007F44CC">
              <w:rPr>
                <w:sz w:val="18"/>
              </w:rPr>
              <w:t>020</w:t>
            </w:r>
          </w:p>
        </w:tc>
        <w:tc>
          <w:tcPr>
            <w:tcW w:w="647" w:type="pct"/>
            <w:shd w:val="clear" w:color="auto" w:fill="auto"/>
            <w:vAlign w:val="bottom"/>
          </w:tcPr>
          <w:p w:rsidR="00036FAC" w:rsidRPr="007F44CC" w:rsidRDefault="007F44CC" w:rsidP="007F44CC">
            <w:pPr>
              <w:suppressAutoHyphens w:val="0"/>
              <w:spacing w:before="40" w:after="40" w:line="220" w:lineRule="exact"/>
              <w:ind w:right="113"/>
              <w:jc w:val="right"/>
              <w:rPr>
                <w:sz w:val="18"/>
              </w:rPr>
            </w:pPr>
            <w:r>
              <w:rPr>
                <w:sz w:val="18"/>
              </w:rPr>
              <w:t>40</w:t>
            </w:r>
            <w:r w:rsidR="00907D8C">
              <w:rPr>
                <w:sz w:val="18"/>
              </w:rPr>
              <w:t xml:space="preserve"> </w:t>
            </w:r>
            <w:r w:rsidR="00036FAC" w:rsidRPr="007F44CC">
              <w:rPr>
                <w:sz w:val="18"/>
              </w:rPr>
              <w:t>518</w:t>
            </w:r>
          </w:p>
        </w:tc>
        <w:tc>
          <w:tcPr>
            <w:tcW w:w="882" w:type="pct"/>
            <w:shd w:val="clear" w:color="auto" w:fill="auto"/>
            <w:vAlign w:val="bottom"/>
          </w:tcPr>
          <w:p w:rsidR="00036FAC" w:rsidRPr="007F44CC" w:rsidRDefault="00036FAC" w:rsidP="007F44CC">
            <w:pPr>
              <w:suppressAutoHyphens w:val="0"/>
              <w:spacing w:before="40" w:after="40" w:line="220" w:lineRule="exact"/>
              <w:ind w:right="113"/>
              <w:jc w:val="right"/>
              <w:rPr>
                <w:sz w:val="18"/>
              </w:rPr>
            </w:pPr>
            <w:r w:rsidRPr="007F44CC">
              <w:rPr>
                <w:sz w:val="18"/>
              </w:rPr>
              <w:t>69</w:t>
            </w:r>
          </w:p>
        </w:tc>
        <w:tc>
          <w:tcPr>
            <w:tcW w:w="532" w:type="pct"/>
            <w:shd w:val="clear" w:color="auto" w:fill="auto"/>
            <w:vAlign w:val="bottom"/>
          </w:tcPr>
          <w:p w:rsidR="00036FAC" w:rsidRPr="007F44CC" w:rsidRDefault="007F44CC" w:rsidP="007F44CC">
            <w:pPr>
              <w:suppressAutoHyphens w:val="0"/>
              <w:spacing w:before="40" w:after="40" w:line="220" w:lineRule="exact"/>
              <w:ind w:right="113"/>
              <w:jc w:val="right"/>
              <w:rPr>
                <w:b/>
                <w:sz w:val="18"/>
              </w:rPr>
            </w:pPr>
            <w:r>
              <w:rPr>
                <w:b/>
                <w:sz w:val="18"/>
              </w:rPr>
              <w:t>242</w:t>
            </w:r>
            <w:r w:rsidR="00907D8C">
              <w:rPr>
                <w:b/>
                <w:sz w:val="18"/>
              </w:rPr>
              <w:t xml:space="preserve"> </w:t>
            </w:r>
            <w:r w:rsidR="00036FAC" w:rsidRPr="007F44CC">
              <w:rPr>
                <w:b/>
                <w:sz w:val="18"/>
              </w:rPr>
              <w:t>607</w:t>
            </w:r>
          </w:p>
        </w:tc>
      </w:tr>
      <w:tr w:rsidR="00036FAC" w:rsidRPr="007F44CC" w:rsidTr="005C0300">
        <w:tblPrEx>
          <w:tblCellMar>
            <w:top w:w="0" w:type="dxa"/>
            <w:bottom w:w="0" w:type="dxa"/>
          </w:tblCellMar>
        </w:tblPrEx>
        <w:trPr>
          <w:trHeight w:val="240"/>
        </w:trPr>
        <w:tc>
          <w:tcPr>
            <w:tcW w:w="2293" w:type="pct"/>
            <w:shd w:val="clear" w:color="auto" w:fill="auto"/>
            <w:vAlign w:val="bottom"/>
          </w:tcPr>
          <w:p w:rsidR="00036FAC" w:rsidRPr="007F44CC" w:rsidRDefault="00036FAC" w:rsidP="00F3240B">
            <w:pPr>
              <w:suppressAutoHyphens w:val="0"/>
              <w:spacing w:before="40" w:after="40" w:line="220" w:lineRule="exact"/>
              <w:ind w:right="113"/>
              <w:rPr>
                <w:sz w:val="18"/>
              </w:rPr>
            </w:pPr>
            <w:r w:rsidRPr="007F44CC">
              <w:rPr>
                <w:sz w:val="18"/>
              </w:rPr>
              <w:t>Total</w:t>
            </w:r>
            <w:r w:rsidR="00907D8C">
              <w:rPr>
                <w:sz w:val="18"/>
              </w:rPr>
              <w:t xml:space="preserve"> </w:t>
            </w:r>
            <w:r w:rsidR="00F3240B">
              <w:rPr>
                <w:sz w:val="18"/>
              </w:rPr>
              <w:t>p</w:t>
            </w:r>
            <w:r w:rsidRPr="007F44CC">
              <w:rPr>
                <w:sz w:val="18"/>
              </w:rPr>
              <w:t>eople</w:t>
            </w:r>
            <w:r w:rsidR="00907D8C">
              <w:rPr>
                <w:sz w:val="18"/>
              </w:rPr>
              <w:t xml:space="preserve"> </w:t>
            </w:r>
            <w:r w:rsidR="00F3240B">
              <w:rPr>
                <w:sz w:val="18"/>
              </w:rPr>
              <w:t>s</w:t>
            </w:r>
            <w:r w:rsidRPr="007F44CC">
              <w:rPr>
                <w:sz w:val="18"/>
              </w:rPr>
              <w:t>pecifying</w:t>
            </w:r>
            <w:r w:rsidR="00907D8C">
              <w:rPr>
                <w:sz w:val="18"/>
              </w:rPr>
              <w:t xml:space="preserve"> </w:t>
            </w:r>
            <w:r w:rsidR="00F3240B">
              <w:rPr>
                <w:sz w:val="18"/>
              </w:rPr>
              <w:t>o</w:t>
            </w:r>
            <w:r w:rsidRPr="007F44CC">
              <w:rPr>
                <w:sz w:val="18"/>
              </w:rPr>
              <w:t>ne</w:t>
            </w:r>
            <w:r w:rsidR="00907D8C">
              <w:rPr>
                <w:sz w:val="18"/>
              </w:rPr>
              <w:t xml:space="preserve"> </w:t>
            </w:r>
            <w:r w:rsidRPr="007F44CC">
              <w:rPr>
                <w:sz w:val="18"/>
              </w:rPr>
              <w:t>or</w:t>
            </w:r>
            <w:r w:rsidR="00907D8C">
              <w:rPr>
                <w:sz w:val="18"/>
              </w:rPr>
              <w:t xml:space="preserve"> </w:t>
            </w:r>
            <w:r w:rsidR="00F3240B">
              <w:rPr>
                <w:sz w:val="18"/>
              </w:rPr>
              <w:t>m</w:t>
            </w:r>
            <w:r w:rsidRPr="007F44CC">
              <w:rPr>
                <w:sz w:val="18"/>
              </w:rPr>
              <w:t>ore</w:t>
            </w:r>
            <w:r w:rsidR="00907D8C">
              <w:rPr>
                <w:sz w:val="18"/>
              </w:rPr>
              <w:t xml:space="preserve"> </w:t>
            </w:r>
            <w:r w:rsidR="00F3240B">
              <w:rPr>
                <w:sz w:val="18"/>
              </w:rPr>
              <w:t>r</w:t>
            </w:r>
            <w:r w:rsidRPr="007F44CC">
              <w:rPr>
                <w:sz w:val="18"/>
              </w:rPr>
              <w:t>eligious</w:t>
            </w:r>
            <w:r w:rsidR="00907D8C">
              <w:rPr>
                <w:sz w:val="18"/>
              </w:rPr>
              <w:t xml:space="preserve"> </w:t>
            </w:r>
            <w:r w:rsidR="00F3240B">
              <w:rPr>
                <w:sz w:val="18"/>
              </w:rPr>
              <w:t>a</w:t>
            </w:r>
            <w:r w:rsidRPr="007F44CC">
              <w:rPr>
                <w:sz w:val="18"/>
              </w:rPr>
              <w:t>ffiliation</w:t>
            </w:r>
            <w:r w:rsidR="00907D8C">
              <w:rPr>
                <w:sz w:val="18"/>
              </w:rPr>
              <w:t xml:space="preserve"> </w:t>
            </w:r>
            <w:r w:rsidRPr="007F44CC">
              <w:rPr>
                <w:sz w:val="18"/>
              </w:rPr>
              <w:t>(including</w:t>
            </w:r>
            <w:r w:rsidR="00907D8C">
              <w:rPr>
                <w:sz w:val="18"/>
              </w:rPr>
              <w:t xml:space="preserve"> </w:t>
            </w:r>
            <w:r w:rsidR="00F3240B">
              <w:rPr>
                <w:sz w:val="18"/>
              </w:rPr>
              <w:t>n</w:t>
            </w:r>
            <w:r w:rsidRPr="007F44CC">
              <w:rPr>
                <w:sz w:val="18"/>
              </w:rPr>
              <w:t>o</w:t>
            </w:r>
            <w:r w:rsidR="00907D8C">
              <w:rPr>
                <w:sz w:val="18"/>
              </w:rPr>
              <w:t xml:space="preserve"> </w:t>
            </w:r>
            <w:r w:rsidR="00F3240B">
              <w:rPr>
                <w:sz w:val="18"/>
              </w:rPr>
              <w:t>r</w:t>
            </w:r>
            <w:r w:rsidRPr="007F44CC">
              <w:rPr>
                <w:sz w:val="18"/>
              </w:rPr>
              <w:t>eligion</w:t>
            </w:r>
            <w:r w:rsidR="00907D8C">
              <w:rPr>
                <w:sz w:val="18"/>
              </w:rPr>
              <w:t xml:space="preserve"> </w:t>
            </w:r>
            <w:r w:rsidRPr="007F44CC">
              <w:rPr>
                <w:sz w:val="18"/>
              </w:rPr>
              <w:t>and</w:t>
            </w:r>
            <w:r w:rsidR="00907D8C">
              <w:rPr>
                <w:sz w:val="18"/>
              </w:rPr>
              <w:t xml:space="preserve"> </w:t>
            </w:r>
            <w:r w:rsidR="00F3240B">
              <w:rPr>
                <w:sz w:val="18"/>
              </w:rPr>
              <w:t>o</w:t>
            </w:r>
            <w:r w:rsidRPr="007F44CC">
              <w:rPr>
                <w:sz w:val="18"/>
              </w:rPr>
              <w:t>bject</w:t>
            </w:r>
            <w:r w:rsidR="00907D8C">
              <w:rPr>
                <w:sz w:val="18"/>
              </w:rPr>
              <w:t xml:space="preserve"> </w:t>
            </w:r>
            <w:r w:rsidRPr="007F44CC">
              <w:rPr>
                <w:sz w:val="18"/>
              </w:rPr>
              <w:t>to</w:t>
            </w:r>
            <w:r w:rsidR="00907D8C">
              <w:rPr>
                <w:sz w:val="18"/>
              </w:rPr>
              <w:t xml:space="preserve"> </w:t>
            </w:r>
            <w:r w:rsidR="00F3240B">
              <w:rPr>
                <w:sz w:val="18"/>
              </w:rPr>
              <w:t>a</w:t>
            </w:r>
            <w:r w:rsidRPr="007F44CC">
              <w:rPr>
                <w:sz w:val="18"/>
              </w:rPr>
              <w:t>nswering)</w:t>
            </w:r>
          </w:p>
        </w:tc>
        <w:tc>
          <w:tcPr>
            <w:tcW w:w="646" w:type="pct"/>
            <w:shd w:val="clear" w:color="auto" w:fill="auto"/>
            <w:vAlign w:val="bottom"/>
          </w:tcPr>
          <w:p w:rsidR="00036FAC" w:rsidRPr="007F44CC" w:rsidRDefault="007F44CC" w:rsidP="00F3240B">
            <w:pPr>
              <w:suppressAutoHyphens w:val="0"/>
              <w:spacing w:before="40" w:after="40" w:line="220" w:lineRule="exact"/>
              <w:ind w:right="113"/>
              <w:jc w:val="right"/>
              <w:rPr>
                <w:sz w:val="18"/>
              </w:rPr>
            </w:pPr>
            <w:r>
              <w:rPr>
                <w:sz w:val="18"/>
              </w:rPr>
              <w:t>3</w:t>
            </w:r>
            <w:r w:rsidR="00907D8C">
              <w:rPr>
                <w:sz w:val="18"/>
              </w:rPr>
              <w:t xml:space="preserve"> </w:t>
            </w:r>
            <w:r>
              <w:rPr>
                <w:sz w:val="18"/>
              </w:rPr>
              <w:t>221</w:t>
            </w:r>
            <w:r w:rsidR="00907D8C">
              <w:rPr>
                <w:sz w:val="18"/>
              </w:rPr>
              <w:t xml:space="preserve"> </w:t>
            </w:r>
            <w:r w:rsidR="00036FAC" w:rsidRPr="007F44CC">
              <w:rPr>
                <w:sz w:val="18"/>
              </w:rPr>
              <w:t>286</w:t>
            </w:r>
          </w:p>
        </w:tc>
        <w:tc>
          <w:tcPr>
            <w:tcW w:w="647" w:type="pct"/>
            <w:shd w:val="clear" w:color="auto" w:fill="auto"/>
            <w:vAlign w:val="bottom"/>
          </w:tcPr>
          <w:p w:rsidR="00036FAC" w:rsidRPr="007F44CC" w:rsidRDefault="00036FAC" w:rsidP="00F3240B">
            <w:pPr>
              <w:suppressAutoHyphens w:val="0"/>
              <w:spacing w:before="40" w:after="40" w:line="220" w:lineRule="exact"/>
              <w:ind w:right="113"/>
              <w:jc w:val="right"/>
              <w:rPr>
                <w:sz w:val="18"/>
              </w:rPr>
            </w:pPr>
            <w:r w:rsidRPr="007F44CC">
              <w:rPr>
                <w:sz w:val="18"/>
              </w:rPr>
              <w:t>52</w:t>
            </w:r>
            <w:r w:rsidR="007F44CC">
              <w:rPr>
                <w:sz w:val="18"/>
              </w:rPr>
              <w:t>1</w:t>
            </w:r>
            <w:r w:rsidR="00907D8C">
              <w:rPr>
                <w:sz w:val="18"/>
              </w:rPr>
              <w:t xml:space="preserve"> </w:t>
            </w:r>
            <w:r w:rsidRPr="007F44CC">
              <w:rPr>
                <w:sz w:val="18"/>
              </w:rPr>
              <w:t>772</w:t>
            </w:r>
          </w:p>
        </w:tc>
        <w:tc>
          <w:tcPr>
            <w:tcW w:w="882" w:type="pct"/>
            <w:shd w:val="clear" w:color="auto" w:fill="auto"/>
            <w:vAlign w:val="bottom"/>
          </w:tcPr>
          <w:p w:rsidR="00036FAC" w:rsidRPr="007F44CC" w:rsidRDefault="00036FAC" w:rsidP="00F3240B">
            <w:pPr>
              <w:suppressAutoHyphens w:val="0"/>
              <w:spacing w:before="40" w:after="40" w:line="220" w:lineRule="exact"/>
              <w:ind w:right="113"/>
              <w:jc w:val="right"/>
              <w:rPr>
                <w:sz w:val="18"/>
              </w:rPr>
            </w:pPr>
            <w:r w:rsidRPr="007F44CC">
              <w:rPr>
                <w:sz w:val="18"/>
              </w:rPr>
              <w:t>600</w:t>
            </w:r>
          </w:p>
        </w:tc>
        <w:tc>
          <w:tcPr>
            <w:tcW w:w="532" w:type="pct"/>
            <w:shd w:val="clear" w:color="auto" w:fill="auto"/>
            <w:vAlign w:val="bottom"/>
          </w:tcPr>
          <w:p w:rsidR="00036FAC" w:rsidRPr="007F44CC" w:rsidRDefault="007F44CC" w:rsidP="00F3240B">
            <w:pPr>
              <w:suppressAutoHyphens w:val="0"/>
              <w:spacing w:before="40" w:after="40" w:line="220" w:lineRule="exact"/>
              <w:ind w:right="113"/>
              <w:jc w:val="right"/>
              <w:rPr>
                <w:b/>
                <w:sz w:val="18"/>
              </w:rPr>
            </w:pPr>
            <w:r>
              <w:rPr>
                <w:b/>
                <w:sz w:val="18"/>
              </w:rPr>
              <w:t>3</w:t>
            </w:r>
            <w:r w:rsidR="00907D8C">
              <w:rPr>
                <w:b/>
                <w:sz w:val="18"/>
              </w:rPr>
              <w:t xml:space="preserve"> </w:t>
            </w:r>
            <w:r>
              <w:rPr>
                <w:b/>
                <w:sz w:val="18"/>
              </w:rPr>
              <w:t>743</w:t>
            </w:r>
            <w:r w:rsidR="00907D8C">
              <w:rPr>
                <w:b/>
                <w:sz w:val="18"/>
              </w:rPr>
              <w:t xml:space="preserve"> </w:t>
            </w:r>
            <w:r w:rsidR="00036FAC" w:rsidRPr="007F44CC">
              <w:rPr>
                <w:b/>
                <w:sz w:val="18"/>
              </w:rPr>
              <w:t>652</w:t>
            </w:r>
          </w:p>
        </w:tc>
      </w:tr>
      <w:tr w:rsidR="00036FAC" w:rsidRPr="007F44CC" w:rsidTr="005C0300">
        <w:tblPrEx>
          <w:tblCellMar>
            <w:top w:w="0" w:type="dxa"/>
            <w:bottom w:w="0" w:type="dxa"/>
          </w:tblCellMar>
        </w:tblPrEx>
        <w:trPr>
          <w:trHeight w:val="240"/>
        </w:trPr>
        <w:tc>
          <w:tcPr>
            <w:tcW w:w="2293" w:type="pct"/>
            <w:tcBorders>
              <w:bottom w:val="single" w:sz="4" w:space="0" w:color="auto"/>
            </w:tcBorders>
            <w:shd w:val="clear" w:color="auto" w:fill="auto"/>
            <w:vAlign w:val="bottom"/>
          </w:tcPr>
          <w:p w:rsidR="00036FAC" w:rsidRPr="007F44CC" w:rsidRDefault="00036FAC" w:rsidP="00F3240B">
            <w:pPr>
              <w:keepNext/>
              <w:suppressAutoHyphens w:val="0"/>
              <w:spacing w:before="40" w:after="40" w:line="220" w:lineRule="exact"/>
              <w:ind w:right="113"/>
              <w:rPr>
                <w:sz w:val="18"/>
              </w:rPr>
            </w:pPr>
            <w:r w:rsidRPr="007F44CC">
              <w:rPr>
                <w:sz w:val="18"/>
              </w:rPr>
              <w:t>Not</w:t>
            </w:r>
            <w:r w:rsidR="00907D8C">
              <w:rPr>
                <w:sz w:val="18"/>
              </w:rPr>
              <w:t xml:space="preserve"> </w:t>
            </w:r>
            <w:r w:rsidR="00F3240B">
              <w:rPr>
                <w:sz w:val="18"/>
              </w:rPr>
              <w:t>e</w:t>
            </w:r>
            <w:r w:rsidRPr="007F44CC">
              <w:rPr>
                <w:sz w:val="18"/>
              </w:rPr>
              <w:t>lsewhere</w:t>
            </w:r>
            <w:r w:rsidR="00907D8C">
              <w:rPr>
                <w:sz w:val="18"/>
              </w:rPr>
              <w:t xml:space="preserve"> </w:t>
            </w:r>
            <w:r w:rsidR="00F3240B">
              <w:rPr>
                <w:sz w:val="18"/>
              </w:rPr>
              <w:t>i</w:t>
            </w:r>
            <w:r w:rsidRPr="007F44CC">
              <w:rPr>
                <w:sz w:val="18"/>
              </w:rPr>
              <w:t>ncluded</w:t>
            </w:r>
            <w:r w:rsidRPr="007F44CC">
              <w:rPr>
                <w:sz w:val="18"/>
                <w:vertAlign w:val="superscript"/>
              </w:rPr>
              <w:t>(2)</w:t>
            </w:r>
          </w:p>
        </w:tc>
        <w:tc>
          <w:tcPr>
            <w:tcW w:w="646" w:type="pct"/>
            <w:tcBorders>
              <w:bottom w:val="single" w:sz="4" w:space="0" w:color="auto"/>
            </w:tcBorders>
            <w:shd w:val="clear" w:color="auto" w:fill="auto"/>
            <w:vAlign w:val="bottom"/>
          </w:tcPr>
          <w:p w:rsidR="00036FAC" w:rsidRPr="007F44CC" w:rsidRDefault="007F44CC" w:rsidP="00F3240B">
            <w:pPr>
              <w:keepNext/>
              <w:suppressAutoHyphens w:val="0"/>
              <w:spacing w:before="40" w:after="40" w:line="220" w:lineRule="exact"/>
              <w:ind w:right="113"/>
              <w:jc w:val="right"/>
              <w:rPr>
                <w:sz w:val="18"/>
              </w:rPr>
            </w:pPr>
            <w:r>
              <w:rPr>
                <w:sz w:val="18"/>
              </w:rPr>
              <w:t>249</w:t>
            </w:r>
            <w:r w:rsidR="00907D8C">
              <w:rPr>
                <w:sz w:val="18"/>
              </w:rPr>
              <w:t xml:space="preserve"> </w:t>
            </w:r>
            <w:r w:rsidR="00036FAC" w:rsidRPr="007F44CC">
              <w:rPr>
                <w:sz w:val="18"/>
              </w:rPr>
              <w:t>435</w:t>
            </w:r>
          </w:p>
        </w:tc>
        <w:tc>
          <w:tcPr>
            <w:tcW w:w="647" w:type="pct"/>
            <w:tcBorders>
              <w:bottom w:val="single" w:sz="4" w:space="0" w:color="auto"/>
            </w:tcBorders>
            <w:shd w:val="clear" w:color="auto" w:fill="auto"/>
            <w:vAlign w:val="bottom"/>
          </w:tcPr>
          <w:p w:rsidR="00036FAC" w:rsidRPr="007F44CC" w:rsidRDefault="007F44CC" w:rsidP="00F3240B">
            <w:pPr>
              <w:keepNext/>
              <w:suppressAutoHyphens w:val="0"/>
              <w:spacing w:before="40" w:after="40" w:line="220" w:lineRule="exact"/>
              <w:ind w:right="113"/>
              <w:jc w:val="right"/>
              <w:rPr>
                <w:sz w:val="18"/>
              </w:rPr>
            </w:pPr>
            <w:r>
              <w:rPr>
                <w:sz w:val="18"/>
              </w:rPr>
              <w:t>43</w:t>
            </w:r>
            <w:r w:rsidR="00907D8C">
              <w:rPr>
                <w:sz w:val="18"/>
              </w:rPr>
              <w:t xml:space="preserve"> </w:t>
            </w:r>
            <w:r w:rsidR="00036FAC" w:rsidRPr="007F44CC">
              <w:rPr>
                <w:sz w:val="18"/>
              </w:rPr>
              <w:t>302</w:t>
            </w:r>
          </w:p>
        </w:tc>
        <w:tc>
          <w:tcPr>
            <w:tcW w:w="882" w:type="pct"/>
            <w:tcBorders>
              <w:bottom w:val="single" w:sz="4" w:space="0" w:color="auto"/>
            </w:tcBorders>
            <w:shd w:val="clear" w:color="auto" w:fill="auto"/>
            <w:vAlign w:val="bottom"/>
          </w:tcPr>
          <w:p w:rsidR="00036FAC" w:rsidRPr="007F44CC" w:rsidRDefault="00036FAC" w:rsidP="00F3240B">
            <w:pPr>
              <w:keepNext/>
              <w:suppressAutoHyphens w:val="0"/>
              <w:spacing w:before="40" w:after="40" w:line="220" w:lineRule="exact"/>
              <w:ind w:right="113"/>
              <w:jc w:val="right"/>
              <w:rPr>
                <w:sz w:val="18"/>
              </w:rPr>
            </w:pPr>
            <w:r w:rsidRPr="007F44CC">
              <w:rPr>
                <w:sz w:val="18"/>
              </w:rPr>
              <w:t>234</w:t>
            </w:r>
          </w:p>
        </w:tc>
        <w:tc>
          <w:tcPr>
            <w:tcW w:w="532" w:type="pct"/>
            <w:tcBorders>
              <w:bottom w:val="single" w:sz="4" w:space="0" w:color="auto"/>
            </w:tcBorders>
            <w:shd w:val="clear" w:color="auto" w:fill="auto"/>
            <w:vAlign w:val="bottom"/>
          </w:tcPr>
          <w:p w:rsidR="00036FAC" w:rsidRPr="007F44CC" w:rsidRDefault="007F44CC" w:rsidP="00F3240B">
            <w:pPr>
              <w:keepNext/>
              <w:suppressAutoHyphens w:val="0"/>
              <w:spacing w:before="40" w:after="40" w:line="220" w:lineRule="exact"/>
              <w:ind w:right="113"/>
              <w:jc w:val="right"/>
              <w:rPr>
                <w:b/>
                <w:sz w:val="18"/>
              </w:rPr>
            </w:pPr>
            <w:r>
              <w:rPr>
                <w:b/>
                <w:sz w:val="18"/>
              </w:rPr>
              <w:t>292</w:t>
            </w:r>
            <w:r w:rsidR="00907D8C">
              <w:rPr>
                <w:b/>
                <w:sz w:val="18"/>
              </w:rPr>
              <w:t xml:space="preserve"> </w:t>
            </w:r>
            <w:r w:rsidR="00036FAC" w:rsidRPr="007F44CC">
              <w:rPr>
                <w:b/>
                <w:sz w:val="18"/>
              </w:rPr>
              <w:t>971</w:t>
            </w:r>
          </w:p>
        </w:tc>
      </w:tr>
      <w:tr w:rsidR="00036FAC" w:rsidRPr="007F44CC" w:rsidTr="005C0300">
        <w:tblPrEx>
          <w:tblCellMar>
            <w:top w:w="0" w:type="dxa"/>
            <w:bottom w:w="0" w:type="dxa"/>
          </w:tblCellMar>
        </w:tblPrEx>
        <w:trPr>
          <w:trHeight w:val="240"/>
        </w:trPr>
        <w:tc>
          <w:tcPr>
            <w:tcW w:w="2293"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20" w:lineRule="exact"/>
              <w:ind w:left="284" w:right="113"/>
              <w:rPr>
                <w:b/>
                <w:sz w:val="18"/>
              </w:rPr>
            </w:pPr>
            <w:r w:rsidRPr="007F44CC">
              <w:rPr>
                <w:b/>
                <w:sz w:val="18"/>
              </w:rPr>
              <w:t>Total</w:t>
            </w:r>
          </w:p>
        </w:tc>
        <w:tc>
          <w:tcPr>
            <w:tcW w:w="646" w:type="pct"/>
            <w:tcBorders>
              <w:top w:val="single" w:sz="4" w:space="0" w:color="auto"/>
              <w:bottom w:val="single" w:sz="12" w:space="0" w:color="auto"/>
            </w:tcBorders>
            <w:shd w:val="clear" w:color="auto" w:fill="auto"/>
            <w:vAlign w:val="bottom"/>
          </w:tcPr>
          <w:p w:rsidR="00036FAC" w:rsidRPr="007F44CC" w:rsidRDefault="007F44CC" w:rsidP="007F44CC">
            <w:pPr>
              <w:suppressAutoHyphens w:val="0"/>
              <w:spacing w:before="80" w:after="80" w:line="220" w:lineRule="exact"/>
              <w:ind w:right="113"/>
              <w:jc w:val="right"/>
              <w:rPr>
                <w:b/>
                <w:sz w:val="18"/>
              </w:rPr>
            </w:pPr>
            <w:r w:rsidRPr="007F44CC">
              <w:rPr>
                <w:b/>
                <w:sz w:val="18"/>
              </w:rPr>
              <w:t>3</w:t>
            </w:r>
            <w:r w:rsidR="00907D8C">
              <w:rPr>
                <w:b/>
                <w:sz w:val="18"/>
              </w:rPr>
              <w:t xml:space="preserve"> </w:t>
            </w:r>
            <w:r w:rsidRPr="007F44CC">
              <w:rPr>
                <w:b/>
                <w:sz w:val="18"/>
              </w:rPr>
              <w:t>463</w:t>
            </w:r>
            <w:r w:rsidR="00907D8C">
              <w:rPr>
                <w:b/>
                <w:sz w:val="18"/>
              </w:rPr>
              <w:t xml:space="preserve"> </w:t>
            </w:r>
            <w:r w:rsidR="00036FAC" w:rsidRPr="007F44CC">
              <w:rPr>
                <w:b/>
                <w:sz w:val="18"/>
              </w:rPr>
              <w:t>185</w:t>
            </w:r>
          </w:p>
        </w:tc>
        <w:tc>
          <w:tcPr>
            <w:tcW w:w="647" w:type="pct"/>
            <w:tcBorders>
              <w:top w:val="single" w:sz="4" w:space="0" w:color="auto"/>
              <w:bottom w:val="single" w:sz="12" w:space="0" w:color="auto"/>
            </w:tcBorders>
            <w:shd w:val="clear" w:color="auto" w:fill="auto"/>
            <w:vAlign w:val="bottom"/>
          </w:tcPr>
          <w:p w:rsidR="00036FAC" w:rsidRPr="007F44CC" w:rsidRDefault="007F44CC" w:rsidP="007F44CC">
            <w:pPr>
              <w:suppressAutoHyphens w:val="0"/>
              <w:spacing w:before="80" w:after="80" w:line="220" w:lineRule="exact"/>
              <w:ind w:right="113"/>
              <w:jc w:val="right"/>
              <w:rPr>
                <w:b/>
                <w:sz w:val="18"/>
              </w:rPr>
            </w:pPr>
            <w:r w:rsidRPr="007F44CC">
              <w:rPr>
                <w:b/>
                <w:sz w:val="18"/>
              </w:rPr>
              <w:t>563</w:t>
            </w:r>
            <w:r w:rsidR="00907D8C">
              <w:rPr>
                <w:b/>
                <w:sz w:val="18"/>
              </w:rPr>
              <w:t xml:space="preserve"> </w:t>
            </w:r>
            <w:r w:rsidR="00036FAC" w:rsidRPr="007F44CC">
              <w:rPr>
                <w:b/>
                <w:sz w:val="18"/>
              </w:rPr>
              <w:t>931</w:t>
            </w:r>
          </w:p>
        </w:tc>
        <w:tc>
          <w:tcPr>
            <w:tcW w:w="882" w:type="pct"/>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20" w:lineRule="exact"/>
              <w:ind w:right="113"/>
              <w:jc w:val="right"/>
              <w:rPr>
                <w:b/>
                <w:sz w:val="18"/>
              </w:rPr>
            </w:pPr>
            <w:r w:rsidRPr="007F44CC">
              <w:rPr>
                <w:b/>
                <w:sz w:val="18"/>
              </w:rPr>
              <w:t>831</w:t>
            </w:r>
          </w:p>
        </w:tc>
        <w:tc>
          <w:tcPr>
            <w:tcW w:w="532" w:type="pct"/>
            <w:tcBorders>
              <w:top w:val="single" w:sz="4" w:space="0" w:color="auto"/>
              <w:bottom w:val="single" w:sz="12" w:space="0" w:color="auto"/>
            </w:tcBorders>
            <w:shd w:val="clear" w:color="auto" w:fill="auto"/>
            <w:vAlign w:val="bottom"/>
          </w:tcPr>
          <w:p w:rsidR="00036FAC" w:rsidRPr="007F44CC" w:rsidRDefault="007F44CC" w:rsidP="007F44CC">
            <w:pPr>
              <w:suppressAutoHyphens w:val="0"/>
              <w:spacing w:before="80" w:after="80" w:line="220" w:lineRule="exact"/>
              <w:ind w:right="113"/>
              <w:jc w:val="right"/>
              <w:rPr>
                <w:b/>
                <w:sz w:val="18"/>
              </w:rPr>
            </w:pPr>
            <w:r w:rsidRPr="007F44CC">
              <w:rPr>
                <w:b/>
                <w:sz w:val="18"/>
              </w:rPr>
              <w:t>4</w:t>
            </w:r>
            <w:r w:rsidR="00907D8C">
              <w:rPr>
                <w:b/>
                <w:sz w:val="18"/>
              </w:rPr>
              <w:t xml:space="preserve"> </w:t>
            </w:r>
            <w:r w:rsidRPr="007F44CC">
              <w:rPr>
                <w:b/>
                <w:sz w:val="18"/>
              </w:rPr>
              <w:t>027</w:t>
            </w:r>
            <w:r w:rsidR="00907D8C">
              <w:rPr>
                <w:b/>
                <w:sz w:val="18"/>
              </w:rPr>
              <w:t xml:space="preserve"> </w:t>
            </w:r>
            <w:r w:rsidR="00036FAC" w:rsidRPr="007F44CC">
              <w:rPr>
                <w:b/>
                <w:sz w:val="18"/>
              </w:rPr>
              <w:t>947</w:t>
            </w:r>
          </w:p>
        </w:tc>
      </w:tr>
    </w:tbl>
    <w:p w:rsidR="002B37D0" w:rsidRDefault="002B37D0" w:rsidP="002B37D0">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p>
    <w:p w:rsidR="002B37D0" w:rsidRDefault="0091091E" w:rsidP="00C57DEE">
      <w:pPr>
        <w:tabs>
          <w:tab w:val="left" w:pos="1900"/>
        </w:tabs>
        <w:ind w:left="1134" w:right="1134" w:firstLine="170"/>
        <w:rPr>
          <w:sz w:val="18"/>
          <w:szCs w:val="18"/>
        </w:rPr>
      </w:pPr>
      <w:r w:rsidRPr="0091091E">
        <w:rPr>
          <w:i/>
          <w:sz w:val="18"/>
          <w:szCs w:val="18"/>
        </w:rPr>
        <w:t>Notes</w:t>
      </w:r>
      <w:r>
        <w:rPr>
          <w:sz w:val="18"/>
          <w:szCs w:val="18"/>
        </w:rPr>
        <w:t>:</w:t>
      </w:r>
      <w:r>
        <w:rPr>
          <w:sz w:val="18"/>
          <w:szCs w:val="18"/>
        </w:rPr>
        <w:tab/>
      </w:r>
      <w:r w:rsidR="00797C82" w:rsidRPr="0091091E">
        <w:rPr>
          <w:sz w:val="18"/>
          <w:szCs w:val="18"/>
          <w:vertAlign w:val="superscript"/>
        </w:rPr>
        <w:t>(1)</w:t>
      </w:r>
      <w:r w:rsidR="00907D8C">
        <w:rPr>
          <w:sz w:val="18"/>
          <w:szCs w:val="18"/>
        </w:rPr>
        <w:t xml:space="preserve"> </w:t>
      </w:r>
      <w:r w:rsidR="00797C82" w:rsidRPr="0091091E">
        <w:rPr>
          <w:sz w:val="18"/>
          <w:szCs w:val="18"/>
        </w:rPr>
        <w:t>Religious</w:t>
      </w:r>
      <w:r w:rsidR="00907D8C">
        <w:rPr>
          <w:sz w:val="18"/>
          <w:szCs w:val="18"/>
        </w:rPr>
        <w:t xml:space="preserve"> </w:t>
      </w:r>
      <w:r w:rsidR="00797C82" w:rsidRPr="0091091E">
        <w:rPr>
          <w:sz w:val="18"/>
          <w:szCs w:val="18"/>
        </w:rPr>
        <w:t>affiliations</w:t>
      </w:r>
      <w:r w:rsidR="00907D8C">
        <w:rPr>
          <w:sz w:val="18"/>
          <w:szCs w:val="18"/>
        </w:rPr>
        <w:t xml:space="preserve"> </w:t>
      </w:r>
      <w:r w:rsidR="00797C82" w:rsidRPr="0091091E">
        <w:rPr>
          <w:sz w:val="18"/>
          <w:szCs w:val="18"/>
        </w:rPr>
        <w:t>(total</w:t>
      </w:r>
      <w:r w:rsidR="00907D8C">
        <w:rPr>
          <w:sz w:val="18"/>
          <w:szCs w:val="18"/>
        </w:rPr>
        <w:t xml:space="preserve"> </w:t>
      </w:r>
      <w:r w:rsidR="00797C82" w:rsidRPr="0091091E">
        <w:rPr>
          <w:sz w:val="18"/>
          <w:szCs w:val="18"/>
        </w:rPr>
        <w:t>responses)</w:t>
      </w:r>
      <w:r w:rsidR="00907D8C">
        <w:rPr>
          <w:sz w:val="18"/>
          <w:szCs w:val="18"/>
        </w:rPr>
        <w:t xml:space="preserve"> </w:t>
      </w:r>
      <w:r w:rsidR="00797C82" w:rsidRPr="0091091E">
        <w:rPr>
          <w:sz w:val="18"/>
          <w:szCs w:val="18"/>
        </w:rPr>
        <w:t>includes</w:t>
      </w:r>
      <w:r w:rsidR="00907D8C">
        <w:rPr>
          <w:sz w:val="18"/>
          <w:szCs w:val="18"/>
        </w:rPr>
        <w:t xml:space="preserve"> </w:t>
      </w:r>
      <w:r w:rsidR="00797C82" w:rsidRPr="0091091E">
        <w:rPr>
          <w:sz w:val="18"/>
          <w:szCs w:val="18"/>
        </w:rPr>
        <w:t>all</w:t>
      </w:r>
      <w:r w:rsidR="00907D8C">
        <w:rPr>
          <w:sz w:val="18"/>
          <w:szCs w:val="18"/>
        </w:rPr>
        <w:t xml:space="preserve"> </w:t>
      </w:r>
      <w:r w:rsidR="00797C82" w:rsidRPr="0091091E">
        <w:rPr>
          <w:sz w:val="18"/>
          <w:szCs w:val="18"/>
        </w:rPr>
        <w:t>of</w:t>
      </w:r>
      <w:r w:rsidR="00907D8C">
        <w:rPr>
          <w:sz w:val="18"/>
          <w:szCs w:val="18"/>
        </w:rPr>
        <w:t xml:space="preserve"> </w:t>
      </w:r>
      <w:r w:rsidR="00797C82" w:rsidRPr="0091091E">
        <w:rPr>
          <w:sz w:val="18"/>
          <w:szCs w:val="18"/>
        </w:rPr>
        <w:t>the</w:t>
      </w:r>
      <w:r w:rsidR="00907D8C">
        <w:rPr>
          <w:sz w:val="18"/>
          <w:szCs w:val="18"/>
        </w:rPr>
        <w:t xml:space="preserve"> </w:t>
      </w:r>
      <w:r w:rsidR="00797C82" w:rsidRPr="0091091E">
        <w:rPr>
          <w:sz w:val="18"/>
          <w:szCs w:val="18"/>
        </w:rPr>
        <w:t>people</w:t>
      </w:r>
      <w:r w:rsidR="00907D8C">
        <w:rPr>
          <w:sz w:val="18"/>
          <w:szCs w:val="18"/>
        </w:rPr>
        <w:t xml:space="preserve"> </w:t>
      </w:r>
      <w:r w:rsidR="00797C82" w:rsidRPr="0091091E">
        <w:rPr>
          <w:sz w:val="18"/>
          <w:szCs w:val="18"/>
        </w:rPr>
        <w:t>who</w:t>
      </w:r>
      <w:r w:rsidR="00907D8C">
        <w:rPr>
          <w:sz w:val="18"/>
          <w:szCs w:val="18"/>
        </w:rPr>
        <w:t xml:space="preserve"> </w:t>
      </w:r>
      <w:r w:rsidR="00797C82" w:rsidRPr="0091091E">
        <w:rPr>
          <w:sz w:val="18"/>
          <w:szCs w:val="18"/>
        </w:rPr>
        <w:t>stated</w:t>
      </w:r>
      <w:r w:rsidR="00907D8C">
        <w:rPr>
          <w:sz w:val="18"/>
          <w:szCs w:val="18"/>
        </w:rPr>
        <w:t xml:space="preserve"> </w:t>
      </w:r>
      <w:r w:rsidR="00797C82" w:rsidRPr="0091091E">
        <w:rPr>
          <w:sz w:val="18"/>
          <w:szCs w:val="18"/>
        </w:rPr>
        <w:t>each</w:t>
      </w:r>
      <w:r w:rsidR="00907D8C">
        <w:rPr>
          <w:sz w:val="18"/>
          <w:szCs w:val="18"/>
        </w:rPr>
        <w:t xml:space="preserve"> </w:t>
      </w:r>
      <w:r w:rsidR="00797C82" w:rsidRPr="0091091E">
        <w:rPr>
          <w:sz w:val="18"/>
          <w:szCs w:val="18"/>
        </w:rPr>
        <w:t>religious</w:t>
      </w:r>
      <w:r w:rsidR="00907D8C">
        <w:rPr>
          <w:sz w:val="18"/>
          <w:szCs w:val="18"/>
        </w:rPr>
        <w:t xml:space="preserve"> </w:t>
      </w:r>
      <w:r w:rsidR="00797C82" w:rsidRPr="0091091E">
        <w:rPr>
          <w:sz w:val="18"/>
          <w:szCs w:val="18"/>
        </w:rPr>
        <w:t>affiliation,</w:t>
      </w:r>
      <w:r w:rsidR="00907D8C">
        <w:rPr>
          <w:sz w:val="18"/>
          <w:szCs w:val="18"/>
        </w:rPr>
        <w:t xml:space="preserve"> </w:t>
      </w:r>
      <w:r w:rsidR="00797C82" w:rsidRPr="0091091E">
        <w:rPr>
          <w:sz w:val="18"/>
          <w:szCs w:val="18"/>
        </w:rPr>
        <w:t>whether</w:t>
      </w:r>
      <w:r w:rsidR="00907D8C">
        <w:rPr>
          <w:sz w:val="18"/>
          <w:szCs w:val="18"/>
        </w:rPr>
        <w:t xml:space="preserve"> </w:t>
      </w:r>
      <w:r w:rsidR="00797C82" w:rsidRPr="0091091E">
        <w:rPr>
          <w:sz w:val="18"/>
          <w:szCs w:val="18"/>
        </w:rPr>
        <w:t>as</w:t>
      </w:r>
      <w:r w:rsidR="00907D8C">
        <w:rPr>
          <w:sz w:val="18"/>
          <w:szCs w:val="18"/>
        </w:rPr>
        <w:t xml:space="preserve"> </w:t>
      </w:r>
      <w:r w:rsidR="00797C82" w:rsidRPr="0091091E">
        <w:rPr>
          <w:sz w:val="18"/>
          <w:szCs w:val="18"/>
        </w:rPr>
        <w:t>their</w:t>
      </w:r>
      <w:r w:rsidR="00907D8C">
        <w:rPr>
          <w:sz w:val="18"/>
          <w:szCs w:val="18"/>
        </w:rPr>
        <w:t xml:space="preserve"> </w:t>
      </w:r>
      <w:r w:rsidR="00797C82" w:rsidRPr="0091091E">
        <w:rPr>
          <w:sz w:val="18"/>
          <w:szCs w:val="18"/>
        </w:rPr>
        <w:t>only</w:t>
      </w:r>
      <w:r w:rsidR="00907D8C">
        <w:rPr>
          <w:sz w:val="18"/>
          <w:szCs w:val="18"/>
        </w:rPr>
        <w:t xml:space="preserve"> </w:t>
      </w:r>
      <w:r w:rsidR="00797C82" w:rsidRPr="0091091E">
        <w:rPr>
          <w:sz w:val="18"/>
          <w:szCs w:val="18"/>
        </w:rPr>
        <w:t>religious</w:t>
      </w:r>
      <w:r w:rsidR="00907D8C">
        <w:rPr>
          <w:sz w:val="18"/>
          <w:szCs w:val="18"/>
        </w:rPr>
        <w:t xml:space="preserve"> </w:t>
      </w:r>
      <w:r w:rsidR="00797C82" w:rsidRPr="0091091E">
        <w:rPr>
          <w:sz w:val="18"/>
          <w:szCs w:val="18"/>
        </w:rPr>
        <w:t>affiliation</w:t>
      </w:r>
      <w:r w:rsidR="00907D8C">
        <w:rPr>
          <w:sz w:val="18"/>
          <w:szCs w:val="18"/>
        </w:rPr>
        <w:t xml:space="preserve"> </w:t>
      </w:r>
      <w:r w:rsidR="00797C82" w:rsidRPr="0091091E">
        <w:rPr>
          <w:sz w:val="18"/>
          <w:szCs w:val="18"/>
        </w:rPr>
        <w:t>or</w:t>
      </w:r>
      <w:r w:rsidR="00907D8C">
        <w:rPr>
          <w:sz w:val="18"/>
          <w:szCs w:val="18"/>
        </w:rPr>
        <w:t xml:space="preserve"> </w:t>
      </w:r>
      <w:r w:rsidR="00797C82" w:rsidRPr="0091091E">
        <w:rPr>
          <w:sz w:val="18"/>
          <w:szCs w:val="18"/>
        </w:rPr>
        <w:t>as</w:t>
      </w:r>
      <w:r w:rsidR="00907D8C">
        <w:rPr>
          <w:sz w:val="18"/>
          <w:szCs w:val="18"/>
        </w:rPr>
        <w:t xml:space="preserve"> </w:t>
      </w:r>
      <w:r w:rsidR="00797C82" w:rsidRPr="0091091E">
        <w:rPr>
          <w:sz w:val="18"/>
          <w:szCs w:val="18"/>
        </w:rPr>
        <w:t>one</w:t>
      </w:r>
      <w:r w:rsidR="00907D8C">
        <w:rPr>
          <w:sz w:val="18"/>
          <w:szCs w:val="18"/>
        </w:rPr>
        <w:t xml:space="preserve"> </w:t>
      </w:r>
      <w:r w:rsidR="00797C82" w:rsidRPr="0091091E">
        <w:rPr>
          <w:sz w:val="18"/>
          <w:szCs w:val="18"/>
        </w:rPr>
        <w:t>of</w:t>
      </w:r>
      <w:r w:rsidR="00907D8C">
        <w:rPr>
          <w:sz w:val="18"/>
          <w:szCs w:val="18"/>
        </w:rPr>
        <w:t xml:space="preserve"> </w:t>
      </w:r>
      <w:r w:rsidR="00797C82" w:rsidRPr="0091091E">
        <w:rPr>
          <w:sz w:val="18"/>
          <w:szCs w:val="18"/>
        </w:rPr>
        <w:t>several</w:t>
      </w:r>
      <w:r w:rsidR="00907D8C">
        <w:rPr>
          <w:sz w:val="18"/>
          <w:szCs w:val="18"/>
        </w:rPr>
        <w:t xml:space="preserve"> </w:t>
      </w:r>
      <w:r w:rsidR="00797C82" w:rsidRPr="0091091E">
        <w:rPr>
          <w:sz w:val="18"/>
          <w:szCs w:val="18"/>
        </w:rPr>
        <w:t>religious</w:t>
      </w:r>
      <w:r w:rsidR="00907D8C">
        <w:rPr>
          <w:sz w:val="18"/>
          <w:szCs w:val="18"/>
        </w:rPr>
        <w:t xml:space="preserve"> </w:t>
      </w:r>
      <w:r w:rsidR="00797C82" w:rsidRPr="0091091E">
        <w:rPr>
          <w:sz w:val="18"/>
          <w:szCs w:val="18"/>
        </w:rPr>
        <w:t>affiliations.</w:t>
      </w:r>
      <w:r w:rsidR="00907D8C">
        <w:rPr>
          <w:sz w:val="18"/>
          <w:szCs w:val="18"/>
        </w:rPr>
        <w:t xml:space="preserve"> </w:t>
      </w:r>
      <w:r w:rsidR="00797C82" w:rsidRPr="0091091E">
        <w:rPr>
          <w:sz w:val="18"/>
          <w:szCs w:val="18"/>
        </w:rPr>
        <w:t>Where</w:t>
      </w:r>
      <w:r w:rsidR="00907D8C">
        <w:rPr>
          <w:sz w:val="18"/>
          <w:szCs w:val="18"/>
        </w:rPr>
        <w:t xml:space="preserve"> </w:t>
      </w:r>
      <w:r w:rsidR="00797C82" w:rsidRPr="0091091E">
        <w:rPr>
          <w:sz w:val="18"/>
          <w:szCs w:val="18"/>
        </w:rPr>
        <w:t>a</w:t>
      </w:r>
      <w:r w:rsidR="00907D8C">
        <w:rPr>
          <w:sz w:val="18"/>
          <w:szCs w:val="18"/>
        </w:rPr>
        <w:t xml:space="preserve"> </w:t>
      </w:r>
      <w:r w:rsidR="00797C82" w:rsidRPr="0091091E">
        <w:rPr>
          <w:sz w:val="18"/>
          <w:szCs w:val="18"/>
        </w:rPr>
        <w:t>person</w:t>
      </w:r>
      <w:r w:rsidR="00907D8C">
        <w:rPr>
          <w:sz w:val="18"/>
          <w:szCs w:val="18"/>
        </w:rPr>
        <w:t xml:space="preserve"> </w:t>
      </w:r>
      <w:r w:rsidR="00797C82" w:rsidRPr="0091091E">
        <w:rPr>
          <w:sz w:val="18"/>
          <w:szCs w:val="18"/>
        </w:rPr>
        <w:t>reported</w:t>
      </w:r>
      <w:r w:rsidR="00907D8C">
        <w:rPr>
          <w:sz w:val="18"/>
          <w:szCs w:val="18"/>
        </w:rPr>
        <w:t xml:space="preserve"> </w:t>
      </w:r>
      <w:r w:rsidR="00797C82" w:rsidRPr="0091091E">
        <w:rPr>
          <w:sz w:val="18"/>
          <w:szCs w:val="18"/>
        </w:rPr>
        <w:t>more</w:t>
      </w:r>
      <w:r w:rsidR="00907D8C">
        <w:rPr>
          <w:sz w:val="18"/>
          <w:szCs w:val="18"/>
        </w:rPr>
        <w:t xml:space="preserve"> </w:t>
      </w:r>
      <w:r w:rsidR="00797C82" w:rsidRPr="0091091E">
        <w:rPr>
          <w:sz w:val="18"/>
          <w:szCs w:val="18"/>
        </w:rPr>
        <w:t>than</w:t>
      </w:r>
      <w:r w:rsidR="00907D8C">
        <w:rPr>
          <w:sz w:val="18"/>
          <w:szCs w:val="18"/>
        </w:rPr>
        <w:t xml:space="preserve"> </w:t>
      </w:r>
      <w:r w:rsidR="00797C82" w:rsidRPr="0091091E">
        <w:rPr>
          <w:sz w:val="18"/>
          <w:szCs w:val="18"/>
        </w:rPr>
        <w:t>one</w:t>
      </w:r>
      <w:r w:rsidR="00907D8C">
        <w:rPr>
          <w:sz w:val="18"/>
          <w:szCs w:val="18"/>
        </w:rPr>
        <w:t xml:space="preserve"> </w:t>
      </w:r>
      <w:r w:rsidR="00797C82" w:rsidRPr="0091091E">
        <w:rPr>
          <w:sz w:val="18"/>
          <w:szCs w:val="18"/>
        </w:rPr>
        <w:t>religious</w:t>
      </w:r>
      <w:r w:rsidR="00907D8C">
        <w:rPr>
          <w:sz w:val="18"/>
          <w:szCs w:val="18"/>
        </w:rPr>
        <w:t xml:space="preserve"> </w:t>
      </w:r>
      <w:r w:rsidR="00797C82" w:rsidRPr="0091091E">
        <w:rPr>
          <w:sz w:val="18"/>
          <w:szCs w:val="18"/>
        </w:rPr>
        <w:t>affiliation,</w:t>
      </w:r>
      <w:r w:rsidR="00907D8C">
        <w:rPr>
          <w:sz w:val="18"/>
          <w:szCs w:val="18"/>
        </w:rPr>
        <w:t xml:space="preserve"> </w:t>
      </w:r>
      <w:r w:rsidR="00797C82" w:rsidRPr="0091091E">
        <w:rPr>
          <w:sz w:val="18"/>
          <w:szCs w:val="18"/>
        </w:rPr>
        <w:t>they</w:t>
      </w:r>
      <w:r w:rsidR="00907D8C">
        <w:rPr>
          <w:sz w:val="18"/>
          <w:szCs w:val="18"/>
        </w:rPr>
        <w:t xml:space="preserve"> </w:t>
      </w:r>
      <w:r w:rsidR="00797C82" w:rsidRPr="0091091E">
        <w:rPr>
          <w:sz w:val="18"/>
          <w:szCs w:val="18"/>
        </w:rPr>
        <w:t>have</w:t>
      </w:r>
      <w:r w:rsidR="00907D8C">
        <w:rPr>
          <w:sz w:val="18"/>
          <w:szCs w:val="18"/>
        </w:rPr>
        <w:t xml:space="preserve"> </w:t>
      </w:r>
      <w:r w:rsidR="00797C82" w:rsidRPr="0091091E">
        <w:rPr>
          <w:sz w:val="18"/>
          <w:szCs w:val="18"/>
        </w:rPr>
        <w:t>been</w:t>
      </w:r>
      <w:r w:rsidR="00907D8C">
        <w:rPr>
          <w:sz w:val="18"/>
          <w:szCs w:val="18"/>
        </w:rPr>
        <w:t xml:space="preserve"> </w:t>
      </w:r>
      <w:r w:rsidR="00797C82" w:rsidRPr="0091091E">
        <w:rPr>
          <w:sz w:val="18"/>
          <w:szCs w:val="18"/>
        </w:rPr>
        <w:t>co</w:t>
      </w:r>
      <w:r>
        <w:rPr>
          <w:sz w:val="18"/>
          <w:szCs w:val="18"/>
        </w:rPr>
        <w:t>unted</w:t>
      </w:r>
      <w:r w:rsidR="00907D8C">
        <w:rPr>
          <w:sz w:val="18"/>
          <w:szCs w:val="18"/>
        </w:rPr>
        <w:t xml:space="preserve"> </w:t>
      </w:r>
      <w:r>
        <w:rPr>
          <w:sz w:val="18"/>
          <w:szCs w:val="18"/>
        </w:rPr>
        <w:t>in</w:t>
      </w:r>
      <w:r w:rsidR="00907D8C">
        <w:rPr>
          <w:sz w:val="18"/>
          <w:szCs w:val="18"/>
        </w:rPr>
        <w:t xml:space="preserve"> </w:t>
      </w:r>
      <w:r>
        <w:rPr>
          <w:sz w:val="18"/>
          <w:szCs w:val="18"/>
        </w:rPr>
        <w:t>each</w:t>
      </w:r>
      <w:r w:rsidR="00907D8C">
        <w:rPr>
          <w:sz w:val="18"/>
          <w:szCs w:val="18"/>
        </w:rPr>
        <w:t xml:space="preserve"> </w:t>
      </w:r>
      <w:r>
        <w:rPr>
          <w:sz w:val="18"/>
          <w:szCs w:val="18"/>
        </w:rPr>
        <w:t>applicable</w:t>
      </w:r>
      <w:r w:rsidR="00907D8C">
        <w:rPr>
          <w:sz w:val="18"/>
          <w:szCs w:val="18"/>
        </w:rPr>
        <w:t xml:space="preserve"> </w:t>
      </w:r>
      <w:r>
        <w:rPr>
          <w:sz w:val="18"/>
          <w:szCs w:val="18"/>
        </w:rPr>
        <w:t>group.</w:t>
      </w:r>
    </w:p>
    <w:p w:rsidR="007F44CC" w:rsidRPr="0091091E" w:rsidRDefault="002B37D0" w:rsidP="00C57DEE">
      <w:pPr>
        <w:tabs>
          <w:tab w:val="left" w:pos="1900"/>
        </w:tabs>
        <w:spacing w:after="240"/>
        <w:ind w:left="1134" w:right="1134" w:firstLine="170"/>
        <w:rPr>
          <w:sz w:val="18"/>
          <w:szCs w:val="18"/>
        </w:rPr>
      </w:pPr>
      <w:r>
        <w:rPr>
          <w:sz w:val="18"/>
          <w:szCs w:val="18"/>
        </w:rPr>
        <w:tab/>
      </w:r>
      <w:r w:rsidR="00797C82" w:rsidRPr="00E71142">
        <w:rPr>
          <w:sz w:val="18"/>
          <w:szCs w:val="18"/>
          <w:vertAlign w:val="superscript"/>
        </w:rPr>
        <w:t>(2)</w:t>
      </w:r>
      <w:r w:rsidR="00907D8C">
        <w:rPr>
          <w:sz w:val="18"/>
          <w:szCs w:val="18"/>
        </w:rPr>
        <w:t xml:space="preserve"> </w:t>
      </w:r>
      <w:r w:rsidR="00797C82" w:rsidRPr="0091091E">
        <w:rPr>
          <w:sz w:val="18"/>
          <w:szCs w:val="18"/>
        </w:rPr>
        <w:t>Not</w:t>
      </w:r>
      <w:r w:rsidR="00907D8C">
        <w:rPr>
          <w:sz w:val="18"/>
          <w:szCs w:val="18"/>
        </w:rPr>
        <w:t xml:space="preserve"> </w:t>
      </w:r>
      <w:r w:rsidR="00797C82" w:rsidRPr="0091091E">
        <w:rPr>
          <w:sz w:val="18"/>
          <w:szCs w:val="18"/>
        </w:rPr>
        <w:t>elsewhere</w:t>
      </w:r>
      <w:r w:rsidR="00907D8C">
        <w:rPr>
          <w:sz w:val="18"/>
          <w:szCs w:val="18"/>
        </w:rPr>
        <w:t xml:space="preserve"> </w:t>
      </w:r>
      <w:r w:rsidR="00797C82" w:rsidRPr="0091091E">
        <w:rPr>
          <w:sz w:val="18"/>
          <w:szCs w:val="18"/>
        </w:rPr>
        <w:t>included</w:t>
      </w:r>
      <w:r w:rsidR="00907D8C">
        <w:rPr>
          <w:sz w:val="18"/>
          <w:szCs w:val="18"/>
        </w:rPr>
        <w:t xml:space="preserve"> </w:t>
      </w:r>
      <w:r w:rsidR="00797C82" w:rsidRPr="0091091E">
        <w:rPr>
          <w:sz w:val="18"/>
          <w:szCs w:val="18"/>
        </w:rPr>
        <w:t>includes</w:t>
      </w:r>
      <w:r w:rsidR="00907D8C">
        <w:rPr>
          <w:sz w:val="18"/>
          <w:szCs w:val="18"/>
        </w:rPr>
        <w:t xml:space="preserve"> </w:t>
      </w:r>
      <w:r w:rsidR="00797C82" w:rsidRPr="0091091E">
        <w:rPr>
          <w:sz w:val="18"/>
          <w:szCs w:val="18"/>
        </w:rPr>
        <w:t>Response</w:t>
      </w:r>
      <w:r w:rsidR="00907D8C">
        <w:rPr>
          <w:sz w:val="18"/>
          <w:szCs w:val="18"/>
        </w:rPr>
        <w:t xml:space="preserve"> </w:t>
      </w:r>
      <w:r w:rsidR="00797C82" w:rsidRPr="0091091E">
        <w:rPr>
          <w:sz w:val="18"/>
          <w:szCs w:val="18"/>
        </w:rPr>
        <w:t>unidentifiable,</w:t>
      </w:r>
      <w:r w:rsidR="00907D8C">
        <w:rPr>
          <w:sz w:val="18"/>
          <w:szCs w:val="18"/>
        </w:rPr>
        <w:t xml:space="preserve"> </w:t>
      </w:r>
      <w:r w:rsidR="00797C82" w:rsidRPr="0091091E">
        <w:rPr>
          <w:sz w:val="18"/>
          <w:szCs w:val="18"/>
        </w:rPr>
        <w:t>Response</w:t>
      </w:r>
      <w:r w:rsidR="00907D8C">
        <w:rPr>
          <w:sz w:val="18"/>
          <w:szCs w:val="18"/>
        </w:rPr>
        <w:t xml:space="preserve"> </w:t>
      </w:r>
      <w:r w:rsidR="00797C82" w:rsidRPr="0091091E">
        <w:rPr>
          <w:sz w:val="18"/>
          <w:szCs w:val="18"/>
        </w:rPr>
        <w:t>outside</w:t>
      </w:r>
      <w:r w:rsidR="00907D8C">
        <w:rPr>
          <w:sz w:val="18"/>
          <w:szCs w:val="18"/>
        </w:rPr>
        <w:t xml:space="preserve"> </w:t>
      </w:r>
      <w:r w:rsidR="00797C82" w:rsidRPr="0091091E">
        <w:rPr>
          <w:sz w:val="18"/>
          <w:szCs w:val="18"/>
        </w:rPr>
        <w:t>scope,</w:t>
      </w:r>
      <w:r w:rsidR="00907D8C">
        <w:rPr>
          <w:sz w:val="18"/>
          <w:szCs w:val="18"/>
        </w:rPr>
        <w:t xml:space="preserve"> </w:t>
      </w:r>
      <w:r w:rsidR="00797C82" w:rsidRPr="0091091E">
        <w:rPr>
          <w:sz w:val="18"/>
          <w:szCs w:val="18"/>
        </w:rPr>
        <w:t>and</w:t>
      </w:r>
      <w:r w:rsidR="00907D8C">
        <w:rPr>
          <w:sz w:val="18"/>
          <w:szCs w:val="18"/>
        </w:rPr>
        <w:t xml:space="preserve"> </w:t>
      </w:r>
      <w:r w:rsidR="00F3240B">
        <w:rPr>
          <w:sz w:val="18"/>
          <w:szCs w:val="18"/>
        </w:rPr>
        <w:t>n</w:t>
      </w:r>
      <w:r w:rsidR="00797C82" w:rsidRPr="0091091E">
        <w:rPr>
          <w:sz w:val="18"/>
          <w:szCs w:val="18"/>
        </w:rPr>
        <w:t>ot</w:t>
      </w:r>
      <w:r w:rsidR="00907D8C">
        <w:rPr>
          <w:sz w:val="18"/>
          <w:szCs w:val="18"/>
        </w:rPr>
        <w:t xml:space="preserve"> </w:t>
      </w:r>
      <w:r w:rsidR="00797C82" w:rsidRPr="0091091E">
        <w:rPr>
          <w:sz w:val="18"/>
          <w:szCs w:val="18"/>
        </w:rPr>
        <w:t>stated.</w:t>
      </w:r>
    </w:p>
    <w:p w:rsidR="00036FAC" w:rsidRPr="00036FAC" w:rsidRDefault="007F44CC" w:rsidP="006C436C">
      <w:pPr>
        <w:pStyle w:val="H23G"/>
      </w:pPr>
      <w:r>
        <w:tab/>
      </w:r>
      <w:r w:rsidR="00036FAC" w:rsidRPr="00036FAC">
        <w:t>8.</w:t>
      </w:r>
      <w:r w:rsidR="00036FAC" w:rsidRPr="00036FAC">
        <w:tab/>
        <w:t>Household</w:t>
      </w:r>
      <w:r w:rsidR="00907D8C">
        <w:t xml:space="preserve"> </w:t>
      </w:r>
      <w:r w:rsidR="00036FAC" w:rsidRPr="00036FAC">
        <w:t>characteristics</w:t>
      </w:r>
    </w:p>
    <w:p w:rsidR="00036FAC" w:rsidRPr="00036FAC" w:rsidRDefault="00036FAC" w:rsidP="007F44CC">
      <w:pPr>
        <w:pStyle w:val="SingleTxtG"/>
      </w:pPr>
      <w:r w:rsidRPr="00036FAC">
        <w:t>25.</w:t>
      </w:r>
      <w:r w:rsidRPr="00036FAC">
        <w:tab/>
        <w:t>There</w:t>
      </w:r>
      <w:r w:rsidR="00907D8C">
        <w:t xml:space="preserve"> </w:t>
      </w:r>
      <w:r w:rsidRPr="00036FAC">
        <w:t>were</w:t>
      </w:r>
      <w:r w:rsidR="00907D8C">
        <w:t xml:space="preserve"> </w:t>
      </w:r>
      <w:r w:rsidRPr="00036FAC">
        <w:t>1.45</w:t>
      </w:r>
      <w:r w:rsidR="00907D8C">
        <w:t xml:space="preserve"> </w:t>
      </w:r>
      <w:r w:rsidRPr="00036FAC">
        <w:t>million</w:t>
      </w:r>
      <w:r w:rsidR="00907D8C">
        <w:t xml:space="preserve"> </w:t>
      </w:r>
      <w:r w:rsidRPr="00036FAC">
        <w:t>households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at</w:t>
      </w:r>
      <w:r w:rsidR="00907D8C">
        <w:t xml:space="preserve"> </w:t>
      </w:r>
      <w:r w:rsidRPr="00036FAC">
        <w:t>the</w:t>
      </w:r>
      <w:r w:rsidR="00907D8C">
        <w:t xml:space="preserve"> </w:t>
      </w:r>
      <w:r w:rsidRPr="00036FAC">
        <w:t>2006</w:t>
      </w:r>
      <w:r w:rsidR="00907D8C">
        <w:t xml:space="preserve"> </w:t>
      </w:r>
      <w:r w:rsidRPr="00036FAC">
        <w:t>Census,</w:t>
      </w:r>
      <w:r w:rsidR="00907D8C">
        <w:t xml:space="preserve"> </w:t>
      </w:r>
      <w:r w:rsidRPr="00036FAC">
        <w:t>an</w:t>
      </w:r>
      <w:r w:rsidR="00907D8C">
        <w:t xml:space="preserve"> </w:t>
      </w:r>
      <w:r w:rsidRPr="00036FAC">
        <w:t>increase</w:t>
      </w:r>
      <w:r w:rsidR="00907D8C">
        <w:t xml:space="preserve"> </w:t>
      </w:r>
      <w:r w:rsidRPr="00036FAC">
        <w:t>of</w:t>
      </w:r>
      <w:r w:rsidR="00907D8C">
        <w:t xml:space="preserve"> </w:t>
      </w:r>
      <w:r w:rsidRPr="00036FAC">
        <w:t>8</w:t>
      </w:r>
      <w:r w:rsidR="00907D8C">
        <w:t xml:space="preserve"> </w:t>
      </w:r>
      <w:r w:rsidR="001B201B">
        <w:t>per</w:t>
      </w:r>
      <w:r w:rsidR="00907D8C">
        <w:t xml:space="preserve"> </w:t>
      </w:r>
      <w:r w:rsidR="001B201B">
        <w:t>cent</w:t>
      </w:r>
      <w:r w:rsidR="00907D8C">
        <w:t xml:space="preserve"> </w:t>
      </w:r>
      <w:r w:rsidRPr="00036FAC">
        <w:t>over</w:t>
      </w:r>
      <w:r w:rsidR="00907D8C">
        <w:t xml:space="preserve"> </w:t>
      </w:r>
      <w:r w:rsidRPr="00036FAC">
        <w:t>the</w:t>
      </w:r>
      <w:r w:rsidR="00907D8C">
        <w:t xml:space="preserve"> </w:t>
      </w:r>
      <w:r w:rsidRPr="00036FAC">
        <w:t>number</w:t>
      </w:r>
      <w:r w:rsidR="00907D8C">
        <w:t xml:space="preserve"> </w:t>
      </w:r>
      <w:r w:rsidRPr="00036FAC">
        <w:t>recorded</w:t>
      </w:r>
      <w:r w:rsidR="00907D8C">
        <w:t xml:space="preserve"> </w:t>
      </w:r>
      <w:r w:rsidRPr="00036FAC">
        <w:t>in</w:t>
      </w:r>
      <w:r w:rsidR="00907D8C">
        <w:t xml:space="preserve"> </w:t>
      </w:r>
      <w:r w:rsidRPr="00036FAC">
        <w:t>2001</w:t>
      </w:r>
      <w:r w:rsidR="00907D8C">
        <w:t xml:space="preserve"> </w:t>
      </w:r>
      <w:r w:rsidRPr="00036FAC">
        <w:t>and</w:t>
      </w:r>
      <w:r w:rsidR="00907D8C">
        <w:t xml:space="preserve"> </w:t>
      </w:r>
      <w:r w:rsidRPr="00036FAC">
        <w:t>34</w:t>
      </w:r>
      <w:r w:rsidR="00907D8C">
        <w:t xml:space="preserve"> </w:t>
      </w:r>
      <w:r w:rsidR="001B201B">
        <w:t>per</w:t>
      </w:r>
      <w:r w:rsidR="00907D8C">
        <w:t xml:space="preserve"> </w:t>
      </w:r>
      <w:r w:rsidR="001B201B">
        <w:t>cent</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number</w:t>
      </w:r>
      <w:r w:rsidR="00907D8C">
        <w:t xml:space="preserve"> </w:t>
      </w:r>
      <w:r w:rsidRPr="00036FAC">
        <w:t>in</w:t>
      </w:r>
      <w:r w:rsidR="00907D8C">
        <w:t xml:space="preserve"> </w:t>
      </w:r>
      <w:r w:rsidRPr="00036FAC">
        <w:t>1986.</w:t>
      </w:r>
      <w:r w:rsidR="00907D8C">
        <w:t xml:space="preserve"> </w:t>
      </w:r>
      <w:r w:rsidRPr="00036FAC">
        <w:t>Twenty-eight</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households</w:t>
      </w:r>
      <w:r w:rsidR="00907D8C">
        <w:t xml:space="preserve"> </w:t>
      </w:r>
      <w:r w:rsidRPr="00036FAC">
        <w:t>contained</w:t>
      </w:r>
      <w:r w:rsidR="00907D8C">
        <w:t xml:space="preserve"> </w:t>
      </w:r>
      <w:r w:rsidRPr="00036FAC">
        <w:t>couples</w:t>
      </w:r>
      <w:r w:rsidR="00907D8C">
        <w:t xml:space="preserve"> </w:t>
      </w:r>
      <w:r w:rsidRPr="00036FAC">
        <w:t>without</w:t>
      </w:r>
      <w:r w:rsidR="00907D8C">
        <w:t xml:space="preserve"> </w:t>
      </w:r>
      <w:r w:rsidRPr="00036FAC">
        <w:t>children</w:t>
      </w:r>
      <w:r w:rsidR="00907D8C">
        <w:t xml:space="preserve"> </w:t>
      </w:r>
      <w:r w:rsidRPr="00036FAC">
        <w:t>in</w:t>
      </w:r>
      <w:r w:rsidR="00907D8C">
        <w:t xml:space="preserve"> </w:t>
      </w:r>
      <w:r w:rsidRPr="00036FAC">
        <w:t>2006,</w:t>
      </w:r>
      <w:r w:rsidR="00907D8C">
        <w:t xml:space="preserve"> </w:t>
      </w:r>
      <w:r w:rsidRPr="00036FAC">
        <w:t>30</w:t>
      </w:r>
      <w:r w:rsidR="00907D8C">
        <w:t xml:space="preserve"> </w:t>
      </w:r>
      <w:r w:rsidR="001B201B">
        <w:t>per</w:t>
      </w:r>
      <w:r w:rsidR="00907D8C">
        <w:t xml:space="preserve"> </w:t>
      </w:r>
      <w:r w:rsidR="001B201B">
        <w:t>cent</w:t>
      </w:r>
      <w:r w:rsidR="00907D8C">
        <w:t xml:space="preserve"> </w:t>
      </w:r>
      <w:r w:rsidRPr="00036FAC">
        <w:t>contained</w:t>
      </w:r>
      <w:r w:rsidR="00907D8C">
        <w:t xml:space="preserve"> </w:t>
      </w:r>
      <w:r w:rsidRPr="00036FAC">
        <w:t>two-parent</w:t>
      </w:r>
      <w:r w:rsidR="00907D8C">
        <w:t xml:space="preserve"> </w:t>
      </w:r>
      <w:r w:rsidRPr="00036FAC">
        <w:t>families</w:t>
      </w:r>
      <w:r w:rsidR="00907D8C">
        <w:t xml:space="preserve"> </w:t>
      </w:r>
      <w:r w:rsidRPr="00036FAC">
        <w:t>with</w:t>
      </w:r>
      <w:r w:rsidR="00907D8C">
        <w:t xml:space="preserve"> </w:t>
      </w:r>
      <w:r w:rsidRPr="00036FAC">
        <w:t>children,</w:t>
      </w:r>
      <w:r w:rsidR="00907D8C">
        <w:t xml:space="preserve"> </w:t>
      </w:r>
      <w:r w:rsidRPr="00036FAC">
        <w:t>12</w:t>
      </w:r>
      <w:r w:rsidR="00907D8C">
        <w:t xml:space="preserve"> </w:t>
      </w:r>
      <w:r w:rsidR="001B201B">
        <w:t>per</w:t>
      </w:r>
      <w:r w:rsidR="00907D8C">
        <w:t xml:space="preserve"> </w:t>
      </w:r>
      <w:r w:rsidR="001B201B">
        <w:t>cent</w:t>
      </w:r>
      <w:r w:rsidR="00907D8C">
        <w:t xml:space="preserve"> </w:t>
      </w:r>
      <w:r w:rsidRPr="00036FAC">
        <w:t>were</w:t>
      </w:r>
      <w:r w:rsidR="00907D8C">
        <w:t xml:space="preserve"> </w:t>
      </w:r>
      <w:r w:rsidRPr="00036FAC">
        <w:t>one-parent</w:t>
      </w:r>
      <w:r w:rsidR="00907D8C">
        <w:t xml:space="preserve"> </w:t>
      </w:r>
      <w:r w:rsidRPr="00036FAC">
        <w:t>family</w:t>
      </w:r>
      <w:r w:rsidR="00907D8C">
        <w:t xml:space="preserve"> </w:t>
      </w:r>
      <w:r w:rsidRPr="00036FAC">
        <w:t>households,</w:t>
      </w:r>
      <w:r w:rsidR="00907D8C">
        <w:t xml:space="preserve"> </w:t>
      </w:r>
      <w:r w:rsidRPr="00036FAC">
        <w:t>3</w:t>
      </w:r>
      <w:r w:rsidR="00907D8C">
        <w:t xml:space="preserve"> </w:t>
      </w:r>
      <w:r w:rsidR="001B201B">
        <w:t>per</w:t>
      </w:r>
      <w:r w:rsidR="00907D8C">
        <w:t xml:space="preserve"> </w:t>
      </w:r>
      <w:r w:rsidR="001B201B">
        <w:t>cent</w:t>
      </w:r>
      <w:r w:rsidR="00907D8C">
        <w:t xml:space="preserve"> </w:t>
      </w:r>
      <w:r w:rsidRPr="00036FAC">
        <w:t>contained</w:t>
      </w:r>
      <w:r w:rsidR="00907D8C">
        <w:t xml:space="preserve"> </w:t>
      </w:r>
      <w:r w:rsidRPr="00036FAC">
        <w:t>more</w:t>
      </w:r>
      <w:r w:rsidR="00907D8C">
        <w:t xml:space="preserve"> </w:t>
      </w:r>
      <w:r w:rsidRPr="00036FAC">
        <w:t>than</w:t>
      </w:r>
      <w:r w:rsidR="00907D8C">
        <w:t xml:space="preserve"> </w:t>
      </w:r>
      <w:r w:rsidRPr="00036FAC">
        <w:t>one</w:t>
      </w:r>
      <w:r w:rsidR="00907D8C">
        <w:t xml:space="preserve"> </w:t>
      </w:r>
      <w:r w:rsidRPr="00036FAC">
        <w:t>family,</w:t>
      </w:r>
      <w:r w:rsidR="00907D8C">
        <w:t xml:space="preserve"> </w:t>
      </w:r>
      <w:r w:rsidRPr="00036FAC">
        <w:t>5</w:t>
      </w:r>
      <w:r w:rsidR="00907D8C">
        <w:t xml:space="preserve"> </w:t>
      </w:r>
      <w:r w:rsidR="001B201B">
        <w:t>per</w:t>
      </w:r>
      <w:r w:rsidR="00907D8C">
        <w:t xml:space="preserve"> </w:t>
      </w:r>
      <w:r w:rsidR="001B201B">
        <w:t>cent</w:t>
      </w:r>
      <w:r w:rsidR="00907D8C">
        <w:t xml:space="preserve"> </w:t>
      </w:r>
      <w:r w:rsidRPr="00036FAC">
        <w:t>comprised</w:t>
      </w:r>
      <w:r w:rsidR="00907D8C">
        <w:t xml:space="preserve"> </w:t>
      </w:r>
      <w:r w:rsidRPr="00036FAC">
        <w:t>a</w:t>
      </w:r>
      <w:r w:rsidR="00907D8C">
        <w:t xml:space="preserve"> </w:t>
      </w:r>
      <w:r w:rsidRPr="00036FAC">
        <w:t>group</w:t>
      </w:r>
      <w:r w:rsidR="00907D8C">
        <w:t xml:space="preserve"> </w:t>
      </w:r>
      <w:r w:rsidRPr="00036FAC">
        <w:t>of</w:t>
      </w:r>
      <w:r w:rsidR="00907D8C">
        <w:t xml:space="preserve"> </w:t>
      </w:r>
      <w:r w:rsidRPr="00036FAC">
        <w:t>individuals,</w:t>
      </w:r>
      <w:r w:rsidR="00907D8C">
        <w:t xml:space="preserve"> </w:t>
      </w:r>
      <w:r w:rsidRPr="00036FAC">
        <w:t>and</w:t>
      </w:r>
      <w:r w:rsidR="00907D8C">
        <w:t xml:space="preserve"> </w:t>
      </w:r>
      <w:r w:rsidRPr="00036FAC">
        <w:t>23</w:t>
      </w:r>
      <w:r w:rsidR="00907D8C">
        <w:t xml:space="preserve"> </w:t>
      </w:r>
      <w:r w:rsidR="001B201B">
        <w:t>per</w:t>
      </w:r>
      <w:r w:rsidR="00907D8C">
        <w:t xml:space="preserve"> </w:t>
      </w:r>
      <w:r w:rsidR="001B201B">
        <w:t>cent</w:t>
      </w:r>
      <w:r w:rsidR="00907D8C">
        <w:t xml:space="preserve"> </w:t>
      </w:r>
      <w:r w:rsidR="007F44CC">
        <w:t>were</w:t>
      </w:r>
      <w:r w:rsidR="00907D8C">
        <w:t xml:space="preserve"> </w:t>
      </w:r>
      <w:r w:rsidR="007F44CC">
        <w:t>one-person</w:t>
      </w:r>
      <w:r w:rsidR="00907D8C">
        <w:t xml:space="preserve"> </w:t>
      </w:r>
      <w:r w:rsidR="007F44CC">
        <w:t>households.</w:t>
      </w:r>
    </w:p>
    <w:p w:rsidR="007F44CC" w:rsidRDefault="007F44CC" w:rsidP="007F44CC">
      <w:pPr>
        <w:pStyle w:val="Heading1"/>
      </w:pPr>
      <w:bookmarkStart w:id="26" w:name="_Toc275331907"/>
      <w:r>
        <w:t>Table</w:t>
      </w:r>
      <w:r w:rsidR="00907D8C">
        <w:t xml:space="preserve"> </w:t>
      </w:r>
      <w:r w:rsidR="00E71142">
        <w:t>6</w:t>
      </w:r>
    </w:p>
    <w:p w:rsidR="00036FAC" w:rsidRPr="007F44CC" w:rsidRDefault="00036FAC" w:rsidP="007F44CC">
      <w:pPr>
        <w:pStyle w:val="SingleTxtG"/>
        <w:rPr>
          <w:b/>
        </w:rPr>
      </w:pPr>
      <w:r w:rsidRPr="007F44CC">
        <w:rPr>
          <w:b/>
        </w:rPr>
        <w:t>Sex</w:t>
      </w:r>
      <w:r w:rsidR="00907D8C">
        <w:rPr>
          <w:b/>
        </w:rPr>
        <w:t xml:space="preserve"> </w:t>
      </w:r>
      <w:r w:rsidRPr="007F44CC">
        <w:rPr>
          <w:b/>
        </w:rPr>
        <w:t>of</w:t>
      </w:r>
      <w:r w:rsidR="00907D8C">
        <w:rPr>
          <w:b/>
        </w:rPr>
        <w:t xml:space="preserve"> </w:t>
      </w:r>
      <w:r w:rsidRPr="007F44CC">
        <w:rPr>
          <w:b/>
        </w:rPr>
        <w:t>parent</w:t>
      </w:r>
      <w:r w:rsidR="00907D8C">
        <w:rPr>
          <w:b/>
        </w:rPr>
        <w:t xml:space="preserve"> </w:t>
      </w:r>
      <w:r w:rsidRPr="007F44CC">
        <w:rPr>
          <w:b/>
        </w:rPr>
        <w:t>for</w:t>
      </w:r>
      <w:r w:rsidR="00907D8C">
        <w:rPr>
          <w:b/>
        </w:rPr>
        <w:t xml:space="preserve"> </w:t>
      </w:r>
      <w:r w:rsidRPr="007F44CC">
        <w:rPr>
          <w:b/>
        </w:rPr>
        <w:t>one-parent</w:t>
      </w:r>
      <w:r w:rsidR="00907D8C">
        <w:rPr>
          <w:b/>
        </w:rPr>
        <w:t xml:space="preserve"> </w:t>
      </w:r>
      <w:r w:rsidRPr="007F44CC">
        <w:rPr>
          <w:b/>
        </w:rPr>
        <w:t>with</w:t>
      </w:r>
      <w:r w:rsidR="00907D8C">
        <w:rPr>
          <w:b/>
        </w:rPr>
        <w:t xml:space="preserve"> </w:t>
      </w:r>
      <w:r w:rsidRPr="007F44CC">
        <w:rPr>
          <w:b/>
        </w:rPr>
        <w:t>child(ren)</w:t>
      </w:r>
      <w:r w:rsidR="00907D8C">
        <w:rPr>
          <w:b/>
        </w:rPr>
        <w:t xml:space="preserve"> </w:t>
      </w:r>
      <w:r w:rsidRPr="007F44CC">
        <w:rPr>
          <w:b/>
        </w:rPr>
        <w:t>families</w:t>
      </w:r>
      <w:r w:rsidR="00907D8C">
        <w:rPr>
          <w:b/>
        </w:rPr>
        <w:t xml:space="preserve"> </w:t>
      </w:r>
      <w:r w:rsidRPr="007F44CC">
        <w:rPr>
          <w:b/>
        </w:rPr>
        <w:t>in</w:t>
      </w:r>
      <w:r w:rsidR="00907D8C">
        <w:rPr>
          <w:b/>
        </w:rPr>
        <w:t xml:space="preserve"> </w:t>
      </w:r>
      <w:r w:rsidRPr="007F44CC">
        <w:rPr>
          <w:b/>
        </w:rPr>
        <w:t>private</w:t>
      </w:r>
      <w:r w:rsidR="00907D8C">
        <w:rPr>
          <w:b/>
        </w:rPr>
        <w:t xml:space="preserve"> </w:t>
      </w:r>
      <w:r w:rsidRPr="007F44CC">
        <w:rPr>
          <w:b/>
        </w:rPr>
        <w:t>occupied</w:t>
      </w:r>
      <w:r w:rsidR="00907D8C">
        <w:rPr>
          <w:b/>
        </w:rPr>
        <w:t xml:space="preserve"> </w:t>
      </w:r>
      <w:r w:rsidRPr="007F44CC">
        <w:rPr>
          <w:b/>
        </w:rPr>
        <w:t>dwellings</w:t>
      </w:r>
      <w:bookmarkEnd w:id="2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3685"/>
        <w:gridCol w:w="3685"/>
      </w:tblGrid>
      <w:tr w:rsidR="00036FAC" w:rsidRPr="007F44CC" w:rsidTr="007F44CC">
        <w:trPr>
          <w:trHeight w:val="240"/>
          <w:tblHeader/>
        </w:trPr>
        <w:tc>
          <w:tcPr>
            <w:tcW w:w="4360" w:type="dxa"/>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rPr>
                <w:i/>
                <w:sz w:val="16"/>
              </w:rPr>
            </w:pPr>
            <w:r w:rsidRPr="007F44CC">
              <w:rPr>
                <w:i/>
                <w:sz w:val="16"/>
              </w:rPr>
              <w:t>Sex</w:t>
            </w:r>
            <w:r w:rsidR="00907D8C">
              <w:rPr>
                <w:i/>
                <w:sz w:val="16"/>
              </w:rPr>
              <w:t xml:space="preserve"> </w:t>
            </w:r>
            <w:r w:rsidRPr="007F44CC">
              <w:rPr>
                <w:i/>
                <w:sz w:val="16"/>
              </w:rPr>
              <w:t>of</w:t>
            </w:r>
            <w:r w:rsidR="00907D8C">
              <w:rPr>
                <w:i/>
                <w:sz w:val="16"/>
              </w:rPr>
              <w:t xml:space="preserve"> </w:t>
            </w:r>
            <w:r w:rsidR="00E71142">
              <w:rPr>
                <w:i/>
                <w:sz w:val="16"/>
              </w:rPr>
              <w:t>p</w:t>
            </w:r>
            <w:r w:rsidRPr="007F44CC">
              <w:rPr>
                <w:i/>
                <w:sz w:val="16"/>
              </w:rPr>
              <w:t>arent</w:t>
            </w:r>
          </w:p>
        </w:tc>
        <w:tc>
          <w:tcPr>
            <w:tcW w:w="4360" w:type="dxa"/>
            <w:tcBorders>
              <w:top w:val="single" w:sz="4" w:space="0" w:color="auto"/>
              <w:bottom w:val="single" w:sz="12" w:space="0" w:color="auto"/>
            </w:tcBorders>
            <w:shd w:val="clear" w:color="auto" w:fill="auto"/>
            <w:vAlign w:val="bottom"/>
          </w:tcPr>
          <w:p w:rsidR="00036FAC" w:rsidRPr="007F44CC" w:rsidRDefault="00036FAC" w:rsidP="007F44CC">
            <w:pPr>
              <w:suppressAutoHyphens w:val="0"/>
              <w:spacing w:before="80" w:after="80" w:line="200" w:lineRule="exact"/>
              <w:ind w:right="113"/>
              <w:jc w:val="right"/>
              <w:rPr>
                <w:i/>
                <w:sz w:val="16"/>
              </w:rPr>
            </w:pPr>
            <w:r w:rsidRPr="007F44CC">
              <w:rPr>
                <w:i/>
                <w:sz w:val="16"/>
              </w:rPr>
              <w:t>Count</w:t>
            </w:r>
          </w:p>
        </w:tc>
      </w:tr>
      <w:tr w:rsidR="00036FAC" w:rsidRPr="007F44CC" w:rsidTr="007F44CC">
        <w:trPr>
          <w:trHeight w:val="240"/>
        </w:trPr>
        <w:tc>
          <w:tcPr>
            <w:tcW w:w="4360" w:type="dxa"/>
            <w:tcBorders>
              <w:top w:val="single" w:sz="12" w:space="0" w:color="auto"/>
            </w:tcBorders>
            <w:shd w:val="clear" w:color="auto" w:fill="auto"/>
          </w:tcPr>
          <w:p w:rsidR="00036FAC" w:rsidRPr="007F44CC" w:rsidRDefault="00036FAC" w:rsidP="007F44CC">
            <w:pPr>
              <w:suppressAutoHyphens w:val="0"/>
              <w:spacing w:before="40" w:after="40" w:line="220" w:lineRule="exact"/>
              <w:ind w:right="113"/>
              <w:rPr>
                <w:sz w:val="18"/>
              </w:rPr>
            </w:pPr>
            <w:r w:rsidRPr="007F44CC">
              <w:rPr>
                <w:sz w:val="18"/>
              </w:rPr>
              <w:t>Male</w:t>
            </w:r>
          </w:p>
        </w:tc>
        <w:tc>
          <w:tcPr>
            <w:tcW w:w="4360" w:type="dxa"/>
            <w:tcBorders>
              <w:top w:val="single" w:sz="12" w:space="0" w:color="auto"/>
            </w:tcBorders>
            <w:shd w:val="clear" w:color="auto" w:fill="auto"/>
            <w:vAlign w:val="bottom"/>
          </w:tcPr>
          <w:p w:rsidR="00036FAC" w:rsidRPr="007F44CC" w:rsidRDefault="00E71142" w:rsidP="007F44CC">
            <w:pPr>
              <w:suppressAutoHyphens w:val="0"/>
              <w:spacing w:before="40" w:after="40" w:line="220" w:lineRule="exact"/>
              <w:ind w:right="113"/>
              <w:jc w:val="right"/>
              <w:rPr>
                <w:sz w:val="18"/>
              </w:rPr>
            </w:pPr>
            <w:r>
              <w:rPr>
                <w:sz w:val="18"/>
              </w:rPr>
              <w:t>35</w:t>
            </w:r>
            <w:r w:rsidR="00907D8C">
              <w:rPr>
                <w:sz w:val="18"/>
              </w:rPr>
              <w:t xml:space="preserve"> </w:t>
            </w:r>
            <w:r w:rsidR="00036FAC" w:rsidRPr="007F44CC">
              <w:rPr>
                <w:sz w:val="18"/>
              </w:rPr>
              <w:t>721</w:t>
            </w:r>
          </w:p>
        </w:tc>
      </w:tr>
      <w:tr w:rsidR="00036FAC" w:rsidRPr="007F44CC" w:rsidTr="007F44CC">
        <w:trPr>
          <w:trHeight w:val="240"/>
        </w:trPr>
        <w:tc>
          <w:tcPr>
            <w:tcW w:w="4360" w:type="dxa"/>
            <w:tcBorders>
              <w:bottom w:val="single" w:sz="4" w:space="0" w:color="auto"/>
            </w:tcBorders>
            <w:shd w:val="clear" w:color="auto" w:fill="auto"/>
          </w:tcPr>
          <w:p w:rsidR="00036FAC" w:rsidRPr="007F44CC" w:rsidRDefault="00036FAC" w:rsidP="007F44CC">
            <w:pPr>
              <w:suppressAutoHyphens w:val="0"/>
              <w:spacing w:before="40" w:after="40" w:line="220" w:lineRule="exact"/>
              <w:ind w:right="113"/>
              <w:rPr>
                <w:sz w:val="18"/>
              </w:rPr>
            </w:pPr>
            <w:r w:rsidRPr="007F44CC">
              <w:rPr>
                <w:sz w:val="18"/>
              </w:rPr>
              <w:t>Female</w:t>
            </w:r>
          </w:p>
        </w:tc>
        <w:tc>
          <w:tcPr>
            <w:tcW w:w="4360" w:type="dxa"/>
            <w:tcBorders>
              <w:bottom w:val="single" w:sz="4" w:space="0" w:color="auto"/>
            </w:tcBorders>
            <w:shd w:val="clear" w:color="auto" w:fill="auto"/>
            <w:vAlign w:val="bottom"/>
          </w:tcPr>
          <w:p w:rsidR="00036FAC" w:rsidRPr="007F44CC" w:rsidRDefault="00E71142" w:rsidP="007F44CC">
            <w:pPr>
              <w:suppressAutoHyphens w:val="0"/>
              <w:spacing w:before="40" w:after="40" w:line="220" w:lineRule="exact"/>
              <w:ind w:right="113"/>
              <w:jc w:val="right"/>
              <w:rPr>
                <w:sz w:val="18"/>
              </w:rPr>
            </w:pPr>
            <w:r>
              <w:rPr>
                <w:sz w:val="18"/>
              </w:rPr>
              <w:t>157</w:t>
            </w:r>
            <w:r w:rsidR="00907D8C">
              <w:rPr>
                <w:sz w:val="18"/>
              </w:rPr>
              <w:t xml:space="preserve"> </w:t>
            </w:r>
            <w:r w:rsidR="00036FAC" w:rsidRPr="007F44CC">
              <w:rPr>
                <w:sz w:val="18"/>
              </w:rPr>
              <w:t>914</w:t>
            </w:r>
          </w:p>
        </w:tc>
      </w:tr>
      <w:tr w:rsidR="00036FAC" w:rsidRPr="007F44CC" w:rsidTr="007F44CC">
        <w:trPr>
          <w:trHeight w:val="240"/>
        </w:trPr>
        <w:tc>
          <w:tcPr>
            <w:tcW w:w="4360" w:type="dxa"/>
            <w:tcBorders>
              <w:top w:val="single" w:sz="4" w:space="0" w:color="auto"/>
              <w:bottom w:val="single" w:sz="12" w:space="0" w:color="auto"/>
            </w:tcBorders>
            <w:shd w:val="clear" w:color="auto" w:fill="auto"/>
          </w:tcPr>
          <w:p w:rsidR="00036FAC" w:rsidRPr="007F44CC" w:rsidRDefault="00036FAC" w:rsidP="00F3240B">
            <w:pPr>
              <w:suppressAutoHyphens w:val="0"/>
              <w:spacing w:before="80" w:after="80" w:line="220" w:lineRule="exact"/>
              <w:ind w:left="284" w:right="113"/>
              <w:rPr>
                <w:b/>
                <w:sz w:val="18"/>
              </w:rPr>
            </w:pPr>
            <w:r w:rsidRPr="007F44CC">
              <w:rPr>
                <w:b/>
                <w:sz w:val="18"/>
              </w:rPr>
              <w:t>Total</w:t>
            </w:r>
          </w:p>
        </w:tc>
        <w:tc>
          <w:tcPr>
            <w:tcW w:w="4360" w:type="dxa"/>
            <w:tcBorders>
              <w:top w:val="single" w:sz="4" w:space="0" w:color="auto"/>
              <w:bottom w:val="single" w:sz="12" w:space="0" w:color="auto"/>
            </w:tcBorders>
            <w:shd w:val="clear" w:color="auto" w:fill="auto"/>
            <w:vAlign w:val="bottom"/>
          </w:tcPr>
          <w:p w:rsidR="00036FAC" w:rsidRPr="007F44CC" w:rsidRDefault="00E71142" w:rsidP="007F44CC">
            <w:pPr>
              <w:suppressAutoHyphens w:val="0"/>
              <w:spacing w:before="80" w:after="80" w:line="220" w:lineRule="exact"/>
              <w:ind w:right="113"/>
              <w:jc w:val="right"/>
              <w:rPr>
                <w:b/>
                <w:sz w:val="18"/>
              </w:rPr>
            </w:pPr>
            <w:r>
              <w:rPr>
                <w:b/>
                <w:sz w:val="18"/>
              </w:rPr>
              <w:t>193</w:t>
            </w:r>
            <w:r w:rsidR="00907D8C">
              <w:rPr>
                <w:b/>
                <w:sz w:val="18"/>
              </w:rPr>
              <w:t xml:space="preserve"> </w:t>
            </w:r>
            <w:r w:rsidR="00036FAC" w:rsidRPr="007F44CC">
              <w:rPr>
                <w:b/>
                <w:sz w:val="18"/>
              </w:rPr>
              <w:t>635</w:t>
            </w:r>
          </w:p>
        </w:tc>
      </w:tr>
    </w:tbl>
    <w:p w:rsidR="00036FAC" w:rsidRPr="002B37D0" w:rsidRDefault="00036FAC" w:rsidP="00F3240B">
      <w:pPr>
        <w:spacing w:before="120" w:after="240"/>
        <w:ind w:left="1134" w:right="1134" w:firstLine="170"/>
        <w:rPr>
          <w:sz w:val="18"/>
          <w:szCs w:val="18"/>
        </w:rPr>
      </w:pPr>
      <w:r w:rsidRPr="002B37D0">
        <w:rPr>
          <w:i/>
          <w:sz w:val="18"/>
          <w:szCs w:val="18"/>
        </w:rPr>
        <w:t>Source</w:t>
      </w:r>
      <w:r w:rsidRPr="002B37D0">
        <w:rPr>
          <w:sz w:val="18"/>
          <w:szCs w:val="18"/>
        </w:rPr>
        <w:t>:</w:t>
      </w:r>
      <w:r w:rsidR="00907D8C">
        <w:rPr>
          <w:sz w:val="18"/>
          <w:szCs w:val="18"/>
        </w:rPr>
        <w:t xml:space="preserve">  </w:t>
      </w:r>
      <w:r w:rsidRPr="002B37D0">
        <w:rPr>
          <w:sz w:val="18"/>
          <w:szCs w:val="18"/>
        </w:rPr>
        <w:t>Statistics</w:t>
      </w:r>
      <w:r w:rsidR="00907D8C">
        <w:rPr>
          <w:sz w:val="18"/>
          <w:szCs w:val="18"/>
        </w:rPr>
        <w:t xml:space="preserve"> </w:t>
      </w:r>
      <w:r w:rsidRPr="002B37D0">
        <w:rPr>
          <w:sz w:val="18"/>
          <w:szCs w:val="18"/>
        </w:rPr>
        <w:t>New</w:t>
      </w:r>
      <w:r w:rsidR="00907D8C">
        <w:rPr>
          <w:sz w:val="18"/>
          <w:szCs w:val="18"/>
        </w:rPr>
        <w:t xml:space="preserve"> </w:t>
      </w:r>
      <w:r w:rsidRPr="002B37D0">
        <w:rPr>
          <w:sz w:val="18"/>
          <w:szCs w:val="18"/>
        </w:rPr>
        <w:t>Zealand</w:t>
      </w:r>
      <w:r w:rsidR="00907D8C">
        <w:rPr>
          <w:sz w:val="18"/>
          <w:szCs w:val="18"/>
        </w:rPr>
        <w:t xml:space="preserve"> </w:t>
      </w:r>
      <w:r w:rsidRPr="002B37D0">
        <w:rPr>
          <w:sz w:val="18"/>
          <w:szCs w:val="18"/>
        </w:rPr>
        <w:t>Census</w:t>
      </w:r>
      <w:r w:rsidR="00907D8C">
        <w:rPr>
          <w:sz w:val="18"/>
          <w:szCs w:val="18"/>
        </w:rPr>
        <w:t xml:space="preserve"> </w:t>
      </w:r>
      <w:r w:rsidRPr="002B37D0">
        <w:rPr>
          <w:sz w:val="18"/>
          <w:szCs w:val="18"/>
        </w:rPr>
        <w:t>2006</w:t>
      </w:r>
      <w:r w:rsidR="00E71142" w:rsidRPr="002B37D0">
        <w:rPr>
          <w:sz w:val="18"/>
          <w:szCs w:val="18"/>
        </w:rPr>
        <w:t>.</w:t>
      </w:r>
    </w:p>
    <w:p w:rsidR="00036FAC" w:rsidRPr="00036FAC" w:rsidRDefault="00036FAC" w:rsidP="006C436C">
      <w:pPr>
        <w:pStyle w:val="H23G"/>
      </w:pPr>
      <w:r w:rsidRPr="00036FAC">
        <w:tab/>
        <w:t>9.</w:t>
      </w:r>
      <w:r w:rsidRPr="00036FAC">
        <w:tab/>
        <w:t>New</w:t>
      </w:r>
      <w:r w:rsidR="00907D8C">
        <w:t xml:space="preserve"> </w:t>
      </w:r>
      <w:r w:rsidRPr="00036FAC">
        <w:t>Zealanders</w:t>
      </w:r>
      <w:r w:rsidR="00907D8C">
        <w:t xml:space="preserve"> </w:t>
      </w:r>
      <w:r w:rsidRPr="00036FAC">
        <w:t>experiencing</w:t>
      </w:r>
      <w:r w:rsidR="00907D8C">
        <w:t xml:space="preserve"> </w:t>
      </w:r>
      <w:r w:rsidRPr="00036FAC">
        <w:t>disability</w:t>
      </w:r>
    </w:p>
    <w:p w:rsidR="00036FAC" w:rsidRPr="00036FAC" w:rsidRDefault="00036FAC" w:rsidP="00E71142">
      <w:pPr>
        <w:pStyle w:val="SingleTxtG"/>
      </w:pPr>
      <w:r w:rsidRPr="00036FAC">
        <w:t>26.</w:t>
      </w:r>
      <w:r w:rsidRPr="00036FAC">
        <w:tab/>
        <w:t>In</w:t>
      </w:r>
      <w:r w:rsidR="00907D8C">
        <w:t xml:space="preserve"> </w:t>
      </w:r>
      <w:r w:rsidRPr="00036FAC">
        <w:t>2006,</w:t>
      </w:r>
      <w:r w:rsidR="00907D8C">
        <w:t xml:space="preserve"> </w:t>
      </w:r>
      <w:r w:rsidRPr="00036FAC">
        <w:t>an</w:t>
      </w:r>
      <w:r w:rsidR="00907D8C">
        <w:t xml:space="preserve"> </w:t>
      </w:r>
      <w:r w:rsidRPr="00036FAC">
        <w:t>estimated</w:t>
      </w:r>
      <w:r w:rsidR="00907D8C">
        <w:t xml:space="preserve"> </w:t>
      </w:r>
      <w:r w:rsidRPr="00036FAC">
        <w:t>660,300</w:t>
      </w:r>
      <w:r w:rsidR="00907D8C">
        <w:t xml:space="preserve"> </w:t>
      </w:r>
      <w:r w:rsidRPr="00036FAC">
        <w:t>New</w:t>
      </w:r>
      <w:r w:rsidR="00907D8C">
        <w:t xml:space="preserve"> </w:t>
      </w:r>
      <w:r w:rsidRPr="00036FAC">
        <w:t>Zealanders</w:t>
      </w:r>
      <w:r w:rsidR="00907D8C">
        <w:t xml:space="preserve"> </w:t>
      </w:r>
      <w:r w:rsidRPr="00036FAC">
        <w:t>reported</w:t>
      </w:r>
      <w:r w:rsidR="00907D8C">
        <w:t xml:space="preserve"> </w:t>
      </w:r>
      <w:r w:rsidRPr="00036FAC">
        <w:t>a</w:t>
      </w:r>
      <w:r w:rsidR="00907D8C">
        <w:t xml:space="preserve"> </w:t>
      </w:r>
      <w:r w:rsidRPr="00036FAC">
        <w:t>disability,</w:t>
      </w:r>
      <w:r w:rsidR="00907D8C">
        <w:t xml:space="preserve"> </w:t>
      </w:r>
      <w:r w:rsidRPr="00036FAC">
        <w:t>representing</w:t>
      </w:r>
      <w:r w:rsidR="00907D8C">
        <w:t xml:space="preserve"> </w:t>
      </w:r>
      <w:r w:rsidRPr="00036FAC">
        <w:t>17</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total</w:t>
      </w:r>
      <w:r w:rsidR="00907D8C">
        <w:t xml:space="preserve"> </w:t>
      </w:r>
      <w:r w:rsidRPr="00036FAC">
        <w:t>population.</w:t>
      </w:r>
      <w:r w:rsidR="00907D8C">
        <w:t xml:space="preserve"> </w:t>
      </w:r>
      <w:r w:rsidRPr="00036FAC">
        <w:t>Disability</w:t>
      </w:r>
      <w:r w:rsidR="00907D8C">
        <w:t xml:space="preserve"> </w:t>
      </w:r>
      <w:r w:rsidRPr="00036FAC">
        <w:t>increases</w:t>
      </w:r>
      <w:r w:rsidR="00907D8C">
        <w:t xml:space="preserve"> </w:t>
      </w:r>
      <w:r w:rsidRPr="00036FAC">
        <w:t>with</w:t>
      </w:r>
      <w:r w:rsidR="00907D8C">
        <w:t xml:space="preserve"> </w:t>
      </w:r>
      <w:r w:rsidRPr="00036FAC">
        <w:t>age.</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prevalence</w:t>
      </w:r>
      <w:r w:rsidR="00907D8C">
        <w:t xml:space="preserve"> </w:t>
      </w:r>
      <w:r w:rsidRPr="00036FAC">
        <w:t>of</w:t>
      </w:r>
      <w:r w:rsidR="00907D8C">
        <w:t xml:space="preserve"> </w:t>
      </w:r>
      <w:r w:rsidRPr="00036FAC">
        <w:t>disability</w:t>
      </w:r>
      <w:r w:rsidR="00907D8C">
        <w:t xml:space="preserve"> </w:t>
      </w:r>
      <w:r w:rsidRPr="00036FAC">
        <w:t>ranged</w:t>
      </w:r>
      <w:r w:rsidR="00907D8C">
        <w:t xml:space="preserve"> </w:t>
      </w:r>
      <w:r w:rsidRPr="00036FAC">
        <w:t>from</w:t>
      </w:r>
      <w:r w:rsidR="00907D8C">
        <w:t xml:space="preserve"> </w:t>
      </w:r>
      <w:r w:rsidRPr="00036FAC">
        <w:t>10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children</w:t>
      </w:r>
      <w:r w:rsidR="00907D8C">
        <w:t xml:space="preserve"> </w:t>
      </w:r>
      <w:r w:rsidRPr="00036FAC">
        <w:t>(0–14</w:t>
      </w:r>
      <w:r w:rsidR="00907D8C">
        <w:t xml:space="preserve"> </w:t>
      </w:r>
      <w:r w:rsidRPr="00036FAC">
        <w:t>years)</w:t>
      </w:r>
      <w:r w:rsidR="00907D8C">
        <w:t xml:space="preserve"> </w:t>
      </w:r>
      <w:r w:rsidRPr="00036FAC">
        <w:t>to</w:t>
      </w:r>
      <w:r w:rsidR="00907D8C">
        <w:t xml:space="preserve"> </w:t>
      </w:r>
      <w:r w:rsidRPr="00036FAC">
        <w:t>45</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people</w:t>
      </w:r>
      <w:r w:rsidR="00907D8C">
        <w:t xml:space="preserve"> </w:t>
      </w:r>
      <w:r w:rsidRPr="00036FAC">
        <w:t>aged</w:t>
      </w:r>
      <w:r w:rsidR="00907D8C">
        <w:t xml:space="preserve"> </w:t>
      </w:r>
      <w:r w:rsidRPr="00036FAC">
        <w:t>65</w:t>
      </w:r>
      <w:r w:rsidR="00907D8C">
        <w:t xml:space="preserve"> </w:t>
      </w:r>
      <w:r w:rsidRPr="00036FAC">
        <w:t>years</w:t>
      </w:r>
      <w:r w:rsidR="00907D8C">
        <w:t xml:space="preserve"> </w:t>
      </w:r>
      <w:r w:rsidRPr="00036FAC">
        <w:t>and</w:t>
      </w:r>
      <w:r w:rsidR="00907D8C">
        <w:t xml:space="preserve"> </w:t>
      </w:r>
      <w:r w:rsidRPr="00036FAC">
        <w:t>over.</w:t>
      </w:r>
    </w:p>
    <w:p w:rsidR="00036FAC" w:rsidRPr="00036FAC" w:rsidRDefault="00036FAC" w:rsidP="00E71142">
      <w:pPr>
        <w:pStyle w:val="SingleTxtG"/>
      </w:pPr>
      <w:r w:rsidRPr="00036FAC">
        <w:t>27.</w:t>
      </w:r>
      <w:r w:rsidRPr="00036FAC">
        <w:tab/>
        <w:t>For</w:t>
      </w:r>
      <w:r w:rsidR="00907D8C">
        <w:t xml:space="preserve"> </w:t>
      </w:r>
      <w:r w:rsidRPr="00036FAC">
        <w:t>children</w:t>
      </w:r>
      <w:r w:rsidR="00907D8C">
        <w:t xml:space="preserve"> </w:t>
      </w:r>
      <w:r w:rsidRPr="00036FAC">
        <w:t>with</w:t>
      </w:r>
      <w:r w:rsidR="00907D8C">
        <w:t xml:space="preserve"> </w:t>
      </w:r>
      <w:r w:rsidRPr="00036FAC">
        <w:t>disabilities,</w:t>
      </w:r>
      <w:r w:rsidR="00907D8C">
        <w:t xml:space="preserve"> </w:t>
      </w:r>
      <w:r w:rsidRPr="00036FAC">
        <w:t>conditions</w:t>
      </w:r>
      <w:r w:rsidR="00907D8C">
        <w:t xml:space="preserve"> </w:t>
      </w:r>
      <w:r w:rsidRPr="00036FAC">
        <w:t>or</w:t>
      </w:r>
      <w:r w:rsidR="00907D8C">
        <w:t xml:space="preserve"> </w:t>
      </w:r>
      <w:r w:rsidRPr="00036FAC">
        <w:t>health</w:t>
      </w:r>
      <w:r w:rsidR="00907D8C">
        <w:t xml:space="preserve"> </w:t>
      </w:r>
      <w:r w:rsidRPr="00036FAC">
        <w:t>problems</w:t>
      </w:r>
      <w:r w:rsidR="00907D8C">
        <w:t xml:space="preserve"> </w:t>
      </w:r>
      <w:r w:rsidRPr="00036FAC">
        <w:t>that</w:t>
      </w:r>
      <w:r w:rsidR="00907D8C">
        <w:t xml:space="preserve"> </w:t>
      </w:r>
      <w:r w:rsidRPr="00036FAC">
        <w:t>existed</w:t>
      </w:r>
      <w:r w:rsidR="00907D8C">
        <w:t xml:space="preserve"> </w:t>
      </w:r>
      <w:r w:rsidRPr="00036FAC">
        <w:t>at</w:t>
      </w:r>
      <w:r w:rsidR="00907D8C">
        <w:t xml:space="preserve"> </w:t>
      </w:r>
      <w:r w:rsidRPr="00036FAC">
        <w:t>birth</w:t>
      </w:r>
      <w:r w:rsidR="00907D8C">
        <w:t xml:space="preserve"> </w:t>
      </w:r>
      <w:r w:rsidRPr="00036FAC">
        <w:t>and</w:t>
      </w:r>
      <w:r w:rsidR="00907D8C">
        <w:t xml:space="preserve"> </w:t>
      </w:r>
      <w:r w:rsidRPr="00036FAC">
        <w:t>disease</w:t>
      </w:r>
      <w:r w:rsidR="00907D8C">
        <w:t xml:space="preserve"> </w:t>
      </w:r>
      <w:r w:rsidRPr="00036FAC">
        <w:t>or</w:t>
      </w:r>
      <w:r w:rsidR="00907D8C">
        <w:t xml:space="preserve"> </w:t>
      </w:r>
      <w:r w:rsidRPr="00036FAC">
        <w:t>illness</w:t>
      </w:r>
      <w:r w:rsidR="00907D8C">
        <w:t xml:space="preserve"> </w:t>
      </w:r>
      <w:r w:rsidRPr="00036FAC">
        <w:t>were</w:t>
      </w:r>
      <w:r w:rsidR="00907D8C">
        <w:t xml:space="preserve"> </w:t>
      </w:r>
      <w:r w:rsidRPr="00036FAC">
        <w:t>the</w:t>
      </w:r>
      <w:r w:rsidR="00907D8C">
        <w:t xml:space="preserve"> </w:t>
      </w:r>
      <w:r w:rsidRPr="00036FAC">
        <w:t>most</w:t>
      </w:r>
      <w:r w:rsidR="00907D8C">
        <w:t xml:space="preserve"> </w:t>
      </w:r>
      <w:r w:rsidRPr="00036FAC">
        <w:t>common</w:t>
      </w:r>
      <w:r w:rsidR="00907D8C">
        <w:t xml:space="preserve"> </w:t>
      </w:r>
      <w:r w:rsidRPr="00036FAC">
        <w:t>causes.</w:t>
      </w:r>
      <w:r w:rsidR="00907D8C">
        <w:t xml:space="preserve"> </w:t>
      </w:r>
      <w:r w:rsidRPr="00036FAC">
        <w:t>Disease</w:t>
      </w:r>
      <w:r w:rsidR="00907D8C">
        <w:t xml:space="preserve"> </w:t>
      </w:r>
      <w:r w:rsidRPr="00036FAC">
        <w:t>or</w:t>
      </w:r>
      <w:r w:rsidR="00907D8C">
        <w:t xml:space="preserve"> </w:t>
      </w:r>
      <w:r w:rsidRPr="00036FAC">
        <w:t>illness,</w:t>
      </w:r>
      <w:r w:rsidR="00907D8C">
        <w:t xml:space="preserve"> </w:t>
      </w:r>
      <w:r w:rsidRPr="00036FAC">
        <w:t>accidents</w:t>
      </w:r>
      <w:r w:rsidR="00907D8C">
        <w:t xml:space="preserve"> </w:t>
      </w:r>
      <w:r w:rsidRPr="00036FAC">
        <w:t>or</w:t>
      </w:r>
      <w:r w:rsidR="00907D8C">
        <w:t xml:space="preserve"> </w:t>
      </w:r>
      <w:r w:rsidRPr="00036FAC">
        <w:t>injuries,</w:t>
      </w:r>
      <w:r w:rsidR="00907D8C">
        <w:t xml:space="preserve"> </w:t>
      </w:r>
      <w:r w:rsidRPr="00036FAC">
        <w:t>and</w:t>
      </w:r>
      <w:r w:rsidR="00907D8C">
        <w:t xml:space="preserve"> </w:t>
      </w:r>
      <w:r w:rsidRPr="00036FAC">
        <w:t>ageing</w:t>
      </w:r>
      <w:r w:rsidR="00907D8C">
        <w:t xml:space="preserve"> </w:t>
      </w:r>
      <w:r w:rsidRPr="00036FAC">
        <w:t>were</w:t>
      </w:r>
      <w:r w:rsidR="00907D8C">
        <w:t xml:space="preserve"> </w:t>
      </w:r>
      <w:r w:rsidRPr="00036FAC">
        <w:t>the</w:t>
      </w:r>
      <w:r w:rsidR="00907D8C">
        <w:t xml:space="preserve"> </w:t>
      </w:r>
      <w:r w:rsidRPr="00036FAC">
        <w:t>most</w:t>
      </w:r>
      <w:r w:rsidR="00907D8C">
        <w:t xml:space="preserve"> </w:t>
      </w:r>
      <w:r w:rsidRPr="00036FAC">
        <w:t>common</w:t>
      </w:r>
      <w:r w:rsidR="00907D8C">
        <w:t xml:space="preserve"> </w:t>
      </w:r>
      <w:r w:rsidRPr="00036FAC">
        <w:t>causes</w:t>
      </w:r>
      <w:r w:rsidR="00907D8C">
        <w:t xml:space="preserve"> </w:t>
      </w:r>
      <w:r w:rsidRPr="00036FAC">
        <w:t>of</w:t>
      </w:r>
      <w:r w:rsidR="00907D8C">
        <w:t xml:space="preserve"> </w:t>
      </w:r>
      <w:r w:rsidRPr="00036FAC">
        <w:t>disability</w:t>
      </w:r>
      <w:r w:rsidR="00907D8C">
        <w:t xml:space="preserve"> </w:t>
      </w:r>
      <w:r w:rsidRPr="00036FAC">
        <w:t>for</w:t>
      </w:r>
      <w:r w:rsidR="00907D8C">
        <w:t xml:space="preserve"> </w:t>
      </w:r>
      <w:r w:rsidRPr="00036FAC">
        <w:t>adults.</w:t>
      </w:r>
    </w:p>
    <w:p w:rsidR="00E71142" w:rsidRDefault="00E71142" w:rsidP="00E71142">
      <w:pPr>
        <w:pStyle w:val="Heading1"/>
      </w:pPr>
      <w:bookmarkStart w:id="27" w:name="_Toc275331908"/>
      <w:r>
        <w:t>Table</w:t>
      </w:r>
      <w:r w:rsidR="00907D8C">
        <w:t xml:space="preserve"> </w:t>
      </w:r>
      <w:r>
        <w:t>7</w:t>
      </w:r>
    </w:p>
    <w:p w:rsidR="00036FAC" w:rsidRDefault="00036FAC" w:rsidP="00E71142">
      <w:pPr>
        <w:pStyle w:val="SingleTxtG"/>
        <w:rPr>
          <w:b/>
        </w:rPr>
      </w:pPr>
      <w:r w:rsidRPr="00E71142">
        <w:rPr>
          <w:b/>
        </w:rPr>
        <w:t>Number</w:t>
      </w:r>
      <w:r w:rsidR="00907D8C">
        <w:rPr>
          <w:b/>
        </w:rPr>
        <w:t xml:space="preserve"> </w:t>
      </w:r>
      <w:r w:rsidRPr="00E71142">
        <w:rPr>
          <w:b/>
        </w:rPr>
        <w:t>and</w:t>
      </w:r>
      <w:r w:rsidR="00907D8C">
        <w:rPr>
          <w:b/>
        </w:rPr>
        <w:t xml:space="preserve"> </w:t>
      </w:r>
      <w:r w:rsidRPr="00E71142">
        <w:rPr>
          <w:b/>
        </w:rPr>
        <w:t>prevalence</w:t>
      </w:r>
      <w:r w:rsidR="00907D8C">
        <w:rPr>
          <w:b/>
        </w:rPr>
        <w:t xml:space="preserve"> </w:t>
      </w:r>
      <w:r w:rsidRPr="00E71142">
        <w:rPr>
          <w:b/>
        </w:rPr>
        <w:t>of</w:t>
      </w:r>
      <w:r w:rsidR="00907D8C">
        <w:rPr>
          <w:b/>
        </w:rPr>
        <w:t xml:space="preserve"> </w:t>
      </w:r>
      <w:r w:rsidRPr="00E71142">
        <w:rPr>
          <w:b/>
        </w:rPr>
        <w:t>people</w:t>
      </w:r>
      <w:r w:rsidR="00907D8C">
        <w:rPr>
          <w:b/>
        </w:rPr>
        <w:t xml:space="preserve"> </w:t>
      </w:r>
      <w:r w:rsidRPr="00E71142">
        <w:rPr>
          <w:b/>
        </w:rPr>
        <w:t>experiencing</w:t>
      </w:r>
      <w:r w:rsidR="00907D8C">
        <w:rPr>
          <w:b/>
        </w:rPr>
        <w:t xml:space="preserve"> </w:t>
      </w:r>
      <w:r w:rsidRPr="00E71142">
        <w:rPr>
          <w:b/>
        </w:rPr>
        <w:t>disabilities</w:t>
      </w:r>
      <w:r w:rsidR="00907D8C">
        <w:rPr>
          <w:b/>
        </w:rPr>
        <w:t xml:space="preserve"> </w:t>
      </w:r>
      <w:r w:rsidRPr="00E71142">
        <w:rPr>
          <w:b/>
        </w:rPr>
        <w:t>(total</w:t>
      </w:r>
      <w:r w:rsidR="00907D8C">
        <w:rPr>
          <w:b/>
        </w:rPr>
        <w:t xml:space="preserve"> </w:t>
      </w:r>
      <w:r w:rsidRPr="00E71142">
        <w:rPr>
          <w:b/>
        </w:rPr>
        <w:t>population</w:t>
      </w:r>
      <w:r w:rsidR="00907D8C">
        <w:rPr>
          <w:b/>
        </w:rPr>
        <w:t xml:space="preserve"> </w:t>
      </w:r>
      <w:r w:rsidRPr="00E71142">
        <w:rPr>
          <w:b/>
        </w:rPr>
        <w:t>residing</w:t>
      </w:r>
      <w:r w:rsidR="00907D8C">
        <w:rPr>
          <w:b/>
        </w:rPr>
        <w:t xml:space="preserve"> </w:t>
      </w:r>
      <w:r w:rsidRPr="00E71142">
        <w:rPr>
          <w:b/>
        </w:rPr>
        <w:t>in</w:t>
      </w:r>
      <w:r w:rsidR="00907D8C">
        <w:rPr>
          <w:b/>
        </w:rPr>
        <w:t xml:space="preserve"> </w:t>
      </w:r>
      <w:r w:rsidRPr="00E71142">
        <w:rPr>
          <w:b/>
        </w:rPr>
        <w:t>households</w:t>
      </w:r>
      <w:r w:rsidR="00907D8C">
        <w:rPr>
          <w:b/>
        </w:rPr>
        <w:t xml:space="preserve"> </w:t>
      </w:r>
      <w:r w:rsidRPr="00E71142">
        <w:rPr>
          <w:b/>
        </w:rPr>
        <w:t>and</w:t>
      </w:r>
      <w:r w:rsidR="00907D8C">
        <w:rPr>
          <w:b/>
        </w:rPr>
        <w:t xml:space="preserve"> </w:t>
      </w:r>
      <w:r w:rsidRPr="00E71142">
        <w:rPr>
          <w:b/>
        </w:rPr>
        <w:t>residential</w:t>
      </w:r>
      <w:r w:rsidR="00907D8C">
        <w:rPr>
          <w:b/>
        </w:rPr>
        <w:t xml:space="preserve"> </w:t>
      </w:r>
      <w:r w:rsidRPr="00E71142">
        <w:rPr>
          <w:b/>
        </w:rPr>
        <w:t>facilities),</w:t>
      </w:r>
      <w:r w:rsidR="00907D8C">
        <w:rPr>
          <w:b/>
        </w:rPr>
        <w:t xml:space="preserve"> </w:t>
      </w:r>
      <w:r w:rsidRPr="00E71142">
        <w:rPr>
          <w:b/>
        </w:rPr>
        <w:t>by</w:t>
      </w:r>
      <w:r w:rsidR="00907D8C">
        <w:rPr>
          <w:b/>
        </w:rPr>
        <w:t xml:space="preserve"> </w:t>
      </w:r>
      <w:r w:rsidRPr="00E71142">
        <w:rPr>
          <w:b/>
        </w:rPr>
        <w:t>age</w:t>
      </w:r>
      <w:r w:rsidR="00907D8C">
        <w:rPr>
          <w:b/>
        </w:rPr>
        <w:t xml:space="preserve"> </w:t>
      </w:r>
      <w:r w:rsidRPr="00E71142">
        <w:rPr>
          <w:b/>
        </w:rPr>
        <w:t>group</w:t>
      </w:r>
      <w:r w:rsidR="00907D8C">
        <w:rPr>
          <w:b/>
        </w:rPr>
        <w:t xml:space="preserve"> </w:t>
      </w:r>
      <w:r w:rsidRPr="00E71142">
        <w:rPr>
          <w:b/>
        </w:rPr>
        <w:t>and</w:t>
      </w:r>
      <w:r w:rsidR="00907D8C">
        <w:rPr>
          <w:b/>
        </w:rPr>
        <w:t xml:space="preserve"> </w:t>
      </w:r>
      <w:r w:rsidRPr="00E71142">
        <w:rPr>
          <w:b/>
        </w:rPr>
        <w:t>sex,</w:t>
      </w:r>
      <w:r w:rsidR="00907D8C">
        <w:rPr>
          <w:b/>
        </w:rPr>
        <w:t xml:space="preserve"> </w:t>
      </w:r>
      <w:r w:rsidRPr="00E71142">
        <w:rPr>
          <w:b/>
        </w:rPr>
        <w:t>2006</w:t>
      </w:r>
      <w:bookmarkEnd w:id="27"/>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67"/>
        <w:gridCol w:w="967"/>
        <w:gridCol w:w="968"/>
        <w:gridCol w:w="967"/>
        <w:gridCol w:w="967"/>
        <w:gridCol w:w="968"/>
      </w:tblGrid>
      <w:tr w:rsidR="0091154C" w:rsidRPr="0091154C" w:rsidTr="003A1674">
        <w:trPr>
          <w:tblHeader/>
        </w:trPr>
        <w:tc>
          <w:tcPr>
            <w:tcW w:w="1566" w:type="dxa"/>
            <w:tcBorders>
              <w:top w:val="single" w:sz="4" w:space="0" w:color="auto"/>
            </w:tcBorders>
            <w:shd w:val="clear" w:color="auto" w:fill="auto"/>
            <w:vAlign w:val="bottom"/>
          </w:tcPr>
          <w:p w:rsidR="0091154C" w:rsidRPr="0091154C" w:rsidRDefault="0091154C" w:rsidP="0091154C">
            <w:pPr>
              <w:spacing w:before="80" w:after="80" w:line="200" w:lineRule="exact"/>
              <w:ind w:right="113"/>
              <w:rPr>
                <w:i/>
                <w:sz w:val="16"/>
              </w:rPr>
            </w:pPr>
          </w:p>
        </w:tc>
        <w:tc>
          <w:tcPr>
            <w:tcW w:w="1934" w:type="dxa"/>
            <w:gridSpan w:val="2"/>
            <w:tcBorders>
              <w:top w:val="single" w:sz="4" w:space="0" w:color="auto"/>
              <w:bottom w:val="single" w:sz="4" w:space="0" w:color="auto"/>
              <w:right w:val="single" w:sz="24" w:space="0" w:color="FFFFFF"/>
            </w:tcBorders>
            <w:shd w:val="clear" w:color="auto" w:fill="auto"/>
            <w:vAlign w:val="bottom"/>
          </w:tcPr>
          <w:p w:rsidR="0091154C" w:rsidRPr="0091154C" w:rsidRDefault="0091154C" w:rsidP="0091154C">
            <w:pPr>
              <w:suppressAutoHyphens w:val="0"/>
              <w:spacing w:before="80" w:after="80" w:line="200" w:lineRule="exact"/>
              <w:ind w:right="113"/>
              <w:jc w:val="center"/>
              <w:rPr>
                <w:i/>
                <w:sz w:val="16"/>
                <w:szCs w:val="16"/>
              </w:rPr>
            </w:pPr>
            <w:r w:rsidRPr="0091154C">
              <w:rPr>
                <w:i/>
                <w:sz w:val="16"/>
                <w:szCs w:val="16"/>
              </w:rPr>
              <w:t>Males</w:t>
            </w:r>
          </w:p>
        </w:tc>
        <w:tc>
          <w:tcPr>
            <w:tcW w:w="193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1154C" w:rsidRPr="0091154C" w:rsidRDefault="0091154C" w:rsidP="0091154C">
            <w:pPr>
              <w:suppressAutoHyphens w:val="0"/>
              <w:spacing w:before="80" w:after="80" w:line="200" w:lineRule="exact"/>
              <w:ind w:right="113"/>
              <w:jc w:val="center"/>
              <w:rPr>
                <w:i/>
                <w:sz w:val="16"/>
                <w:szCs w:val="16"/>
              </w:rPr>
            </w:pPr>
            <w:r w:rsidRPr="0091154C">
              <w:rPr>
                <w:i/>
                <w:sz w:val="16"/>
                <w:szCs w:val="16"/>
              </w:rPr>
              <w:t>Females</w:t>
            </w:r>
          </w:p>
        </w:tc>
        <w:tc>
          <w:tcPr>
            <w:tcW w:w="1935" w:type="dxa"/>
            <w:gridSpan w:val="2"/>
            <w:tcBorders>
              <w:top w:val="single" w:sz="4" w:space="0" w:color="auto"/>
              <w:left w:val="single" w:sz="24" w:space="0" w:color="FFFFFF"/>
              <w:bottom w:val="single" w:sz="4" w:space="0" w:color="auto"/>
            </w:tcBorders>
            <w:shd w:val="clear" w:color="auto" w:fill="auto"/>
            <w:vAlign w:val="bottom"/>
          </w:tcPr>
          <w:p w:rsidR="0091154C" w:rsidRPr="0091154C" w:rsidRDefault="0091154C" w:rsidP="0091154C">
            <w:pPr>
              <w:suppressAutoHyphens w:val="0"/>
              <w:spacing w:before="80" w:after="80" w:line="200" w:lineRule="exact"/>
              <w:ind w:right="113"/>
              <w:jc w:val="center"/>
              <w:rPr>
                <w:b/>
                <w:i/>
                <w:sz w:val="16"/>
                <w:szCs w:val="16"/>
              </w:rPr>
            </w:pPr>
            <w:r w:rsidRPr="0091154C">
              <w:rPr>
                <w:b/>
                <w:i/>
                <w:sz w:val="16"/>
                <w:szCs w:val="16"/>
              </w:rPr>
              <w:t>Total</w:t>
            </w:r>
          </w:p>
        </w:tc>
      </w:tr>
      <w:tr w:rsidR="0091154C" w:rsidRPr="0091154C" w:rsidTr="003A1674">
        <w:trPr>
          <w:tblHeader/>
        </w:trPr>
        <w:tc>
          <w:tcPr>
            <w:tcW w:w="1566" w:type="dxa"/>
            <w:tcBorders>
              <w:bottom w:val="single" w:sz="12" w:space="0" w:color="auto"/>
            </w:tcBorders>
            <w:shd w:val="clear" w:color="auto" w:fill="auto"/>
          </w:tcPr>
          <w:p w:rsidR="0091154C" w:rsidRPr="00CE54C0" w:rsidRDefault="0091154C" w:rsidP="00BD732C">
            <w:pPr>
              <w:suppressAutoHyphens w:val="0"/>
              <w:spacing w:before="80" w:after="80" w:line="200" w:lineRule="exact"/>
              <w:ind w:right="113"/>
              <w:rPr>
                <w:i/>
                <w:sz w:val="16"/>
              </w:rPr>
            </w:pPr>
            <w:r w:rsidRPr="00CE54C0">
              <w:rPr>
                <w:i/>
                <w:sz w:val="16"/>
              </w:rPr>
              <w:t>Age</w:t>
            </w:r>
            <w:r w:rsidR="00907D8C">
              <w:rPr>
                <w:i/>
                <w:sz w:val="16"/>
              </w:rPr>
              <w:t xml:space="preserve"> </w:t>
            </w:r>
            <w:r w:rsidRPr="00CE54C0">
              <w:rPr>
                <w:i/>
                <w:sz w:val="16"/>
              </w:rPr>
              <w:t>group</w:t>
            </w:r>
            <w:r w:rsidR="00907D8C">
              <w:rPr>
                <w:i/>
                <w:sz w:val="16"/>
              </w:rPr>
              <w:t xml:space="preserve"> </w:t>
            </w:r>
            <w:r w:rsidRPr="00CE54C0">
              <w:rPr>
                <w:i/>
                <w:sz w:val="16"/>
              </w:rPr>
              <w:t>(years)</w:t>
            </w:r>
          </w:p>
        </w:tc>
        <w:tc>
          <w:tcPr>
            <w:tcW w:w="967" w:type="dxa"/>
            <w:tcBorders>
              <w:top w:val="single" w:sz="4" w:space="0" w:color="auto"/>
              <w:bottom w:val="single" w:sz="12" w:space="0" w:color="auto"/>
            </w:tcBorders>
            <w:shd w:val="clear" w:color="auto" w:fill="auto"/>
            <w:vAlign w:val="bottom"/>
          </w:tcPr>
          <w:p w:rsidR="0091154C" w:rsidRPr="00CE54C0" w:rsidRDefault="0091154C" w:rsidP="00BD732C">
            <w:pPr>
              <w:suppressAutoHyphens w:val="0"/>
              <w:spacing w:before="80" w:after="80" w:line="200" w:lineRule="exact"/>
              <w:ind w:right="113"/>
              <w:jc w:val="right"/>
              <w:rPr>
                <w:i/>
                <w:sz w:val="16"/>
              </w:rPr>
            </w:pPr>
            <w:r w:rsidRPr="00CE54C0">
              <w:rPr>
                <w:i/>
                <w:sz w:val="16"/>
              </w:rPr>
              <w:t>Number</w:t>
            </w:r>
          </w:p>
        </w:tc>
        <w:tc>
          <w:tcPr>
            <w:tcW w:w="967" w:type="dxa"/>
            <w:tcBorders>
              <w:top w:val="single" w:sz="4" w:space="0" w:color="auto"/>
              <w:bottom w:val="single" w:sz="12" w:space="0" w:color="auto"/>
              <w:right w:val="single" w:sz="24" w:space="0" w:color="FFFFFF"/>
            </w:tcBorders>
            <w:shd w:val="clear" w:color="auto" w:fill="auto"/>
            <w:vAlign w:val="bottom"/>
          </w:tcPr>
          <w:p w:rsidR="0091154C" w:rsidRPr="00CE54C0" w:rsidRDefault="0091154C" w:rsidP="00BD732C">
            <w:pPr>
              <w:suppressAutoHyphens w:val="0"/>
              <w:spacing w:before="80" w:after="80" w:line="200" w:lineRule="exact"/>
              <w:ind w:right="113"/>
              <w:jc w:val="right"/>
              <w:rPr>
                <w:i/>
                <w:sz w:val="16"/>
              </w:rPr>
            </w:pPr>
            <w:r w:rsidRPr="00CE54C0">
              <w:rPr>
                <w:i/>
                <w:sz w:val="16"/>
              </w:rPr>
              <w:t>Rate</w:t>
            </w:r>
            <w:r w:rsidR="00907D8C">
              <w:rPr>
                <w:i/>
                <w:sz w:val="16"/>
              </w:rPr>
              <w:t xml:space="preserve"> </w:t>
            </w:r>
            <w:r w:rsidRPr="00CE54C0">
              <w:rPr>
                <w:i/>
                <w:sz w:val="16"/>
              </w:rPr>
              <w:t>(%)</w:t>
            </w:r>
          </w:p>
        </w:tc>
        <w:tc>
          <w:tcPr>
            <w:tcW w:w="968" w:type="dxa"/>
            <w:tcBorders>
              <w:top w:val="single" w:sz="4" w:space="0" w:color="auto"/>
              <w:left w:val="single" w:sz="24" w:space="0" w:color="FFFFFF"/>
              <w:bottom w:val="single" w:sz="12" w:space="0" w:color="auto"/>
            </w:tcBorders>
            <w:shd w:val="clear" w:color="auto" w:fill="auto"/>
            <w:vAlign w:val="bottom"/>
          </w:tcPr>
          <w:p w:rsidR="0091154C" w:rsidRPr="00CE54C0" w:rsidRDefault="0091154C" w:rsidP="00BD732C">
            <w:pPr>
              <w:suppressAutoHyphens w:val="0"/>
              <w:spacing w:before="80" w:after="80" w:line="200" w:lineRule="exact"/>
              <w:ind w:right="113"/>
              <w:jc w:val="right"/>
              <w:rPr>
                <w:i/>
                <w:sz w:val="16"/>
              </w:rPr>
            </w:pPr>
            <w:r w:rsidRPr="00CE54C0">
              <w:rPr>
                <w:i/>
                <w:sz w:val="16"/>
              </w:rPr>
              <w:t>Number</w:t>
            </w:r>
          </w:p>
        </w:tc>
        <w:tc>
          <w:tcPr>
            <w:tcW w:w="967" w:type="dxa"/>
            <w:tcBorders>
              <w:top w:val="single" w:sz="4" w:space="0" w:color="auto"/>
              <w:bottom w:val="single" w:sz="12" w:space="0" w:color="auto"/>
              <w:right w:val="single" w:sz="24" w:space="0" w:color="FFFFFF"/>
            </w:tcBorders>
            <w:shd w:val="clear" w:color="auto" w:fill="auto"/>
            <w:vAlign w:val="bottom"/>
          </w:tcPr>
          <w:p w:rsidR="0091154C" w:rsidRPr="00CE54C0" w:rsidRDefault="0091154C" w:rsidP="00BD732C">
            <w:pPr>
              <w:suppressAutoHyphens w:val="0"/>
              <w:spacing w:before="80" w:after="80" w:line="200" w:lineRule="exact"/>
              <w:ind w:right="113"/>
              <w:jc w:val="right"/>
              <w:rPr>
                <w:i/>
                <w:sz w:val="16"/>
              </w:rPr>
            </w:pPr>
            <w:r w:rsidRPr="00CE54C0">
              <w:rPr>
                <w:i/>
                <w:sz w:val="16"/>
              </w:rPr>
              <w:t>Rate</w:t>
            </w:r>
            <w:r w:rsidR="00907D8C">
              <w:rPr>
                <w:i/>
                <w:sz w:val="16"/>
              </w:rPr>
              <w:t xml:space="preserve"> </w:t>
            </w:r>
            <w:r w:rsidRPr="00CE54C0">
              <w:rPr>
                <w:i/>
                <w:sz w:val="16"/>
              </w:rPr>
              <w:t>(%)</w:t>
            </w:r>
          </w:p>
        </w:tc>
        <w:tc>
          <w:tcPr>
            <w:tcW w:w="967" w:type="dxa"/>
            <w:tcBorders>
              <w:top w:val="single" w:sz="4" w:space="0" w:color="auto"/>
              <w:left w:val="single" w:sz="24" w:space="0" w:color="FFFFFF"/>
              <w:bottom w:val="single" w:sz="12" w:space="0" w:color="auto"/>
            </w:tcBorders>
            <w:shd w:val="clear" w:color="auto" w:fill="auto"/>
            <w:vAlign w:val="bottom"/>
          </w:tcPr>
          <w:p w:rsidR="0091154C" w:rsidRPr="0091154C" w:rsidRDefault="0091154C" w:rsidP="00BD732C">
            <w:pPr>
              <w:suppressAutoHyphens w:val="0"/>
              <w:spacing w:before="80" w:after="80" w:line="200" w:lineRule="exact"/>
              <w:ind w:right="113"/>
              <w:jc w:val="right"/>
              <w:rPr>
                <w:b/>
                <w:i/>
                <w:sz w:val="16"/>
              </w:rPr>
            </w:pPr>
            <w:r w:rsidRPr="0091154C">
              <w:rPr>
                <w:b/>
                <w:i/>
                <w:sz w:val="16"/>
              </w:rPr>
              <w:t>Number</w:t>
            </w:r>
          </w:p>
        </w:tc>
        <w:tc>
          <w:tcPr>
            <w:tcW w:w="968" w:type="dxa"/>
            <w:tcBorders>
              <w:top w:val="single" w:sz="4" w:space="0" w:color="auto"/>
              <w:bottom w:val="single" w:sz="12" w:space="0" w:color="auto"/>
            </w:tcBorders>
            <w:shd w:val="clear" w:color="auto" w:fill="auto"/>
            <w:vAlign w:val="bottom"/>
          </w:tcPr>
          <w:p w:rsidR="0091154C" w:rsidRPr="0091154C" w:rsidRDefault="0091154C" w:rsidP="00BD732C">
            <w:pPr>
              <w:suppressAutoHyphens w:val="0"/>
              <w:spacing w:before="80" w:after="80" w:line="200" w:lineRule="exact"/>
              <w:ind w:right="113"/>
              <w:jc w:val="right"/>
              <w:rPr>
                <w:b/>
                <w:i/>
                <w:sz w:val="16"/>
              </w:rPr>
            </w:pPr>
            <w:r w:rsidRPr="0091154C">
              <w:rPr>
                <w:b/>
                <w:i/>
                <w:sz w:val="16"/>
              </w:rPr>
              <w:t>Rate</w:t>
            </w:r>
            <w:r w:rsidR="00907D8C">
              <w:rPr>
                <w:b/>
                <w:i/>
                <w:sz w:val="16"/>
              </w:rPr>
              <w:t xml:space="preserve"> </w:t>
            </w:r>
            <w:r w:rsidRPr="0091154C">
              <w:rPr>
                <w:b/>
                <w:i/>
                <w:sz w:val="16"/>
              </w:rPr>
              <w:t>(%)</w:t>
            </w:r>
          </w:p>
        </w:tc>
      </w:tr>
      <w:tr w:rsidR="0091154C" w:rsidRPr="0091154C" w:rsidTr="003A1674">
        <w:tc>
          <w:tcPr>
            <w:tcW w:w="1566" w:type="dxa"/>
            <w:tcBorders>
              <w:top w:val="single" w:sz="12" w:space="0" w:color="auto"/>
            </w:tcBorders>
            <w:shd w:val="clear" w:color="auto" w:fill="auto"/>
          </w:tcPr>
          <w:p w:rsidR="0091154C" w:rsidRPr="00CE54C0" w:rsidRDefault="0091154C" w:rsidP="00BD732C">
            <w:pPr>
              <w:suppressAutoHyphens w:val="0"/>
              <w:spacing w:before="40" w:after="40" w:line="220" w:lineRule="exact"/>
              <w:ind w:right="113"/>
              <w:rPr>
                <w:sz w:val="18"/>
              </w:rPr>
            </w:pPr>
            <w:r w:rsidRPr="00CE54C0">
              <w:rPr>
                <w:sz w:val="18"/>
              </w:rPr>
              <w:t>0–14</w:t>
            </w:r>
          </w:p>
        </w:tc>
        <w:tc>
          <w:tcPr>
            <w:tcW w:w="967" w:type="dxa"/>
            <w:tcBorders>
              <w:top w:val="single" w:sz="12"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53</w:t>
            </w:r>
            <w:r w:rsidR="00907D8C">
              <w:rPr>
                <w:sz w:val="18"/>
              </w:rPr>
              <w:t xml:space="preserve"> </w:t>
            </w:r>
            <w:r w:rsidRPr="00CE54C0">
              <w:rPr>
                <w:sz w:val="18"/>
              </w:rPr>
              <w:t>500</w:t>
            </w:r>
          </w:p>
        </w:tc>
        <w:tc>
          <w:tcPr>
            <w:tcW w:w="967" w:type="dxa"/>
            <w:tcBorders>
              <w:top w:val="single" w:sz="12"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12</w:t>
            </w:r>
          </w:p>
        </w:tc>
        <w:tc>
          <w:tcPr>
            <w:tcW w:w="968" w:type="dxa"/>
            <w:tcBorders>
              <w:top w:val="single" w:sz="12"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36</w:t>
            </w:r>
            <w:r w:rsidR="00907D8C">
              <w:rPr>
                <w:sz w:val="18"/>
              </w:rPr>
              <w:t xml:space="preserve"> </w:t>
            </w:r>
            <w:r w:rsidRPr="00CE54C0">
              <w:rPr>
                <w:sz w:val="18"/>
              </w:rPr>
              <w:t>500</w:t>
            </w:r>
          </w:p>
        </w:tc>
        <w:tc>
          <w:tcPr>
            <w:tcW w:w="967" w:type="dxa"/>
            <w:tcBorders>
              <w:top w:val="single" w:sz="12"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9</w:t>
            </w:r>
          </w:p>
        </w:tc>
        <w:tc>
          <w:tcPr>
            <w:tcW w:w="967" w:type="dxa"/>
            <w:tcBorders>
              <w:top w:val="single" w:sz="12" w:space="0" w:color="auto"/>
            </w:tcBorders>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Pr>
                <w:b/>
                <w:sz w:val="18"/>
              </w:rPr>
              <w:t>90</w:t>
            </w:r>
            <w:r w:rsidR="00907D8C">
              <w:rPr>
                <w:b/>
                <w:sz w:val="18"/>
              </w:rPr>
              <w:t xml:space="preserve"> </w:t>
            </w:r>
            <w:r w:rsidRPr="0091154C">
              <w:rPr>
                <w:b/>
                <w:sz w:val="18"/>
              </w:rPr>
              <w:t>000</w:t>
            </w:r>
          </w:p>
        </w:tc>
        <w:tc>
          <w:tcPr>
            <w:tcW w:w="968" w:type="dxa"/>
            <w:tcBorders>
              <w:top w:val="single" w:sz="12" w:space="0" w:color="auto"/>
            </w:tcBorders>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sidRPr="0091154C">
              <w:rPr>
                <w:b/>
                <w:sz w:val="18"/>
              </w:rPr>
              <w:t>10</w:t>
            </w:r>
          </w:p>
        </w:tc>
      </w:tr>
      <w:tr w:rsidR="0091154C" w:rsidRPr="0091154C" w:rsidTr="003A1674">
        <w:tc>
          <w:tcPr>
            <w:tcW w:w="1566" w:type="dxa"/>
            <w:shd w:val="clear" w:color="auto" w:fill="auto"/>
          </w:tcPr>
          <w:p w:rsidR="0091154C" w:rsidRPr="00CE54C0" w:rsidRDefault="0091154C" w:rsidP="00BD732C">
            <w:pPr>
              <w:suppressAutoHyphens w:val="0"/>
              <w:spacing w:before="40" w:after="40" w:line="220" w:lineRule="exact"/>
              <w:ind w:right="113"/>
              <w:rPr>
                <w:sz w:val="18"/>
              </w:rPr>
            </w:pPr>
            <w:r w:rsidRPr="00CE54C0">
              <w:rPr>
                <w:sz w:val="18"/>
              </w:rPr>
              <w:t>15–44</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73</w:t>
            </w:r>
            <w:r w:rsidR="00907D8C">
              <w:rPr>
                <w:sz w:val="18"/>
              </w:rPr>
              <w:t xml:space="preserve"> </w:t>
            </w:r>
            <w:r w:rsidRPr="00CE54C0">
              <w:rPr>
                <w:sz w:val="18"/>
              </w:rPr>
              <w:t>800</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9</w:t>
            </w:r>
          </w:p>
        </w:tc>
        <w:tc>
          <w:tcPr>
            <w:tcW w:w="968"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67</w:t>
            </w:r>
            <w:r w:rsidR="00907D8C">
              <w:rPr>
                <w:sz w:val="18"/>
              </w:rPr>
              <w:t xml:space="preserve"> </w:t>
            </w:r>
            <w:r w:rsidRPr="00CE54C0">
              <w:rPr>
                <w:sz w:val="18"/>
              </w:rPr>
              <w:t>600</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8</w:t>
            </w:r>
          </w:p>
        </w:tc>
        <w:tc>
          <w:tcPr>
            <w:tcW w:w="967" w:type="dxa"/>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Pr>
                <w:b/>
                <w:sz w:val="18"/>
              </w:rPr>
              <w:t>141</w:t>
            </w:r>
            <w:r w:rsidR="00907D8C">
              <w:rPr>
                <w:b/>
                <w:sz w:val="18"/>
              </w:rPr>
              <w:t xml:space="preserve"> </w:t>
            </w:r>
            <w:r w:rsidRPr="0091154C">
              <w:rPr>
                <w:b/>
                <w:sz w:val="18"/>
              </w:rPr>
              <w:t>500</w:t>
            </w:r>
          </w:p>
        </w:tc>
        <w:tc>
          <w:tcPr>
            <w:tcW w:w="968" w:type="dxa"/>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sidRPr="0091154C">
              <w:rPr>
                <w:b/>
                <w:sz w:val="18"/>
              </w:rPr>
              <w:t>9</w:t>
            </w:r>
          </w:p>
        </w:tc>
      </w:tr>
      <w:tr w:rsidR="0091154C" w:rsidRPr="0091154C" w:rsidTr="003A1674">
        <w:tc>
          <w:tcPr>
            <w:tcW w:w="1566" w:type="dxa"/>
            <w:shd w:val="clear" w:color="auto" w:fill="auto"/>
          </w:tcPr>
          <w:p w:rsidR="0091154C" w:rsidRPr="00CE54C0" w:rsidRDefault="0091154C" w:rsidP="00BD732C">
            <w:pPr>
              <w:suppressAutoHyphens w:val="0"/>
              <w:spacing w:before="40" w:after="40" w:line="220" w:lineRule="exact"/>
              <w:ind w:right="113"/>
              <w:rPr>
                <w:sz w:val="18"/>
              </w:rPr>
            </w:pPr>
            <w:r w:rsidRPr="00CE54C0">
              <w:rPr>
                <w:sz w:val="18"/>
              </w:rPr>
              <w:t>45–64</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104</w:t>
            </w:r>
            <w:r w:rsidR="00907D8C">
              <w:rPr>
                <w:sz w:val="18"/>
              </w:rPr>
              <w:t xml:space="preserve"> </w:t>
            </w:r>
            <w:r w:rsidRPr="00CE54C0">
              <w:rPr>
                <w:sz w:val="18"/>
              </w:rPr>
              <w:t>700</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21</w:t>
            </w:r>
          </w:p>
        </w:tc>
        <w:tc>
          <w:tcPr>
            <w:tcW w:w="968"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103</w:t>
            </w:r>
            <w:r w:rsidR="00907D8C">
              <w:rPr>
                <w:sz w:val="18"/>
              </w:rPr>
              <w:t xml:space="preserve"> </w:t>
            </w:r>
            <w:r w:rsidRPr="00CE54C0">
              <w:rPr>
                <w:sz w:val="18"/>
              </w:rPr>
              <w:t>800</w:t>
            </w:r>
          </w:p>
        </w:tc>
        <w:tc>
          <w:tcPr>
            <w:tcW w:w="967" w:type="dxa"/>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19</w:t>
            </w:r>
          </w:p>
        </w:tc>
        <w:tc>
          <w:tcPr>
            <w:tcW w:w="967" w:type="dxa"/>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Pr>
                <w:b/>
                <w:sz w:val="18"/>
              </w:rPr>
              <w:t>208</w:t>
            </w:r>
            <w:r w:rsidR="00907D8C">
              <w:rPr>
                <w:b/>
                <w:sz w:val="18"/>
              </w:rPr>
              <w:t xml:space="preserve"> </w:t>
            </w:r>
            <w:r w:rsidRPr="0091154C">
              <w:rPr>
                <w:b/>
                <w:sz w:val="18"/>
              </w:rPr>
              <w:t>500</w:t>
            </w:r>
          </w:p>
        </w:tc>
        <w:tc>
          <w:tcPr>
            <w:tcW w:w="968" w:type="dxa"/>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sidRPr="0091154C">
              <w:rPr>
                <w:b/>
                <w:sz w:val="18"/>
              </w:rPr>
              <w:t>20</w:t>
            </w:r>
          </w:p>
        </w:tc>
      </w:tr>
      <w:tr w:rsidR="0091154C" w:rsidRPr="0091154C" w:rsidTr="003A1674">
        <w:tc>
          <w:tcPr>
            <w:tcW w:w="1566" w:type="dxa"/>
            <w:tcBorders>
              <w:bottom w:val="single" w:sz="4" w:space="0" w:color="auto"/>
            </w:tcBorders>
            <w:shd w:val="clear" w:color="auto" w:fill="auto"/>
          </w:tcPr>
          <w:p w:rsidR="0091154C" w:rsidRPr="00CE54C0" w:rsidRDefault="0091154C" w:rsidP="00BD732C">
            <w:pPr>
              <w:suppressAutoHyphens w:val="0"/>
              <w:spacing w:before="40" w:after="40" w:line="220" w:lineRule="exact"/>
              <w:ind w:right="113"/>
              <w:rPr>
                <w:sz w:val="18"/>
              </w:rPr>
            </w:pPr>
            <w:r w:rsidRPr="00CE54C0">
              <w:rPr>
                <w:sz w:val="18"/>
              </w:rPr>
              <w:t>65+</w:t>
            </w:r>
          </w:p>
        </w:tc>
        <w:tc>
          <w:tcPr>
            <w:tcW w:w="967" w:type="dxa"/>
            <w:tcBorders>
              <w:bottom w:val="single" w:sz="4"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95</w:t>
            </w:r>
            <w:r w:rsidR="00907D8C">
              <w:rPr>
                <w:sz w:val="18"/>
              </w:rPr>
              <w:t xml:space="preserve"> </w:t>
            </w:r>
            <w:r w:rsidRPr="00CE54C0">
              <w:rPr>
                <w:sz w:val="18"/>
              </w:rPr>
              <w:t>600</w:t>
            </w:r>
          </w:p>
        </w:tc>
        <w:tc>
          <w:tcPr>
            <w:tcW w:w="967" w:type="dxa"/>
            <w:tcBorders>
              <w:bottom w:val="single" w:sz="4"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43</w:t>
            </w:r>
          </w:p>
        </w:tc>
        <w:tc>
          <w:tcPr>
            <w:tcW w:w="968" w:type="dxa"/>
            <w:tcBorders>
              <w:bottom w:val="single" w:sz="4"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Pr>
                <w:sz w:val="18"/>
              </w:rPr>
              <w:t>124</w:t>
            </w:r>
            <w:r w:rsidR="00907D8C">
              <w:rPr>
                <w:sz w:val="18"/>
              </w:rPr>
              <w:t xml:space="preserve"> </w:t>
            </w:r>
            <w:r w:rsidRPr="00CE54C0">
              <w:rPr>
                <w:sz w:val="18"/>
              </w:rPr>
              <w:t>700</w:t>
            </w:r>
          </w:p>
        </w:tc>
        <w:tc>
          <w:tcPr>
            <w:tcW w:w="967" w:type="dxa"/>
            <w:tcBorders>
              <w:bottom w:val="single" w:sz="4" w:space="0" w:color="auto"/>
            </w:tcBorders>
            <w:shd w:val="clear" w:color="auto" w:fill="auto"/>
            <w:vAlign w:val="bottom"/>
          </w:tcPr>
          <w:p w:rsidR="0091154C" w:rsidRPr="00CE54C0" w:rsidRDefault="0091154C" w:rsidP="00BD732C">
            <w:pPr>
              <w:suppressAutoHyphens w:val="0"/>
              <w:spacing w:before="40" w:after="40" w:line="220" w:lineRule="exact"/>
              <w:ind w:right="113"/>
              <w:jc w:val="right"/>
              <w:rPr>
                <w:sz w:val="18"/>
              </w:rPr>
            </w:pPr>
            <w:r w:rsidRPr="00CE54C0">
              <w:rPr>
                <w:sz w:val="18"/>
              </w:rPr>
              <w:t>46</w:t>
            </w:r>
          </w:p>
        </w:tc>
        <w:tc>
          <w:tcPr>
            <w:tcW w:w="967" w:type="dxa"/>
            <w:tcBorders>
              <w:bottom w:val="single" w:sz="4" w:space="0" w:color="auto"/>
            </w:tcBorders>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Pr>
                <w:b/>
                <w:sz w:val="18"/>
              </w:rPr>
              <w:t>220</w:t>
            </w:r>
            <w:r w:rsidR="00907D8C">
              <w:rPr>
                <w:b/>
                <w:sz w:val="18"/>
              </w:rPr>
              <w:t xml:space="preserve"> </w:t>
            </w:r>
            <w:r w:rsidRPr="0091154C">
              <w:rPr>
                <w:b/>
                <w:sz w:val="18"/>
              </w:rPr>
              <w:t>300</w:t>
            </w:r>
          </w:p>
        </w:tc>
        <w:tc>
          <w:tcPr>
            <w:tcW w:w="968" w:type="dxa"/>
            <w:tcBorders>
              <w:bottom w:val="single" w:sz="4" w:space="0" w:color="auto"/>
            </w:tcBorders>
            <w:shd w:val="clear" w:color="auto" w:fill="auto"/>
            <w:vAlign w:val="bottom"/>
          </w:tcPr>
          <w:p w:rsidR="0091154C" w:rsidRPr="0091154C" w:rsidRDefault="0091154C" w:rsidP="00BD732C">
            <w:pPr>
              <w:suppressAutoHyphens w:val="0"/>
              <w:spacing w:before="40" w:after="40" w:line="220" w:lineRule="exact"/>
              <w:ind w:right="113"/>
              <w:jc w:val="right"/>
              <w:rPr>
                <w:b/>
                <w:sz w:val="18"/>
              </w:rPr>
            </w:pPr>
            <w:r w:rsidRPr="0091154C">
              <w:rPr>
                <w:b/>
                <w:sz w:val="18"/>
              </w:rPr>
              <w:t>45</w:t>
            </w:r>
          </w:p>
        </w:tc>
      </w:tr>
      <w:tr w:rsidR="0091154C" w:rsidRPr="0091154C" w:rsidTr="003A1674">
        <w:tc>
          <w:tcPr>
            <w:tcW w:w="1566" w:type="dxa"/>
            <w:tcBorders>
              <w:top w:val="single" w:sz="4" w:space="0" w:color="auto"/>
              <w:bottom w:val="single" w:sz="12" w:space="0" w:color="auto"/>
            </w:tcBorders>
            <w:shd w:val="clear" w:color="auto" w:fill="auto"/>
          </w:tcPr>
          <w:p w:rsidR="0091154C" w:rsidRPr="0091154C" w:rsidRDefault="0091154C" w:rsidP="00F3240B">
            <w:pPr>
              <w:suppressAutoHyphens w:val="0"/>
              <w:spacing w:before="80" w:after="80" w:line="220" w:lineRule="exact"/>
              <w:ind w:left="284" w:right="113"/>
              <w:rPr>
                <w:b/>
                <w:sz w:val="18"/>
              </w:rPr>
            </w:pPr>
            <w:r w:rsidRPr="0091154C">
              <w:rPr>
                <w:b/>
                <w:sz w:val="18"/>
              </w:rPr>
              <w:t>Total</w:t>
            </w:r>
          </w:p>
        </w:tc>
        <w:tc>
          <w:tcPr>
            <w:tcW w:w="967"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Pr>
                <w:b/>
                <w:sz w:val="18"/>
              </w:rPr>
              <w:t>327</w:t>
            </w:r>
            <w:r w:rsidR="00907D8C">
              <w:rPr>
                <w:b/>
                <w:sz w:val="18"/>
              </w:rPr>
              <w:t xml:space="preserve"> </w:t>
            </w:r>
            <w:r w:rsidRPr="0091154C">
              <w:rPr>
                <w:b/>
                <w:sz w:val="18"/>
              </w:rPr>
              <w:t>700</w:t>
            </w:r>
          </w:p>
        </w:tc>
        <w:tc>
          <w:tcPr>
            <w:tcW w:w="967"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sidRPr="0091154C">
              <w:rPr>
                <w:b/>
                <w:sz w:val="18"/>
              </w:rPr>
              <w:t>17</w:t>
            </w:r>
          </w:p>
        </w:tc>
        <w:tc>
          <w:tcPr>
            <w:tcW w:w="968"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Pr>
                <w:b/>
                <w:sz w:val="18"/>
              </w:rPr>
              <w:t>332</w:t>
            </w:r>
            <w:r w:rsidR="00907D8C">
              <w:rPr>
                <w:b/>
                <w:sz w:val="18"/>
              </w:rPr>
              <w:t xml:space="preserve"> </w:t>
            </w:r>
            <w:r w:rsidRPr="0091154C">
              <w:rPr>
                <w:b/>
                <w:sz w:val="18"/>
              </w:rPr>
              <w:t>600</w:t>
            </w:r>
          </w:p>
        </w:tc>
        <w:tc>
          <w:tcPr>
            <w:tcW w:w="967"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sidRPr="0091154C">
              <w:rPr>
                <w:b/>
                <w:sz w:val="18"/>
              </w:rPr>
              <w:t>16</w:t>
            </w:r>
          </w:p>
        </w:tc>
        <w:tc>
          <w:tcPr>
            <w:tcW w:w="967"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Pr>
                <w:b/>
                <w:sz w:val="18"/>
              </w:rPr>
              <w:t>660</w:t>
            </w:r>
            <w:r w:rsidR="00907D8C">
              <w:rPr>
                <w:b/>
                <w:sz w:val="18"/>
              </w:rPr>
              <w:t xml:space="preserve"> </w:t>
            </w:r>
            <w:r w:rsidRPr="0091154C">
              <w:rPr>
                <w:b/>
                <w:sz w:val="18"/>
              </w:rPr>
              <w:t>300</w:t>
            </w:r>
          </w:p>
        </w:tc>
        <w:tc>
          <w:tcPr>
            <w:tcW w:w="968" w:type="dxa"/>
            <w:tcBorders>
              <w:top w:val="single" w:sz="4" w:space="0" w:color="auto"/>
              <w:bottom w:val="single" w:sz="12" w:space="0" w:color="auto"/>
            </w:tcBorders>
            <w:shd w:val="clear" w:color="auto" w:fill="auto"/>
            <w:vAlign w:val="bottom"/>
          </w:tcPr>
          <w:p w:rsidR="0091154C" w:rsidRPr="0091154C" w:rsidRDefault="0091154C" w:rsidP="0091154C">
            <w:pPr>
              <w:suppressAutoHyphens w:val="0"/>
              <w:spacing w:before="80" w:after="80" w:line="220" w:lineRule="exact"/>
              <w:ind w:right="113"/>
              <w:jc w:val="right"/>
              <w:rPr>
                <w:b/>
                <w:sz w:val="18"/>
              </w:rPr>
            </w:pPr>
            <w:r w:rsidRPr="0091154C">
              <w:rPr>
                <w:b/>
                <w:sz w:val="18"/>
              </w:rPr>
              <w:t>17</w:t>
            </w:r>
          </w:p>
        </w:tc>
      </w:tr>
    </w:tbl>
    <w:p w:rsidR="00036FAC" w:rsidRPr="002B37D0" w:rsidRDefault="00CE54C0" w:rsidP="00F3240B">
      <w:pPr>
        <w:spacing w:before="120" w:after="240"/>
        <w:ind w:left="1134" w:right="1134" w:firstLine="170"/>
        <w:rPr>
          <w:sz w:val="18"/>
          <w:szCs w:val="18"/>
        </w:rPr>
      </w:pPr>
      <w:r w:rsidRPr="002B37D0">
        <w:rPr>
          <w:i/>
          <w:sz w:val="18"/>
          <w:szCs w:val="18"/>
        </w:rPr>
        <w:t>Source</w:t>
      </w:r>
      <w:r w:rsidRPr="002B37D0">
        <w:rPr>
          <w:sz w:val="18"/>
          <w:szCs w:val="18"/>
        </w:rPr>
        <w:t>:</w:t>
      </w:r>
      <w:r w:rsidR="00907D8C">
        <w:rPr>
          <w:sz w:val="18"/>
          <w:szCs w:val="18"/>
        </w:rPr>
        <w:t xml:space="preserve">  </w:t>
      </w:r>
      <w:r w:rsidRPr="002B37D0">
        <w:rPr>
          <w:sz w:val="18"/>
          <w:szCs w:val="18"/>
        </w:rPr>
        <w:t>Statistics</w:t>
      </w:r>
      <w:r w:rsidR="00907D8C">
        <w:rPr>
          <w:sz w:val="18"/>
          <w:szCs w:val="18"/>
        </w:rPr>
        <w:t xml:space="preserve"> </w:t>
      </w:r>
      <w:r w:rsidRPr="002B37D0">
        <w:rPr>
          <w:sz w:val="18"/>
          <w:szCs w:val="18"/>
        </w:rPr>
        <w:t>New</w:t>
      </w:r>
      <w:r w:rsidR="00907D8C">
        <w:rPr>
          <w:sz w:val="18"/>
          <w:szCs w:val="18"/>
        </w:rPr>
        <w:t xml:space="preserve"> </w:t>
      </w:r>
      <w:r w:rsidRPr="002B37D0">
        <w:rPr>
          <w:sz w:val="18"/>
          <w:szCs w:val="18"/>
        </w:rPr>
        <w:t>Zealand,</w:t>
      </w:r>
      <w:r w:rsidR="00907D8C">
        <w:rPr>
          <w:sz w:val="18"/>
          <w:szCs w:val="18"/>
        </w:rPr>
        <w:t xml:space="preserve"> </w:t>
      </w:r>
      <w:r w:rsidRPr="002B37D0">
        <w:rPr>
          <w:sz w:val="18"/>
          <w:szCs w:val="18"/>
        </w:rPr>
        <w:t>2006</w:t>
      </w:r>
      <w:r w:rsidR="00907D8C">
        <w:rPr>
          <w:sz w:val="18"/>
          <w:szCs w:val="18"/>
        </w:rPr>
        <w:t xml:space="preserve"> </w:t>
      </w:r>
      <w:r w:rsidRPr="002B37D0">
        <w:rPr>
          <w:sz w:val="18"/>
          <w:szCs w:val="18"/>
        </w:rPr>
        <w:t>Disability</w:t>
      </w:r>
      <w:r w:rsidR="00907D8C">
        <w:rPr>
          <w:sz w:val="18"/>
          <w:szCs w:val="18"/>
        </w:rPr>
        <w:t xml:space="preserve"> </w:t>
      </w:r>
      <w:r w:rsidRPr="002B37D0">
        <w:rPr>
          <w:sz w:val="18"/>
          <w:szCs w:val="18"/>
        </w:rPr>
        <w:t>Survey</w:t>
      </w:r>
      <w:r w:rsidR="0091154C" w:rsidRPr="002B37D0">
        <w:rPr>
          <w:sz w:val="18"/>
          <w:szCs w:val="18"/>
        </w:rPr>
        <w:t>.</w:t>
      </w:r>
    </w:p>
    <w:p w:rsidR="00036FAC" w:rsidRPr="00036FAC" w:rsidRDefault="00036FAC" w:rsidP="00BD732C">
      <w:pPr>
        <w:pStyle w:val="SingleTxtG"/>
      </w:pPr>
      <w:r w:rsidRPr="00036FAC">
        <w:t>28.</w:t>
      </w:r>
      <w:r w:rsidRPr="00036FAC">
        <w:tab/>
        <w:t>The</w:t>
      </w:r>
      <w:r w:rsidR="00907D8C">
        <w:t xml:space="preserve"> </w:t>
      </w:r>
      <w:r w:rsidRPr="00036FAC">
        <w:t>total</w:t>
      </w:r>
      <w:r w:rsidR="00907D8C">
        <w:t xml:space="preserve"> </w:t>
      </w:r>
      <w:r w:rsidRPr="00036FAC">
        <w:t>disability</w:t>
      </w:r>
      <w:r w:rsidR="00907D8C">
        <w:t xml:space="preserve"> </w:t>
      </w:r>
      <w:r w:rsidRPr="00036FAC">
        <w:t>rate</w:t>
      </w:r>
      <w:r w:rsidR="00907D8C">
        <w:t xml:space="preserve"> </w:t>
      </w:r>
      <w:r w:rsidRPr="00036FAC">
        <w:t>for</w:t>
      </w:r>
      <w:r w:rsidR="00907D8C">
        <w:t xml:space="preserve"> </w:t>
      </w:r>
      <w:r w:rsidRPr="00036FAC">
        <w:t>Māori</w:t>
      </w:r>
      <w:r w:rsidR="00907D8C">
        <w:t xml:space="preserve"> </w:t>
      </w:r>
      <w:r w:rsidRPr="00036FAC">
        <w:t>(17</w:t>
      </w:r>
      <w:r w:rsidR="00907D8C">
        <w:t xml:space="preserve"> </w:t>
      </w:r>
      <w:r w:rsidR="00AE58B5">
        <w:t>per</w:t>
      </w:r>
      <w:r w:rsidR="00907D8C">
        <w:t xml:space="preserve"> </w:t>
      </w:r>
      <w:r w:rsidR="00AE58B5">
        <w:t>cent</w:t>
      </w:r>
      <w:r w:rsidRPr="00036FAC">
        <w:t>)</w:t>
      </w:r>
      <w:r w:rsidR="00907D8C">
        <w:t xml:space="preserve"> </w:t>
      </w:r>
      <w:r w:rsidRPr="00036FAC">
        <w:t>was</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disability</w:t>
      </w:r>
      <w:r w:rsidR="00907D8C">
        <w:t xml:space="preserve"> </w:t>
      </w:r>
      <w:r w:rsidRPr="00036FAC">
        <w:t>rate</w:t>
      </w:r>
      <w:r w:rsidR="00907D8C">
        <w:t xml:space="preserve"> </w:t>
      </w:r>
      <w:r w:rsidRPr="00036FAC">
        <w:t>for</w:t>
      </w:r>
      <w:r w:rsidR="00907D8C">
        <w:t xml:space="preserve"> </w:t>
      </w:r>
      <w:r w:rsidRPr="00036FAC">
        <w:t>Pacific</w:t>
      </w:r>
      <w:r w:rsidR="00907D8C">
        <w:t xml:space="preserve"> </w:t>
      </w:r>
      <w:r w:rsidRPr="00036FAC">
        <w:t>peoples</w:t>
      </w:r>
      <w:r w:rsidR="00907D8C">
        <w:t xml:space="preserve"> </w:t>
      </w:r>
      <w:r w:rsidRPr="00036FAC">
        <w:t>(11</w:t>
      </w:r>
      <w:r w:rsidR="00907D8C">
        <w:t xml:space="preserve"> </w:t>
      </w:r>
      <w:r w:rsidR="00AE58B5">
        <w:t>per</w:t>
      </w:r>
      <w:r w:rsidR="00907D8C">
        <w:t xml:space="preserve"> </w:t>
      </w:r>
      <w:r w:rsidR="00AE58B5">
        <w:t>cent</w:t>
      </w:r>
      <w:r w:rsidRPr="00036FAC">
        <w:t>)</w:t>
      </w:r>
      <w:r w:rsidR="00907D8C">
        <w:t xml:space="preserve"> </w:t>
      </w:r>
      <w:r w:rsidRPr="00036FAC">
        <w:t>but</w:t>
      </w:r>
      <w:r w:rsidR="00907D8C">
        <w:t xml:space="preserve"> </w:t>
      </w:r>
      <w:r w:rsidRPr="00036FAC">
        <w:t>lower</w:t>
      </w:r>
      <w:r w:rsidR="00907D8C">
        <w:t xml:space="preserve"> </w:t>
      </w:r>
      <w:r w:rsidRPr="00036FAC">
        <w:t>than</w:t>
      </w:r>
      <w:r w:rsidR="00907D8C">
        <w:t xml:space="preserve"> </w:t>
      </w:r>
      <w:r w:rsidRPr="00036FAC">
        <w:t>the</w:t>
      </w:r>
      <w:r w:rsidR="00907D8C">
        <w:t xml:space="preserve"> </w:t>
      </w:r>
      <w:r w:rsidRPr="00036FAC">
        <w:t>disability</w:t>
      </w:r>
      <w:r w:rsidR="00907D8C">
        <w:t xml:space="preserve"> </w:t>
      </w:r>
      <w:r w:rsidRPr="00036FAC">
        <w:t>rate</w:t>
      </w:r>
      <w:r w:rsidR="00907D8C">
        <w:t xml:space="preserve"> </w:t>
      </w:r>
      <w:r w:rsidRPr="00036FAC">
        <w:t>for</w:t>
      </w:r>
      <w:r w:rsidR="00907D8C">
        <w:t xml:space="preserve"> </w:t>
      </w:r>
      <w:r w:rsidRPr="00036FAC">
        <w:t>Europeans</w:t>
      </w:r>
      <w:r w:rsidR="00907D8C">
        <w:t xml:space="preserve"> </w:t>
      </w:r>
      <w:r w:rsidRPr="00036FAC">
        <w:t>(18</w:t>
      </w:r>
      <w:r w:rsidR="00907D8C">
        <w:t xml:space="preserve"> </w:t>
      </w:r>
      <w:r w:rsidR="00AE58B5">
        <w:t>per</w:t>
      </w:r>
      <w:r w:rsidR="00907D8C">
        <w:t xml:space="preserve"> </w:t>
      </w:r>
      <w:r w:rsidR="00AE58B5">
        <w:t>cent</w:t>
      </w:r>
      <w:r w:rsidRPr="00036FAC">
        <w:t>).</w:t>
      </w:r>
      <w:r w:rsidR="00907D8C">
        <w:t xml:space="preserve"> </w:t>
      </w:r>
      <w:r w:rsidRPr="00036FAC">
        <w:t>The</w:t>
      </w:r>
      <w:r w:rsidR="00907D8C">
        <w:t xml:space="preserve"> </w:t>
      </w:r>
      <w:r w:rsidRPr="00036FAC">
        <w:t>Asian</w:t>
      </w:r>
      <w:r w:rsidR="00907D8C">
        <w:t xml:space="preserve"> </w:t>
      </w:r>
      <w:r w:rsidRPr="00036FAC">
        <w:t>population</w:t>
      </w:r>
      <w:r w:rsidR="00907D8C">
        <w:t xml:space="preserve"> </w:t>
      </w:r>
      <w:r w:rsidRPr="00036FAC">
        <w:t>had</w:t>
      </w:r>
      <w:r w:rsidR="00907D8C">
        <w:t xml:space="preserve"> </w:t>
      </w:r>
      <w:r w:rsidRPr="00036FAC">
        <w:t>the</w:t>
      </w:r>
      <w:r w:rsidR="00907D8C">
        <w:t xml:space="preserve"> </w:t>
      </w:r>
      <w:r w:rsidRPr="00036FAC">
        <w:t>lowest</w:t>
      </w:r>
      <w:r w:rsidR="00907D8C">
        <w:t xml:space="preserve"> </w:t>
      </w:r>
      <w:r w:rsidRPr="00036FAC">
        <w:t>rate</w:t>
      </w:r>
      <w:r w:rsidR="00907D8C">
        <w:t xml:space="preserve"> </w:t>
      </w:r>
      <w:r w:rsidRPr="00036FAC">
        <w:t>(5</w:t>
      </w:r>
      <w:r w:rsidR="00907D8C">
        <w:t xml:space="preserve"> </w:t>
      </w:r>
      <w:r w:rsidR="00AE58B5">
        <w:t>per</w:t>
      </w:r>
      <w:r w:rsidR="00907D8C">
        <w:t xml:space="preserve"> </w:t>
      </w:r>
      <w:r w:rsidR="00AE58B5">
        <w:t>cent</w:t>
      </w:r>
      <w:r w:rsidRPr="00036FAC">
        <w:t>).</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have</w:t>
      </w:r>
      <w:r w:rsidR="00907D8C">
        <w:t xml:space="preserve"> </w:t>
      </w:r>
      <w:r w:rsidRPr="00036FAC">
        <w:t>a</w:t>
      </w:r>
      <w:r w:rsidR="00907D8C">
        <w:t xml:space="preserve"> </w:t>
      </w:r>
      <w:r w:rsidRPr="00036FAC">
        <w:t>younger</w:t>
      </w:r>
      <w:r w:rsidR="00907D8C">
        <w:t xml:space="preserve"> </w:t>
      </w:r>
      <w:r w:rsidRPr="00036FAC">
        <w:t>age</w:t>
      </w:r>
      <w:r w:rsidR="00907D8C">
        <w:t xml:space="preserve"> </w:t>
      </w:r>
      <w:r w:rsidRPr="00036FAC">
        <w:t>structure</w:t>
      </w:r>
      <w:r w:rsidR="00907D8C">
        <w:t xml:space="preserve"> </w:t>
      </w:r>
      <w:r w:rsidRPr="00036FAC">
        <w:t>than</w:t>
      </w:r>
      <w:r w:rsidR="00907D8C">
        <w:t xml:space="preserve"> </w:t>
      </w:r>
      <w:r w:rsidRPr="00036FAC">
        <w:t>Europeans,</w:t>
      </w:r>
      <w:r w:rsidR="00907D8C">
        <w:t xml:space="preserve"> </w:t>
      </w:r>
      <w:r w:rsidRPr="00036FAC">
        <w:t>therefore</w:t>
      </w:r>
      <w:r w:rsidR="00907D8C">
        <w:t xml:space="preserve"> </w:t>
      </w:r>
      <w:r w:rsidRPr="00036FAC">
        <w:t>disability</w:t>
      </w:r>
      <w:r w:rsidR="00907D8C">
        <w:t xml:space="preserve"> </w:t>
      </w:r>
      <w:r w:rsidRPr="00036FAC">
        <w:t>rates</w:t>
      </w:r>
      <w:r w:rsidR="00907D8C">
        <w:t xml:space="preserve"> </w:t>
      </w:r>
      <w:r w:rsidRPr="00036FAC">
        <w:t>should</w:t>
      </w:r>
      <w:r w:rsidR="00907D8C">
        <w:t xml:space="preserve"> </w:t>
      </w:r>
      <w:r w:rsidRPr="00036FAC">
        <w:t>be</w:t>
      </w:r>
      <w:r w:rsidR="00907D8C">
        <w:t xml:space="preserve"> </w:t>
      </w:r>
      <w:r w:rsidRPr="00036FAC">
        <w:t>compared</w:t>
      </w:r>
      <w:r w:rsidR="00907D8C">
        <w:t xml:space="preserve"> </w:t>
      </w:r>
      <w:r w:rsidRPr="00036FAC">
        <w:t>by</w:t>
      </w:r>
      <w:r w:rsidR="00907D8C">
        <w:t xml:space="preserve"> </w:t>
      </w:r>
      <w:r w:rsidRPr="00036FAC">
        <w:t>age</w:t>
      </w:r>
      <w:r w:rsidR="00907D8C">
        <w:t xml:space="preserve"> </w:t>
      </w:r>
      <w:r w:rsidRPr="00036FAC">
        <w:t>group.</w:t>
      </w:r>
      <w:r w:rsidR="00907D8C">
        <w:t xml:space="preserve"> </w:t>
      </w:r>
      <w:r w:rsidRPr="00036FAC">
        <w:t>In</w:t>
      </w:r>
      <w:r w:rsidR="00907D8C">
        <w:t xml:space="preserve"> </w:t>
      </w:r>
      <w:r w:rsidRPr="00036FAC">
        <w:t>every</w:t>
      </w:r>
      <w:r w:rsidR="00907D8C">
        <w:t xml:space="preserve"> </w:t>
      </w:r>
      <w:r w:rsidRPr="00036FAC">
        <w:t>age</w:t>
      </w:r>
      <w:r w:rsidR="00907D8C">
        <w:t xml:space="preserve"> </w:t>
      </w:r>
      <w:r w:rsidRPr="00036FAC">
        <w:t>group,</w:t>
      </w:r>
      <w:r w:rsidR="00907D8C">
        <w:t xml:space="preserve"> </w:t>
      </w:r>
      <w:r w:rsidRPr="00036FAC">
        <w:t>Māori</w:t>
      </w:r>
      <w:r w:rsidR="00907D8C">
        <w:t xml:space="preserve"> </w:t>
      </w:r>
      <w:r w:rsidRPr="00036FAC">
        <w:t>had</w:t>
      </w:r>
      <w:r w:rsidR="00907D8C">
        <w:t xml:space="preserve"> </w:t>
      </w:r>
      <w:r w:rsidRPr="00036FAC">
        <w:t>a</w:t>
      </w:r>
      <w:r w:rsidR="00907D8C">
        <w:t xml:space="preserve"> </w:t>
      </w:r>
      <w:r w:rsidRPr="00036FAC">
        <w:t>higher</w:t>
      </w:r>
      <w:r w:rsidR="00907D8C">
        <w:t xml:space="preserve"> </w:t>
      </w:r>
      <w:r w:rsidRPr="00036FAC">
        <w:t>disability</w:t>
      </w:r>
      <w:r w:rsidR="00907D8C">
        <w:t xml:space="preserve"> </w:t>
      </w:r>
      <w:r w:rsidRPr="00036FAC">
        <w:t>rate</w:t>
      </w:r>
      <w:r w:rsidR="00907D8C">
        <w:t xml:space="preserve"> </w:t>
      </w:r>
      <w:r w:rsidRPr="00036FAC">
        <w:t>than</w:t>
      </w:r>
      <w:r w:rsidR="00907D8C">
        <w:t xml:space="preserve"> </w:t>
      </w:r>
      <w:r w:rsidRPr="00036FAC">
        <w:t>other</w:t>
      </w:r>
      <w:r w:rsidR="00907D8C">
        <w:t xml:space="preserve"> </w:t>
      </w:r>
      <w:r w:rsidRPr="00036FAC">
        <w:t>ethnic</w:t>
      </w:r>
      <w:r w:rsidR="00907D8C">
        <w:t xml:space="preserve"> </w:t>
      </w:r>
      <w:r w:rsidRPr="00036FAC">
        <w:t>groups.</w:t>
      </w:r>
    </w:p>
    <w:p w:rsidR="00036FAC" w:rsidRPr="00036FAC" w:rsidRDefault="00036FAC" w:rsidP="00BD732C">
      <w:pPr>
        <w:pStyle w:val="SingleTxtG"/>
      </w:pPr>
      <w:r w:rsidRPr="00036FAC">
        <w:t>29.</w:t>
      </w:r>
      <w:r w:rsidRPr="00036FAC">
        <w:tab/>
        <w:t>Only</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15–64</w:t>
      </w:r>
      <w:r w:rsidR="00907D8C">
        <w:t xml:space="preserve"> </w:t>
      </w:r>
      <w:r w:rsidRPr="00036FAC">
        <w:t>year</w:t>
      </w:r>
      <w:r w:rsidR="00907D8C">
        <w:t xml:space="preserve"> </w:t>
      </w:r>
      <w:r w:rsidRPr="00036FAC">
        <w:t>olds</w:t>
      </w:r>
      <w:r w:rsidR="00907D8C">
        <w:t xml:space="preserve"> </w:t>
      </w:r>
      <w:r w:rsidRPr="00036FAC">
        <w:t>with</w:t>
      </w:r>
      <w:r w:rsidR="00907D8C">
        <w:t xml:space="preserve"> </w:t>
      </w:r>
      <w:r w:rsidRPr="00036FAC">
        <w:t>a</w:t>
      </w:r>
      <w:r w:rsidR="00907D8C">
        <w:t xml:space="preserve"> </w:t>
      </w:r>
      <w:r w:rsidRPr="00036FAC">
        <w:t>disability</w:t>
      </w:r>
      <w:r w:rsidR="00907D8C">
        <w:t xml:space="preserve"> </w:t>
      </w:r>
      <w:r w:rsidRPr="00036FAC">
        <w:t>were</w:t>
      </w:r>
      <w:r w:rsidR="00907D8C">
        <w:t xml:space="preserve"> </w:t>
      </w:r>
      <w:r w:rsidRPr="00036FAC">
        <w:t>employed</w:t>
      </w:r>
      <w:r w:rsidR="00907D8C">
        <w:t xml:space="preserve"> </w:t>
      </w:r>
      <w:r w:rsidRPr="00036FAC">
        <w:t>in</w:t>
      </w:r>
      <w:r w:rsidR="00907D8C">
        <w:t xml:space="preserve"> </w:t>
      </w:r>
      <w:r w:rsidRPr="00036FAC">
        <w:t>2006,</w:t>
      </w:r>
      <w:r w:rsidR="00907D8C">
        <w:t xml:space="preserve"> </w:t>
      </w:r>
      <w:r w:rsidRPr="00036FAC">
        <w:t>compared</w:t>
      </w:r>
      <w:r w:rsidR="00907D8C">
        <w:t xml:space="preserve"> </w:t>
      </w:r>
      <w:r w:rsidRPr="00036FAC">
        <w:t>with</w:t>
      </w:r>
      <w:r w:rsidR="00907D8C">
        <w:t xml:space="preserve"> </w:t>
      </w:r>
      <w:r w:rsidRPr="00036FAC">
        <w:t>80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non-disabled</w:t>
      </w:r>
      <w:r w:rsidR="00907D8C">
        <w:t xml:space="preserve"> </w:t>
      </w:r>
      <w:r w:rsidRPr="00036FAC">
        <w:t>15–64</w:t>
      </w:r>
      <w:r w:rsidR="00907D8C">
        <w:t xml:space="preserve"> </w:t>
      </w:r>
      <w:r w:rsidRPr="00036FAC">
        <w:t>year</w:t>
      </w:r>
      <w:r w:rsidR="00907D8C">
        <w:t xml:space="preserve"> </w:t>
      </w:r>
      <w:r w:rsidR="00BD732C">
        <w:t>olds.</w:t>
      </w:r>
    </w:p>
    <w:p w:rsidR="00036FAC" w:rsidRPr="00036FAC" w:rsidRDefault="00BD732C" w:rsidP="006C436C">
      <w:pPr>
        <w:pStyle w:val="H23G"/>
      </w:pPr>
      <w:r>
        <w:tab/>
        <w:t>10.</w:t>
      </w:r>
      <w:r>
        <w:tab/>
        <w:t>Economy</w:t>
      </w:r>
    </w:p>
    <w:p w:rsidR="00036FAC" w:rsidRPr="00036FAC" w:rsidRDefault="00036FAC" w:rsidP="00BD732C">
      <w:pPr>
        <w:pStyle w:val="SingleTxtG"/>
      </w:pPr>
      <w:r w:rsidRPr="00036FAC">
        <w:t>30.</w:t>
      </w:r>
      <w:r w:rsidRPr="00036FAC">
        <w:tab/>
        <w:t>New</w:t>
      </w:r>
      <w:r w:rsidR="00907D8C">
        <w:t xml:space="preserve"> </w:t>
      </w:r>
      <w:r w:rsidRPr="00036FAC">
        <w:t>Zealand</w:t>
      </w:r>
      <w:r w:rsidR="00907D8C">
        <w:t xml:space="preserve"> </w:t>
      </w:r>
      <w:r w:rsidRPr="00036FAC">
        <w:t>is</w:t>
      </w:r>
      <w:r w:rsidR="00907D8C">
        <w:t xml:space="preserve"> </w:t>
      </w:r>
      <w:r w:rsidRPr="00036FAC">
        <w:t>a</w:t>
      </w:r>
      <w:r w:rsidR="00907D8C">
        <w:t xml:space="preserve"> </w:t>
      </w:r>
      <w:r w:rsidRPr="00036FAC">
        <w:t>developed</w:t>
      </w:r>
      <w:r w:rsidR="00907D8C">
        <w:t xml:space="preserve"> </w:t>
      </w:r>
      <w:r w:rsidRPr="00036FAC">
        <w:t>country</w:t>
      </w:r>
      <w:r w:rsidR="00907D8C">
        <w:t xml:space="preserve"> </w:t>
      </w:r>
      <w:r w:rsidRPr="00036FAC">
        <w:t>with</w:t>
      </w:r>
      <w:r w:rsidR="00907D8C">
        <w:t xml:space="preserve"> </w:t>
      </w:r>
      <w:r w:rsidRPr="00036FAC">
        <w:t>a</w:t>
      </w:r>
      <w:r w:rsidR="00907D8C">
        <w:t xml:space="preserve"> </w:t>
      </w:r>
      <w:r w:rsidRPr="00036FAC">
        <w:t>market</w:t>
      </w:r>
      <w:r w:rsidR="00907D8C">
        <w:t xml:space="preserve"> </w:t>
      </w:r>
      <w:r w:rsidRPr="00036FAC">
        <w:t>economy.</w:t>
      </w:r>
      <w:r w:rsidR="00907D8C">
        <w:t xml:space="preserve"> </w:t>
      </w:r>
      <w:r w:rsidRPr="00036FAC">
        <w:t>During</w:t>
      </w:r>
      <w:r w:rsidR="00907D8C">
        <w:t xml:space="preserve"> </w:t>
      </w:r>
      <w:r w:rsidRPr="00036FAC">
        <w:t>the</w:t>
      </w:r>
      <w:r w:rsidR="00907D8C">
        <w:t xml:space="preserve"> </w:t>
      </w:r>
      <w:r w:rsidRPr="00036FAC">
        <w:t>1980s</w:t>
      </w:r>
      <w:r w:rsidR="00907D8C">
        <w:t xml:space="preserve"> </w:t>
      </w:r>
      <w:r w:rsidRPr="00036FAC">
        <w:t>and</w:t>
      </w:r>
      <w:r w:rsidR="00907D8C">
        <w:t xml:space="preserve"> </w:t>
      </w:r>
      <w:r w:rsidRPr="00036FAC">
        <w:t>early</w:t>
      </w:r>
      <w:r w:rsidR="00907D8C">
        <w:t xml:space="preserve"> </w:t>
      </w:r>
      <w:r w:rsidRPr="00036FAC">
        <w:t>1990s</w:t>
      </w:r>
      <w:r w:rsidR="00907D8C">
        <w:t xml:space="preserve"> </w:t>
      </w:r>
      <w:r w:rsidRPr="00036FAC">
        <w:t>New</w:t>
      </w:r>
      <w:r w:rsidR="00907D8C">
        <w:t xml:space="preserve"> </w:t>
      </w:r>
      <w:r w:rsidRPr="00036FAC">
        <w:t>Zealand,</w:t>
      </w:r>
      <w:r w:rsidR="00907D8C">
        <w:t xml:space="preserve"> </w:t>
      </w:r>
      <w:r w:rsidRPr="00036FAC">
        <w:t>like</w:t>
      </w:r>
      <w:r w:rsidR="00907D8C">
        <w:t xml:space="preserve"> </w:t>
      </w:r>
      <w:r w:rsidRPr="00036FAC">
        <w:t>many</w:t>
      </w:r>
      <w:r w:rsidR="00907D8C">
        <w:t xml:space="preserve"> </w:t>
      </w:r>
      <w:r w:rsidRPr="00036FAC">
        <w:t>other</w:t>
      </w:r>
      <w:r w:rsidR="00907D8C">
        <w:t xml:space="preserve"> </w:t>
      </w:r>
      <w:r w:rsidRPr="00036FAC">
        <w:t>countries,</w:t>
      </w:r>
      <w:r w:rsidR="00907D8C">
        <w:t xml:space="preserve"> </w:t>
      </w:r>
      <w:r w:rsidRPr="00036FAC">
        <w:t>experienced</w:t>
      </w:r>
      <w:r w:rsidR="00907D8C">
        <w:t xml:space="preserve"> </w:t>
      </w:r>
      <w:r w:rsidRPr="00036FAC">
        <w:t>a</w:t>
      </w:r>
      <w:r w:rsidR="00907D8C">
        <w:t xml:space="preserve"> </w:t>
      </w:r>
      <w:r w:rsidRPr="00036FAC">
        <w:t>sustained</w:t>
      </w:r>
      <w:r w:rsidR="00907D8C">
        <w:t xml:space="preserve"> </w:t>
      </w:r>
      <w:r w:rsidRPr="00036FAC">
        <w:t>period</w:t>
      </w:r>
      <w:r w:rsidR="00907D8C">
        <w:t xml:space="preserve"> </w:t>
      </w:r>
      <w:r w:rsidRPr="00036FAC">
        <w:t>of</w:t>
      </w:r>
      <w:r w:rsidR="00907D8C">
        <w:t xml:space="preserve"> </w:t>
      </w:r>
      <w:r w:rsidRPr="00036FAC">
        <w:t>rather</w:t>
      </w:r>
      <w:r w:rsidR="00907D8C">
        <w:t xml:space="preserve"> </w:t>
      </w:r>
      <w:r w:rsidRPr="00036FAC">
        <w:t>flat</w:t>
      </w:r>
      <w:r w:rsidR="00907D8C">
        <w:t xml:space="preserve"> </w:t>
      </w:r>
      <w:r w:rsidRPr="00036FAC">
        <w:t>economic</w:t>
      </w:r>
      <w:r w:rsidR="00907D8C">
        <w:t xml:space="preserve"> </w:t>
      </w:r>
      <w:r w:rsidRPr="00036FAC">
        <w:t>growth.</w:t>
      </w:r>
      <w:r w:rsidR="00907D8C">
        <w:t xml:space="preserve"> </w:t>
      </w:r>
      <w:r w:rsidRPr="00036FAC">
        <w:t>Since</w:t>
      </w:r>
      <w:r w:rsidR="00907D8C">
        <w:t xml:space="preserve"> </w:t>
      </w:r>
      <w:r w:rsidRPr="00036FAC">
        <w:t>2000,</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economic</w:t>
      </w:r>
      <w:r w:rsidR="00907D8C">
        <w:t xml:space="preserve"> </w:t>
      </w:r>
      <w:r w:rsidRPr="00036FAC">
        <w:t>growth</w:t>
      </w:r>
      <w:r w:rsidR="00907D8C">
        <w:t xml:space="preserve"> </w:t>
      </w:r>
      <w:r w:rsidRPr="00036FAC">
        <w:t>has</w:t>
      </w:r>
      <w:r w:rsidR="00907D8C">
        <w:t xml:space="preserve"> </w:t>
      </w:r>
      <w:r w:rsidRPr="00036FAC">
        <w:t>averaged</w:t>
      </w:r>
      <w:r w:rsidR="00907D8C">
        <w:t xml:space="preserve"> </w:t>
      </w:r>
      <w:r w:rsidRPr="00036FAC">
        <w:t>3.1</w:t>
      </w:r>
      <w:r w:rsidR="00907D8C">
        <w:t xml:space="preserve"> </w:t>
      </w:r>
      <w:r w:rsidR="001B201B">
        <w:t>per</w:t>
      </w:r>
      <w:r w:rsidR="00907D8C">
        <w:t xml:space="preserve"> </w:t>
      </w:r>
      <w:r w:rsidR="001B201B">
        <w:t>cent</w:t>
      </w:r>
      <w:r w:rsidR="00907D8C">
        <w:t xml:space="preserve"> </w:t>
      </w:r>
      <w:r w:rsidRPr="00036FAC">
        <w:t>per</w:t>
      </w:r>
      <w:r w:rsidR="00907D8C">
        <w:t xml:space="preserve"> </w:t>
      </w:r>
      <w:r w:rsidRPr="00036FAC">
        <w:t>year.</w:t>
      </w:r>
      <w:r w:rsidR="00907D8C">
        <w:t xml:space="preserve"> </w:t>
      </w:r>
      <w:r w:rsidRPr="00036FAC">
        <w:t>Recent</w:t>
      </w:r>
      <w:r w:rsidR="00907D8C">
        <w:t xml:space="preserve"> </w:t>
      </w:r>
      <w:r w:rsidRPr="00036FAC">
        <w:t>growth</w:t>
      </w:r>
      <w:r w:rsidR="00907D8C">
        <w:t xml:space="preserve"> </w:t>
      </w:r>
      <w:r w:rsidRPr="00036FAC">
        <w:t>has</w:t>
      </w:r>
      <w:r w:rsidR="00907D8C">
        <w:t xml:space="preserve"> </w:t>
      </w:r>
      <w:r w:rsidRPr="00036FAC">
        <w:t>been</w:t>
      </w:r>
      <w:r w:rsidR="00907D8C">
        <w:t xml:space="preserve"> </w:t>
      </w:r>
      <w:r w:rsidRPr="00036FAC">
        <w:t>impacted</w:t>
      </w:r>
      <w:r w:rsidR="00907D8C">
        <w:t xml:space="preserve"> </w:t>
      </w:r>
      <w:r w:rsidRPr="00036FAC">
        <w:t>by</w:t>
      </w:r>
      <w:r w:rsidR="00907D8C">
        <w:t xml:space="preserve"> </w:t>
      </w:r>
      <w:r w:rsidRPr="00036FAC">
        <w:t>the</w:t>
      </w:r>
      <w:r w:rsidR="00907D8C">
        <w:t xml:space="preserve"> </w:t>
      </w:r>
      <w:r w:rsidRPr="00036FAC">
        <w:t>global</w:t>
      </w:r>
      <w:r w:rsidR="00907D8C">
        <w:t xml:space="preserve"> </w:t>
      </w:r>
      <w:r w:rsidRPr="00036FAC">
        <w:t>slowdown,</w:t>
      </w:r>
      <w:r w:rsidR="00907D8C">
        <w:t xml:space="preserve"> </w:t>
      </w:r>
      <w:r w:rsidRPr="00036FAC">
        <w:t>averaging</w:t>
      </w:r>
      <w:r w:rsidR="00907D8C">
        <w:t xml:space="preserve"> </w:t>
      </w:r>
      <w:r w:rsidRPr="00036FAC">
        <w:t>1.0</w:t>
      </w:r>
      <w:r w:rsidR="00907D8C">
        <w:t xml:space="preserve"> </w:t>
      </w:r>
      <w:r w:rsidR="001B201B">
        <w:t>per</w:t>
      </w:r>
      <w:r w:rsidR="00907D8C">
        <w:t xml:space="preserve"> </w:t>
      </w:r>
      <w:r w:rsidR="001B201B">
        <w:t>cent</w:t>
      </w:r>
      <w:r w:rsidR="00907D8C">
        <w:t xml:space="preserve"> </w:t>
      </w:r>
      <w:r w:rsidRPr="00036FAC">
        <w:t>over</w:t>
      </w:r>
      <w:r w:rsidR="00907D8C">
        <w:t xml:space="preserve"> </w:t>
      </w:r>
      <w:r w:rsidRPr="00036FAC">
        <w:t>the</w:t>
      </w:r>
      <w:r w:rsidR="00907D8C">
        <w:t xml:space="preserve"> </w:t>
      </w:r>
      <w:r w:rsidRPr="00036FAC">
        <w:t>past</w:t>
      </w:r>
      <w:r w:rsidR="00907D8C">
        <w:t xml:space="preserve"> </w:t>
      </w:r>
      <w:r w:rsidRPr="00036FAC">
        <w:t>five</w:t>
      </w:r>
      <w:r w:rsidR="00907D8C">
        <w:t xml:space="preserve"> </w:t>
      </w:r>
      <w:r w:rsidRPr="00036FAC">
        <w:t>years.</w:t>
      </w:r>
      <w:r w:rsidR="00907D8C">
        <w:t xml:space="preserve"> </w:t>
      </w:r>
      <w:r w:rsidRPr="00036FAC">
        <w:t>Although</w:t>
      </w:r>
      <w:r w:rsidR="00907D8C">
        <w:t xml:space="preserve"> </w:t>
      </w:r>
      <w:r w:rsidRPr="00036FAC">
        <w:t>living</w:t>
      </w:r>
      <w:r w:rsidR="00907D8C">
        <w:t xml:space="preserve"> </w:t>
      </w:r>
      <w:r w:rsidRPr="00036FAC">
        <w:t>standards</w:t>
      </w:r>
      <w:r w:rsidR="00907D8C">
        <w:t xml:space="preserve"> </w:t>
      </w:r>
      <w:r w:rsidRPr="00036FAC">
        <w:t>remain</w:t>
      </w:r>
      <w:r w:rsidR="00907D8C">
        <w:t xml:space="preserve"> </w:t>
      </w:r>
      <w:r w:rsidRPr="00036FAC">
        <w:t>relatively</w:t>
      </w:r>
      <w:r w:rsidR="00907D8C">
        <w:t xml:space="preserve"> </w:t>
      </w:r>
      <w:r w:rsidRPr="00036FAC">
        <w:t>high</w:t>
      </w:r>
      <w:r w:rsidR="00907D8C">
        <w:t xml:space="preserve"> </w:t>
      </w:r>
      <w:r w:rsidRPr="00036FAC">
        <w:t>by</w:t>
      </w:r>
      <w:r w:rsidR="00907D8C">
        <w:t xml:space="preserve"> </w:t>
      </w:r>
      <w:r w:rsidRPr="00036FAC">
        <w:t>international</w:t>
      </w:r>
      <w:r w:rsidR="00907D8C">
        <w:t xml:space="preserve"> </w:t>
      </w:r>
      <w:r w:rsidRPr="00036FAC">
        <w:t>standards,</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slipped</w:t>
      </w:r>
      <w:r w:rsidR="00907D8C">
        <w:t xml:space="preserve"> </w:t>
      </w:r>
      <w:r w:rsidRPr="00036FAC">
        <w:t>down</w:t>
      </w:r>
      <w:r w:rsidR="00907D8C">
        <w:t xml:space="preserve"> </w:t>
      </w:r>
      <w:r w:rsidRPr="00036FAC">
        <w:t>the</w:t>
      </w:r>
      <w:r w:rsidR="00907D8C">
        <w:t xml:space="preserve"> </w:t>
      </w:r>
      <w:r w:rsidRPr="00036FAC">
        <w:t>Organisation</w:t>
      </w:r>
      <w:r w:rsidR="00907D8C">
        <w:t xml:space="preserve"> </w:t>
      </w:r>
      <w:r w:rsidRPr="00036FAC">
        <w:t>for</w:t>
      </w:r>
      <w:r w:rsidR="00907D8C">
        <w:t xml:space="preserve"> </w:t>
      </w:r>
      <w:r w:rsidRPr="00036FAC">
        <w:t>Economic</w:t>
      </w:r>
      <w:r w:rsidR="00907D8C">
        <w:t xml:space="preserve"> </w:t>
      </w:r>
      <w:r w:rsidRPr="00036FAC">
        <w:t>Co-operation</w:t>
      </w:r>
      <w:r w:rsidR="00907D8C">
        <w:t xml:space="preserve"> </w:t>
      </w:r>
      <w:r w:rsidRPr="00036FAC">
        <w:t>and</w:t>
      </w:r>
      <w:r w:rsidR="00907D8C">
        <w:t xml:space="preserve"> </w:t>
      </w:r>
      <w:r w:rsidRPr="00036FAC">
        <w:t>Development</w:t>
      </w:r>
      <w:r w:rsidR="00907D8C">
        <w:t xml:space="preserve"> </w:t>
      </w:r>
      <w:r w:rsidRPr="00036FAC">
        <w:t>(OECD)</w:t>
      </w:r>
      <w:r w:rsidR="00907D8C">
        <w:t xml:space="preserve"> </w:t>
      </w:r>
      <w:r w:rsidRPr="00036FAC">
        <w:t>per</w:t>
      </w:r>
      <w:r w:rsidR="00907D8C">
        <w:t xml:space="preserve"> </w:t>
      </w:r>
      <w:r w:rsidRPr="00036FAC">
        <w:t>capita</w:t>
      </w:r>
      <w:r w:rsidR="00907D8C">
        <w:t xml:space="preserve"> </w:t>
      </w:r>
      <w:r w:rsidRPr="00036FAC">
        <w:t>income</w:t>
      </w:r>
      <w:r w:rsidR="00907D8C">
        <w:t xml:space="preserve"> </w:t>
      </w:r>
      <w:r w:rsidRPr="00036FAC">
        <w:t>rankings,</w:t>
      </w:r>
      <w:r w:rsidR="00907D8C">
        <w:t xml:space="preserve"> </w:t>
      </w:r>
      <w:r w:rsidRPr="00036FAC">
        <w:t>primarily</w:t>
      </w:r>
      <w:r w:rsidR="00907D8C">
        <w:t xml:space="preserve"> </w:t>
      </w:r>
      <w:r w:rsidRPr="00036FAC">
        <w:t>because</w:t>
      </w:r>
      <w:r w:rsidR="00907D8C">
        <w:t xml:space="preserve"> </w:t>
      </w:r>
      <w:r w:rsidRPr="00036FAC">
        <w:t>of</w:t>
      </w:r>
      <w:r w:rsidR="00907D8C">
        <w:t xml:space="preserve"> </w:t>
      </w:r>
      <w:r w:rsidRPr="00036FAC">
        <w:t>the</w:t>
      </w:r>
      <w:r w:rsidR="00907D8C">
        <w:t xml:space="preserve"> </w:t>
      </w:r>
      <w:r w:rsidRPr="00036FAC">
        <w:t>rapid</w:t>
      </w:r>
      <w:r w:rsidR="00907D8C">
        <w:t xml:space="preserve"> </w:t>
      </w:r>
      <w:r w:rsidRPr="00036FAC">
        <w:t>rise</w:t>
      </w:r>
      <w:r w:rsidR="00907D8C">
        <w:t xml:space="preserve"> </w:t>
      </w:r>
      <w:r w:rsidRPr="00036FAC">
        <w:t>in</w:t>
      </w:r>
      <w:r w:rsidR="00907D8C">
        <w:t xml:space="preserve"> </w:t>
      </w:r>
      <w:r w:rsidRPr="00036FAC">
        <w:t>income</w:t>
      </w:r>
      <w:r w:rsidR="00907D8C">
        <w:t xml:space="preserve"> </w:t>
      </w:r>
      <w:r w:rsidRPr="00036FAC">
        <w:t>in</w:t>
      </w:r>
      <w:r w:rsidR="00907D8C">
        <w:t xml:space="preserve"> </w:t>
      </w:r>
      <w:r w:rsidRPr="00036FAC">
        <w:t>other</w:t>
      </w:r>
      <w:r w:rsidR="00907D8C">
        <w:t xml:space="preserve"> </w:t>
      </w:r>
      <w:r w:rsidRPr="00036FAC">
        <w:t>OECD</w:t>
      </w:r>
      <w:r w:rsidR="00907D8C">
        <w:t xml:space="preserve"> </w:t>
      </w:r>
      <w:r w:rsidRPr="00036FAC">
        <w:t>economies.</w:t>
      </w:r>
    </w:p>
    <w:p w:rsidR="00036FAC" w:rsidRPr="00036FAC" w:rsidRDefault="00036FAC" w:rsidP="00BD732C">
      <w:pPr>
        <w:pStyle w:val="SingleTxtG"/>
      </w:pPr>
      <w:r w:rsidRPr="00036FAC">
        <w:t>31.</w:t>
      </w:r>
      <w:r w:rsidRPr="00036FAC">
        <w:tab/>
        <w:t>New</w:t>
      </w:r>
      <w:r w:rsidR="00907D8C">
        <w:t xml:space="preserve"> </w:t>
      </w:r>
      <w:r w:rsidRPr="00036FAC">
        <w:t>Zealand</w:t>
      </w:r>
      <w:r w:rsidR="003E4D94">
        <w:t>’</w:t>
      </w:r>
      <w:r w:rsidRPr="00036FAC">
        <w:t>s</w:t>
      </w:r>
      <w:r w:rsidR="00907D8C">
        <w:t xml:space="preserve"> </w:t>
      </w:r>
      <w:r w:rsidRPr="00036FAC">
        <w:t>small</w:t>
      </w:r>
      <w:r w:rsidR="00907D8C">
        <w:t xml:space="preserve"> </w:t>
      </w:r>
      <w:r w:rsidRPr="00036FAC">
        <w:t>economy</w:t>
      </w:r>
      <w:r w:rsidR="00907D8C">
        <w:t xml:space="preserve"> </w:t>
      </w:r>
      <w:r w:rsidRPr="00036FAC">
        <w:t>is</w:t>
      </w:r>
      <w:r w:rsidR="00907D8C">
        <w:t xml:space="preserve"> </w:t>
      </w:r>
      <w:r w:rsidRPr="00036FAC">
        <w:t>dependent</w:t>
      </w:r>
      <w:r w:rsidR="00907D8C">
        <w:t xml:space="preserve"> </w:t>
      </w:r>
      <w:r w:rsidRPr="00036FAC">
        <w:t>on</w:t>
      </w:r>
      <w:r w:rsidR="00907D8C">
        <w:t xml:space="preserve"> </w:t>
      </w:r>
      <w:r w:rsidRPr="00036FAC">
        <w:t>overseas</w:t>
      </w:r>
      <w:r w:rsidR="00907D8C">
        <w:t xml:space="preserve"> </w:t>
      </w:r>
      <w:r w:rsidRPr="00036FAC">
        <w:t>trade</w:t>
      </w:r>
      <w:r w:rsidR="00907D8C">
        <w:t xml:space="preserve"> </w:t>
      </w:r>
      <w:r w:rsidRPr="00036FAC">
        <w:t>compared</w:t>
      </w:r>
      <w:r w:rsidR="00907D8C">
        <w:t xml:space="preserve"> </w:t>
      </w:r>
      <w:r w:rsidRPr="00036FAC">
        <w:t>with</w:t>
      </w:r>
      <w:r w:rsidR="00907D8C">
        <w:t xml:space="preserve"> </w:t>
      </w:r>
      <w:r w:rsidRPr="00036FAC">
        <w:t>some</w:t>
      </w:r>
      <w:r w:rsidR="00907D8C">
        <w:t xml:space="preserve"> </w:t>
      </w:r>
      <w:r w:rsidRPr="00036FAC">
        <w:t>other</w:t>
      </w:r>
      <w:r w:rsidR="00907D8C">
        <w:t xml:space="preserve"> </w:t>
      </w:r>
      <w:r w:rsidRPr="00036FAC">
        <w:t>larger</w:t>
      </w:r>
      <w:r w:rsidR="00907D8C">
        <w:t xml:space="preserve"> </w:t>
      </w:r>
      <w:r w:rsidRPr="00036FAC">
        <w:t>economies.</w:t>
      </w:r>
      <w:r w:rsidR="00907D8C">
        <w:t xml:space="preserve"> </w:t>
      </w:r>
      <w:r w:rsidRPr="00036FAC">
        <w:t>Traditionally,</w:t>
      </w:r>
      <w:r w:rsidR="00907D8C">
        <w:t xml:space="preserve"> </w:t>
      </w:r>
      <w:r w:rsidRPr="00036FAC">
        <w:t>a</w:t>
      </w:r>
      <w:r w:rsidR="00907D8C">
        <w:t xml:space="preserve"> </w:t>
      </w:r>
      <w:r w:rsidRPr="00036FAC">
        <w:t>large</w:t>
      </w:r>
      <w:r w:rsidR="00907D8C">
        <w:t xml:space="preserve"> </w:t>
      </w:r>
      <w:r w:rsidRPr="00036FAC">
        <w:t>proportion</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exports,</w:t>
      </w:r>
      <w:r w:rsidR="00907D8C">
        <w:t xml:space="preserve"> </w:t>
      </w:r>
      <w:r w:rsidRPr="00036FAC">
        <w:t>mainly</w:t>
      </w:r>
      <w:r w:rsidR="00907D8C">
        <w:t xml:space="preserve"> </w:t>
      </w:r>
      <w:r w:rsidRPr="00036FAC">
        <w:t>agricultural</w:t>
      </w:r>
      <w:r w:rsidR="00907D8C">
        <w:t xml:space="preserve"> </w:t>
      </w:r>
      <w:r w:rsidRPr="00036FAC">
        <w:t>products,</w:t>
      </w:r>
      <w:r w:rsidR="00907D8C">
        <w:t xml:space="preserve"> </w:t>
      </w:r>
      <w:r w:rsidRPr="00036FAC">
        <w:t>went</w:t>
      </w:r>
      <w:r w:rsidR="00907D8C">
        <w:t xml:space="preserve"> </w:t>
      </w:r>
      <w:r w:rsidRPr="00036FAC">
        <w:t>to</w:t>
      </w:r>
      <w:r w:rsidR="00907D8C">
        <w:t xml:space="preserve"> </w:t>
      </w:r>
      <w:r w:rsidRPr="00036FAC">
        <w:t>the</w:t>
      </w:r>
      <w:r w:rsidR="00907D8C">
        <w:t xml:space="preserve"> </w:t>
      </w:r>
      <w:r w:rsidRPr="00036FAC">
        <w:t>United</w:t>
      </w:r>
      <w:r w:rsidR="00907D8C">
        <w:t xml:space="preserve"> </w:t>
      </w:r>
      <w:r w:rsidRPr="00036FAC">
        <w:t>Kingdom.</w:t>
      </w:r>
      <w:r w:rsidR="00907D8C">
        <w:t xml:space="preserve"> </w:t>
      </w:r>
      <w:r w:rsidRPr="00036FAC">
        <w:t>In</w:t>
      </w:r>
      <w:r w:rsidR="00907D8C">
        <w:t xml:space="preserve"> </w:t>
      </w:r>
      <w:r w:rsidRPr="00036FAC">
        <w:t>the</w:t>
      </w:r>
      <w:r w:rsidR="00907D8C">
        <w:t xml:space="preserve"> </w:t>
      </w:r>
      <w:r w:rsidRPr="00036FAC">
        <w:t>past</w:t>
      </w:r>
      <w:r w:rsidR="00907D8C">
        <w:t xml:space="preserve"> </w:t>
      </w:r>
      <w:r w:rsidRPr="00036FAC">
        <w:t>20</w:t>
      </w:r>
      <w:r w:rsidR="00907D8C">
        <w:t xml:space="preserve"> </w:t>
      </w:r>
      <w:r w:rsidRPr="00036FAC">
        <w:t>years,</w:t>
      </w:r>
      <w:r w:rsidR="00907D8C">
        <w:t xml:space="preserve"> </w:t>
      </w:r>
      <w:r w:rsidRPr="00036FAC">
        <w:t>however,</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adapted</w:t>
      </w:r>
      <w:r w:rsidR="00907D8C">
        <w:t xml:space="preserve"> </w:t>
      </w:r>
      <w:r w:rsidRPr="00036FAC">
        <w:t>to</w:t>
      </w:r>
      <w:r w:rsidR="00907D8C">
        <w:t xml:space="preserve"> </w:t>
      </w:r>
      <w:r w:rsidRPr="00036FAC">
        <w:t>a</w:t>
      </w:r>
      <w:r w:rsidR="00907D8C">
        <w:t xml:space="preserve"> </w:t>
      </w:r>
      <w:r w:rsidRPr="00036FAC">
        <w:t>changing</w:t>
      </w:r>
      <w:r w:rsidR="00907D8C">
        <w:t xml:space="preserve"> </w:t>
      </w:r>
      <w:r w:rsidRPr="00036FAC">
        <w:t>world</w:t>
      </w:r>
      <w:r w:rsidR="00907D8C">
        <w:t xml:space="preserve"> </w:t>
      </w:r>
      <w:r w:rsidRPr="00036FAC">
        <w:t>and</w:t>
      </w:r>
      <w:r w:rsidR="00907D8C">
        <w:t xml:space="preserve"> </w:t>
      </w:r>
      <w:r w:rsidRPr="00036FAC">
        <w:t>now</w:t>
      </w:r>
      <w:r w:rsidR="00907D8C">
        <w:t xml:space="preserve"> </w:t>
      </w:r>
      <w:r w:rsidRPr="00036FAC">
        <w:t>the</w:t>
      </w:r>
      <w:r w:rsidR="00907D8C">
        <w:t xml:space="preserve"> </w:t>
      </w:r>
      <w:r w:rsidRPr="00036FAC">
        <w:t>Asia</w:t>
      </w:r>
      <w:r w:rsidR="00BD732C">
        <w:t>-</w:t>
      </w:r>
      <w:r w:rsidRPr="00036FAC">
        <w:t>Pacific</w:t>
      </w:r>
      <w:r w:rsidR="00907D8C">
        <w:t xml:space="preserve"> </w:t>
      </w:r>
      <w:r w:rsidRPr="00036FAC">
        <w:t>region</w:t>
      </w:r>
      <w:r w:rsidR="00907D8C">
        <w:t xml:space="preserve"> </w:t>
      </w:r>
      <w:r w:rsidRPr="00036FAC">
        <w:t>is</w:t>
      </w:r>
      <w:r w:rsidR="00907D8C">
        <w:t xml:space="preserve"> </w:t>
      </w:r>
      <w:r w:rsidRPr="00036FAC">
        <w:t>more</w:t>
      </w:r>
      <w:r w:rsidR="00907D8C">
        <w:t xml:space="preserve"> </w:t>
      </w:r>
      <w:r w:rsidRPr="00036FAC">
        <w:t>dominant.</w:t>
      </w:r>
      <w:r w:rsidR="00907D8C">
        <w:t xml:space="preserve"> </w:t>
      </w:r>
      <w:r w:rsidRPr="00036FAC">
        <w:t>The</w:t>
      </w:r>
      <w:r w:rsidR="00907D8C">
        <w:t xml:space="preserve"> </w:t>
      </w:r>
      <w:r w:rsidRPr="00036FAC">
        <w:t>largest</w:t>
      </w:r>
      <w:r w:rsidR="00907D8C">
        <w:t xml:space="preserve"> </w:t>
      </w:r>
      <w:r w:rsidRPr="00036FAC">
        <w:t>export</w:t>
      </w:r>
      <w:r w:rsidR="00907D8C">
        <w:t xml:space="preserve"> </w:t>
      </w:r>
      <w:r w:rsidRPr="00036FAC">
        <w:t>markets</w:t>
      </w:r>
      <w:r w:rsidR="00907D8C">
        <w:t xml:space="preserve"> </w:t>
      </w:r>
      <w:r w:rsidRPr="00036FAC">
        <w:t>are</w:t>
      </w:r>
      <w:r w:rsidR="00907D8C">
        <w:t xml:space="preserve"> </w:t>
      </w:r>
      <w:r w:rsidRPr="00036FAC">
        <w:t>Australia,</w:t>
      </w:r>
      <w:r w:rsidR="00907D8C">
        <w:t xml:space="preserve"> </w:t>
      </w:r>
      <w:r w:rsidRPr="00036FAC">
        <w:t>China,</w:t>
      </w:r>
      <w:r w:rsidR="00907D8C">
        <w:t xml:space="preserve"> </w:t>
      </w:r>
      <w:r w:rsidRPr="00036FAC">
        <w:t>the</w:t>
      </w:r>
      <w:r w:rsidR="00907D8C">
        <w:t xml:space="preserve"> </w:t>
      </w:r>
      <w:r w:rsidRPr="00036FAC">
        <w:t>United</w:t>
      </w:r>
      <w:r w:rsidR="00907D8C">
        <w:t xml:space="preserve"> </w:t>
      </w:r>
      <w:r w:rsidRPr="00036FAC">
        <w:t>States</w:t>
      </w:r>
      <w:r w:rsidR="00907D8C">
        <w:t xml:space="preserve"> </w:t>
      </w:r>
      <w:r w:rsidRPr="00036FAC">
        <w:t>of</w:t>
      </w:r>
      <w:r w:rsidR="00907D8C">
        <w:t xml:space="preserve"> </w:t>
      </w:r>
      <w:r w:rsidRPr="00036FAC">
        <w:t>America,</w:t>
      </w:r>
      <w:r w:rsidR="00907D8C">
        <w:t xml:space="preserve"> </w:t>
      </w:r>
      <w:r w:rsidRPr="00036FAC">
        <w:t>Japan,</w:t>
      </w:r>
      <w:r w:rsidR="00907D8C">
        <w:t xml:space="preserve"> </w:t>
      </w:r>
      <w:r w:rsidRPr="00036FAC">
        <w:t>Singapore,</w:t>
      </w:r>
      <w:r w:rsidR="00907D8C">
        <w:t xml:space="preserve"> </w:t>
      </w:r>
      <w:r w:rsidRPr="00036FAC">
        <w:t>and</w:t>
      </w:r>
      <w:r w:rsidR="00907D8C">
        <w:t xml:space="preserve"> </w:t>
      </w:r>
      <w:r w:rsidRPr="00036FAC">
        <w:t>the</w:t>
      </w:r>
      <w:r w:rsidR="00907D8C">
        <w:t xml:space="preserve"> </w:t>
      </w:r>
      <w:r w:rsidRPr="00036FAC">
        <w:t>United</w:t>
      </w:r>
      <w:r w:rsidR="00907D8C">
        <w:t xml:space="preserve"> </w:t>
      </w:r>
      <w:r w:rsidRPr="00036FAC">
        <w:t>Kingdom.</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developed</w:t>
      </w:r>
      <w:r w:rsidR="00907D8C">
        <w:t xml:space="preserve"> </w:t>
      </w:r>
      <w:r w:rsidRPr="00036FAC">
        <w:t>its</w:t>
      </w:r>
      <w:r w:rsidR="00907D8C">
        <w:t xml:space="preserve"> </w:t>
      </w:r>
      <w:r w:rsidRPr="00036FAC">
        <w:t>agriculture</w:t>
      </w:r>
      <w:r w:rsidR="00907D8C">
        <w:t xml:space="preserve"> </w:t>
      </w:r>
      <w:r w:rsidRPr="00036FAC">
        <w:t>and</w:t>
      </w:r>
      <w:r w:rsidR="00907D8C">
        <w:t xml:space="preserve"> </w:t>
      </w:r>
      <w:r w:rsidRPr="00036FAC">
        <w:t>manufacturing</w:t>
      </w:r>
      <w:r w:rsidR="00907D8C">
        <w:t xml:space="preserve"> </w:t>
      </w:r>
      <w:r w:rsidRPr="00036FAC">
        <w:t>industries</w:t>
      </w:r>
      <w:r w:rsidR="00907D8C">
        <w:t xml:space="preserve"> </w:t>
      </w:r>
      <w:r w:rsidRPr="00036FAC">
        <w:t>to</w:t>
      </w:r>
      <w:r w:rsidR="00907D8C">
        <w:t xml:space="preserve"> </w:t>
      </w:r>
      <w:r w:rsidRPr="00036FAC">
        <w:t>suit</w:t>
      </w:r>
      <w:r w:rsidR="00907D8C">
        <w:t xml:space="preserve"> </w:t>
      </w:r>
      <w:r w:rsidRPr="00036FAC">
        <w:t>the</w:t>
      </w:r>
      <w:r w:rsidR="00907D8C">
        <w:t xml:space="preserve"> </w:t>
      </w:r>
      <w:r w:rsidRPr="00036FAC">
        <w:t>needs</w:t>
      </w:r>
      <w:r w:rsidR="00907D8C">
        <w:t xml:space="preserve"> </w:t>
      </w:r>
      <w:r w:rsidRPr="00036FAC">
        <w:t>of</w:t>
      </w:r>
      <w:r w:rsidR="00907D8C">
        <w:t xml:space="preserve"> </w:t>
      </w:r>
      <w:r w:rsidRPr="00036FAC">
        <w:t>niche</w:t>
      </w:r>
      <w:r w:rsidR="00907D8C">
        <w:t xml:space="preserve"> </w:t>
      </w:r>
      <w:r w:rsidRPr="00036FAC">
        <w:t>markets.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largest</w:t>
      </w:r>
      <w:r w:rsidR="00907D8C">
        <w:t xml:space="preserve"> </w:t>
      </w:r>
      <w:r w:rsidRPr="00036FAC">
        <w:t>merchandise</w:t>
      </w:r>
      <w:r w:rsidR="00907D8C">
        <w:t xml:space="preserve"> </w:t>
      </w:r>
      <w:r w:rsidRPr="00036FAC">
        <w:t>exports</w:t>
      </w:r>
      <w:r w:rsidR="00907D8C">
        <w:t xml:space="preserve"> </w:t>
      </w:r>
      <w:r w:rsidRPr="00036FAC">
        <w:t>are</w:t>
      </w:r>
      <w:r w:rsidR="00907D8C">
        <w:t xml:space="preserve"> </w:t>
      </w:r>
      <w:r w:rsidRPr="00036FAC">
        <w:t>across</w:t>
      </w:r>
      <w:r w:rsidR="00907D8C">
        <w:t xml:space="preserve"> </w:t>
      </w:r>
      <w:r w:rsidRPr="00036FAC">
        <w:t>dairy,</w:t>
      </w:r>
      <w:r w:rsidR="00907D8C">
        <w:t xml:space="preserve"> </w:t>
      </w:r>
      <w:r w:rsidRPr="00036FAC">
        <w:t>meat,</w:t>
      </w:r>
      <w:r w:rsidR="00907D8C">
        <w:t xml:space="preserve"> </w:t>
      </w:r>
      <w:r w:rsidRPr="00036FAC">
        <w:t>forestry,</w:t>
      </w:r>
      <w:r w:rsidR="00907D8C">
        <w:t xml:space="preserve"> </w:t>
      </w:r>
      <w:r w:rsidRPr="00036FAC">
        <w:t>horticulture,</w:t>
      </w:r>
      <w:r w:rsidR="00907D8C">
        <w:t xml:space="preserve"> </w:t>
      </w:r>
      <w:r w:rsidRPr="00036FAC">
        <w:t>fishing,</w:t>
      </w:r>
      <w:r w:rsidR="00907D8C">
        <w:t xml:space="preserve"> </w:t>
      </w:r>
      <w:r w:rsidRPr="00036FAC">
        <w:t>and</w:t>
      </w:r>
      <w:r w:rsidR="00907D8C">
        <w:t xml:space="preserve"> </w:t>
      </w:r>
      <w:r w:rsidRPr="00036FAC">
        <w:t>niche</w:t>
      </w:r>
      <w:r w:rsidR="00907D8C">
        <w:t xml:space="preserve"> </w:t>
      </w:r>
      <w:r w:rsidRPr="00036FAC">
        <w:t>manufacturing.</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significant</w:t>
      </w:r>
      <w:r w:rsidR="00907D8C">
        <w:t xml:space="preserve"> </w:t>
      </w:r>
      <w:r w:rsidRPr="00036FAC">
        <w:t>service</w:t>
      </w:r>
      <w:r w:rsidR="00907D8C">
        <w:t xml:space="preserve"> </w:t>
      </w:r>
      <w:r w:rsidRPr="00036FAC">
        <w:t>exports</w:t>
      </w:r>
      <w:r w:rsidR="00907D8C">
        <w:t xml:space="preserve"> </w:t>
      </w:r>
      <w:r w:rsidRPr="00036FAC">
        <w:t>in</w:t>
      </w:r>
      <w:r w:rsidR="00907D8C">
        <w:t xml:space="preserve"> </w:t>
      </w:r>
      <w:r w:rsidRPr="00036FAC">
        <w:t>international</w:t>
      </w:r>
      <w:r w:rsidR="00907D8C">
        <w:t xml:space="preserve"> </w:t>
      </w:r>
      <w:r w:rsidRPr="00036FAC">
        <w:t>tourism,</w:t>
      </w:r>
      <w:r w:rsidR="00907D8C">
        <w:t xml:space="preserve"> </w:t>
      </w:r>
      <w:r w:rsidRPr="00036FAC">
        <w:t>education,</w:t>
      </w:r>
      <w:r w:rsidR="00907D8C">
        <w:t xml:space="preserve"> </w:t>
      </w:r>
      <w:r w:rsidRPr="00036FAC">
        <w:t>and</w:t>
      </w:r>
      <w:r w:rsidR="00907D8C">
        <w:t xml:space="preserve"> </w:t>
      </w:r>
      <w:r w:rsidRPr="00036FAC">
        <w:t>other</w:t>
      </w:r>
      <w:r w:rsidR="00907D8C">
        <w:t xml:space="preserve"> </w:t>
      </w:r>
      <w:r w:rsidRPr="00036FAC">
        <w:t>business</w:t>
      </w:r>
      <w:r w:rsidR="00907D8C">
        <w:t xml:space="preserve"> </w:t>
      </w:r>
      <w:r w:rsidRPr="00036FAC">
        <w:t>services.</w:t>
      </w:r>
    </w:p>
    <w:p w:rsidR="00036FAC" w:rsidRPr="00036FAC" w:rsidRDefault="00036FAC" w:rsidP="006C436C">
      <w:pPr>
        <w:pStyle w:val="H23G"/>
      </w:pPr>
      <w:r w:rsidRPr="00036FAC">
        <w:tab/>
        <w:t>(a)</w:t>
      </w:r>
      <w:r w:rsidRPr="00036FAC">
        <w:tab/>
        <w:t>Population</w:t>
      </w:r>
      <w:r w:rsidR="00907D8C">
        <w:t xml:space="preserve"> </w:t>
      </w:r>
      <w:r w:rsidRPr="00036FAC">
        <w:t>by</w:t>
      </w:r>
      <w:r w:rsidR="00907D8C">
        <w:t xml:space="preserve"> </w:t>
      </w:r>
      <w:r w:rsidRPr="00036FAC">
        <w:t>broad</w:t>
      </w:r>
      <w:r w:rsidR="00907D8C">
        <w:t xml:space="preserve"> </w:t>
      </w:r>
      <w:r w:rsidRPr="00036FAC">
        <w:t>industry</w:t>
      </w:r>
      <w:r w:rsidR="00907D8C">
        <w:t xml:space="preserve"> </w:t>
      </w:r>
      <w:r w:rsidRPr="00036FAC">
        <w:t>sector</w:t>
      </w:r>
    </w:p>
    <w:p w:rsidR="00036FAC" w:rsidRPr="00036FAC" w:rsidRDefault="00036FAC" w:rsidP="00D06F7E">
      <w:pPr>
        <w:pStyle w:val="SingleTxtG"/>
      </w:pPr>
      <w:r w:rsidRPr="00036FAC">
        <w:t>32.</w:t>
      </w:r>
      <w:r w:rsidRPr="00036FAC">
        <w:tab/>
        <w:t>The</w:t>
      </w:r>
      <w:r w:rsidR="00907D8C">
        <w:t xml:space="preserve"> </w:t>
      </w:r>
      <w:r w:rsidRPr="00036FAC">
        <w:t>primary</w:t>
      </w:r>
      <w:r w:rsidR="00907D8C">
        <w:t xml:space="preserve"> </w:t>
      </w:r>
      <w:r w:rsidRPr="00036FAC">
        <w:t>sector</w:t>
      </w:r>
      <w:r w:rsidR="00907D8C">
        <w:t xml:space="preserve"> </w:t>
      </w:r>
      <w:r w:rsidRPr="00036FAC">
        <w:t>refers</w:t>
      </w:r>
      <w:r w:rsidR="00907D8C">
        <w:t xml:space="preserve"> </w:t>
      </w:r>
      <w:r w:rsidRPr="00036FAC">
        <w:t>to</w:t>
      </w:r>
      <w:r w:rsidR="00907D8C">
        <w:t xml:space="preserve"> </w:t>
      </w:r>
      <w:r w:rsidRPr="00036FAC">
        <w:t>agriculture,</w:t>
      </w:r>
      <w:r w:rsidR="00907D8C">
        <w:t xml:space="preserve"> </w:t>
      </w:r>
      <w:r w:rsidRPr="00036FAC">
        <w:t>forestry,</w:t>
      </w:r>
      <w:r w:rsidR="00907D8C">
        <w:t xml:space="preserve"> </w:t>
      </w:r>
      <w:r w:rsidRPr="00036FAC">
        <w:t>fishing,</w:t>
      </w:r>
      <w:r w:rsidR="00907D8C">
        <w:t xml:space="preserve"> </w:t>
      </w:r>
      <w:r w:rsidRPr="00036FAC">
        <w:t>and</w:t>
      </w:r>
      <w:r w:rsidR="00907D8C">
        <w:t xml:space="preserve"> </w:t>
      </w:r>
      <w:r w:rsidRPr="00036FAC">
        <w:t>mining.</w:t>
      </w:r>
      <w:r w:rsidR="00907D8C">
        <w:t xml:space="preserve"> </w:t>
      </w:r>
      <w:r w:rsidRPr="00036FAC">
        <w:t>Secondary</w:t>
      </w:r>
      <w:r w:rsidR="00907D8C">
        <w:t xml:space="preserve"> </w:t>
      </w:r>
      <w:r w:rsidRPr="00036FAC">
        <w:t>refers</w:t>
      </w:r>
      <w:r w:rsidR="00907D8C">
        <w:t xml:space="preserve"> </w:t>
      </w:r>
      <w:r w:rsidRPr="00036FAC">
        <w:t>to</w:t>
      </w:r>
      <w:r w:rsidR="00907D8C">
        <w:t xml:space="preserve"> </w:t>
      </w:r>
      <w:r w:rsidRPr="00036FAC">
        <w:t>manufacturing,</w:t>
      </w:r>
      <w:r w:rsidR="00907D8C">
        <w:t xml:space="preserve"> </w:t>
      </w:r>
      <w:r w:rsidRPr="00036FAC">
        <w:t>electricity,</w:t>
      </w:r>
      <w:r w:rsidR="00907D8C">
        <w:t xml:space="preserve"> </w:t>
      </w:r>
      <w:r w:rsidRPr="00036FAC">
        <w:t>gas,</w:t>
      </w:r>
      <w:r w:rsidR="00907D8C">
        <w:t xml:space="preserve"> </w:t>
      </w:r>
      <w:r w:rsidRPr="00036FAC">
        <w:t>water,</w:t>
      </w:r>
      <w:r w:rsidR="00907D8C">
        <w:t xml:space="preserve"> </w:t>
      </w:r>
      <w:r w:rsidRPr="00036FAC">
        <w:t>supply,</w:t>
      </w:r>
      <w:r w:rsidR="00907D8C">
        <w:t xml:space="preserve"> </w:t>
      </w:r>
      <w:r w:rsidRPr="00036FAC">
        <w:t>and</w:t>
      </w:r>
      <w:r w:rsidR="00907D8C">
        <w:t xml:space="preserve"> </w:t>
      </w:r>
      <w:r w:rsidRPr="00036FAC">
        <w:t>construction.</w:t>
      </w:r>
      <w:r w:rsidR="00907D8C">
        <w:t xml:space="preserve"> </w:t>
      </w:r>
      <w:r w:rsidR="003E4D94">
        <w:t>“</w:t>
      </w:r>
      <w:r w:rsidRPr="00036FAC">
        <w:t>Services</w:t>
      </w:r>
      <w:r w:rsidR="00907D8C">
        <w:t xml:space="preserve"> </w:t>
      </w:r>
      <w:r w:rsidRPr="00036FAC">
        <w:t>mainly</w:t>
      </w:r>
      <w:r w:rsidR="00907D8C">
        <w:t xml:space="preserve"> </w:t>
      </w:r>
      <w:r w:rsidRPr="00036FAC">
        <w:t>to</w:t>
      </w:r>
      <w:r w:rsidR="00907D8C">
        <w:t xml:space="preserve"> </w:t>
      </w:r>
      <w:r w:rsidRPr="00036FAC">
        <w:t>Business</w:t>
      </w:r>
      <w:r w:rsidR="003E4D94">
        <w:t>”</w:t>
      </w:r>
      <w:r w:rsidR="00907D8C">
        <w:t xml:space="preserve"> </w:t>
      </w:r>
      <w:r w:rsidRPr="00036FAC">
        <w:t>refers</w:t>
      </w:r>
      <w:r w:rsidR="00907D8C">
        <w:t xml:space="preserve"> </w:t>
      </w:r>
      <w:r w:rsidRPr="00036FAC">
        <w:t>to</w:t>
      </w:r>
      <w:r w:rsidR="00907D8C">
        <w:t xml:space="preserve"> </w:t>
      </w:r>
      <w:r w:rsidRPr="00036FAC">
        <w:t>wholesale,</w:t>
      </w:r>
      <w:r w:rsidR="00907D8C">
        <w:t xml:space="preserve"> </w:t>
      </w:r>
      <w:r w:rsidRPr="00036FAC">
        <w:t>transport,</w:t>
      </w:r>
      <w:r w:rsidR="00907D8C">
        <w:t xml:space="preserve"> </w:t>
      </w:r>
      <w:r w:rsidRPr="00036FAC">
        <w:t>storage,</w:t>
      </w:r>
      <w:r w:rsidR="00907D8C">
        <w:t xml:space="preserve"> </w:t>
      </w:r>
      <w:r w:rsidRPr="00036FAC">
        <w:t>communication,</w:t>
      </w:r>
      <w:r w:rsidR="00907D8C">
        <w:t xml:space="preserve"> </w:t>
      </w:r>
      <w:r w:rsidRPr="00036FAC">
        <w:t>finance,</w:t>
      </w:r>
      <w:r w:rsidR="00907D8C">
        <w:t xml:space="preserve"> </w:t>
      </w:r>
      <w:r w:rsidRPr="00036FAC">
        <w:t>insurance,</w:t>
      </w:r>
      <w:r w:rsidR="00907D8C">
        <w:t xml:space="preserve"> </w:t>
      </w:r>
      <w:r w:rsidRPr="00036FAC">
        <w:t>property,</w:t>
      </w:r>
      <w:r w:rsidR="00907D8C">
        <w:t xml:space="preserve"> </w:t>
      </w:r>
      <w:r w:rsidRPr="00036FAC">
        <w:t>and</w:t>
      </w:r>
      <w:r w:rsidR="00907D8C">
        <w:t xml:space="preserve"> </w:t>
      </w:r>
      <w:r w:rsidRPr="00036FAC">
        <w:t>business.</w:t>
      </w:r>
      <w:r w:rsidR="00907D8C">
        <w:t xml:space="preserve"> </w:t>
      </w:r>
      <w:r w:rsidR="003E4D94">
        <w:t>“</w:t>
      </w:r>
      <w:r w:rsidRPr="00036FAC">
        <w:t>Services</w:t>
      </w:r>
      <w:r w:rsidR="00907D8C">
        <w:t xml:space="preserve"> </w:t>
      </w:r>
      <w:r w:rsidRPr="00036FAC">
        <w:t>mainly</w:t>
      </w:r>
      <w:r w:rsidR="00907D8C">
        <w:t xml:space="preserve"> </w:t>
      </w:r>
      <w:r w:rsidRPr="00036FAC">
        <w:t>to</w:t>
      </w:r>
      <w:r w:rsidR="00907D8C">
        <w:t xml:space="preserve"> </w:t>
      </w:r>
      <w:r w:rsidRPr="00036FAC">
        <w:t>Households</w:t>
      </w:r>
      <w:r w:rsidR="003E4D94">
        <w:t>”</w:t>
      </w:r>
      <w:r w:rsidR="00907D8C">
        <w:t xml:space="preserve"> </w:t>
      </w:r>
      <w:r w:rsidRPr="00036FAC">
        <w:t>refers</w:t>
      </w:r>
      <w:r w:rsidR="00907D8C">
        <w:t xml:space="preserve"> </w:t>
      </w:r>
      <w:r w:rsidRPr="00036FAC">
        <w:t>to</w:t>
      </w:r>
      <w:r w:rsidR="00907D8C">
        <w:t xml:space="preserve"> </w:t>
      </w:r>
      <w:r w:rsidRPr="00036FAC">
        <w:t>retail,</w:t>
      </w:r>
      <w:r w:rsidR="00907D8C">
        <w:t xml:space="preserve"> </w:t>
      </w:r>
      <w:r w:rsidRPr="00036FAC">
        <w:t>accommodation,</w:t>
      </w:r>
      <w:r w:rsidR="00907D8C">
        <w:t xml:space="preserve"> </w:t>
      </w:r>
      <w:r w:rsidRPr="00036FAC">
        <w:t>cafes</w:t>
      </w:r>
      <w:r w:rsidR="00907D8C">
        <w:t xml:space="preserve"> </w:t>
      </w:r>
      <w:r w:rsidRPr="00036FAC">
        <w:t>and</w:t>
      </w:r>
      <w:r w:rsidR="00907D8C">
        <w:t xml:space="preserve"> </w:t>
      </w:r>
      <w:r w:rsidRPr="00036FAC">
        <w:t>restaurants,</w:t>
      </w:r>
      <w:r w:rsidR="00907D8C">
        <w:t xml:space="preserve"> </w:t>
      </w:r>
      <w:r w:rsidRPr="00036FAC">
        <w:t>government</w:t>
      </w:r>
      <w:r w:rsidR="00907D8C">
        <w:t xml:space="preserve"> </w:t>
      </w:r>
      <w:r w:rsidRPr="00036FAC">
        <w:t>administration,</w:t>
      </w:r>
      <w:r w:rsidR="00907D8C">
        <w:t xml:space="preserve"> </w:t>
      </w:r>
      <w:r w:rsidRPr="00036FAC">
        <w:t>defence,</w:t>
      </w:r>
      <w:r w:rsidR="00907D8C">
        <w:t xml:space="preserve"> </w:t>
      </w:r>
      <w:r w:rsidRPr="00036FAC">
        <w:t>education,</w:t>
      </w:r>
      <w:r w:rsidR="00907D8C">
        <w:t xml:space="preserve"> </w:t>
      </w:r>
      <w:r w:rsidRPr="00036FAC">
        <w:t>health,</w:t>
      </w:r>
      <w:r w:rsidR="00907D8C">
        <w:t xml:space="preserve"> </w:t>
      </w:r>
      <w:r w:rsidRPr="00036FAC">
        <w:t>community,</w:t>
      </w:r>
      <w:r w:rsidR="00907D8C">
        <w:t xml:space="preserve"> </w:t>
      </w:r>
      <w:r w:rsidRPr="00036FAC">
        <w:t>cultural</w:t>
      </w:r>
      <w:r w:rsidR="00907D8C">
        <w:t xml:space="preserve"> </w:t>
      </w:r>
      <w:r w:rsidRPr="00036FAC">
        <w:t>rec</w:t>
      </w:r>
      <w:r w:rsidR="00220E6B">
        <w:t>reational,</w:t>
      </w:r>
      <w:r w:rsidR="00907D8C">
        <w:t xml:space="preserve"> </w:t>
      </w:r>
      <w:r w:rsidR="00220E6B">
        <w:t>personal,</w:t>
      </w:r>
      <w:r w:rsidR="00907D8C">
        <w:t xml:space="preserve"> </w:t>
      </w:r>
      <w:r w:rsidR="00220E6B">
        <w:t>and</w:t>
      </w:r>
      <w:r w:rsidR="00907D8C">
        <w:t xml:space="preserve"> </w:t>
      </w:r>
      <w:r w:rsidR="00220E6B">
        <w:t>other.</w:t>
      </w:r>
    </w:p>
    <w:p w:rsidR="00220E6B" w:rsidRDefault="00220E6B" w:rsidP="00220E6B">
      <w:pPr>
        <w:pStyle w:val="Heading1"/>
      </w:pPr>
      <w:bookmarkStart w:id="28" w:name="_Toc275331909"/>
      <w:r>
        <w:t>Table</w:t>
      </w:r>
      <w:r w:rsidR="00907D8C">
        <w:t xml:space="preserve"> </w:t>
      </w:r>
      <w:r>
        <w:t>8</w:t>
      </w:r>
    </w:p>
    <w:p w:rsidR="00036FAC" w:rsidRPr="00220E6B" w:rsidRDefault="00036FAC" w:rsidP="00220E6B">
      <w:pPr>
        <w:pStyle w:val="SingleTxtG"/>
        <w:rPr>
          <w:b/>
        </w:rPr>
      </w:pPr>
      <w:r w:rsidRPr="00220E6B">
        <w:rPr>
          <w:b/>
        </w:rPr>
        <w:t>Population</w:t>
      </w:r>
      <w:r w:rsidR="00907D8C">
        <w:rPr>
          <w:b/>
        </w:rPr>
        <w:t xml:space="preserve"> </w:t>
      </w:r>
      <w:r w:rsidRPr="00220E6B">
        <w:rPr>
          <w:b/>
        </w:rPr>
        <w:t>by</w:t>
      </w:r>
      <w:r w:rsidR="00907D8C">
        <w:rPr>
          <w:b/>
        </w:rPr>
        <w:t xml:space="preserve"> </w:t>
      </w:r>
      <w:r w:rsidRPr="00220E6B">
        <w:rPr>
          <w:b/>
        </w:rPr>
        <w:t>broad</w:t>
      </w:r>
      <w:r w:rsidR="00907D8C">
        <w:rPr>
          <w:b/>
        </w:rPr>
        <w:t xml:space="preserve"> </w:t>
      </w:r>
      <w:r w:rsidRPr="00220E6B">
        <w:rPr>
          <w:b/>
        </w:rPr>
        <w:t>industry</w:t>
      </w:r>
      <w:r w:rsidR="00907D8C">
        <w:rPr>
          <w:b/>
        </w:rPr>
        <w:t xml:space="preserve"> </w:t>
      </w:r>
      <w:r w:rsidRPr="00220E6B">
        <w:rPr>
          <w:b/>
        </w:rPr>
        <w:t>sector</w:t>
      </w:r>
      <w:r w:rsidR="00907D8C">
        <w:rPr>
          <w:b/>
        </w:rPr>
        <w:t xml:space="preserve"> </w:t>
      </w:r>
      <w:r w:rsidRPr="00220E6B">
        <w:rPr>
          <w:b/>
        </w:rPr>
        <w:t>and</w:t>
      </w:r>
      <w:r w:rsidR="00907D8C">
        <w:rPr>
          <w:b/>
        </w:rPr>
        <w:t xml:space="preserve"> </w:t>
      </w:r>
      <w:r w:rsidRPr="00220E6B">
        <w:rPr>
          <w:b/>
        </w:rPr>
        <w:t>sex</w:t>
      </w:r>
      <w:r w:rsidR="00907D8C">
        <w:rPr>
          <w:b/>
        </w:rPr>
        <w:t xml:space="preserve"> </w:t>
      </w:r>
      <w:r w:rsidRPr="00220E6B">
        <w:rPr>
          <w:b/>
        </w:rPr>
        <w:t>by</w:t>
      </w:r>
      <w:r w:rsidR="00907D8C">
        <w:rPr>
          <w:b/>
        </w:rPr>
        <w:t xml:space="preserve"> </w:t>
      </w:r>
      <w:r w:rsidRPr="00220E6B">
        <w:rPr>
          <w:b/>
        </w:rPr>
        <w:t>1,000s</w:t>
      </w:r>
      <w:r w:rsidR="00907D8C">
        <w:rPr>
          <w:b/>
        </w:rPr>
        <w:t xml:space="preserve"> </w:t>
      </w:r>
      <w:r w:rsidRPr="00220E6B">
        <w:rPr>
          <w:b/>
        </w:rPr>
        <w:t>of</w:t>
      </w:r>
      <w:r w:rsidR="00907D8C">
        <w:rPr>
          <w:b/>
        </w:rPr>
        <w:t xml:space="preserve"> </w:t>
      </w:r>
      <w:r w:rsidRPr="00220E6B">
        <w:rPr>
          <w:b/>
        </w:rPr>
        <w:t>people,</w:t>
      </w:r>
      <w:r w:rsidR="00907D8C">
        <w:rPr>
          <w:b/>
        </w:rPr>
        <w:t xml:space="preserve"> </w:t>
      </w:r>
      <w:r w:rsidRPr="00220E6B">
        <w:rPr>
          <w:b/>
        </w:rPr>
        <w:t>2009</w:t>
      </w:r>
      <w:bookmarkEnd w:id="2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3894"/>
        <w:gridCol w:w="1673"/>
        <w:gridCol w:w="1803"/>
      </w:tblGrid>
      <w:tr w:rsidR="00036FAC" w:rsidRPr="00220E6B" w:rsidTr="00220E6B">
        <w:trPr>
          <w:trHeight w:val="240"/>
          <w:tblHeader/>
        </w:trPr>
        <w:tc>
          <w:tcPr>
            <w:tcW w:w="2642"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rPr>
                <w:i/>
                <w:sz w:val="16"/>
              </w:rPr>
            </w:pPr>
            <w:r w:rsidRPr="00220E6B">
              <w:rPr>
                <w:i/>
                <w:sz w:val="16"/>
              </w:rPr>
              <w:t>Sector</w:t>
            </w:r>
            <w:r w:rsidR="00907D8C">
              <w:rPr>
                <w:i/>
                <w:sz w:val="16"/>
              </w:rPr>
              <w:t xml:space="preserve"> </w:t>
            </w:r>
            <w:r w:rsidRPr="00220E6B">
              <w:rPr>
                <w:i/>
                <w:sz w:val="16"/>
              </w:rPr>
              <w:t>and</w:t>
            </w:r>
            <w:r w:rsidR="00907D8C">
              <w:rPr>
                <w:i/>
                <w:sz w:val="16"/>
              </w:rPr>
              <w:t xml:space="preserve"> </w:t>
            </w:r>
            <w:r w:rsidRPr="00220E6B">
              <w:rPr>
                <w:i/>
                <w:sz w:val="16"/>
              </w:rPr>
              <w:t>sex</w:t>
            </w:r>
            <w:r w:rsidR="00907D8C">
              <w:rPr>
                <w:i/>
                <w:sz w:val="16"/>
              </w:rPr>
              <w:t xml:space="preserve"> </w:t>
            </w:r>
            <w:r w:rsidRPr="00220E6B">
              <w:rPr>
                <w:i/>
                <w:sz w:val="16"/>
              </w:rPr>
              <w:t>differences</w:t>
            </w:r>
          </w:p>
        </w:tc>
        <w:tc>
          <w:tcPr>
            <w:tcW w:w="1135"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Male</w:t>
            </w:r>
          </w:p>
        </w:tc>
        <w:tc>
          <w:tcPr>
            <w:tcW w:w="1223"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Female</w:t>
            </w:r>
          </w:p>
        </w:tc>
      </w:tr>
      <w:tr w:rsidR="00036FAC" w:rsidRPr="00220E6B" w:rsidTr="00220E6B">
        <w:trPr>
          <w:trHeight w:val="240"/>
        </w:trPr>
        <w:tc>
          <w:tcPr>
            <w:tcW w:w="2642" w:type="pct"/>
            <w:tcBorders>
              <w:top w:val="single" w:sz="12" w:space="0" w:color="auto"/>
              <w:bottom w:val="nil"/>
            </w:tcBorders>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Primary</w:t>
            </w:r>
            <w:r w:rsidR="00907D8C">
              <w:rPr>
                <w:sz w:val="18"/>
              </w:rPr>
              <w:t xml:space="preserve"> </w:t>
            </w:r>
            <w:r w:rsidRPr="00220E6B">
              <w:rPr>
                <w:sz w:val="18"/>
              </w:rPr>
              <w:t>Industry</w:t>
            </w:r>
          </w:p>
        </w:tc>
        <w:tc>
          <w:tcPr>
            <w:tcW w:w="1135" w:type="pct"/>
            <w:tcBorders>
              <w:top w:val="single" w:sz="12" w:space="0" w:color="auto"/>
              <w:bottom w:val="nil"/>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106.1</w:t>
            </w:r>
          </w:p>
        </w:tc>
        <w:tc>
          <w:tcPr>
            <w:tcW w:w="1223" w:type="pct"/>
            <w:tcBorders>
              <w:top w:val="single" w:sz="12" w:space="0" w:color="auto"/>
              <w:bottom w:val="nil"/>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47.1</w:t>
            </w:r>
          </w:p>
        </w:tc>
      </w:tr>
      <w:tr w:rsidR="00036FAC" w:rsidRPr="00220E6B" w:rsidTr="00220E6B">
        <w:trPr>
          <w:trHeight w:val="240"/>
        </w:trPr>
        <w:tc>
          <w:tcPr>
            <w:tcW w:w="2642" w:type="pct"/>
            <w:tcBorders>
              <w:top w:val="nil"/>
            </w:tcBorders>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Secondary</w:t>
            </w:r>
            <w:r w:rsidR="00907D8C">
              <w:rPr>
                <w:sz w:val="18"/>
              </w:rPr>
              <w:t xml:space="preserve"> </w:t>
            </w:r>
            <w:r w:rsidRPr="00220E6B">
              <w:rPr>
                <w:sz w:val="18"/>
              </w:rPr>
              <w:t>Industry</w:t>
            </w:r>
          </w:p>
        </w:tc>
        <w:tc>
          <w:tcPr>
            <w:tcW w:w="1135" w:type="pct"/>
            <w:tcBorders>
              <w:top w:val="nil"/>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347.6</w:t>
            </w:r>
          </w:p>
        </w:tc>
        <w:tc>
          <w:tcPr>
            <w:tcW w:w="1223" w:type="pct"/>
            <w:tcBorders>
              <w:top w:val="nil"/>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98.9</w:t>
            </w:r>
          </w:p>
        </w:tc>
      </w:tr>
      <w:tr w:rsidR="00036FAC" w:rsidRPr="00220E6B" w:rsidTr="00220E6B">
        <w:trPr>
          <w:trHeight w:val="240"/>
        </w:trPr>
        <w:tc>
          <w:tcPr>
            <w:tcW w:w="2642" w:type="pct"/>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Services</w:t>
            </w:r>
            <w:r w:rsidR="00907D8C">
              <w:rPr>
                <w:sz w:val="18"/>
              </w:rPr>
              <w:t xml:space="preserve"> </w:t>
            </w:r>
            <w:r w:rsidRPr="00220E6B">
              <w:rPr>
                <w:sz w:val="18"/>
              </w:rPr>
              <w:t>mainly</w:t>
            </w:r>
            <w:r w:rsidR="00907D8C">
              <w:rPr>
                <w:sz w:val="18"/>
              </w:rPr>
              <w:t xml:space="preserve"> </w:t>
            </w:r>
            <w:r w:rsidRPr="00220E6B">
              <w:rPr>
                <w:sz w:val="18"/>
              </w:rPr>
              <w:t>to</w:t>
            </w:r>
            <w:r w:rsidR="00907D8C">
              <w:rPr>
                <w:sz w:val="18"/>
              </w:rPr>
              <w:t xml:space="preserve"> </w:t>
            </w:r>
            <w:r w:rsidRPr="00220E6B">
              <w:rPr>
                <w:sz w:val="18"/>
              </w:rPr>
              <w:t>Business</w:t>
            </w:r>
          </w:p>
        </w:tc>
        <w:tc>
          <w:tcPr>
            <w:tcW w:w="1135"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320.8</w:t>
            </w:r>
          </w:p>
        </w:tc>
        <w:tc>
          <w:tcPr>
            <w:tcW w:w="122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224.3</w:t>
            </w:r>
          </w:p>
        </w:tc>
      </w:tr>
      <w:tr w:rsidR="00036FAC" w:rsidRPr="00220E6B" w:rsidTr="00220E6B">
        <w:trPr>
          <w:trHeight w:val="240"/>
        </w:trPr>
        <w:tc>
          <w:tcPr>
            <w:tcW w:w="2642" w:type="pct"/>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Services</w:t>
            </w:r>
            <w:r w:rsidR="00907D8C">
              <w:rPr>
                <w:sz w:val="18"/>
              </w:rPr>
              <w:t xml:space="preserve"> </w:t>
            </w:r>
            <w:r w:rsidRPr="00220E6B">
              <w:rPr>
                <w:sz w:val="18"/>
              </w:rPr>
              <w:t>mainly</w:t>
            </w:r>
            <w:r w:rsidR="00907D8C">
              <w:rPr>
                <w:sz w:val="18"/>
              </w:rPr>
              <w:t xml:space="preserve"> </w:t>
            </w:r>
            <w:r w:rsidRPr="00220E6B">
              <w:rPr>
                <w:sz w:val="18"/>
              </w:rPr>
              <w:t>to</w:t>
            </w:r>
            <w:r w:rsidR="00907D8C">
              <w:rPr>
                <w:sz w:val="18"/>
              </w:rPr>
              <w:t xml:space="preserve"> </w:t>
            </w:r>
            <w:r w:rsidRPr="00220E6B">
              <w:rPr>
                <w:sz w:val="18"/>
              </w:rPr>
              <w:t>Households</w:t>
            </w:r>
          </w:p>
        </w:tc>
        <w:tc>
          <w:tcPr>
            <w:tcW w:w="1135"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368.6</w:t>
            </w:r>
          </w:p>
        </w:tc>
        <w:tc>
          <w:tcPr>
            <w:tcW w:w="122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642.3</w:t>
            </w:r>
          </w:p>
        </w:tc>
      </w:tr>
    </w:tbl>
    <w:p w:rsidR="002B37D0" w:rsidRPr="007C016E" w:rsidRDefault="002B37D0" w:rsidP="00F3240B">
      <w:pPr>
        <w:spacing w:before="120" w:after="240"/>
        <w:ind w:left="1134" w:right="1134" w:firstLine="170"/>
        <w:rPr>
          <w:sz w:val="18"/>
          <w:szCs w:val="18"/>
        </w:rPr>
      </w:pPr>
      <w:bookmarkStart w:id="29" w:name="_Toc275331910"/>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p>
    <w:p w:rsidR="00220E6B" w:rsidRDefault="00036FAC" w:rsidP="00D06F7E">
      <w:pPr>
        <w:pStyle w:val="Heading1"/>
        <w:keepNext/>
      </w:pPr>
      <w:r w:rsidRPr="00036FAC">
        <w:t>Table</w:t>
      </w:r>
      <w:r w:rsidR="00907D8C">
        <w:t xml:space="preserve"> </w:t>
      </w:r>
      <w:r w:rsidRPr="00036FAC">
        <w:t>9</w:t>
      </w:r>
    </w:p>
    <w:p w:rsidR="00036FAC" w:rsidRPr="00220E6B" w:rsidRDefault="00036FAC" w:rsidP="00D06F7E">
      <w:pPr>
        <w:pStyle w:val="SingleTxtG"/>
        <w:keepNext/>
        <w:rPr>
          <w:b/>
        </w:rPr>
      </w:pPr>
      <w:r w:rsidRPr="00220E6B">
        <w:rPr>
          <w:b/>
        </w:rPr>
        <w:t>Population</w:t>
      </w:r>
      <w:r w:rsidR="00907D8C">
        <w:rPr>
          <w:b/>
        </w:rPr>
        <w:t xml:space="preserve"> </w:t>
      </w:r>
      <w:r w:rsidRPr="00220E6B">
        <w:rPr>
          <w:b/>
        </w:rPr>
        <w:t>by</w:t>
      </w:r>
      <w:r w:rsidR="00907D8C">
        <w:rPr>
          <w:b/>
        </w:rPr>
        <w:t xml:space="preserve"> </w:t>
      </w:r>
      <w:r w:rsidRPr="00220E6B">
        <w:rPr>
          <w:b/>
        </w:rPr>
        <w:t>broad</w:t>
      </w:r>
      <w:r w:rsidR="00907D8C">
        <w:rPr>
          <w:b/>
        </w:rPr>
        <w:t xml:space="preserve"> </w:t>
      </w:r>
      <w:r w:rsidRPr="00220E6B">
        <w:rPr>
          <w:b/>
        </w:rPr>
        <w:t>industry</w:t>
      </w:r>
      <w:r w:rsidR="00907D8C">
        <w:rPr>
          <w:b/>
        </w:rPr>
        <w:t xml:space="preserve"> </w:t>
      </w:r>
      <w:r w:rsidRPr="00220E6B">
        <w:rPr>
          <w:b/>
        </w:rPr>
        <w:t>sector</w:t>
      </w:r>
      <w:r w:rsidR="00907D8C">
        <w:rPr>
          <w:b/>
        </w:rPr>
        <w:t xml:space="preserve"> </w:t>
      </w:r>
      <w:r w:rsidRPr="00220E6B">
        <w:rPr>
          <w:b/>
        </w:rPr>
        <w:t>by</w:t>
      </w:r>
      <w:r w:rsidR="00907D8C">
        <w:rPr>
          <w:b/>
        </w:rPr>
        <w:t xml:space="preserve"> </w:t>
      </w:r>
      <w:r w:rsidRPr="00220E6B">
        <w:rPr>
          <w:b/>
        </w:rPr>
        <w:t>ethnicity</w:t>
      </w:r>
      <w:r w:rsidR="00907D8C">
        <w:rPr>
          <w:b/>
        </w:rPr>
        <w:t xml:space="preserve"> </w:t>
      </w:r>
      <w:r w:rsidRPr="00220E6B">
        <w:rPr>
          <w:b/>
        </w:rPr>
        <w:t>by</w:t>
      </w:r>
      <w:r w:rsidR="00907D8C">
        <w:rPr>
          <w:b/>
        </w:rPr>
        <w:t xml:space="preserve"> </w:t>
      </w:r>
      <w:r w:rsidRPr="00220E6B">
        <w:rPr>
          <w:b/>
        </w:rPr>
        <w:t>1,000s</w:t>
      </w:r>
      <w:r w:rsidR="00907D8C">
        <w:rPr>
          <w:b/>
        </w:rPr>
        <w:t xml:space="preserve"> </w:t>
      </w:r>
      <w:r w:rsidRPr="00220E6B">
        <w:rPr>
          <w:b/>
        </w:rPr>
        <w:t>of</w:t>
      </w:r>
      <w:r w:rsidR="00907D8C">
        <w:rPr>
          <w:b/>
        </w:rPr>
        <w:t xml:space="preserve"> </w:t>
      </w:r>
      <w:r w:rsidRPr="00220E6B">
        <w:rPr>
          <w:b/>
        </w:rPr>
        <w:t>people,</w:t>
      </w:r>
      <w:r w:rsidR="00907D8C">
        <w:rPr>
          <w:b/>
        </w:rPr>
        <w:t xml:space="preserve"> </w:t>
      </w:r>
      <w:r w:rsidRPr="00220E6B">
        <w:rPr>
          <w:b/>
        </w:rPr>
        <w:t>2009</w:t>
      </w:r>
      <w:bookmarkEnd w:id="29"/>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1566"/>
        <w:gridCol w:w="800"/>
        <w:gridCol w:w="800"/>
        <w:gridCol w:w="1100"/>
        <w:gridCol w:w="700"/>
        <w:gridCol w:w="1604"/>
        <w:gridCol w:w="800"/>
      </w:tblGrid>
      <w:tr w:rsidR="00036FAC" w:rsidRPr="00220E6B" w:rsidTr="00FB6701">
        <w:trPr>
          <w:trHeight w:val="240"/>
          <w:tblHeader/>
        </w:trPr>
        <w:tc>
          <w:tcPr>
            <w:tcW w:w="1062"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rPr>
                <w:i/>
                <w:sz w:val="16"/>
              </w:rPr>
            </w:pPr>
            <w:r w:rsidRPr="00220E6B">
              <w:rPr>
                <w:i/>
                <w:sz w:val="16"/>
              </w:rPr>
              <w:t>Sector</w:t>
            </w:r>
            <w:r w:rsidR="00907D8C">
              <w:rPr>
                <w:i/>
                <w:sz w:val="16"/>
              </w:rPr>
              <w:t xml:space="preserve"> </w:t>
            </w:r>
            <w:r w:rsidRPr="00220E6B">
              <w:rPr>
                <w:i/>
                <w:sz w:val="16"/>
              </w:rPr>
              <w:t>and</w:t>
            </w:r>
            <w:r w:rsidR="00907D8C">
              <w:rPr>
                <w:i/>
                <w:sz w:val="16"/>
              </w:rPr>
              <w:t xml:space="preserve"> </w:t>
            </w:r>
            <w:r w:rsidRPr="00220E6B">
              <w:rPr>
                <w:i/>
                <w:sz w:val="16"/>
              </w:rPr>
              <w:t>ethnicity</w:t>
            </w:r>
          </w:p>
        </w:tc>
        <w:tc>
          <w:tcPr>
            <w:tcW w:w="543"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European</w:t>
            </w:r>
          </w:p>
        </w:tc>
        <w:tc>
          <w:tcPr>
            <w:tcW w:w="543"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Māori</w:t>
            </w:r>
          </w:p>
        </w:tc>
        <w:tc>
          <w:tcPr>
            <w:tcW w:w="746"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Pacific</w:t>
            </w:r>
            <w:r w:rsidR="00907D8C">
              <w:rPr>
                <w:i/>
                <w:sz w:val="16"/>
              </w:rPr>
              <w:t xml:space="preserve"> </w:t>
            </w:r>
            <w:r w:rsidRPr="00220E6B">
              <w:rPr>
                <w:i/>
                <w:sz w:val="16"/>
              </w:rPr>
              <w:t>peoples</w:t>
            </w:r>
          </w:p>
        </w:tc>
        <w:tc>
          <w:tcPr>
            <w:tcW w:w="475"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Asian</w:t>
            </w:r>
          </w:p>
        </w:tc>
        <w:tc>
          <w:tcPr>
            <w:tcW w:w="1088" w:type="pct"/>
            <w:tcBorders>
              <w:top w:val="single" w:sz="4" w:space="0" w:color="auto"/>
              <w:bottom w:val="single" w:sz="12" w:space="0" w:color="auto"/>
            </w:tcBorders>
            <w:shd w:val="clear" w:color="auto" w:fill="auto"/>
            <w:vAlign w:val="bottom"/>
          </w:tcPr>
          <w:p w:rsidR="00036FAC" w:rsidRPr="00220E6B" w:rsidRDefault="00036FAC" w:rsidP="00220E6B">
            <w:pPr>
              <w:suppressAutoHyphens w:val="0"/>
              <w:spacing w:before="80" w:after="80" w:line="200" w:lineRule="exact"/>
              <w:ind w:right="113"/>
              <w:jc w:val="right"/>
              <w:rPr>
                <w:i/>
                <w:sz w:val="16"/>
              </w:rPr>
            </w:pPr>
            <w:r w:rsidRPr="00220E6B">
              <w:rPr>
                <w:i/>
                <w:sz w:val="16"/>
              </w:rPr>
              <w:t>Total</w:t>
            </w:r>
            <w:r w:rsidR="00907D8C">
              <w:rPr>
                <w:i/>
                <w:sz w:val="16"/>
              </w:rPr>
              <w:t xml:space="preserve"> </w:t>
            </w:r>
            <w:r w:rsidRPr="00220E6B">
              <w:rPr>
                <w:i/>
                <w:sz w:val="16"/>
              </w:rPr>
              <w:t>people</w:t>
            </w:r>
            <w:r w:rsidR="00907D8C">
              <w:rPr>
                <w:i/>
                <w:sz w:val="16"/>
              </w:rPr>
              <w:t xml:space="preserve"> </w:t>
            </w:r>
            <w:r w:rsidRPr="00220E6B">
              <w:rPr>
                <w:i/>
                <w:sz w:val="16"/>
              </w:rPr>
              <w:t>specifying</w:t>
            </w:r>
            <w:r w:rsidR="00907D8C">
              <w:rPr>
                <w:i/>
                <w:sz w:val="16"/>
              </w:rPr>
              <w:t xml:space="preserve"> </w:t>
            </w:r>
            <w:r w:rsidRPr="00220E6B">
              <w:rPr>
                <w:i/>
                <w:sz w:val="16"/>
              </w:rPr>
              <w:t>an</w:t>
            </w:r>
            <w:r w:rsidR="00907D8C">
              <w:rPr>
                <w:i/>
                <w:sz w:val="16"/>
              </w:rPr>
              <w:t xml:space="preserve"> </w:t>
            </w:r>
            <w:r w:rsidRPr="00220E6B">
              <w:rPr>
                <w:i/>
                <w:sz w:val="16"/>
              </w:rPr>
              <w:t>ethnicity</w:t>
            </w:r>
          </w:p>
        </w:tc>
        <w:tc>
          <w:tcPr>
            <w:tcW w:w="543" w:type="pct"/>
            <w:tcBorders>
              <w:top w:val="single" w:sz="4" w:space="0" w:color="auto"/>
              <w:bottom w:val="single" w:sz="12" w:space="0" w:color="auto"/>
            </w:tcBorders>
            <w:shd w:val="clear" w:color="auto" w:fill="auto"/>
            <w:vAlign w:val="bottom"/>
          </w:tcPr>
          <w:p w:rsidR="00036FAC" w:rsidRPr="006F7CDF" w:rsidRDefault="00036FAC" w:rsidP="00220E6B">
            <w:pPr>
              <w:suppressAutoHyphens w:val="0"/>
              <w:spacing w:before="80" w:after="80" w:line="200" w:lineRule="exact"/>
              <w:ind w:right="113"/>
              <w:jc w:val="right"/>
              <w:rPr>
                <w:b/>
                <w:i/>
                <w:sz w:val="16"/>
              </w:rPr>
            </w:pPr>
            <w:r w:rsidRPr="006F7CDF">
              <w:rPr>
                <w:b/>
                <w:i/>
                <w:sz w:val="16"/>
              </w:rPr>
              <w:t>Total</w:t>
            </w:r>
          </w:p>
        </w:tc>
      </w:tr>
      <w:tr w:rsidR="00036FAC" w:rsidRPr="00220E6B" w:rsidTr="00FB6701">
        <w:trPr>
          <w:trHeight w:val="240"/>
        </w:trPr>
        <w:tc>
          <w:tcPr>
            <w:tcW w:w="1062" w:type="pct"/>
            <w:tcBorders>
              <w:top w:val="single" w:sz="12" w:space="0" w:color="auto"/>
            </w:tcBorders>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Primary</w:t>
            </w:r>
            <w:r w:rsidR="00907D8C">
              <w:rPr>
                <w:sz w:val="18"/>
              </w:rPr>
              <w:t xml:space="preserve"> </w:t>
            </w:r>
            <w:r w:rsidRPr="00220E6B">
              <w:rPr>
                <w:sz w:val="18"/>
              </w:rPr>
              <w:t>Industry</w:t>
            </w:r>
          </w:p>
        </w:tc>
        <w:tc>
          <w:tcPr>
            <w:tcW w:w="543" w:type="pct"/>
            <w:tcBorders>
              <w:top w:val="single" w:sz="12" w:space="0" w:color="auto"/>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128.0</w:t>
            </w:r>
          </w:p>
        </w:tc>
        <w:tc>
          <w:tcPr>
            <w:tcW w:w="543" w:type="pct"/>
            <w:tcBorders>
              <w:top w:val="single" w:sz="12" w:space="0" w:color="auto"/>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19.7</w:t>
            </w:r>
          </w:p>
        </w:tc>
        <w:tc>
          <w:tcPr>
            <w:tcW w:w="746" w:type="pct"/>
            <w:tcBorders>
              <w:top w:val="single" w:sz="12" w:space="0" w:color="auto"/>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2.6</w:t>
            </w:r>
          </w:p>
        </w:tc>
        <w:tc>
          <w:tcPr>
            <w:tcW w:w="475" w:type="pct"/>
            <w:tcBorders>
              <w:top w:val="single" w:sz="12" w:space="0" w:color="auto"/>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11.4</w:t>
            </w:r>
          </w:p>
        </w:tc>
        <w:tc>
          <w:tcPr>
            <w:tcW w:w="1088" w:type="pct"/>
            <w:tcBorders>
              <w:top w:val="single" w:sz="12" w:space="0" w:color="auto"/>
            </w:tcBorders>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153.0</w:t>
            </w:r>
          </w:p>
        </w:tc>
        <w:tc>
          <w:tcPr>
            <w:tcW w:w="543" w:type="pct"/>
            <w:tcBorders>
              <w:top w:val="single" w:sz="12" w:space="0" w:color="auto"/>
            </w:tcBorders>
            <w:shd w:val="clear" w:color="auto" w:fill="auto"/>
            <w:vAlign w:val="bottom"/>
          </w:tcPr>
          <w:p w:rsidR="00036FAC" w:rsidRPr="006F7CDF" w:rsidRDefault="00036FAC" w:rsidP="00220E6B">
            <w:pPr>
              <w:suppressAutoHyphens w:val="0"/>
              <w:spacing w:before="40" w:after="40" w:line="220" w:lineRule="exact"/>
              <w:ind w:right="113"/>
              <w:jc w:val="right"/>
              <w:rPr>
                <w:b/>
                <w:sz w:val="18"/>
              </w:rPr>
            </w:pPr>
            <w:r w:rsidRPr="006F7CDF">
              <w:rPr>
                <w:b/>
                <w:sz w:val="18"/>
              </w:rPr>
              <w:t>153.2</w:t>
            </w:r>
          </w:p>
        </w:tc>
      </w:tr>
      <w:tr w:rsidR="00036FAC" w:rsidRPr="00220E6B" w:rsidTr="00FB6701">
        <w:trPr>
          <w:trHeight w:val="240"/>
        </w:trPr>
        <w:tc>
          <w:tcPr>
            <w:tcW w:w="1062" w:type="pct"/>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Secondary</w:t>
            </w:r>
            <w:r w:rsidR="00907D8C">
              <w:rPr>
                <w:sz w:val="18"/>
              </w:rPr>
              <w:t xml:space="preserve"> </w:t>
            </w:r>
            <w:r w:rsidRPr="00220E6B">
              <w:rPr>
                <w:sz w:val="18"/>
              </w:rPr>
              <w:t>Industry</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344.2</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62.7</w:t>
            </w:r>
          </w:p>
        </w:tc>
        <w:tc>
          <w:tcPr>
            <w:tcW w:w="746"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29.5</w:t>
            </w:r>
          </w:p>
        </w:tc>
        <w:tc>
          <w:tcPr>
            <w:tcW w:w="475"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41.7</w:t>
            </w:r>
          </w:p>
        </w:tc>
        <w:tc>
          <w:tcPr>
            <w:tcW w:w="1088"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446.0</w:t>
            </w:r>
          </w:p>
        </w:tc>
        <w:tc>
          <w:tcPr>
            <w:tcW w:w="543" w:type="pct"/>
            <w:shd w:val="clear" w:color="auto" w:fill="auto"/>
            <w:vAlign w:val="bottom"/>
          </w:tcPr>
          <w:p w:rsidR="00036FAC" w:rsidRPr="006F7CDF" w:rsidRDefault="00036FAC" w:rsidP="00220E6B">
            <w:pPr>
              <w:suppressAutoHyphens w:val="0"/>
              <w:spacing w:before="40" w:after="40" w:line="220" w:lineRule="exact"/>
              <w:ind w:right="113"/>
              <w:jc w:val="right"/>
              <w:rPr>
                <w:b/>
                <w:sz w:val="18"/>
              </w:rPr>
            </w:pPr>
            <w:r w:rsidRPr="006F7CDF">
              <w:rPr>
                <w:b/>
                <w:sz w:val="18"/>
              </w:rPr>
              <w:t>446.5</w:t>
            </w:r>
          </w:p>
        </w:tc>
      </w:tr>
      <w:tr w:rsidR="00036FAC" w:rsidRPr="00220E6B" w:rsidTr="00FB6701">
        <w:trPr>
          <w:trHeight w:val="240"/>
        </w:trPr>
        <w:tc>
          <w:tcPr>
            <w:tcW w:w="1062" w:type="pct"/>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Services</w:t>
            </w:r>
            <w:r w:rsidR="00907D8C">
              <w:rPr>
                <w:sz w:val="18"/>
              </w:rPr>
              <w:t xml:space="preserve"> </w:t>
            </w:r>
            <w:r w:rsidRPr="00220E6B">
              <w:rPr>
                <w:sz w:val="18"/>
              </w:rPr>
              <w:t>mainly</w:t>
            </w:r>
            <w:r w:rsidR="00907D8C">
              <w:rPr>
                <w:sz w:val="18"/>
              </w:rPr>
              <w:t xml:space="preserve"> </w:t>
            </w:r>
            <w:r w:rsidRPr="00220E6B">
              <w:rPr>
                <w:sz w:val="18"/>
              </w:rPr>
              <w:t>to</w:t>
            </w:r>
            <w:r w:rsidR="00907D8C">
              <w:rPr>
                <w:sz w:val="18"/>
              </w:rPr>
              <w:t xml:space="preserve"> </w:t>
            </w:r>
            <w:r w:rsidRPr="00220E6B">
              <w:rPr>
                <w:sz w:val="18"/>
              </w:rPr>
              <w:t>Business</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427.6</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49.3</w:t>
            </w:r>
          </w:p>
        </w:tc>
        <w:tc>
          <w:tcPr>
            <w:tcW w:w="746"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25.5</w:t>
            </w:r>
          </w:p>
        </w:tc>
        <w:tc>
          <w:tcPr>
            <w:tcW w:w="475"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73.2</w:t>
            </w:r>
          </w:p>
        </w:tc>
        <w:tc>
          <w:tcPr>
            <w:tcW w:w="1088"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544.6</w:t>
            </w:r>
          </w:p>
        </w:tc>
        <w:tc>
          <w:tcPr>
            <w:tcW w:w="543" w:type="pct"/>
            <w:shd w:val="clear" w:color="auto" w:fill="auto"/>
            <w:vAlign w:val="bottom"/>
          </w:tcPr>
          <w:p w:rsidR="00036FAC" w:rsidRPr="006F7CDF" w:rsidRDefault="00036FAC" w:rsidP="00220E6B">
            <w:pPr>
              <w:suppressAutoHyphens w:val="0"/>
              <w:spacing w:before="40" w:after="40" w:line="220" w:lineRule="exact"/>
              <w:ind w:right="113"/>
              <w:jc w:val="right"/>
              <w:rPr>
                <w:b/>
                <w:sz w:val="18"/>
              </w:rPr>
            </w:pPr>
            <w:r w:rsidRPr="006F7CDF">
              <w:rPr>
                <w:b/>
                <w:sz w:val="18"/>
              </w:rPr>
              <w:t>545.1</w:t>
            </w:r>
          </w:p>
        </w:tc>
      </w:tr>
      <w:tr w:rsidR="00036FAC" w:rsidRPr="00220E6B" w:rsidTr="00FB6701">
        <w:trPr>
          <w:trHeight w:val="240"/>
        </w:trPr>
        <w:tc>
          <w:tcPr>
            <w:tcW w:w="1062" w:type="pct"/>
            <w:shd w:val="clear" w:color="auto" w:fill="auto"/>
          </w:tcPr>
          <w:p w:rsidR="00036FAC" w:rsidRPr="00220E6B" w:rsidRDefault="00036FAC" w:rsidP="00220E6B">
            <w:pPr>
              <w:suppressAutoHyphens w:val="0"/>
              <w:spacing w:before="40" w:after="40" w:line="220" w:lineRule="exact"/>
              <w:ind w:right="113"/>
              <w:rPr>
                <w:sz w:val="18"/>
              </w:rPr>
            </w:pPr>
            <w:r w:rsidRPr="00220E6B">
              <w:rPr>
                <w:sz w:val="18"/>
              </w:rPr>
              <w:t>Services</w:t>
            </w:r>
            <w:r w:rsidR="00907D8C">
              <w:rPr>
                <w:sz w:val="18"/>
              </w:rPr>
              <w:t xml:space="preserve"> </w:t>
            </w:r>
            <w:r w:rsidRPr="00220E6B">
              <w:rPr>
                <w:sz w:val="18"/>
              </w:rPr>
              <w:t>mainly</w:t>
            </w:r>
            <w:r w:rsidR="00907D8C">
              <w:rPr>
                <w:sz w:val="18"/>
              </w:rPr>
              <w:t xml:space="preserve"> </w:t>
            </w:r>
            <w:r w:rsidRPr="00220E6B">
              <w:rPr>
                <w:sz w:val="18"/>
              </w:rPr>
              <w:t>to</w:t>
            </w:r>
            <w:r w:rsidR="00907D8C">
              <w:rPr>
                <w:sz w:val="18"/>
              </w:rPr>
              <w:t xml:space="preserve"> </w:t>
            </w:r>
            <w:r w:rsidRPr="00220E6B">
              <w:rPr>
                <w:sz w:val="18"/>
              </w:rPr>
              <w:t>Households</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786.1</w:t>
            </w:r>
          </w:p>
        </w:tc>
        <w:tc>
          <w:tcPr>
            <w:tcW w:w="543"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114.3</w:t>
            </w:r>
          </w:p>
        </w:tc>
        <w:tc>
          <w:tcPr>
            <w:tcW w:w="746"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42.5</w:t>
            </w:r>
          </w:p>
        </w:tc>
        <w:tc>
          <w:tcPr>
            <w:tcW w:w="475" w:type="pct"/>
            <w:shd w:val="clear" w:color="auto" w:fill="auto"/>
            <w:vAlign w:val="bottom"/>
          </w:tcPr>
          <w:p w:rsidR="00036FAC" w:rsidRPr="00220E6B" w:rsidRDefault="00036FAC" w:rsidP="00220E6B">
            <w:pPr>
              <w:suppressAutoHyphens w:val="0"/>
              <w:spacing w:before="40" w:after="40" w:line="220" w:lineRule="exact"/>
              <w:ind w:right="113"/>
              <w:jc w:val="right"/>
              <w:rPr>
                <w:sz w:val="18"/>
              </w:rPr>
            </w:pPr>
            <w:r w:rsidRPr="00220E6B">
              <w:rPr>
                <w:sz w:val="18"/>
              </w:rPr>
              <w:t>133.7</w:t>
            </w:r>
          </w:p>
        </w:tc>
        <w:tc>
          <w:tcPr>
            <w:tcW w:w="1088" w:type="pct"/>
            <w:shd w:val="clear" w:color="auto" w:fill="auto"/>
            <w:vAlign w:val="bottom"/>
          </w:tcPr>
          <w:p w:rsidR="00036FAC" w:rsidRPr="00220E6B" w:rsidRDefault="006F7CDF" w:rsidP="00220E6B">
            <w:pPr>
              <w:suppressAutoHyphens w:val="0"/>
              <w:spacing w:before="40" w:after="40" w:line="220" w:lineRule="exact"/>
              <w:ind w:right="113"/>
              <w:jc w:val="right"/>
              <w:rPr>
                <w:sz w:val="18"/>
              </w:rPr>
            </w:pPr>
            <w:r>
              <w:rPr>
                <w:sz w:val="18"/>
              </w:rPr>
              <w:t>1</w:t>
            </w:r>
            <w:r w:rsidR="00907D8C">
              <w:rPr>
                <w:sz w:val="18"/>
              </w:rPr>
              <w:t xml:space="preserve"> </w:t>
            </w:r>
            <w:r w:rsidR="00036FAC" w:rsidRPr="00220E6B">
              <w:rPr>
                <w:sz w:val="18"/>
              </w:rPr>
              <w:t>009.2</w:t>
            </w:r>
          </w:p>
        </w:tc>
        <w:tc>
          <w:tcPr>
            <w:tcW w:w="543" w:type="pct"/>
            <w:shd w:val="clear" w:color="auto" w:fill="auto"/>
            <w:vAlign w:val="bottom"/>
          </w:tcPr>
          <w:p w:rsidR="00036FAC" w:rsidRPr="006F7CDF" w:rsidRDefault="006F7CDF" w:rsidP="00220E6B">
            <w:pPr>
              <w:suppressAutoHyphens w:val="0"/>
              <w:spacing w:before="40" w:after="40" w:line="220" w:lineRule="exact"/>
              <w:ind w:right="113"/>
              <w:jc w:val="right"/>
              <w:rPr>
                <w:b/>
                <w:sz w:val="18"/>
              </w:rPr>
            </w:pPr>
            <w:r>
              <w:rPr>
                <w:b/>
                <w:sz w:val="18"/>
              </w:rPr>
              <w:t>1</w:t>
            </w:r>
            <w:r w:rsidR="00907D8C">
              <w:rPr>
                <w:b/>
                <w:sz w:val="18"/>
              </w:rPr>
              <w:t xml:space="preserve"> </w:t>
            </w:r>
            <w:r w:rsidR="00036FAC" w:rsidRPr="006F7CDF">
              <w:rPr>
                <w:b/>
                <w:sz w:val="18"/>
              </w:rPr>
              <w:t>010.8</w:t>
            </w:r>
          </w:p>
        </w:tc>
      </w:tr>
    </w:tbl>
    <w:p w:rsidR="00036FAC" w:rsidRPr="007C016E" w:rsidRDefault="00220E6B" w:rsidP="007C016E">
      <w:pPr>
        <w:spacing w:before="120" w:after="24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p>
    <w:p w:rsidR="00036FAC" w:rsidRPr="00036FAC" w:rsidRDefault="00220E6B" w:rsidP="006C436C">
      <w:pPr>
        <w:pStyle w:val="H23G"/>
      </w:pPr>
      <w:r>
        <w:tab/>
        <w:t>(b)</w:t>
      </w:r>
      <w:r>
        <w:tab/>
        <w:t>Gross</w:t>
      </w:r>
      <w:r w:rsidR="00907D8C">
        <w:t xml:space="preserve"> </w:t>
      </w:r>
      <w:r>
        <w:t>domestic</w:t>
      </w:r>
      <w:r w:rsidR="00907D8C">
        <w:t xml:space="preserve"> </w:t>
      </w:r>
      <w:r>
        <w:t>product</w:t>
      </w:r>
    </w:p>
    <w:p w:rsidR="00036FAC" w:rsidRPr="00036FAC" w:rsidRDefault="00036FAC" w:rsidP="006F7CDF">
      <w:pPr>
        <w:pStyle w:val="SingleTxtG"/>
      </w:pPr>
      <w:r w:rsidRPr="00036FAC">
        <w:t>33.</w:t>
      </w:r>
      <w:r w:rsidRPr="00036FAC">
        <w:tab/>
        <w:t>Gross</w:t>
      </w:r>
      <w:r w:rsidR="00907D8C">
        <w:t xml:space="preserve"> </w:t>
      </w:r>
      <w:r w:rsidRPr="00036FAC">
        <w:t>domestic</w:t>
      </w:r>
      <w:r w:rsidR="00907D8C">
        <w:t xml:space="preserve"> </w:t>
      </w:r>
      <w:r w:rsidRPr="00036FAC">
        <w:t>product</w:t>
      </w:r>
      <w:r w:rsidR="00907D8C">
        <w:t xml:space="preserve"> </w:t>
      </w:r>
      <w:r w:rsidRPr="00036FAC">
        <w:t>(GDP)</w:t>
      </w:r>
      <w:r w:rsidR="00907D8C">
        <w:t xml:space="preserve"> </w:t>
      </w:r>
      <w:r w:rsidRPr="00036FAC">
        <w:t>in</w:t>
      </w:r>
      <w:r w:rsidR="00907D8C">
        <w:t xml:space="preserve"> </w:t>
      </w:r>
      <w:r w:rsidRPr="00036FAC">
        <w:t>current</w:t>
      </w:r>
      <w:r w:rsidR="00907D8C">
        <w:t xml:space="preserve"> </w:t>
      </w:r>
      <w:r w:rsidRPr="00036FAC">
        <w:t>prices</w:t>
      </w:r>
      <w:r w:rsidR="00907D8C">
        <w:t xml:space="preserve"> </w:t>
      </w:r>
      <w:r w:rsidRPr="00036FAC">
        <w:t>for</w:t>
      </w:r>
      <w:r w:rsidR="00907D8C">
        <w:t xml:space="preserve"> </w:t>
      </w:r>
      <w:r w:rsidRPr="00036FAC">
        <w:t>the</w:t>
      </w:r>
      <w:r w:rsidR="00907D8C">
        <w:t xml:space="preserve"> </w:t>
      </w:r>
      <w:r w:rsidRPr="00036FAC">
        <w:t>year</w:t>
      </w:r>
      <w:r w:rsidR="00907D8C">
        <w:t xml:space="preserve"> </w:t>
      </w:r>
      <w:r w:rsidRPr="00036FAC">
        <w:t>ending</w:t>
      </w:r>
      <w:r w:rsidR="00907D8C">
        <w:t xml:space="preserve"> </w:t>
      </w:r>
      <w:r w:rsidRPr="00036FAC">
        <w:t>March</w:t>
      </w:r>
      <w:r w:rsidR="00907D8C">
        <w:t xml:space="preserve"> </w:t>
      </w:r>
      <w:r w:rsidRPr="00036FAC">
        <w:t>2010</w:t>
      </w:r>
      <w:r w:rsidR="00907D8C">
        <w:t xml:space="preserve"> </w:t>
      </w:r>
      <w:r w:rsidRPr="00036FAC">
        <w:t>was</w:t>
      </w:r>
      <w:r w:rsidR="00907D8C">
        <w:t xml:space="preserve"> </w:t>
      </w:r>
      <w:r w:rsidRPr="00036FAC">
        <w:t>$187,362</w:t>
      </w:r>
      <w:r w:rsidR="00907D8C">
        <w:t xml:space="preserve"> </w:t>
      </w:r>
      <w:r w:rsidRPr="00036FAC">
        <w:t>million</w:t>
      </w:r>
      <w:r w:rsidR="00907D8C">
        <w:t xml:space="preserve"> </w:t>
      </w:r>
      <w:r w:rsidRPr="00036FAC">
        <w:t>and</w:t>
      </w:r>
      <w:r w:rsidR="00907D8C">
        <w:t xml:space="preserve"> </w:t>
      </w:r>
      <w:r w:rsidRPr="00036FAC">
        <w:t>in</w:t>
      </w:r>
      <w:r w:rsidR="00907D8C">
        <w:t xml:space="preserve"> </w:t>
      </w:r>
      <w:r w:rsidRPr="00036FAC">
        <w:t>real</w:t>
      </w:r>
      <w:r w:rsidR="00907D8C">
        <w:t xml:space="preserve"> </w:t>
      </w:r>
      <w:r w:rsidRPr="00036FAC">
        <w:t>GDP</w:t>
      </w:r>
      <w:r w:rsidR="00907D8C">
        <w:t xml:space="preserve"> </w:t>
      </w:r>
      <w:r w:rsidRPr="00036FAC">
        <w:t>(1995/96</w:t>
      </w:r>
      <w:r w:rsidR="00907D8C">
        <w:t xml:space="preserve"> </w:t>
      </w:r>
      <w:r w:rsidRPr="00036FAC">
        <w:t>prices)</w:t>
      </w:r>
      <w:r w:rsidR="00907D8C">
        <w:t xml:space="preserve"> </w:t>
      </w:r>
      <w:r w:rsidRPr="00036FAC">
        <w:t>was</w:t>
      </w:r>
      <w:r w:rsidR="00907D8C">
        <w:t xml:space="preserve"> </w:t>
      </w:r>
      <w:r w:rsidRPr="00036FAC">
        <w:t>$132,737</w:t>
      </w:r>
      <w:r w:rsidR="00907D8C">
        <w:t xml:space="preserve"> </w:t>
      </w:r>
      <w:r w:rsidRPr="00036FAC">
        <w:t>million.</w:t>
      </w:r>
      <w:r w:rsidRPr="006F7CDF">
        <w:rPr>
          <w:rStyle w:val="FootnoteReference"/>
        </w:rPr>
        <w:footnoteReference w:id="4"/>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economy,</w:t>
      </w:r>
      <w:r w:rsidR="00907D8C">
        <w:t xml:space="preserve"> </w:t>
      </w:r>
      <w:r w:rsidRPr="00036FAC">
        <w:t>which</w:t>
      </w:r>
      <w:r w:rsidR="00907D8C">
        <w:t xml:space="preserve"> </w:t>
      </w:r>
      <w:r w:rsidRPr="00036FAC">
        <w:t>was</w:t>
      </w:r>
      <w:r w:rsidR="00907D8C">
        <w:t xml:space="preserve"> </w:t>
      </w:r>
      <w:r w:rsidRPr="00036FAC">
        <w:t>already</w:t>
      </w:r>
      <w:r w:rsidR="00907D8C">
        <w:t xml:space="preserve"> </w:t>
      </w:r>
      <w:r w:rsidRPr="00036FAC">
        <w:t>in</w:t>
      </w:r>
      <w:r w:rsidR="00907D8C">
        <w:t xml:space="preserve"> </w:t>
      </w:r>
      <w:r w:rsidRPr="00036FAC">
        <w:t>recession</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of</w:t>
      </w:r>
      <w:r w:rsidR="00907D8C">
        <w:t xml:space="preserve"> </w:t>
      </w:r>
      <w:r w:rsidRPr="00036FAC">
        <w:t>domestic</w:t>
      </w:r>
      <w:r w:rsidR="00907D8C">
        <w:t xml:space="preserve"> </w:t>
      </w:r>
      <w:r w:rsidRPr="00036FAC">
        <w:t>factors,</w:t>
      </w:r>
      <w:r w:rsidR="00907D8C">
        <w:t xml:space="preserve"> </w:t>
      </w:r>
      <w:r w:rsidRPr="00036FAC">
        <w:t>faced</w:t>
      </w:r>
      <w:r w:rsidR="00907D8C">
        <w:t xml:space="preserve"> </w:t>
      </w:r>
      <w:r w:rsidRPr="00036FAC">
        <w:t>a</w:t>
      </w:r>
      <w:r w:rsidR="00907D8C">
        <w:t xml:space="preserve"> </w:t>
      </w:r>
      <w:r w:rsidRPr="00036FAC">
        <w:t>strong</w:t>
      </w:r>
      <w:r w:rsidR="00907D8C">
        <w:t xml:space="preserve"> </w:t>
      </w:r>
      <w:r w:rsidRPr="00036FAC">
        <w:t>contraction</w:t>
      </w:r>
      <w:r w:rsidR="00907D8C">
        <w:t xml:space="preserve"> </w:t>
      </w:r>
      <w:r w:rsidRPr="00036FAC">
        <w:t>in</w:t>
      </w:r>
      <w:r w:rsidR="00907D8C">
        <w:t xml:space="preserve"> </w:t>
      </w:r>
      <w:r w:rsidRPr="00036FAC">
        <w:t>economic</w:t>
      </w:r>
      <w:r w:rsidR="00907D8C">
        <w:t xml:space="preserve"> </w:t>
      </w:r>
      <w:r w:rsidRPr="00036FAC">
        <w:t>activity</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of</w:t>
      </w:r>
      <w:r w:rsidR="00907D8C">
        <w:t xml:space="preserve"> </w:t>
      </w:r>
      <w:r w:rsidRPr="00036FAC">
        <w:t>the</w:t>
      </w:r>
      <w:r w:rsidR="00907D8C">
        <w:t xml:space="preserve"> </w:t>
      </w:r>
      <w:r w:rsidRPr="00036FAC">
        <w:t>global</w:t>
      </w:r>
      <w:r w:rsidR="00907D8C">
        <w:t xml:space="preserve"> </w:t>
      </w:r>
      <w:r w:rsidRPr="00036FAC">
        <w:t>financial</w:t>
      </w:r>
      <w:r w:rsidR="00907D8C">
        <w:t xml:space="preserve"> </w:t>
      </w:r>
      <w:r w:rsidRPr="00036FAC">
        <w:t>crisis.</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experiencing</w:t>
      </w:r>
      <w:r w:rsidR="00907D8C">
        <w:t xml:space="preserve"> </w:t>
      </w:r>
      <w:r w:rsidRPr="00036FAC">
        <w:t>a</w:t>
      </w:r>
      <w:r w:rsidR="00907D8C">
        <w:t xml:space="preserve"> </w:t>
      </w:r>
      <w:r w:rsidRPr="00036FAC">
        <w:t>gradual</w:t>
      </w:r>
      <w:r w:rsidR="00907D8C">
        <w:t xml:space="preserve"> </w:t>
      </w:r>
      <w:r w:rsidRPr="00036FAC">
        <w:t>recovery</w:t>
      </w:r>
      <w:r w:rsidR="00907D8C">
        <w:t xml:space="preserve"> </w:t>
      </w:r>
      <w:r w:rsidRPr="00036FAC">
        <w:t>from</w:t>
      </w:r>
      <w:r w:rsidR="00907D8C">
        <w:t xml:space="preserve"> </w:t>
      </w:r>
      <w:r w:rsidRPr="00036FAC">
        <w:t>the</w:t>
      </w:r>
      <w:r w:rsidR="00907D8C">
        <w:t xml:space="preserve"> </w:t>
      </w:r>
      <w:r w:rsidRPr="00036FAC">
        <w:t>crisis</w:t>
      </w:r>
      <w:r w:rsidR="00907D8C">
        <w:t xml:space="preserve"> </w:t>
      </w:r>
      <w:r w:rsidRPr="00036FAC">
        <w:t>in</w:t>
      </w:r>
      <w:r w:rsidR="00907D8C">
        <w:t xml:space="preserve"> </w:t>
      </w:r>
      <w:r w:rsidRPr="00036FAC">
        <w:t>line</w:t>
      </w:r>
      <w:r w:rsidR="00907D8C">
        <w:t xml:space="preserve"> </w:t>
      </w:r>
      <w:r w:rsidRPr="00036FAC">
        <w:t>with</w:t>
      </w:r>
      <w:r w:rsidR="00907D8C">
        <w:t xml:space="preserve"> </w:t>
      </w:r>
      <w:r w:rsidRPr="00036FAC">
        <w:t>Treasury</w:t>
      </w:r>
      <w:r w:rsidR="00907D8C">
        <w:t xml:space="preserve"> </w:t>
      </w:r>
      <w:r w:rsidRPr="00036FAC">
        <w:t>forecasts.</w:t>
      </w:r>
      <w:r w:rsidR="00907D8C">
        <w:t xml:space="preserve"> </w:t>
      </w:r>
      <w:r w:rsidRPr="00036FAC">
        <w:t>Export</w:t>
      </w:r>
      <w:r w:rsidR="00907D8C">
        <w:t xml:space="preserve"> </w:t>
      </w:r>
      <w:r w:rsidRPr="00036FAC">
        <w:t>performance</w:t>
      </w:r>
      <w:r w:rsidR="00907D8C">
        <w:t xml:space="preserve"> </w:t>
      </w:r>
      <w:r w:rsidRPr="00036FAC">
        <w:t>has</w:t>
      </w:r>
      <w:r w:rsidR="00907D8C">
        <w:t xml:space="preserve"> </w:t>
      </w:r>
      <w:r w:rsidRPr="00036FAC">
        <w:t>fared</w:t>
      </w:r>
      <w:r w:rsidR="00907D8C">
        <w:t xml:space="preserve"> </w:t>
      </w:r>
      <w:r w:rsidRPr="00036FAC">
        <w:t>better</w:t>
      </w:r>
      <w:r w:rsidR="00907D8C">
        <w:t xml:space="preserve"> </w:t>
      </w:r>
      <w:r w:rsidRPr="00036FAC">
        <w:t>than</w:t>
      </w:r>
      <w:r w:rsidR="00907D8C">
        <w:t xml:space="preserve"> </w:t>
      </w:r>
      <w:r w:rsidRPr="00036FAC">
        <w:t>many</w:t>
      </w:r>
      <w:r w:rsidR="00907D8C">
        <w:t xml:space="preserve"> </w:t>
      </w:r>
      <w:r w:rsidRPr="00036FAC">
        <w:t>other</w:t>
      </w:r>
      <w:r w:rsidR="00907D8C">
        <w:t xml:space="preserve"> </w:t>
      </w:r>
      <w:r w:rsidRPr="00036FAC">
        <w:t>developed</w:t>
      </w:r>
      <w:r w:rsidR="00907D8C">
        <w:t xml:space="preserve"> </w:t>
      </w:r>
      <w:r w:rsidRPr="00036FAC">
        <w:t>economies</w:t>
      </w:r>
      <w:r w:rsidR="00907D8C">
        <w:t xml:space="preserve"> </w:t>
      </w:r>
      <w:r w:rsidRPr="00036FAC">
        <w:t>following</w:t>
      </w:r>
      <w:r w:rsidR="00907D8C">
        <w:t xml:space="preserve"> </w:t>
      </w:r>
      <w:r w:rsidRPr="00036FAC">
        <w:t>the</w:t>
      </w:r>
      <w:r w:rsidR="00907D8C">
        <w:t xml:space="preserve"> </w:t>
      </w:r>
      <w:r w:rsidRPr="00036FAC">
        <w:t>crisis,</w:t>
      </w:r>
      <w:r w:rsidR="00907D8C">
        <w:t xml:space="preserve"> </w:t>
      </w:r>
      <w:r w:rsidRPr="00036FAC">
        <w:t>supported</w:t>
      </w:r>
      <w:r w:rsidR="00907D8C">
        <w:t xml:space="preserve"> </w:t>
      </w:r>
      <w:r w:rsidRPr="00036FAC">
        <w:t>by</w:t>
      </w:r>
      <w:r w:rsidR="00907D8C">
        <w:t xml:space="preserve"> </w:t>
      </w:r>
      <w:r w:rsidRPr="00036FAC">
        <w:t>the</w:t>
      </w:r>
      <w:r w:rsidR="00907D8C">
        <w:t xml:space="preserve"> </w:t>
      </w:r>
      <w:r w:rsidRPr="00036FAC">
        <w:t>fortunes</w:t>
      </w:r>
      <w:r w:rsidR="00907D8C">
        <w:t xml:space="preserve"> </w:t>
      </w:r>
      <w:r w:rsidRPr="00036FAC">
        <w:t>of</w:t>
      </w:r>
      <w:r w:rsidR="00907D8C">
        <w:t xml:space="preserve"> </w:t>
      </w:r>
      <w:r w:rsidRPr="00036FAC">
        <w:t>the</w:t>
      </w:r>
      <w:r w:rsidR="00907D8C">
        <w:t xml:space="preserve"> </w:t>
      </w:r>
      <w:r w:rsidRPr="00036FAC">
        <w:t>Australian</w:t>
      </w:r>
      <w:r w:rsidR="00907D8C">
        <w:t xml:space="preserve"> </w:t>
      </w:r>
      <w:r w:rsidRPr="00036FAC">
        <w:t>and</w:t>
      </w:r>
      <w:r w:rsidR="00907D8C">
        <w:t xml:space="preserve"> </w:t>
      </w:r>
      <w:r w:rsidRPr="00036FAC">
        <w:t>emerging</w:t>
      </w:r>
      <w:r w:rsidR="00907D8C">
        <w:t xml:space="preserve"> </w:t>
      </w:r>
      <w:r w:rsidRPr="00036FAC">
        <w:t>Asian</w:t>
      </w:r>
      <w:r w:rsidR="00907D8C">
        <w:t xml:space="preserve"> </w:t>
      </w:r>
      <w:r w:rsidRPr="00036FAC">
        <w:t>economies.</w:t>
      </w:r>
      <w:r w:rsidR="00907D8C">
        <w:t xml:space="preserve"> </w:t>
      </w:r>
      <w:r w:rsidRPr="00036FAC">
        <w:t>Although</w:t>
      </w:r>
      <w:r w:rsidR="00907D8C">
        <w:t xml:space="preserve"> </w:t>
      </w:r>
      <w:r w:rsidRPr="00036FAC">
        <w:t>the</w:t>
      </w:r>
      <w:r w:rsidR="00907D8C">
        <w:t xml:space="preserve"> </w:t>
      </w:r>
      <w:r w:rsidRPr="00036FAC">
        <w:t>recovery</w:t>
      </w:r>
      <w:r w:rsidR="00907D8C">
        <w:t xml:space="preserve"> </w:t>
      </w:r>
      <w:r w:rsidRPr="00036FAC">
        <w:t>has</w:t>
      </w:r>
      <w:r w:rsidR="00907D8C">
        <w:t xml:space="preserve"> </w:t>
      </w:r>
      <w:r w:rsidRPr="00036FAC">
        <w:t>been</w:t>
      </w:r>
      <w:r w:rsidR="00907D8C">
        <w:t xml:space="preserve"> </w:t>
      </w:r>
      <w:r w:rsidRPr="00036FAC">
        <w:t>mainly</w:t>
      </w:r>
      <w:r w:rsidR="00907D8C">
        <w:t xml:space="preserve"> </w:t>
      </w:r>
      <w:r w:rsidRPr="00036FAC">
        <w:t>export-led,</w:t>
      </w:r>
      <w:r w:rsidR="00907D8C">
        <w:t xml:space="preserve"> </w:t>
      </w:r>
      <w:r w:rsidRPr="00036FAC">
        <w:t>continued</w:t>
      </w:r>
      <w:r w:rsidR="00907D8C">
        <w:t xml:space="preserve"> </w:t>
      </w:r>
      <w:r w:rsidRPr="00036FAC">
        <w:t>expansion</w:t>
      </w:r>
      <w:r w:rsidR="00907D8C">
        <w:t xml:space="preserve"> </w:t>
      </w:r>
      <w:r w:rsidRPr="00036FAC">
        <w:t>in</w:t>
      </w:r>
      <w:r w:rsidR="00907D8C">
        <w:t xml:space="preserve"> </w:t>
      </w:r>
      <w:r w:rsidRPr="00036FAC">
        <w:t>the</w:t>
      </w:r>
      <w:r w:rsidR="00907D8C">
        <w:t xml:space="preserve"> </w:t>
      </w:r>
      <w:r w:rsidRPr="00036FAC">
        <w:t>export</w:t>
      </w:r>
      <w:r w:rsidR="00907D8C">
        <w:t xml:space="preserve"> </w:t>
      </w:r>
      <w:r w:rsidRPr="00036FAC">
        <w:t>sector</w:t>
      </w:r>
      <w:r w:rsidR="00907D8C">
        <w:t xml:space="preserve"> </w:t>
      </w:r>
      <w:r w:rsidRPr="00036FAC">
        <w:t>is</w:t>
      </w:r>
      <w:r w:rsidR="00907D8C">
        <w:t xml:space="preserve"> </w:t>
      </w:r>
      <w:r w:rsidRPr="00036FAC">
        <w:t>required</w:t>
      </w:r>
      <w:r w:rsidR="00907D8C">
        <w:t xml:space="preserve"> </w:t>
      </w:r>
      <w:r w:rsidRPr="00036FAC">
        <w:t>for</w:t>
      </w:r>
      <w:r w:rsidR="00907D8C">
        <w:t xml:space="preserve"> </w:t>
      </w:r>
      <w:r w:rsidRPr="00036FAC">
        <w:t>further</w:t>
      </w:r>
      <w:r w:rsidR="00907D8C">
        <w:t xml:space="preserve"> </w:t>
      </w:r>
      <w:r w:rsidRPr="00036FAC">
        <w:t>rebalancing</w:t>
      </w:r>
      <w:r w:rsidR="00907D8C">
        <w:t xml:space="preserve"> </w:t>
      </w:r>
      <w:r w:rsidRPr="00036FAC">
        <w:t>of</w:t>
      </w:r>
      <w:r w:rsidR="00907D8C">
        <w:t xml:space="preserve"> </w:t>
      </w:r>
      <w:r w:rsidRPr="00036FAC">
        <w:t>the</w:t>
      </w:r>
      <w:r w:rsidR="00907D8C">
        <w:t xml:space="preserve"> </w:t>
      </w:r>
      <w:r w:rsidRPr="00036FAC">
        <w:t>economy.</w:t>
      </w:r>
    </w:p>
    <w:p w:rsidR="00036FAC" w:rsidRPr="00036FAC" w:rsidRDefault="00036FAC" w:rsidP="006C436C">
      <w:pPr>
        <w:pStyle w:val="H23G"/>
      </w:pPr>
      <w:r w:rsidRPr="00036FAC">
        <w:tab/>
        <w:t>(c)</w:t>
      </w:r>
      <w:r w:rsidRPr="00036FAC">
        <w:tab/>
        <w:t>Rate</w:t>
      </w:r>
      <w:r w:rsidR="00907D8C">
        <w:t xml:space="preserve"> </w:t>
      </w:r>
      <w:r w:rsidRPr="00036FAC">
        <w:t>of</w:t>
      </w:r>
      <w:r w:rsidR="00907D8C">
        <w:t xml:space="preserve"> </w:t>
      </w:r>
      <w:r w:rsidRPr="00036FAC">
        <w:t>inflation</w:t>
      </w:r>
    </w:p>
    <w:p w:rsidR="00036FAC" w:rsidRPr="00036FAC" w:rsidRDefault="00036FAC" w:rsidP="006F7CDF">
      <w:pPr>
        <w:pStyle w:val="SingleTxtG"/>
      </w:pPr>
      <w:r w:rsidRPr="00036FAC">
        <w:t>34.</w:t>
      </w:r>
      <w:r w:rsidRPr="00036FAC">
        <w:tab/>
        <w:t>The</w:t>
      </w:r>
      <w:r w:rsidR="00907D8C">
        <w:t xml:space="preserve"> </w:t>
      </w:r>
      <w:r w:rsidRPr="00036FAC">
        <w:t>Consumers</w:t>
      </w:r>
      <w:r w:rsidR="00907D8C">
        <w:t xml:space="preserve"> </w:t>
      </w:r>
      <w:r w:rsidRPr="00036FAC">
        <w:t>Price</w:t>
      </w:r>
      <w:r w:rsidR="00907D8C">
        <w:t xml:space="preserve"> </w:t>
      </w:r>
      <w:r w:rsidRPr="00036FAC">
        <w:t>Index</w:t>
      </w:r>
      <w:r w:rsidR="00907D8C">
        <w:t xml:space="preserve"> </w:t>
      </w:r>
      <w:r w:rsidRPr="00036FAC">
        <w:t>rose</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from</w:t>
      </w:r>
      <w:r w:rsidR="00907D8C">
        <w:t xml:space="preserve"> </w:t>
      </w:r>
      <w:r w:rsidRPr="00036FAC">
        <w:t>the</w:t>
      </w:r>
      <w:r w:rsidR="00907D8C">
        <w:t xml:space="preserve"> </w:t>
      </w:r>
      <w:r w:rsidRPr="00036FAC">
        <w:t>March</w:t>
      </w:r>
      <w:r w:rsidR="00907D8C">
        <w:t xml:space="preserve"> </w:t>
      </w:r>
      <w:r w:rsidRPr="00036FAC">
        <w:t>2009</w:t>
      </w:r>
      <w:r w:rsidR="00907D8C">
        <w:t xml:space="preserve"> </w:t>
      </w:r>
      <w:r w:rsidRPr="00036FAC">
        <w:t>quarter</w:t>
      </w:r>
      <w:r w:rsidR="00907D8C">
        <w:t xml:space="preserve"> </w:t>
      </w:r>
      <w:r w:rsidRPr="00036FAC">
        <w:t>to</w:t>
      </w:r>
      <w:r w:rsidR="00907D8C">
        <w:t xml:space="preserve"> </w:t>
      </w:r>
      <w:r w:rsidRPr="00036FAC">
        <w:t>the</w:t>
      </w:r>
      <w:r w:rsidR="00907D8C">
        <w:t xml:space="preserve"> </w:t>
      </w:r>
      <w:r w:rsidRPr="00036FAC">
        <w:t>March</w:t>
      </w:r>
      <w:r w:rsidR="00907D8C">
        <w:t xml:space="preserve"> </w:t>
      </w:r>
      <w:r w:rsidRPr="00036FAC">
        <w:t>2010</w:t>
      </w:r>
      <w:r w:rsidR="00907D8C">
        <w:t xml:space="preserve"> </w:t>
      </w:r>
      <w:r w:rsidRPr="00036FAC">
        <w:t>quarter.</w:t>
      </w:r>
      <w:r w:rsidR="00907D8C">
        <w:t xml:space="preserve"> </w:t>
      </w:r>
      <w:r w:rsidRPr="00036FAC">
        <w:t>Because</w:t>
      </w:r>
      <w:r w:rsidR="00907D8C">
        <w:t xml:space="preserve"> </w:t>
      </w:r>
      <w:r w:rsidRPr="00036FAC">
        <w:t>of</w:t>
      </w:r>
      <w:r w:rsidR="00907D8C">
        <w:t xml:space="preserve"> </w:t>
      </w:r>
      <w:r w:rsidRPr="00036FAC">
        <w:t>increases</w:t>
      </w:r>
      <w:r w:rsidR="00907D8C">
        <w:t xml:space="preserve"> </w:t>
      </w:r>
      <w:r w:rsidRPr="00036FAC">
        <w:t>in</w:t>
      </w:r>
      <w:r w:rsidR="00907D8C">
        <w:t xml:space="preserve"> </w:t>
      </w:r>
      <w:r w:rsidRPr="00036FAC">
        <w:t>retail</w:t>
      </w:r>
      <w:r w:rsidR="00907D8C">
        <w:t xml:space="preserve"> </w:t>
      </w:r>
      <w:r w:rsidRPr="00036FAC">
        <w:t>fuel</w:t>
      </w:r>
      <w:r w:rsidR="00907D8C">
        <w:t xml:space="preserve"> </w:t>
      </w:r>
      <w:r w:rsidRPr="00036FAC">
        <w:t>and</w:t>
      </w:r>
      <w:r w:rsidR="00907D8C">
        <w:t xml:space="preserve"> </w:t>
      </w:r>
      <w:r w:rsidRPr="00036FAC">
        <w:t>food</w:t>
      </w:r>
      <w:r w:rsidR="00907D8C">
        <w:t xml:space="preserve"> </w:t>
      </w:r>
      <w:r w:rsidRPr="00036FAC">
        <w:t>prices,</w:t>
      </w:r>
      <w:r w:rsidR="00907D8C">
        <w:t xml:space="preserve"> </w:t>
      </w:r>
      <w:r w:rsidRPr="00036FAC">
        <w:t>inflation</w:t>
      </w:r>
      <w:r w:rsidR="00907D8C">
        <w:t xml:space="preserve"> </w:t>
      </w:r>
      <w:r w:rsidRPr="00036FAC">
        <w:t>is</w:t>
      </w:r>
      <w:r w:rsidR="00907D8C">
        <w:t xml:space="preserve"> </w:t>
      </w:r>
      <w:r w:rsidRPr="00036FAC">
        <w:t>expected</w:t>
      </w:r>
      <w:r w:rsidR="00907D8C">
        <w:t xml:space="preserve"> </w:t>
      </w:r>
      <w:r w:rsidRPr="00036FAC">
        <w:t>to</w:t>
      </w:r>
      <w:r w:rsidR="00907D8C">
        <w:t xml:space="preserve"> </w:t>
      </w:r>
      <w:r w:rsidRPr="00036FAC">
        <w:t>remain</w:t>
      </w:r>
      <w:r w:rsidR="00907D8C">
        <w:t xml:space="preserve"> </w:t>
      </w:r>
      <w:r w:rsidRPr="00036FAC">
        <w:t>around</w:t>
      </w:r>
      <w:r w:rsidR="00907D8C">
        <w:t xml:space="preserve"> </w:t>
      </w:r>
      <w:r w:rsidRPr="00036FAC">
        <w:t>the</w:t>
      </w:r>
      <w:r w:rsidR="00907D8C">
        <w:t xml:space="preserve"> </w:t>
      </w:r>
      <w:r w:rsidRPr="00036FAC">
        <w:t>upper</w:t>
      </w:r>
      <w:r w:rsidR="00907D8C">
        <w:t xml:space="preserve"> </w:t>
      </w:r>
      <w:r w:rsidRPr="00036FAC">
        <w:t>limit</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target</w:t>
      </w:r>
      <w:r w:rsidR="00907D8C">
        <w:t xml:space="preserve"> </w:t>
      </w:r>
      <w:r w:rsidRPr="00036FAC">
        <w:t>band</w:t>
      </w:r>
      <w:r w:rsidR="00907D8C">
        <w:t xml:space="preserve"> </w:t>
      </w:r>
      <w:r w:rsidRPr="00036FAC">
        <w:t>(1</w:t>
      </w:r>
      <w:r w:rsidR="00907D8C">
        <w:t xml:space="preserve"> </w:t>
      </w:r>
      <w:r w:rsidRPr="00036FAC">
        <w:t>to</w:t>
      </w:r>
      <w:r w:rsidR="00907D8C">
        <w:t xml:space="preserve"> </w:t>
      </w:r>
      <w:r w:rsidRPr="00036FAC">
        <w:t>3</w:t>
      </w:r>
      <w:r w:rsidR="00907D8C">
        <w:t xml:space="preserve"> </w:t>
      </w:r>
      <w:r w:rsidR="001B201B">
        <w:t>per</w:t>
      </w:r>
      <w:r w:rsidR="00907D8C">
        <w:t xml:space="preserve"> </w:t>
      </w:r>
      <w:r w:rsidR="001B201B">
        <w:t>cent</w:t>
      </w:r>
      <w:r w:rsidR="00907D8C">
        <w:t xml:space="preserve"> </w:t>
      </w:r>
      <w:r w:rsidRPr="00036FAC">
        <w:t>on</w:t>
      </w:r>
      <w:r w:rsidR="00907D8C">
        <w:t xml:space="preserve"> </w:t>
      </w:r>
      <w:r w:rsidRPr="00036FAC">
        <w:t>average</w:t>
      </w:r>
      <w:r w:rsidR="00907D8C">
        <w:t xml:space="preserve"> </w:t>
      </w:r>
      <w:r w:rsidRPr="00036FAC">
        <w:t>over</w:t>
      </w:r>
      <w:r w:rsidR="00907D8C">
        <w:t xml:space="preserve"> </w:t>
      </w:r>
      <w:r w:rsidRPr="00036FAC">
        <w:t>the</w:t>
      </w:r>
      <w:r w:rsidR="00907D8C">
        <w:t xml:space="preserve"> </w:t>
      </w:r>
      <w:r w:rsidRPr="00036FAC">
        <w:t>medium</w:t>
      </w:r>
      <w:r w:rsidR="00907D8C">
        <w:t xml:space="preserve"> </w:t>
      </w:r>
      <w:r w:rsidRPr="00036FAC">
        <w:t>term).</w:t>
      </w:r>
      <w:r w:rsidR="00907D8C">
        <w:t xml:space="preserve"> </w:t>
      </w:r>
      <w:r w:rsidRPr="00036FAC">
        <w:t>Over</w:t>
      </w:r>
      <w:r w:rsidR="00907D8C">
        <w:t xml:space="preserve"> </w:t>
      </w:r>
      <w:r w:rsidRPr="00036FAC">
        <w:t>the</w:t>
      </w:r>
      <w:r w:rsidR="00907D8C">
        <w:t xml:space="preserve"> </w:t>
      </w:r>
      <w:r w:rsidRPr="00036FAC">
        <w:t>last</w:t>
      </w:r>
      <w:r w:rsidR="00907D8C">
        <w:t xml:space="preserve"> </w:t>
      </w:r>
      <w:r w:rsidRPr="00036FAC">
        <w:t>five</w:t>
      </w:r>
      <w:r w:rsidR="00907D8C">
        <w:t xml:space="preserve"> </w:t>
      </w:r>
      <w:r w:rsidRPr="00036FAC">
        <w:t>years,</w:t>
      </w:r>
      <w:r w:rsidR="00907D8C">
        <w:t xml:space="preserve"> </w:t>
      </w:r>
      <w:r w:rsidRPr="00036FAC">
        <w:t>the</w:t>
      </w:r>
      <w:r w:rsidR="00907D8C">
        <w:t xml:space="preserve"> </w:t>
      </w:r>
      <w:r w:rsidRPr="00036FAC">
        <w:t>annual</w:t>
      </w:r>
      <w:r w:rsidR="00907D8C">
        <w:t xml:space="preserve"> </w:t>
      </w:r>
      <w:r w:rsidRPr="00036FAC">
        <w:t>change</w:t>
      </w:r>
      <w:r w:rsidR="00907D8C">
        <w:t xml:space="preserve"> </w:t>
      </w:r>
      <w:r w:rsidRPr="00036FAC">
        <w:t>in</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Consumers</w:t>
      </w:r>
      <w:r w:rsidR="00907D8C">
        <w:t xml:space="preserve"> </w:t>
      </w:r>
      <w:r w:rsidRPr="00036FAC">
        <w:t>Price</w:t>
      </w:r>
      <w:r w:rsidR="00907D8C">
        <w:t xml:space="preserve"> </w:t>
      </w:r>
      <w:r w:rsidRPr="00036FAC">
        <w:t>Index</w:t>
      </w:r>
      <w:r w:rsidR="00907D8C">
        <w:t xml:space="preserve"> </w:t>
      </w:r>
      <w:r w:rsidRPr="00036FAC">
        <w:t>has</w:t>
      </w:r>
      <w:r w:rsidR="00907D8C">
        <w:t xml:space="preserve"> </w:t>
      </w:r>
      <w:r w:rsidRPr="00036FAC">
        <w:t>been</w:t>
      </w:r>
      <w:r w:rsidR="00907D8C">
        <w:t xml:space="preserve"> </w:t>
      </w:r>
      <w:r w:rsidRPr="00036FAC">
        <w:t>at</w:t>
      </w:r>
      <w:r w:rsidR="00907D8C">
        <w:t xml:space="preserve"> </w:t>
      </w:r>
      <w:r w:rsidRPr="00036FAC">
        <w:t>the</w:t>
      </w:r>
      <w:r w:rsidR="00907D8C">
        <w:t xml:space="preserve"> </w:t>
      </w:r>
      <w:r w:rsidRPr="00036FAC">
        <w:t>upper</w:t>
      </w:r>
      <w:r w:rsidR="00907D8C">
        <w:t xml:space="preserve"> </w:t>
      </w:r>
      <w:r w:rsidRPr="00036FAC">
        <w:t>end</w:t>
      </w:r>
      <w:r w:rsidR="00907D8C">
        <w:t xml:space="preserve"> </w:t>
      </w:r>
      <w:r w:rsidRPr="00036FAC">
        <w:t>of</w:t>
      </w:r>
      <w:r w:rsidR="00907D8C">
        <w:t xml:space="preserve"> </w:t>
      </w:r>
      <w:r w:rsidRPr="00036FAC">
        <w:t>the</w:t>
      </w:r>
      <w:r w:rsidR="00907D8C">
        <w:t xml:space="preserve"> </w:t>
      </w:r>
      <w:r w:rsidRPr="00036FAC">
        <w:t>target</w:t>
      </w:r>
      <w:r w:rsidR="00907D8C">
        <w:t xml:space="preserve"> </w:t>
      </w:r>
      <w:r w:rsidRPr="00036FAC">
        <w:t>band.</w:t>
      </w:r>
      <w:r w:rsidR="00907D8C">
        <w:t xml:space="preserve"> </w:t>
      </w:r>
      <w:r w:rsidRPr="00036FAC">
        <w:t>The</w:t>
      </w:r>
      <w:r w:rsidR="00907D8C">
        <w:t xml:space="preserve"> </w:t>
      </w:r>
      <w:r w:rsidRPr="00036FAC">
        <w:t>band</w:t>
      </w:r>
      <w:r w:rsidR="00907D8C">
        <w:t xml:space="preserve"> </w:t>
      </w:r>
      <w:r w:rsidRPr="00036FAC">
        <w:t>was</w:t>
      </w:r>
      <w:r w:rsidR="00907D8C">
        <w:t xml:space="preserve"> </w:t>
      </w:r>
      <w:r w:rsidRPr="00036FAC">
        <w:t>exceeded</w:t>
      </w:r>
      <w:r w:rsidR="00907D8C">
        <w:t xml:space="preserve"> </w:t>
      </w:r>
      <w:r w:rsidRPr="00036FAC">
        <w:t>in</w:t>
      </w:r>
      <w:r w:rsidR="00907D8C">
        <w:t xml:space="preserve"> </w:t>
      </w:r>
      <w:r w:rsidRPr="00036FAC">
        <w:t>2008.</w:t>
      </w:r>
    </w:p>
    <w:p w:rsidR="00036FAC" w:rsidRPr="00036FAC" w:rsidRDefault="00036FAC" w:rsidP="006C436C">
      <w:pPr>
        <w:pStyle w:val="H23G"/>
      </w:pPr>
      <w:r w:rsidRPr="00036FAC">
        <w:tab/>
        <w:t>(d)</w:t>
      </w:r>
      <w:r w:rsidRPr="00036FAC">
        <w:tab/>
        <w:t>Gross</w:t>
      </w:r>
      <w:r w:rsidR="00907D8C">
        <w:t xml:space="preserve"> </w:t>
      </w:r>
      <w:r w:rsidRPr="00036FAC">
        <w:t>national</w:t>
      </w:r>
      <w:r w:rsidR="00907D8C">
        <w:t xml:space="preserve"> </w:t>
      </w:r>
      <w:r w:rsidRPr="00036FAC">
        <w:t>income</w:t>
      </w:r>
      <w:r w:rsidR="00907D8C">
        <w:t xml:space="preserve"> </w:t>
      </w:r>
      <w:r w:rsidRPr="00036FAC">
        <w:t>per</w:t>
      </w:r>
      <w:r w:rsidR="00907D8C">
        <w:t xml:space="preserve"> </w:t>
      </w:r>
      <w:r w:rsidRPr="00036FAC">
        <w:t>capita</w:t>
      </w:r>
      <w:bookmarkStart w:id="30" w:name="_Toc114894948"/>
      <w:bookmarkStart w:id="31" w:name="_Toc114895839"/>
      <w:bookmarkStart w:id="32" w:name="_Toc115493379"/>
      <w:bookmarkStart w:id="33" w:name="_Toc115493723"/>
      <w:bookmarkStart w:id="34" w:name="_Toc115493798"/>
      <w:bookmarkStart w:id="35" w:name="_Toc118100593"/>
      <w:bookmarkStart w:id="36" w:name="_Toc125278879"/>
    </w:p>
    <w:p w:rsidR="00036FAC" w:rsidRPr="00036FAC" w:rsidRDefault="00036FAC" w:rsidP="006F7CDF">
      <w:pPr>
        <w:pStyle w:val="SingleTxtG"/>
      </w:pPr>
      <w:r w:rsidRPr="00036FAC">
        <w:t>35.</w:t>
      </w:r>
      <w:r w:rsidRPr="00036FAC">
        <w:tab/>
        <w:t>Gross</w:t>
      </w:r>
      <w:r w:rsidR="00907D8C">
        <w:t xml:space="preserve"> </w:t>
      </w:r>
      <w:r w:rsidRPr="00036FAC">
        <w:t>national</w:t>
      </w:r>
      <w:r w:rsidR="00907D8C">
        <w:t xml:space="preserve"> </w:t>
      </w:r>
      <w:r w:rsidRPr="00036FAC">
        <w:t>income</w:t>
      </w:r>
      <w:r w:rsidR="00907D8C">
        <w:t xml:space="preserve"> </w:t>
      </w:r>
      <w:r w:rsidRPr="00036FAC">
        <w:t>(GNI)</w:t>
      </w:r>
      <w:r w:rsidR="00907D8C">
        <w:t xml:space="preserve"> </w:t>
      </w:r>
      <w:r w:rsidRPr="00036FAC">
        <w:t>per</w:t>
      </w:r>
      <w:r w:rsidR="00907D8C">
        <w:t xml:space="preserve"> </w:t>
      </w:r>
      <w:r w:rsidRPr="00036FAC">
        <w:t>capita</w:t>
      </w:r>
      <w:r w:rsidR="00907D8C">
        <w:t xml:space="preserve"> </w:t>
      </w:r>
      <w:r w:rsidRPr="00036FAC">
        <w:t>in</w:t>
      </w:r>
      <w:r w:rsidR="00907D8C">
        <w:t xml:space="preserve"> </w:t>
      </w:r>
      <w:r w:rsidRPr="00036FAC">
        <w:t>March</w:t>
      </w:r>
      <w:r w:rsidR="00907D8C">
        <w:t xml:space="preserve"> </w:t>
      </w:r>
      <w:r w:rsidRPr="00036FAC">
        <w:t>2005</w:t>
      </w:r>
      <w:r w:rsidR="00907D8C">
        <w:t xml:space="preserve"> </w:t>
      </w:r>
      <w:r w:rsidRPr="00036FAC">
        <w:t>was</w:t>
      </w:r>
      <w:r w:rsidR="00907D8C">
        <w:t xml:space="preserve"> </w:t>
      </w:r>
      <w:r w:rsidRPr="00036FAC">
        <w:t>$34,700,</w:t>
      </w:r>
      <w:r w:rsidR="00907D8C">
        <w:t xml:space="preserve"> </w:t>
      </w:r>
      <w:r w:rsidRPr="00036FAC">
        <w:t>$35,971</w:t>
      </w:r>
      <w:r w:rsidR="00907D8C">
        <w:t xml:space="preserve"> </w:t>
      </w:r>
      <w:r w:rsidRPr="00036FAC">
        <w:t>in</w:t>
      </w:r>
      <w:r w:rsidR="00907D8C">
        <w:t xml:space="preserve"> </w:t>
      </w:r>
      <w:r w:rsidRPr="00036FAC">
        <w:t>2006,</w:t>
      </w:r>
      <w:r w:rsidR="00907D8C">
        <w:t xml:space="preserve"> </w:t>
      </w:r>
      <w:r w:rsidRPr="00036FAC">
        <w:t>$37,259</w:t>
      </w:r>
      <w:r w:rsidR="00907D8C">
        <w:t xml:space="preserve"> </w:t>
      </w:r>
      <w:r w:rsidRPr="00036FAC">
        <w:t>in</w:t>
      </w:r>
      <w:r w:rsidR="00907D8C">
        <w:t xml:space="preserve"> </w:t>
      </w:r>
      <w:r w:rsidRPr="00036FAC">
        <w:t>2007,</w:t>
      </w:r>
      <w:r w:rsidR="00907D8C">
        <w:t xml:space="preserve"> </w:t>
      </w:r>
      <w:r w:rsidRPr="00036FAC">
        <w:t>$39,593</w:t>
      </w:r>
      <w:r w:rsidR="00907D8C">
        <w:t xml:space="preserve"> </w:t>
      </w:r>
      <w:r w:rsidRPr="00036FAC">
        <w:t>in</w:t>
      </w:r>
      <w:r w:rsidR="00907D8C">
        <w:t xml:space="preserve"> </w:t>
      </w:r>
      <w:r w:rsidRPr="00036FAC">
        <w:t>2008,</w:t>
      </w:r>
      <w:r w:rsidR="00907D8C">
        <w:t xml:space="preserve"> </w:t>
      </w:r>
      <w:r w:rsidRPr="00036FAC">
        <w:t>and</w:t>
      </w:r>
      <w:r w:rsidR="00907D8C">
        <w:t xml:space="preserve"> </w:t>
      </w:r>
      <w:r w:rsidRPr="00036FAC">
        <w:t>in</w:t>
      </w:r>
      <w:r w:rsidR="00907D8C">
        <w:t xml:space="preserve"> </w:t>
      </w:r>
      <w:r w:rsidRPr="00036FAC">
        <w:t>2009</w:t>
      </w:r>
      <w:r w:rsidR="00907D8C">
        <w:t xml:space="preserve"> </w:t>
      </w:r>
      <w:r w:rsidRPr="00036FAC">
        <w:t>it</w:t>
      </w:r>
      <w:r w:rsidR="00907D8C">
        <w:t xml:space="preserve"> </w:t>
      </w:r>
      <w:r w:rsidRPr="00036FAC">
        <w:t>was</w:t>
      </w:r>
      <w:r w:rsidR="00907D8C">
        <w:t xml:space="preserve"> </w:t>
      </w:r>
      <w:r w:rsidRPr="00036FAC">
        <w:t>$40,121.</w:t>
      </w:r>
    </w:p>
    <w:p w:rsidR="00036FAC" w:rsidRPr="00036FAC" w:rsidRDefault="00036FAC" w:rsidP="006C436C">
      <w:pPr>
        <w:pStyle w:val="H23G"/>
      </w:pPr>
      <w:r w:rsidRPr="00036FAC">
        <w:tab/>
        <w:t>(e)</w:t>
      </w:r>
      <w:r w:rsidRPr="00036FAC">
        <w:tab/>
        <w:t>Median</w:t>
      </w:r>
      <w:r w:rsidR="00907D8C">
        <w:t xml:space="preserve"> </w:t>
      </w:r>
      <w:r w:rsidRPr="00036FAC">
        <w:t>hourly</w:t>
      </w:r>
      <w:r w:rsidR="00907D8C">
        <w:t xml:space="preserve"> </w:t>
      </w:r>
      <w:r w:rsidRPr="00036FAC">
        <w:t>earnings</w:t>
      </w:r>
    </w:p>
    <w:p w:rsidR="00036FAC" w:rsidRPr="00036FAC" w:rsidRDefault="00036FAC" w:rsidP="006F7CDF">
      <w:pPr>
        <w:pStyle w:val="SingleTxtG"/>
      </w:pPr>
      <w:r w:rsidRPr="00036FAC">
        <w:t>36.</w:t>
      </w:r>
      <w:r w:rsidRPr="00036FAC">
        <w:tab/>
        <w:t>In</w:t>
      </w:r>
      <w:r w:rsidR="00907D8C">
        <w:t xml:space="preserve"> </w:t>
      </w:r>
      <w:r w:rsidRPr="00036FAC">
        <w:t>June</w:t>
      </w:r>
      <w:r w:rsidR="00907D8C">
        <w:t xml:space="preserve"> </w:t>
      </w:r>
      <w:r w:rsidRPr="00036FAC">
        <w:t>2008,</w:t>
      </w:r>
      <w:r w:rsidR="00907D8C">
        <w:t xml:space="preserve"> </w:t>
      </w:r>
      <w:r w:rsidRPr="00036FAC">
        <w:t>the</w:t>
      </w:r>
      <w:r w:rsidR="00907D8C">
        <w:t xml:space="preserve"> </w:t>
      </w:r>
      <w:r w:rsidRPr="00036FAC">
        <w:t>median</w:t>
      </w:r>
      <w:r w:rsidR="00907D8C">
        <w:t xml:space="preserve"> </w:t>
      </w:r>
      <w:r w:rsidRPr="00036FAC">
        <w:t>hourly</w:t>
      </w:r>
      <w:r w:rsidR="00907D8C">
        <w:t xml:space="preserve"> </w:t>
      </w:r>
      <w:r w:rsidRPr="00036FAC">
        <w:t>wage</w:t>
      </w:r>
      <w:r w:rsidR="00907D8C">
        <w:t xml:space="preserve"> </w:t>
      </w:r>
      <w:r w:rsidRPr="00036FAC">
        <w:t>for</w:t>
      </w:r>
      <w:r w:rsidR="00907D8C">
        <w:t xml:space="preserve"> </w:t>
      </w:r>
      <w:r w:rsidRPr="00036FAC">
        <w:t>male</w:t>
      </w:r>
      <w:r w:rsidR="00907D8C">
        <w:t xml:space="preserve"> </w:t>
      </w:r>
      <w:r w:rsidRPr="00036FAC">
        <w:t>employees</w:t>
      </w:r>
      <w:r w:rsidR="00907D8C">
        <w:t xml:space="preserve"> </w:t>
      </w:r>
      <w:r w:rsidRPr="00036FAC">
        <w:t>was</w:t>
      </w:r>
      <w:r w:rsidR="00907D8C">
        <w:t xml:space="preserve"> </w:t>
      </w:r>
      <w:r w:rsidRPr="00036FAC">
        <w:t>$20.00</w:t>
      </w:r>
      <w:r w:rsidR="00907D8C">
        <w:t xml:space="preserve"> </w:t>
      </w:r>
      <w:r w:rsidRPr="00036FAC">
        <w:t>while</w:t>
      </w:r>
      <w:r w:rsidR="00907D8C">
        <w:t xml:space="preserve"> </w:t>
      </w:r>
      <w:r w:rsidRPr="00036FAC">
        <w:t>for</w:t>
      </w:r>
      <w:r w:rsidR="00907D8C">
        <w:t xml:space="preserve"> </w:t>
      </w:r>
      <w:r w:rsidRPr="00036FAC">
        <w:t>female</w:t>
      </w:r>
      <w:r w:rsidR="00907D8C">
        <w:t xml:space="preserve"> </w:t>
      </w:r>
      <w:r w:rsidRPr="00036FAC">
        <w:t>employees</w:t>
      </w:r>
      <w:r w:rsidR="00907D8C">
        <w:t xml:space="preserve"> </w:t>
      </w:r>
      <w:r w:rsidRPr="00036FAC">
        <w:t>it</w:t>
      </w:r>
      <w:r w:rsidR="00907D8C">
        <w:t xml:space="preserve"> </w:t>
      </w:r>
      <w:r w:rsidRPr="00036FAC">
        <w:t>was</w:t>
      </w:r>
      <w:r w:rsidR="00907D8C">
        <w:t xml:space="preserve"> </w:t>
      </w:r>
      <w:r w:rsidRPr="00036FAC">
        <w:t>$17.50.</w:t>
      </w:r>
      <w:r w:rsidR="00907D8C">
        <w:t xml:space="preserve"> </w:t>
      </w:r>
      <w:r w:rsidRPr="00036FAC">
        <w:t>Median</w:t>
      </w:r>
      <w:r w:rsidR="00907D8C">
        <w:t xml:space="preserve"> </w:t>
      </w:r>
      <w:r w:rsidRPr="00036FAC">
        <w:t>hourly</w:t>
      </w:r>
      <w:r w:rsidR="00907D8C">
        <w:t xml:space="preserve"> </w:t>
      </w:r>
      <w:r w:rsidRPr="00036FAC">
        <w:t>earnings</w:t>
      </w:r>
      <w:r w:rsidR="00907D8C">
        <w:t xml:space="preserve"> </w:t>
      </w:r>
      <w:r w:rsidRPr="00036FAC">
        <w:t>from</w:t>
      </w:r>
      <w:r w:rsidR="00907D8C">
        <w:t xml:space="preserve"> </w:t>
      </w:r>
      <w:r w:rsidRPr="00036FAC">
        <w:t>wage</w:t>
      </w:r>
      <w:r w:rsidR="00907D8C">
        <w:t xml:space="preserve"> </w:t>
      </w:r>
      <w:r w:rsidRPr="00036FAC">
        <w:t>and</w:t>
      </w:r>
      <w:r w:rsidR="00907D8C">
        <w:t xml:space="preserve"> </w:t>
      </w:r>
      <w:r w:rsidRPr="00036FAC">
        <w:t>salary</w:t>
      </w:r>
      <w:r w:rsidR="00907D8C">
        <w:t xml:space="preserve"> </w:t>
      </w:r>
      <w:r w:rsidRPr="00036FAC">
        <w:t>jobs</w:t>
      </w:r>
      <w:r w:rsidR="00907D8C">
        <w:t xml:space="preserve"> </w:t>
      </w:r>
      <w:r w:rsidRPr="00036FAC">
        <w:t>were</w:t>
      </w:r>
      <w:r w:rsidR="00907D8C">
        <w:t xml:space="preserve"> </w:t>
      </w:r>
      <w:r w:rsidRPr="00036FAC">
        <w:t>highest</w:t>
      </w:r>
      <w:r w:rsidR="00907D8C">
        <w:t xml:space="preserve"> </w:t>
      </w:r>
      <w:r w:rsidRPr="00036FAC">
        <w:t>at</w:t>
      </w:r>
      <w:r w:rsidR="00907D8C">
        <w:t xml:space="preserve"> </w:t>
      </w:r>
      <w:r w:rsidRPr="00036FAC">
        <w:t>ages</w:t>
      </w:r>
      <w:r w:rsidR="00907D8C">
        <w:t xml:space="preserve"> </w:t>
      </w:r>
      <w:r w:rsidRPr="00036FAC">
        <w:t>30–34</w:t>
      </w:r>
      <w:r w:rsidR="00907D8C">
        <w:t xml:space="preserve"> </w:t>
      </w:r>
      <w:r w:rsidRPr="00036FAC">
        <w:t>years</w:t>
      </w:r>
      <w:r w:rsidR="00907D8C">
        <w:t xml:space="preserve"> </w:t>
      </w:r>
      <w:r w:rsidRPr="00036FAC">
        <w:t>and</w:t>
      </w:r>
      <w:r w:rsidR="00907D8C">
        <w:t xml:space="preserve"> </w:t>
      </w:r>
      <w:r w:rsidRPr="00036FAC">
        <w:t>35–39</w:t>
      </w:r>
      <w:r w:rsidR="00907D8C">
        <w:t xml:space="preserve"> </w:t>
      </w:r>
      <w:r w:rsidRPr="00036FAC">
        <w:t>years.</w:t>
      </w:r>
      <w:r w:rsidR="00907D8C">
        <w:t xml:space="preserve"> </w:t>
      </w:r>
      <w:r w:rsidRPr="00036FAC">
        <w:t>Europeans</w:t>
      </w:r>
      <w:r w:rsidR="00907D8C">
        <w:t xml:space="preserve"> </w:t>
      </w:r>
      <w:r w:rsidRPr="00036FAC">
        <w:t>had</w:t>
      </w:r>
      <w:r w:rsidR="00907D8C">
        <w:t xml:space="preserve"> </w:t>
      </w:r>
      <w:r w:rsidRPr="00036FAC">
        <w:t>the</w:t>
      </w:r>
      <w:r w:rsidR="00907D8C">
        <w:t xml:space="preserve"> </w:t>
      </w:r>
      <w:r w:rsidRPr="00036FAC">
        <w:t>highest</w:t>
      </w:r>
      <w:r w:rsidR="00907D8C">
        <w:t xml:space="preserve"> </w:t>
      </w:r>
      <w:r w:rsidRPr="00036FAC">
        <w:t>median</w:t>
      </w:r>
      <w:r w:rsidR="00907D8C">
        <w:t xml:space="preserve"> </w:t>
      </w:r>
      <w:r w:rsidRPr="00036FAC">
        <w:t>hourly</w:t>
      </w:r>
      <w:r w:rsidR="00907D8C">
        <w:t xml:space="preserve"> </w:t>
      </w:r>
      <w:r w:rsidRPr="00036FAC">
        <w:t>earnings</w:t>
      </w:r>
      <w:r w:rsidR="00907D8C">
        <w:t xml:space="preserve"> </w:t>
      </w:r>
      <w:r w:rsidRPr="00036FAC">
        <w:t>at</w:t>
      </w:r>
      <w:r w:rsidR="00907D8C">
        <w:t xml:space="preserve"> </w:t>
      </w:r>
      <w:r w:rsidRPr="00036FAC">
        <w:t>$19.50</w:t>
      </w:r>
      <w:r w:rsidR="00907D8C">
        <w:t xml:space="preserve"> </w:t>
      </w:r>
      <w:r w:rsidRPr="00036FAC">
        <w:t>an</w:t>
      </w:r>
      <w:r w:rsidR="00907D8C">
        <w:t xml:space="preserve"> </w:t>
      </w:r>
      <w:r w:rsidRPr="00036FAC">
        <w:t>hour.</w:t>
      </w:r>
      <w:r w:rsidR="00907D8C">
        <w:t xml:space="preserve"> </w:t>
      </w:r>
      <w:r w:rsidRPr="00036FAC">
        <w:t>In</w:t>
      </w:r>
      <w:r w:rsidR="00907D8C">
        <w:t xml:space="preserve"> </w:t>
      </w:r>
      <w:r w:rsidRPr="00036FAC">
        <w:t>comparison,</w:t>
      </w:r>
      <w:r w:rsidR="00907D8C">
        <w:t xml:space="preserve"> </w:t>
      </w:r>
      <w:r w:rsidRPr="00036FAC">
        <w:t>the</w:t>
      </w:r>
      <w:r w:rsidR="00907D8C">
        <w:t xml:space="preserve"> </w:t>
      </w:r>
      <w:r w:rsidRPr="00036FAC">
        <w:t>Other</w:t>
      </w:r>
      <w:r w:rsidR="00907D8C">
        <w:t xml:space="preserve"> </w:t>
      </w:r>
      <w:r w:rsidRPr="00036FAC">
        <w:t>ethnic</w:t>
      </w:r>
      <w:r w:rsidR="00907D8C">
        <w:t xml:space="preserve"> </w:t>
      </w:r>
      <w:r w:rsidRPr="00036FAC">
        <w:t>group</w:t>
      </w:r>
      <w:r w:rsidR="00907D8C">
        <w:t xml:space="preserve"> </w:t>
      </w:r>
      <w:r w:rsidRPr="00036FAC">
        <w:t>(including</w:t>
      </w:r>
      <w:r w:rsidR="00907D8C">
        <w:t xml:space="preserve"> </w:t>
      </w:r>
      <w:r w:rsidRPr="00036FAC">
        <w:t>Asian)</w:t>
      </w:r>
      <w:r w:rsidR="00907D8C">
        <w:t xml:space="preserve"> </w:t>
      </w:r>
      <w:r w:rsidRPr="00036FAC">
        <w:t>had</w:t>
      </w:r>
      <w:r w:rsidR="00907D8C">
        <w:t xml:space="preserve"> </w:t>
      </w:r>
      <w:r w:rsidRPr="00036FAC">
        <w:t>median</w:t>
      </w:r>
      <w:r w:rsidR="00907D8C">
        <w:t xml:space="preserve"> </w:t>
      </w:r>
      <w:r w:rsidRPr="00036FAC">
        <w:t>hourly</w:t>
      </w:r>
      <w:r w:rsidR="00907D8C">
        <w:t xml:space="preserve"> </w:t>
      </w:r>
      <w:r w:rsidRPr="00036FAC">
        <w:t>earnings</w:t>
      </w:r>
      <w:r w:rsidR="00907D8C">
        <w:t xml:space="preserve"> </w:t>
      </w:r>
      <w:r w:rsidRPr="00036FAC">
        <w:t>of</w:t>
      </w:r>
      <w:r w:rsidR="00907D8C">
        <w:t xml:space="preserve"> </w:t>
      </w:r>
      <w:r w:rsidRPr="00036FAC">
        <w:t>$17.00.</w:t>
      </w:r>
      <w:r w:rsidR="00907D8C">
        <w:t xml:space="preserve"> </w:t>
      </w:r>
      <w:r w:rsidRPr="00036FAC">
        <w:t>The</w:t>
      </w:r>
      <w:r w:rsidR="00907D8C">
        <w:t xml:space="preserve"> </w:t>
      </w:r>
      <w:r w:rsidRPr="00036FAC">
        <w:t>median</w:t>
      </w:r>
      <w:r w:rsidR="00907D8C">
        <w:t xml:space="preserve"> </w:t>
      </w:r>
      <w:r w:rsidRPr="00036FAC">
        <w:t>hourly</w:t>
      </w:r>
      <w:r w:rsidR="00907D8C">
        <w:t xml:space="preserve"> </w:t>
      </w:r>
      <w:r w:rsidRPr="00036FAC">
        <w:t>earnings</w:t>
      </w:r>
      <w:r w:rsidR="00907D8C">
        <w:t xml:space="preserve"> </w:t>
      </w:r>
      <w:r w:rsidRPr="00036FAC">
        <w:t>of</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ethnic</w:t>
      </w:r>
      <w:r w:rsidR="00907D8C">
        <w:t xml:space="preserve"> </w:t>
      </w:r>
      <w:r w:rsidRPr="00036FAC">
        <w:t>groups</w:t>
      </w:r>
      <w:r w:rsidR="00907D8C">
        <w:t xml:space="preserve"> </w:t>
      </w:r>
      <w:r w:rsidRPr="00036FAC">
        <w:t>were</w:t>
      </w:r>
      <w:r w:rsidR="00907D8C">
        <w:t xml:space="preserve"> </w:t>
      </w:r>
      <w:r w:rsidRPr="00036FAC">
        <w:t>the</w:t>
      </w:r>
      <w:r w:rsidR="00907D8C">
        <w:t xml:space="preserve"> </w:t>
      </w:r>
      <w:r w:rsidRPr="00036FAC">
        <w:t>lowest</w:t>
      </w:r>
      <w:r w:rsidR="00907D8C">
        <w:t xml:space="preserve"> </w:t>
      </w:r>
      <w:r w:rsidRPr="00036FAC">
        <w:t>at</w:t>
      </w:r>
      <w:r w:rsidR="00907D8C">
        <w:t xml:space="preserve"> </w:t>
      </w:r>
      <w:r w:rsidRPr="00036FAC">
        <w:t>$</w:t>
      </w:r>
      <w:r w:rsidR="006F7CDF">
        <w:t>16.74</w:t>
      </w:r>
      <w:r w:rsidR="00907D8C">
        <w:t xml:space="preserve"> </w:t>
      </w:r>
      <w:r w:rsidR="006F7CDF">
        <w:t>and</w:t>
      </w:r>
      <w:r w:rsidR="00907D8C">
        <w:t xml:space="preserve"> </w:t>
      </w:r>
      <w:r w:rsidR="006F7CDF">
        <w:t>$15.40,</w:t>
      </w:r>
      <w:r w:rsidR="00907D8C">
        <w:t xml:space="preserve"> </w:t>
      </w:r>
      <w:r w:rsidR="006F7CDF">
        <w:t>respectively.</w:t>
      </w:r>
    </w:p>
    <w:p w:rsidR="00036FAC" w:rsidRPr="00036FAC" w:rsidRDefault="00036FAC" w:rsidP="006F7CDF">
      <w:pPr>
        <w:pStyle w:val="SingleTxtG"/>
      </w:pPr>
      <w:r w:rsidRPr="00036FAC">
        <w:t>37.</w:t>
      </w:r>
      <w:r w:rsidRPr="00036FAC">
        <w:tab/>
        <w:t>Over</w:t>
      </w:r>
      <w:r w:rsidR="00907D8C">
        <w:t xml:space="preserve"> </w:t>
      </w:r>
      <w:r w:rsidRPr="00036FAC">
        <w:t>the</w:t>
      </w:r>
      <w:r w:rsidR="00907D8C">
        <w:t xml:space="preserve"> </w:t>
      </w:r>
      <w:r w:rsidRPr="00036FAC">
        <w:t>11</w:t>
      </w:r>
      <w:r w:rsidR="00907D8C">
        <w:t xml:space="preserve"> </w:t>
      </w:r>
      <w:r w:rsidRPr="00036FAC">
        <w:t>years</w:t>
      </w:r>
      <w:r w:rsidR="00907D8C">
        <w:t xml:space="preserve"> </w:t>
      </w:r>
      <w:r w:rsidRPr="00036FAC">
        <w:t>to</w:t>
      </w:r>
      <w:r w:rsidR="00907D8C">
        <w:t xml:space="preserve"> </w:t>
      </w:r>
      <w:r w:rsidRPr="00036FAC">
        <w:t>June</w:t>
      </w:r>
      <w:r w:rsidR="00907D8C">
        <w:t xml:space="preserve"> </w:t>
      </w:r>
      <w:r w:rsidRPr="00036FAC">
        <w:t>2008,</w:t>
      </w:r>
      <w:r w:rsidR="00907D8C">
        <w:t xml:space="preserve"> </w:t>
      </w:r>
      <w:r w:rsidRPr="00036FAC">
        <w:t>increases</w:t>
      </w:r>
      <w:r w:rsidR="00907D8C">
        <w:t xml:space="preserve"> </w:t>
      </w:r>
      <w:r w:rsidRPr="00036FAC">
        <w:t>in</w:t>
      </w:r>
      <w:r w:rsidR="00907D8C">
        <w:t xml:space="preserve"> </w:t>
      </w:r>
      <w:r w:rsidRPr="00036FAC">
        <w:t>inflation-adjusted</w:t>
      </w:r>
      <w:r w:rsidR="00907D8C">
        <w:t xml:space="preserve"> </w:t>
      </w:r>
      <w:r w:rsidRPr="00036FAC">
        <w:t>median</w:t>
      </w:r>
      <w:r w:rsidR="00907D8C">
        <w:t xml:space="preserve"> </w:t>
      </w:r>
      <w:r w:rsidRPr="00036FAC">
        <w:t>hourly</w:t>
      </w:r>
      <w:r w:rsidR="00907D8C">
        <w:t xml:space="preserve"> </w:t>
      </w:r>
      <w:r w:rsidRPr="00036FAC">
        <w:t>earnings</w:t>
      </w:r>
      <w:r w:rsidR="00907D8C">
        <w:t xml:space="preserve"> </w:t>
      </w:r>
      <w:r w:rsidRPr="00036FAC">
        <w:t>from</w:t>
      </w:r>
      <w:r w:rsidR="00907D8C">
        <w:t xml:space="preserve"> </w:t>
      </w:r>
      <w:r w:rsidRPr="00036FAC">
        <w:t>wage</w:t>
      </w:r>
      <w:r w:rsidR="00907D8C">
        <w:t xml:space="preserve"> </w:t>
      </w:r>
      <w:r w:rsidRPr="00036FAC">
        <w:t>and</w:t>
      </w:r>
      <w:r w:rsidR="00907D8C">
        <w:t xml:space="preserve"> </w:t>
      </w:r>
      <w:r w:rsidRPr="00036FAC">
        <w:t>salary</w:t>
      </w:r>
      <w:r w:rsidR="00907D8C">
        <w:t xml:space="preserve"> </w:t>
      </w:r>
      <w:r w:rsidRPr="00036FAC">
        <w:t>jobs</w:t>
      </w:r>
      <w:r w:rsidR="00907D8C">
        <w:t xml:space="preserve"> </w:t>
      </w:r>
      <w:r w:rsidRPr="00036FAC">
        <w:t>were</w:t>
      </w:r>
      <w:r w:rsidR="00907D8C">
        <w:t xml:space="preserve"> </w:t>
      </w:r>
      <w:r w:rsidRPr="00036FAC">
        <w:t>highest</w:t>
      </w:r>
      <w:r w:rsidR="00907D8C">
        <w:t xml:space="preserve"> </w:t>
      </w:r>
      <w:r w:rsidRPr="00036FAC">
        <w:t>for</w:t>
      </w:r>
      <w:r w:rsidR="00907D8C">
        <w:t xml:space="preserve"> </w:t>
      </w:r>
      <w:r w:rsidRPr="00036FAC">
        <w:t>Māori</w:t>
      </w:r>
      <w:r w:rsidR="00907D8C">
        <w:t xml:space="preserve"> </w:t>
      </w:r>
      <w:r w:rsidRPr="00036FAC">
        <w:t>(20</w:t>
      </w:r>
      <w:r w:rsidR="00907D8C">
        <w:t xml:space="preserve"> </w:t>
      </w:r>
      <w:r w:rsidR="00AE58B5">
        <w:t>per</w:t>
      </w:r>
      <w:r w:rsidR="00907D8C">
        <w:t xml:space="preserve"> </w:t>
      </w:r>
      <w:r w:rsidR="00AE58B5">
        <w:t>cent</w:t>
      </w:r>
      <w:r w:rsidRPr="00036FAC">
        <w:t>)</w:t>
      </w:r>
      <w:r w:rsidR="00907D8C">
        <w:t xml:space="preserve"> </w:t>
      </w:r>
      <w:r w:rsidRPr="00036FAC">
        <w:t>followed</w:t>
      </w:r>
      <w:r w:rsidR="00907D8C">
        <w:t xml:space="preserve"> </w:t>
      </w:r>
      <w:r w:rsidRPr="00036FAC">
        <w:t>by</w:t>
      </w:r>
      <w:r w:rsidR="00907D8C">
        <w:t xml:space="preserve"> </w:t>
      </w:r>
      <w:r w:rsidRPr="00036FAC">
        <w:t>Europeans</w:t>
      </w:r>
      <w:r w:rsidR="00907D8C">
        <w:t xml:space="preserve"> </w:t>
      </w:r>
      <w:r w:rsidRPr="00036FAC">
        <w:t>(17</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(14</w:t>
      </w:r>
      <w:r w:rsidR="00907D8C">
        <w:t xml:space="preserve"> </w:t>
      </w:r>
      <w:r w:rsidR="00AE58B5">
        <w:t>per</w:t>
      </w:r>
      <w:r w:rsidR="00907D8C">
        <w:t xml:space="preserve"> </w:t>
      </w:r>
      <w:r w:rsidR="00AE58B5">
        <w:t>cent</w:t>
      </w:r>
      <w:r w:rsidRPr="00036FAC">
        <w:t>).</w:t>
      </w:r>
      <w:bookmarkEnd w:id="30"/>
      <w:bookmarkEnd w:id="31"/>
      <w:bookmarkEnd w:id="32"/>
      <w:bookmarkEnd w:id="33"/>
      <w:bookmarkEnd w:id="34"/>
      <w:bookmarkEnd w:id="35"/>
      <w:bookmarkEnd w:id="36"/>
    </w:p>
    <w:p w:rsidR="00036FAC" w:rsidRPr="00036FAC" w:rsidRDefault="00036FAC" w:rsidP="006C436C">
      <w:pPr>
        <w:pStyle w:val="H23G"/>
      </w:pPr>
      <w:r w:rsidRPr="00036FAC">
        <w:tab/>
        <w:t>(f)</w:t>
      </w:r>
      <w:r w:rsidRPr="00036FAC">
        <w:tab/>
        <w:t>Market</w:t>
      </w:r>
      <w:r w:rsidR="00907D8C">
        <w:t xml:space="preserve"> </w:t>
      </w:r>
      <w:r w:rsidRPr="00036FAC">
        <w:t>income</w:t>
      </w:r>
      <w:r w:rsidR="00907D8C">
        <w:t xml:space="preserve"> </w:t>
      </w:r>
      <w:r w:rsidRPr="00036FAC">
        <w:t>per</w:t>
      </w:r>
      <w:r w:rsidR="00907D8C">
        <w:t xml:space="preserve"> </w:t>
      </w:r>
      <w:r w:rsidRPr="00036FAC">
        <w:t>person</w:t>
      </w:r>
    </w:p>
    <w:p w:rsidR="00036FAC" w:rsidRPr="00036FAC" w:rsidRDefault="00036FAC" w:rsidP="006F7CDF">
      <w:pPr>
        <w:pStyle w:val="SingleTxtG"/>
      </w:pPr>
      <w:r w:rsidRPr="00036FAC">
        <w:t>38.</w:t>
      </w:r>
      <w:r w:rsidRPr="00036FAC">
        <w:tab/>
        <w:t>The</w:t>
      </w:r>
      <w:r w:rsidR="00907D8C">
        <w:t xml:space="preserve"> </w:t>
      </w:r>
      <w:r w:rsidRPr="00036FAC">
        <w:t>total</w:t>
      </w:r>
      <w:r w:rsidR="00907D8C">
        <w:t xml:space="preserve"> </w:t>
      </w:r>
      <w:r w:rsidRPr="00036FAC">
        <w:t>value</w:t>
      </w:r>
      <w:r w:rsidR="00907D8C">
        <w:t xml:space="preserve"> </w:t>
      </w:r>
      <w:r w:rsidRPr="00036FAC">
        <w:t>of</w:t>
      </w:r>
      <w:r w:rsidR="00907D8C">
        <w:t xml:space="preserve"> </w:t>
      </w:r>
      <w:r w:rsidRPr="00036FAC">
        <w:t>goods</w:t>
      </w:r>
      <w:r w:rsidR="00907D8C">
        <w:t xml:space="preserve"> </w:t>
      </w:r>
      <w:r w:rsidRPr="00036FAC">
        <w:t>and</w:t>
      </w:r>
      <w:r w:rsidR="00907D8C">
        <w:t xml:space="preserve"> </w:t>
      </w:r>
      <w:r w:rsidRPr="00036FAC">
        <w:t>services</w:t>
      </w:r>
      <w:r w:rsidR="00907D8C">
        <w:t xml:space="preserve"> </w:t>
      </w:r>
      <w:r w:rsidRPr="00036FAC">
        <w:t>available</w:t>
      </w:r>
      <w:r w:rsidR="00907D8C">
        <w:t xml:space="preserve"> </w:t>
      </w:r>
      <w:r w:rsidRPr="00036FAC">
        <w:t>to</w:t>
      </w:r>
      <w:r w:rsidR="00907D8C">
        <w:t xml:space="preserve"> </w:t>
      </w:r>
      <w:r w:rsidRPr="00036FAC">
        <w:t>New</w:t>
      </w:r>
      <w:r w:rsidR="00907D8C">
        <w:t xml:space="preserve"> </w:t>
      </w:r>
      <w:r w:rsidRPr="00036FAC">
        <w:t>Zealanders,</w:t>
      </w:r>
      <w:r w:rsidR="00907D8C">
        <w:t xml:space="preserve"> </w:t>
      </w:r>
      <w:r w:rsidRPr="00036FAC">
        <w:t>expressed</w:t>
      </w:r>
      <w:r w:rsidR="00907D8C">
        <w:t xml:space="preserve"> </w:t>
      </w:r>
      <w:r w:rsidRPr="00036FAC">
        <w:t>in</w:t>
      </w:r>
      <w:r w:rsidR="00907D8C">
        <w:t xml:space="preserve"> </w:t>
      </w:r>
      <w:r w:rsidRPr="00036FAC">
        <w:t>inflation-adjusted</w:t>
      </w:r>
      <w:r w:rsidR="00907D8C">
        <w:t xml:space="preserve"> </w:t>
      </w:r>
      <w:r w:rsidRPr="00036FAC">
        <w:t>dollars,</w:t>
      </w:r>
      <w:r w:rsidR="00907D8C">
        <w:t xml:space="preserve"> </w:t>
      </w:r>
      <w:r w:rsidRPr="00036FAC">
        <w:t>per</w:t>
      </w:r>
      <w:r w:rsidR="00907D8C">
        <w:t xml:space="preserve"> </w:t>
      </w:r>
      <w:r w:rsidRPr="00036FAC">
        <w:t>head</w:t>
      </w:r>
      <w:r w:rsidR="00907D8C">
        <w:t xml:space="preserve"> </w:t>
      </w:r>
      <w:r w:rsidRPr="00036FAC">
        <w:t>of</w:t>
      </w:r>
      <w:r w:rsidR="00907D8C">
        <w:t xml:space="preserve"> </w:t>
      </w:r>
      <w:r w:rsidRPr="00036FAC">
        <w:t>population,</w:t>
      </w:r>
      <w:r w:rsidR="00907D8C">
        <w:t xml:space="preserve"> </w:t>
      </w:r>
      <w:r w:rsidRPr="00036FAC">
        <w:t>is</w:t>
      </w:r>
      <w:r w:rsidR="00907D8C">
        <w:t xml:space="preserve"> </w:t>
      </w:r>
      <w:r w:rsidRPr="00036FAC">
        <w:t>also</w:t>
      </w:r>
      <w:r w:rsidR="00907D8C">
        <w:t xml:space="preserve"> </w:t>
      </w:r>
      <w:r w:rsidRPr="00036FAC">
        <w:t>known</w:t>
      </w:r>
      <w:r w:rsidR="00907D8C">
        <w:t xml:space="preserve"> </w:t>
      </w:r>
      <w:r w:rsidRPr="00036FAC">
        <w:t>as</w:t>
      </w:r>
      <w:r w:rsidR="00907D8C">
        <w:t xml:space="preserve"> </w:t>
      </w:r>
      <w:r w:rsidRPr="00036FAC">
        <w:t>real</w:t>
      </w:r>
      <w:r w:rsidR="00907D8C">
        <w:t xml:space="preserve"> </w:t>
      </w:r>
      <w:r w:rsidRPr="00036FAC">
        <w:t>gross</w:t>
      </w:r>
      <w:r w:rsidR="00907D8C">
        <w:t xml:space="preserve"> </w:t>
      </w:r>
      <w:r w:rsidRPr="00036FAC">
        <w:t>national</w:t>
      </w:r>
      <w:r w:rsidR="00907D8C">
        <w:t xml:space="preserve"> </w:t>
      </w:r>
      <w:r w:rsidRPr="00036FAC">
        <w:t>disposable</w:t>
      </w:r>
      <w:r w:rsidR="00907D8C">
        <w:t xml:space="preserve"> </w:t>
      </w:r>
      <w:r w:rsidRPr="00036FAC">
        <w:t>income</w:t>
      </w:r>
      <w:r w:rsidR="00907D8C">
        <w:t xml:space="preserve"> </w:t>
      </w:r>
      <w:r w:rsidRPr="00036FAC">
        <w:t>(RGNDI)</w:t>
      </w:r>
      <w:r w:rsidR="00907D8C">
        <w:t xml:space="preserve"> </w:t>
      </w:r>
      <w:r w:rsidRPr="00036FAC">
        <w:t>per</w:t>
      </w:r>
      <w:r w:rsidR="00907D8C">
        <w:t xml:space="preserve"> </w:t>
      </w:r>
      <w:r w:rsidRPr="00036FAC">
        <w:t>person.</w:t>
      </w:r>
      <w:r w:rsidR="00907D8C">
        <w:t xml:space="preserve"> </w:t>
      </w:r>
      <w:r w:rsidRPr="00036FAC">
        <w:t>Per</w:t>
      </w:r>
      <w:r w:rsidR="00907D8C">
        <w:t xml:space="preserve"> </w:t>
      </w:r>
      <w:r w:rsidRPr="00036FAC">
        <w:t>person</w:t>
      </w:r>
      <w:r w:rsidR="00907D8C">
        <w:t xml:space="preserve"> </w:t>
      </w:r>
      <w:r w:rsidRPr="00036FAC">
        <w:t>RGNDI</w:t>
      </w:r>
      <w:r w:rsidR="00907D8C">
        <w:t xml:space="preserve"> </w:t>
      </w:r>
      <w:r w:rsidRPr="00036FAC">
        <w:t>measures</w:t>
      </w:r>
      <w:r w:rsidR="00907D8C">
        <w:t xml:space="preserve"> </w:t>
      </w:r>
      <w:r w:rsidRPr="00036FAC">
        <w:t>the</w:t>
      </w:r>
      <w:r w:rsidR="00907D8C">
        <w:t xml:space="preserve"> </w:t>
      </w:r>
      <w:r w:rsidRPr="00036FAC">
        <w:t>average</w:t>
      </w:r>
      <w:r w:rsidR="00907D8C">
        <w:t xml:space="preserve"> </w:t>
      </w:r>
      <w:r w:rsidRPr="00036FAC">
        <w:t>inco</w:t>
      </w:r>
      <w:r w:rsidR="006F7CDF">
        <w:t>me</w:t>
      </w:r>
      <w:r w:rsidR="00907D8C">
        <w:t xml:space="preserve"> </w:t>
      </w:r>
      <w:r w:rsidR="006F7CDF">
        <w:t>available</w:t>
      </w:r>
      <w:r w:rsidR="00907D8C">
        <w:t xml:space="preserve"> </w:t>
      </w:r>
      <w:r w:rsidR="006F7CDF">
        <w:t>to</w:t>
      </w:r>
      <w:r w:rsidR="00907D8C">
        <w:t xml:space="preserve"> </w:t>
      </w:r>
      <w:r w:rsidR="006F7CDF">
        <w:t>New</w:t>
      </w:r>
      <w:r w:rsidR="00907D8C">
        <w:t xml:space="preserve"> </w:t>
      </w:r>
      <w:r w:rsidR="006F7CDF">
        <w:t>Zealanders.</w:t>
      </w:r>
    </w:p>
    <w:p w:rsidR="00036FAC" w:rsidRPr="00036FAC" w:rsidRDefault="00036FAC" w:rsidP="006F7CDF">
      <w:pPr>
        <w:pStyle w:val="SingleTxtG"/>
      </w:pPr>
      <w:r w:rsidRPr="00036FAC">
        <w:t>39.</w:t>
      </w:r>
      <w:r w:rsidRPr="00036FAC">
        <w:tab/>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RGNDI</w:t>
      </w:r>
      <w:r w:rsidR="00907D8C">
        <w:t xml:space="preserve"> </w:t>
      </w:r>
      <w:r w:rsidRPr="00036FAC">
        <w:t>per</w:t>
      </w:r>
      <w:r w:rsidR="00907D8C">
        <w:t xml:space="preserve"> </w:t>
      </w:r>
      <w:r w:rsidRPr="00036FAC">
        <w:t>person</w:t>
      </w:r>
      <w:r w:rsidR="00907D8C">
        <w:t xml:space="preserve"> </w:t>
      </w:r>
      <w:r w:rsidRPr="00036FAC">
        <w:t>was</w:t>
      </w:r>
      <w:r w:rsidR="00907D8C">
        <w:t xml:space="preserve"> </w:t>
      </w:r>
      <w:r w:rsidRPr="00036FAC">
        <w:t>$30,179</w:t>
      </w:r>
      <w:r w:rsidR="00907D8C">
        <w:t xml:space="preserve"> </w:t>
      </w:r>
      <w:r w:rsidRPr="00036FAC">
        <w:t>in</w:t>
      </w:r>
      <w:r w:rsidR="00907D8C">
        <w:t xml:space="preserve"> </w:t>
      </w:r>
      <w:r w:rsidRPr="00036FAC">
        <w:t>1995/96</w:t>
      </w:r>
      <w:r w:rsidR="00907D8C">
        <w:t xml:space="preserve"> </w:t>
      </w:r>
      <w:r w:rsidRPr="00036FAC">
        <w:t>dollars.</w:t>
      </w:r>
      <w:r w:rsidR="00907D8C">
        <w:t xml:space="preserve"> </w:t>
      </w:r>
      <w:r w:rsidRPr="00036FAC">
        <w:t>This</w:t>
      </w:r>
      <w:r w:rsidR="00907D8C">
        <w:t xml:space="preserve"> </w:t>
      </w:r>
      <w:r w:rsidRPr="00036FAC">
        <w:t>was</w:t>
      </w:r>
      <w:r w:rsidR="00907D8C">
        <w:t xml:space="preserve"> </w:t>
      </w:r>
      <w:r w:rsidRPr="00036FAC">
        <w:t>1.7</w:t>
      </w:r>
      <w:r w:rsidR="00907D8C">
        <w:t xml:space="preserve"> </w:t>
      </w:r>
      <w:r w:rsidR="001B201B">
        <w:t>per</w:t>
      </w:r>
      <w:r w:rsidR="00907D8C">
        <w:t xml:space="preserve"> </w:t>
      </w:r>
      <w:r w:rsidR="001B201B">
        <w:t>cent</w:t>
      </w:r>
      <w:r w:rsidR="00907D8C">
        <w:t xml:space="preserve"> </w:t>
      </w:r>
      <w:r w:rsidRPr="00036FAC">
        <w:t>below</w:t>
      </w:r>
      <w:r w:rsidR="00907D8C">
        <w:t xml:space="preserve"> </w:t>
      </w:r>
      <w:r w:rsidRPr="00036FAC">
        <w:t>RGNDI</w:t>
      </w:r>
      <w:r w:rsidR="00907D8C">
        <w:t xml:space="preserve"> </w:t>
      </w:r>
      <w:r w:rsidRPr="00036FAC">
        <w:t>per</w:t>
      </w:r>
      <w:r w:rsidR="00907D8C">
        <w:t xml:space="preserve"> </w:t>
      </w:r>
      <w:r w:rsidRPr="00036FAC">
        <w:t>person</w:t>
      </w:r>
      <w:r w:rsidR="00907D8C">
        <w:t xml:space="preserve"> </w:t>
      </w:r>
      <w:r w:rsidRPr="00036FAC">
        <w:t>for</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March</w:t>
      </w:r>
      <w:r w:rsidR="00907D8C">
        <w:t xml:space="preserve"> </w:t>
      </w:r>
      <w:r w:rsidRPr="00036FAC">
        <w:t>2008</w:t>
      </w:r>
      <w:r w:rsidR="00907D8C">
        <w:t xml:space="preserve"> </w:t>
      </w:r>
      <w:r w:rsidRPr="00036FAC">
        <w:t>($30,708)</w:t>
      </w:r>
      <w:r w:rsidR="00907D8C">
        <w:t xml:space="preserve"> </w:t>
      </w:r>
      <w:r w:rsidRPr="00036FAC">
        <w:t>due</w:t>
      </w:r>
      <w:r w:rsidR="00907D8C">
        <w:t xml:space="preserve"> </w:t>
      </w:r>
      <w:r w:rsidRPr="00036FAC">
        <w:t>to</w:t>
      </w:r>
      <w:r w:rsidR="00907D8C">
        <w:t xml:space="preserve"> </w:t>
      </w:r>
      <w:r w:rsidRPr="00036FAC">
        <w:t>negative</w:t>
      </w:r>
      <w:r w:rsidR="00907D8C">
        <w:t xml:space="preserve"> </w:t>
      </w:r>
      <w:r w:rsidRPr="00036FAC">
        <w:t>economic</w:t>
      </w:r>
      <w:r w:rsidR="00907D8C">
        <w:t xml:space="preserve"> </w:t>
      </w:r>
      <w:r w:rsidRPr="00036FAC">
        <w:t>growth</w:t>
      </w:r>
      <w:r w:rsidR="00907D8C">
        <w:t xml:space="preserve"> </w:t>
      </w:r>
      <w:r w:rsidRPr="00036FAC">
        <w:t>over</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Between</w:t>
      </w:r>
      <w:r w:rsidR="00907D8C">
        <w:t xml:space="preserve"> </w:t>
      </w:r>
      <w:r w:rsidRPr="00036FAC">
        <w:t>1988</w:t>
      </w:r>
      <w:r w:rsidR="00907D8C">
        <w:t xml:space="preserve"> </w:t>
      </w:r>
      <w:r w:rsidRPr="00036FAC">
        <w:t>and</w:t>
      </w:r>
      <w:r w:rsidR="00907D8C">
        <w:t xml:space="preserve"> </w:t>
      </w:r>
      <w:r w:rsidRPr="00036FAC">
        <w:t>1991,</w:t>
      </w:r>
      <w:r w:rsidR="00907D8C">
        <w:t xml:space="preserve"> </w:t>
      </w:r>
      <w:r w:rsidRPr="00036FAC">
        <w:t>RGNDI</w:t>
      </w:r>
      <w:r w:rsidR="00907D8C">
        <w:t xml:space="preserve"> </w:t>
      </w:r>
      <w:r w:rsidRPr="00036FAC">
        <w:t>per</w:t>
      </w:r>
      <w:r w:rsidR="00907D8C">
        <w:t xml:space="preserve"> </w:t>
      </w:r>
      <w:r w:rsidRPr="00036FAC">
        <w:t>person</w:t>
      </w:r>
      <w:r w:rsidR="00907D8C">
        <w:t xml:space="preserve"> </w:t>
      </w:r>
      <w:r w:rsidRPr="00036FAC">
        <w:t>was</w:t>
      </w:r>
      <w:r w:rsidR="00907D8C">
        <w:t xml:space="preserve"> </w:t>
      </w:r>
      <w:r w:rsidRPr="00036FAC">
        <w:t>around</w:t>
      </w:r>
      <w:r w:rsidR="00907D8C">
        <w:t xml:space="preserve"> </w:t>
      </w:r>
      <w:r w:rsidRPr="00036FAC">
        <w:t>$23,000.</w:t>
      </w:r>
      <w:r w:rsidR="00907D8C">
        <w:t xml:space="preserve"> </w:t>
      </w:r>
      <w:r w:rsidRPr="00036FAC">
        <w:t>It</w:t>
      </w:r>
      <w:r w:rsidR="00907D8C">
        <w:t xml:space="preserve"> </w:t>
      </w:r>
      <w:r w:rsidRPr="00036FAC">
        <w:t>then</w:t>
      </w:r>
      <w:r w:rsidR="00907D8C">
        <w:t xml:space="preserve"> </w:t>
      </w:r>
      <w:r w:rsidRPr="00036FAC">
        <w:t>fell</w:t>
      </w:r>
      <w:r w:rsidR="00907D8C">
        <w:t xml:space="preserve"> </w:t>
      </w:r>
      <w:r w:rsidRPr="00036FAC">
        <w:t>sharply</w:t>
      </w:r>
      <w:r w:rsidR="00907D8C">
        <w:t xml:space="preserve"> </w:t>
      </w:r>
      <w:r w:rsidRPr="00036FAC">
        <w:t>to</w:t>
      </w:r>
      <w:r w:rsidR="00907D8C">
        <w:t xml:space="preserve"> </w:t>
      </w:r>
      <w:r w:rsidRPr="00036FAC">
        <w:t>a</w:t>
      </w:r>
      <w:r w:rsidR="00907D8C">
        <w:t xml:space="preserve"> </w:t>
      </w:r>
      <w:r w:rsidRPr="00036FAC">
        <w:t>low</w:t>
      </w:r>
      <w:r w:rsidR="00907D8C">
        <w:t xml:space="preserve"> </w:t>
      </w:r>
      <w:r w:rsidRPr="00036FAC">
        <w:t>of</w:t>
      </w:r>
      <w:r w:rsidR="00907D8C">
        <w:t xml:space="preserve"> </w:t>
      </w:r>
      <w:r w:rsidRPr="00036FAC">
        <w:t>$20,940</w:t>
      </w:r>
      <w:r w:rsidR="00907D8C">
        <w:t xml:space="preserve"> </w:t>
      </w:r>
      <w:r w:rsidRPr="00036FAC">
        <w:t>in</w:t>
      </w:r>
      <w:r w:rsidR="00907D8C">
        <w:t xml:space="preserve"> </w:t>
      </w:r>
      <w:r w:rsidRPr="00036FAC">
        <w:t>1992.</w:t>
      </w:r>
      <w:r w:rsidR="00907D8C">
        <w:t xml:space="preserve"> </w:t>
      </w:r>
      <w:r w:rsidRPr="00036FAC">
        <w:t>From</w:t>
      </w:r>
      <w:r w:rsidR="00907D8C">
        <w:t xml:space="preserve"> </w:t>
      </w:r>
      <w:r w:rsidRPr="00036FAC">
        <w:t>1992,</w:t>
      </w:r>
      <w:r w:rsidR="00907D8C">
        <w:t xml:space="preserve"> </w:t>
      </w:r>
      <w:r w:rsidRPr="00036FAC">
        <w:t>RGNDI</w:t>
      </w:r>
      <w:r w:rsidR="00907D8C">
        <w:t xml:space="preserve"> </w:t>
      </w:r>
      <w:r w:rsidRPr="00036FAC">
        <w:t>per</w:t>
      </w:r>
      <w:r w:rsidR="00907D8C">
        <w:t xml:space="preserve"> </w:t>
      </w:r>
      <w:r w:rsidRPr="00036FAC">
        <w:t>person</w:t>
      </w:r>
      <w:r w:rsidR="00907D8C">
        <w:t xml:space="preserve"> </w:t>
      </w:r>
      <w:r w:rsidRPr="00036FAC">
        <w:t>grew</w:t>
      </w:r>
      <w:r w:rsidR="00907D8C">
        <w:t xml:space="preserve"> </w:t>
      </w:r>
      <w:r w:rsidRPr="00036FAC">
        <w:t>continuously,</w:t>
      </w:r>
      <w:r w:rsidR="00907D8C">
        <w:t xml:space="preserve"> </w:t>
      </w:r>
      <w:r w:rsidRPr="00036FAC">
        <w:t>until</w:t>
      </w:r>
      <w:r w:rsidR="00907D8C">
        <w:t xml:space="preserve"> </w:t>
      </w:r>
      <w:r w:rsidRPr="00036FAC">
        <w:t>it</w:t>
      </w:r>
      <w:r w:rsidR="00907D8C">
        <w:t xml:space="preserve"> </w:t>
      </w:r>
      <w:r w:rsidRPr="00036FAC">
        <w:t>fell</w:t>
      </w:r>
      <w:r w:rsidR="00907D8C">
        <w:t xml:space="preserve"> </w:t>
      </w:r>
      <w:r w:rsidRPr="00036FAC">
        <w:t>in</w:t>
      </w:r>
      <w:r w:rsidR="00907D8C">
        <w:t xml:space="preserve"> </w:t>
      </w:r>
      <w:r w:rsidRPr="00036FAC">
        <w:t>2009.</w:t>
      </w:r>
      <w:r w:rsidR="00907D8C">
        <w:t xml:space="preserve"> </w:t>
      </w:r>
      <w:r w:rsidRPr="00036FAC">
        <w:t>The</w:t>
      </w:r>
      <w:r w:rsidR="00907D8C">
        <w:t xml:space="preserve"> </w:t>
      </w:r>
      <w:r w:rsidRPr="00036FAC">
        <w:t>average</w:t>
      </w:r>
      <w:r w:rsidR="00907D8C">
        <w:t xml:space="preserve"> </w:t>
      </w:r>
      <w:r w:rsidRPr="00036FAC">
        <w:t>annual</w:t>
      </w:r>
      <w:r w:rsidR="00907D8C">
        <w:t xml:space="preserve"> </w:t>
      </w:r>
      <w:r w:rsidRPr="00036FAC">
        <w:t>growth</w:t>
      </w:r>
      <w:r w:rsidR="00907D8C">
        <w:t xml:space="preserve"> </w:t>
      </w:r>
      <w:r w:rsidRPr="00036FAC">
        <w:t>rate</w:t>
      </w:r>
      <w:r w:rsidR="00907D8C">
        <w:t xml:space="preserve"> </w:t>
      </w:r>
      <w:r w:rsidRPr="00036FAC">
        <w:t>over</w:t>
      </w:r>
      <w:r w:rsidR="00907D8C">
        <w:t xml:space="preserve"> </w:t>
      </w:r>
      <w:r w:rsidRPr="00036FAC">
        <w:t>the</w:t>
      </w:r>
      <w:r w:rsidR="00907D8C">
        <w:t xml:space="preserve"> </w:t>
      </w:r>
      <w:r w:rsidRPr="00036FAC">
        <w:t>whole</w:t>
      </w:r>
      <w:r w:rsidR="00907D8C">
        <w:t xml:space="preserve"> </w:t>
      </w:r>
      <w:r w:rsidRPr="00036FAC">
        <w:t>period</w:t>
      </w:r>
      <w:r w:rsidR="00907D8C">
        <w:t xml:space="preserve"> </w:t>
      </w:r>
      <w:r w:rsidRPr="00036FAC">
        <w:t>from</w:t>
      </w:r>
      <w:r w:rsidR="00907D8C">
        <w:t xml:space="preserve"> </w:t>
      </w:r>
      <w:r w:rsidRPr="00036FAC">
        <w:t>1988</w:t>
      </w:r>
      <w:r w:rsidR="00907D8C">
        <w:t xml:space="preserve"> </w:t>
      </w:r>
      <w:r w:rsidRPr="00036FAC">
        <w:t>to</w:t>
      </w:r>
      <w:r w:rsidR="00907D8C">
        <w:t xml:space="preserve"> </w:t>
      </w:r>
      <w:r w:rsidRPr="00036FAC">
        <w:t>2009</w:t>
      </w:r>
      <w:r w:rsidR="00907D8C">
        <w:t xml:space="preserve"> </w:t>
      </w:r>
      <w:r w:rsidRPr="00036FAC">
        <w:t>was</w:t>
      </w:r>
      <w:r w:rsidR="00907D8C">
        <w:t xml:space="preserve"> </w:t>
      </w:r>
      <w:r w:rsidRPr="00036FAC">
        <w:t>1.4</w:t>
      </w:r>
      <w:r w:rsidR="00907D8C">
        <w:t xml:space="preserve"> </w:t>
      </w:r>
      <w:r w:rsidR="00AE58B5">
        <w:t>per</w:t>
      </w:r>
      <w:r w:rsidR="00907D8C">
        <w:t xml:space="preserve"> </w:t>
      </w:r>
      <w:r w:rsidR="00AE58B5">
        <w:t>cent</w:t>
      </w:r>
      <w:r w:rsidRPr="00036FAC">
        <w:t>.</w:t>
      </w:r>
    </w:p>
    <w:p w:rsidR="00036FAC" w:rsidRPr="00036FAC" w:rsidRDefault="00036FAC" w:rsidP="006F7CDF">
      <w:pPr>
        <w:pStyle w:val="SingleTxtG"/>
      </w:pPr>
      <w:r w:rsidRPr="00036FAC">
        <w:t>40.</w:t>
      </w:r>
      <w:r w:rsidRPr="00036FAC">
        <w:tab/>
        <w:t>New</w:t>
      </w:r>
      <w:r w:rsidR="00907D8C">
        <w:t xml:space="preserve"> </w:t>
      </w:r>
      <w:r w:rsidRPr="00036FAC">
        <w:t>Zealand</w:t>
      </w:r>
      <w:r w:rsidR="00907D8C">
        <w:t xml:space="preserve"> </w:t>
      </w:r>
      <w:r w:rsidRPr="00036FAC">
        <w:t>was</w:t>
      </w:r>
      <w:r w:rsidR="00907D8C">
        <w:t xml:space="preserve"> </w:t>
      </w:r>
      <w:r w:rsidRPr="00036FAC">
        <w:t>ranked</w:t>
      </w:r>
      <w:r w:rsidR="00907D8C">
        <w:t xml:space="preserve"> </w:t>
      </w:r>
      <w:r w:rsidRPr="00036FAC">
        <w:t>22nd</w:t>
      </w:r>
      <w:r w:rsidR="00907D8C">
        <w:t xml:space="preserve"> </w:t>
      </w:r>
      <w:r w:rsidRPr="00036FAC">
        <w:t>out</w:t>
      </w:r>
      <w:r w:rsidR="00907D8C">
        <w:t xml:space="preserve"> </w:t>
      </w:r>
      <w:r w:rsidRPr="00036FAC">
        <w:t>of</w:t>
      </w:r>
      <w:r w:rsidR="00907D8C">
        <w:t xml:space="preserve"> </w:t>
      </w:r>
      <w:r w:rsidRPr="00036FAC">
        <w:t>30</w:t>
      </w:r>
      <w:r w:rsidR="00907D8C">
        <w:t xml:space="preserve"> </w:t>
      </w:r>
      <w:r w:rsidRPr="00036FAC">
        <w:t>OECD</w:t>
      </w:r>
      <w:r w:rsidR="00907D8C">
        <w:t xml:space="preserve"> </w:t>
      </w:r>
      <w:r w:rsidRPr="00036FAC">
        <w:t>countries</w:t>
      </w:r>
      <w:r w:rsidR="00907D8C">
        <w:t xml:space="preserve"> </w:t>
      </w:r>
      <w:r w:rsidRPr="00036FAC">
        <w:t>for</w:t>
      </w:r>
      <w:r w:rsidR="00907D8C">
        <w:t xml:space="preserve"> </w:t>
      </w:r>
      <w:r w:rsidRPr="00036FAC">
        <w:t>GDP</w:t>
      </w:r>
      <w:r w:rsidR="00907D8C">
        <w:t xml:space="preserve"> </w:t>
      </w:r>
      <w:r w:rsidRPr="00036FAC">
        <w:t>per</w:t>
      </w:r>
      <w:r w:rsidR="00907D8C">
        <w:t xml:space="preserve"> </w:t>
      </w:r>
      <w:r w:rsidRPr="00036FAC">
        <w:t>person</w:t>
      </w:r>
      <w:r w:rsidR="00907D8C">
        <w:t xml:space="preserve"> </w:t>
      </w:r>
      <w:r w:rsidRPr="00036FAC">
        <w:t>in</w:t>
      </w:r>
      <w:r w:rsidR="00907D8C">
        <w:t xml:space="preserve"> </w:t>
      </w:r>
      <w:r w:rsidRPr="00036FAC">
        <w:t>2007</w:t>
      </w:r>
      <w:r w:rsidR="00907D8C">
        <w:t xml:space="preserve"> </w:t>
      </w:r>
      <w:r w:rsidRPr="00036FAC">
        <w:t>(the</w:t>
      </w:r>
      <w:r w:rsidR="00907D8C">
        <w:t xml:space="preserve"> </w:t>
      </w:r>
      <w:r w:rsidRPr="00036FAC">
        <w:t>same</w:t>
      </w:r>
      <w:r w:rsidR="00907D8C">
        <w:t xml:space="preserve"> </w:t>
      </w:r>
      <w:r w:rsidRPr="00036FAC">
        <w:t>ranking</w:t>
      </w:r>
      <w:r w:rsidR="00907D8C">
        <w:t xml:space="preserve"> </w:t>
      </w:r>
      <w:r w:rsidRPr="00036FAC">
        <w:t>as</w:t>
      </w:r>
      <w:r w:rsidR="00907D8C">
        <w:t xml:space="preserve"> </w:t>
      </w:r>
      <w:r w:rsidRPr="00036FAC">
        <w:t>in</w:t>
      </w:r>
      <w:r w:rsidR="00907D8C">
        <w:t xml:space="preserve"> </w:t>
      </w:r>
      <w:r w:rsidRPr="00036FAC">
        <w:t>the</w:t>
      </w:r>
      <w:r w:rsidR="00907D8C">
        <w:t xml:space="preserve"> </w:t>
      </w:r>
      <w:r w:rsidRPr="00036FAC">
        <w:t>previous</w:t>
      </w:r>
      <w:r w:rsidR="00907D8C">
        <w:t xml:space="preserve"> </w:t>
      </w:r>
      <w:r w:rsidRPr="00036FAC">
        <w:t>six</w:t>
      </w:r>
      <w:r w:rsidR="00907D8C">
        <w:t xml:space="preserve"> </w:t>
      </w:r>
      <w:r w:rsidRPr="00036FAC">
        <w:t>years)</w:t>
      </w:r>
      <w:r w:rsidR="00907D8C">
        <w:t xml:space="preserve"> </w:t>
      </w:r>
      <w:r w:rsidRPr="00036FAC">
        <w:t>and</w:t>
      </w:r>
      <w:r w:rsidR="00907D8C">
        <w:t xml:space="preserve"> </w:t>
      </w:r>
      <w:r w:rsidRPr="00036FAC">
        <w:t>22nd</w:t>
      </w:r>
      <w:r w:rsidR="00907D8C">
        <w:t xml:space="preserve"> </w:t>
      </w:r>
      <w:r w:rsidRPr="00036FAC">
        <w:t>out</w:t>
      </w:r>
      <w:r w:rsidR="00907D8C">
        <w:t xml:space="preserve"> </w:t>
      </w:r>
      <w:r w:rsidRPr="00036FAC">
        <w:t>of</w:t>
      </w:r>
      <w:r w:rsidR="00907D8C">
        <w:t xml:space="preserve"> </w:t>
      </w:r>
      <w:r w:rsidRPr="00036FAC">
        <w:t>29</w:t>
      </w:r>
      <w:r w:rsidR="00907D8C">
        <w:t xml:space="preserve"> </w:t>
      </w:r>
      <w:r w:rsidRPr="00036FAC">
        <w:t>countries</w:t>
      </w:r>
      <w:r w:rsidR="00907D8C">
        <w:t xml:space="preserve"> </w:t>
      </w:r>
      <w:r w:rsidRPr="00036FAC">
        <w:t>for</w:t>
      </w:r>
      <w:r w:rsidR="00907D8C">
        <w:t xml:space="preserve"> </w:t>
      </w:r>
      <w:r w:rsidRPr="00036FAC">
        <w:t>GNI</w:t>
      </w:r>
      <w:r w:rsidR="00907D8C">
        <w:t xml:space="preserve"> </w:t>
      </w:r>
      <w:r w:rsidRPr="00036FAC">
        <w:t>per</w:t>
      </w:r>
      <w:r w:rsidR="00907D8C">
        <w:t xml:space="preserve"> </w:t>
      </w:r>
      <w:r w:rsidRPr="00036FAC">
        <w:t>person</w:t>
      </w:r>
      <w:r w:rsidR="00907D8C">
        <w:t xml:space="preserve"> </w:t>
      </w:r>
      <w:r w:rsidRPr="00036FAC">
        <w:t>in</w:t>
      </w:r>
      <w:r w:rsidR="00907D8C">
        <w:t xml:space="preserve"> </w:t>
      </w:r>
      <w:r w:rsidRPr="00036FAC">
        <w:t>2006.</w:t>
      </w:r>
      <w:r w:rsidR="00907D8C">
        <w:t xml:space="preserve"> </w:t>
      </w:r>
      <w:r w:rsidRPr="00036FAC">
        <w:t>Using</w:t>
      </w:r>
      <w:r w:rsidR="00907D8C">
        <w:t xml:space="preserve"> </w:t>
      </w:r>
      <w:r w:rsidRPr="00036FAC">
        <w:t>GDP</w:t>
      </w:r>
      <w:r w:rsidR="00907D8C">
        <w:t xml:space="preserve"> </w:t>
      </w:r>
      <w:r w:rsidRPr="00036FAC">
        <w:t>per</w:t>
      </w:r>
      <w:r w:rsidR="00907D8C">
        <w:t xml:space="preserve"> </w:t>
      </w:r>
      <w:r w:rsidRPr="00036FAC">
        <w:t>person,</w:t>
      </w:r>
      <w:r w:rsidR="00907D8C">
        <w:t xml:space="preserve"> </w:t>
      </w:r>
      <w:r w:rsidRPr="00036FAC">
        <w:t>New</w:t>
      </w:r>
      <w:r w:rsidR="00907D8C">
        <w:t xml:space="preserve"> </w:t>
      </w:r>
      <w:r w:rsidRPr="00036FAC">
        <w:t>Zealand</w:t>
      </w:r>
      <w:r w:rsidR="00907D8C">
        <w:t xml:space="preserve"> </w:t>
      </w:r>
      <w:r w:rsidRPr="00036FAC">
        <w:t>was</w:t>
      </w:r>
      <w:r w:rsidR="00907D8C">
        <w:t xml:space="preserve"> </w:t>
      </w:r>
      <w:r w:rsidRPr="00036FAC">
        <w:t>the</w:t>
      </w:r>
      <w:r w:rsidR="00907D8C">
        <w:t xml:space="preserve"> </w:t>
      </w:r>
      <w:r w:rsidRPr="00036FAC">
        <w:t>18th</w:t>
      </w:r>
      <w:r w:rsidR="00907D8C">
        <w:t xml:space="preserve"> </w:t>
      </w:r>
      <w:r w:rsidRPr="00036FAC">
        <w:t>most</w:t>
      </w:r>
      <w:r w:rsidR="00907D8C">
        <w:t xml:space="preserve"> </w:t>
      </w:r>
      <w:r w:rsidRPr="00036FAC">
        <w:t>prosperous</w:t>
      </w:r>
      <w:r w:rsidR="00907D8C">
        <w:t xml:space="preserve"> </w:t>
      </w:r>
      <w:r w:rsidRPr="00036FAC">
        <w:t>out</w:t>
      </w:r>
      <w:r w:rsidR="00907D8C">
        <w:t xml:space="preserve"> </w:t>
      </w:r>
      <w:r w:rsidRPr="00036FAC">
        <w:t>of</w:t>
      </w:r>
      <w:r w:rsidR="00907D8C">
        <w:t xml:space="preserve"> </w:t>
      </w:r>
      <w:r w:rsidRPr="00036FAC">
        <w:t>26</w:t>
      </w:r>
      <w:r w:rsidR="00907D8C">
        <w:t xml:space="preserve"> </w:t>
      </w:r>
      <w:r w:rsidRPr="00036FAC">
        <w:t>countries</w:t>
      </w:r>
      <w:r w:rsidR="00907D8C">
        <w:t xml:space="preserve"> </w:t>
      </w:r>
      <w:r w:rsidRPr="00036FAC">
        <w:t>in</w:t>
      </w:r>
      <w:r w:rsidR="00907D8C">
        <w:t xml:space="preserve"> </w:t>
      </w:r>
      <w:r w:rsidRPr="00036FAC">
        <w:t>1986</w:t>
      </w:r>
      <w:r w:rsidR="00907D8C">
        <w:t xml:space="preserve"> </w:t>
      </w:r>
      <w:r w:rsidRPr="00036FAC">
        <w:t>and</w:t>
      </w:r>
      <w:r w:rsidR="00907D8C">
        <w:t xml:space="preserve"> </w:t>
      </w:r>
      <w:r w:rsidRPr="00036FAC">
        <w:t>the</w:t>
      </w:r>
      <w:r w:rsidR="00907D8C">
        <w:t xml:space="preserve"> </w:t>
      </w:r>
      <w:r w:rsidRPr="00036FAC">
        <w:t>ninth</w:t>
      </w:r>
      <w:r w:rsidR="00907D8C">
        <w:t xml:space="preserve"> </w:t>
      </w:r>
      <w:r w:rsidRPr="00036FAC">
        <w:t>most</w:t>
      </w:r>
      <w:r w:rsidR="00907D8C">
        <w:t xml:space="preserve"> </w:t>
      </w:r>
      <w:r w:rsidRPr="00036FAC">
        <w:t>prosperous</w:t>
      </w:r>
      <w:r w:rsidR="00907D8C">
        <w:t xml:space="preserve"> </w:t>
      </w:r>
      <w:r w:rsidRPr="00036FAC">
        <w:t>in</w:t>
      </w:r>
      <w:r w:rsidR="00907D8C">
        <w:t xml:space="preserve"> </w:t>
      </w:r>
      <w:r w:rsidRPr="00036FAC">
        <w:t>1970.</w:t>
      </w:r>
      <w:r w:rsidR="00907D8C">
        <w:t xml:space="preserve"> </w:t>
      </w:r>
      <w:r w:rsidRPr="00036FAC">
        <w:t>Using</w:t>
      </w:r>
      <w:r w:rsidR="00907D8C">
        <w:t xml:space="preserve"> </w:t>
      </w:r>
      <w:r w:rsidRPr="00036FAC">
        <w:t>GNI</w:t>
      </w:r>
      <w:r w:rsidR="00907D8C">
        <w:t xml:space="preserve"> </w:t>
      </w:r>
      <w:r w:rsidRPr="00036FAC">
        <w:t>per</w:t>
      </w:r>
      <w:r w:rsidR="00907D8C">
        <w:t xml:space="preserve"> </w:t>
      </w:r>
      <w:r w:rsidRPr="00036FAC">
        <w:t>person,</w:t>
      </w:r>
      <w:r w:rsidR="00907D8C">
        <w:t xml:space="preserve"> </w:t>
      </w:r>
      <w:r w:rsidRPr="00036FAC">
        <w:t>the</w:t>
      </w:r>
      <w:r w:rsidR="00907D8C">
        <w:t xml:space="preserve"> </w:t>
      </w:r>
      <w:r w:rsidRPr="00036FAC">
        <w:t>rankings</w:t>
      </w:r>
      <w:r w:rsidR="00907D8C">
        <w:t xml:space="preserve"> </w:t>
      </w:r>
      <w:r w:rsidRPr="00036FAC">
        <w:t>for</w:t>
      </w:r>
      <w:r w:rsidR="00907D8C">
        <w:t xml:space="preserve"> </w:t>
      </w:r>
      <w:r w:rsidRPr="00036FAC">
        <w:t>New</w:t>
      </w:r>
      <w:r w:rsidR="00907D8C">
        <w:t xml:space="preserve"> </w:t>
      </w:r>
      <w:r w:rsidRPr="00036FAC">
        <w:t>Zealand</w:t>
      </w:r>
      <w:r w:rsidR="00907D8C">
        <w:t xml:space="preserve"> </w:t>
      </w:r>
      <w:r w:rsidRPr="00036FAC">
        <w:t>were</w:t>
      </w:r>
      <w:r w:rsidR="00907D8C">
        <w:t xml:space="preserve"> </w:t>
      </w:r>
      <w:r w:rsidRPr="00036FAC">
        <w:t>19th</w:t>
      </w:r>
      <w:r w:rsidR="00907D8C">
        <w:t xml:space="preserve"> </w:t>
      </w:r>
      <w:r w:rsidRPr="00036FAC">
        <w:t>in</w:t>
      </w:r>
      <w:r w:rsidR="00907D8C">
        <w:t xml:space="preserve"> </w:t>
      </w:r>
      <w:r w:rsidRPr="00036FAC">
        <w:t>1986</w:t>
      </w:r>
      <w:r w:rsidR="00907D8C">
        <w:t xml:space="preserve"> </w:t>
      </w:r>
      <w:r w:rsidRPr="00036FAC">
        <w:t>and</w:t>
      </w:r>
      <w:r w:rsidR="00907D8C">
        <w:t xml:space="preserve"> </w:t>
      </w:r>
      <w:r w:rsidRPr="00036FAC">
        <w:t>eighth</w:t>
      </w:r>
      <w:r w:rsidR="00907D8C">
        <w:t xml:space="preserve"> </w:t>
      </w:r>
      <w:r w:rsidRPr="00036FAC">
        <w:t>in</w:t>
      </w:r>
      <w:r w:rsidR="00907D8C">
        <w:t xml:space="preserve"> </w:t>
      </w:r>
      <w:r w:rsidRPr="00036FAC">
        <w:t>1970.</w:t>
      </w:r>
    </w:p>
    <w:p w:rsidR="00036FAC" w:rsidRPr="00036FAC" w:rsidRDefault="00036FAC" w:rsidP="006F7CDF">
      <w:pPr>
        <w:pStyle w:val="SingleTxtG"/>
      </w:pPr>
      <w:r w:rsidRPr="00036FAC">
        <w:t>41.</w:t>
      </w:r>
      <w:r w:rsidRPr="00036FAC">
        <w:tab/>
        <w:t>Between</w:t>
      </w:r>
      <w:r w:rsidR="00907D8C">
        <w:t xml:space="preserve"> </w:t>
      </w:r>
      <w:r w:rsidRPr="00036FAC">
        <w:t>1986</w:t>
      </w:r>
      <w:r w:rsidR="00907D8C">
        <w:t xml:space="preserve"> </w:t>
      </w:r>
      <w:r w:rsidRPr="00036FAC">
        <w:t>and</w:t>
      </w:r>
      <w:r w:rsidR="00907D8C">
        <w:t xml:space="preserve"> </w:t>
      </w:r>
      <w:r w:rsidRPr="00036FAC">
        <w:t>2007,</w:t>
      </w:r>
      <w:r w:rsidR="00907D8C">
        <w:t xml:space="preserve"> </w:t>
      </w:r>
      <w:r w:rsidRPr="00036FAC">
        <w:t>real</w:t>
      </w:r>
      <w:r w:rsidR="00907D8C">
        <w:t xml:space="preserve"> </w:t>
      </w:r>
      <w:r w:rsidRPr="00036FAC">
        <w:t>GDP</w:t>
      </w:r>
      <w:r w:rsidR="00907D8C">
        <w:t xml:space="preserve"> </w:t>
      </w:r>
      <w:r w:rsidRPr="00036FAC">
        <w:t>per</w:t>
      </w:r>
      <w:r w:rsidR="00907D8C">
        <w:t xml:space="preserve"> </w:t>
      </w:r>
      <w:r w:rsidRPr="00036FAC">
        <w:t>person</w:t>
      </w:r>
      <w:r w:rsidR="00907D8C">
        <w:t xml:space="preserve"> </w:t>
      </w:r>
      <w:r w:rsidRPr="00036FAC">
        <w:t>(using</w:t>
      </w:r>
      <w:r w:rsidR="00907D8C">
        <w:t xml:space="preserve"> </w:t>
      </w:r>
      <w:r w:rsidRPr="00036FAC">
        <w:t>United</w:t>
      </w:r>
      <w:r w:rsidR="00907D8C">
        <w:t xml:space="preserve"> </w:t>
      </w:r>
      <w:r w:rsidRPr="00036FAC">
        <w:t>States</w:t>
      </w:r>
      <w:r w:rsidR="00907D8C">
        <w:t xml:space="preserve"> </w:t>
      </w:r>
      <w:r w:rsidRPr="00036FAC">
        <w:t>dollars</w:t>
      </w:r>
      <w:r w:rsidR="00907D8C">
        <w:t xml:space="preserve"> </w:t>
      </w:r>
      <w:r w:rsidRPr="00036FAC">
        <w:t>and</w:t>
      </w:r>
      <w:r w:rsidR="00907D8C">
        <w:t xml:space="preserve"> </w:t>
      </w:r>
      <w:r w:rsidRPr="00036FAC">
        <w:t>current</w:t>
      </w:r>
      <w:r w:rsidR="00907D8C">
        <w:t xml:space="preserve"> </w:t>
      </w:r>
      <w:r w:rsidRPr="00036FAC">
        <w:t>purchasing</w:t>
      </w:r>
      <w:r w:rsidR="00907D8C">
        <w:t xml:space="preserve"> </w:t>
      </w:r>
      <w:r w:rsidRPr="00036FAC">
        <w:t>power</w:t>
      </w:r>
      <w:r w:rsidR="00907D8C">
        <w:t xml:space="preserve"> </w:t>
      </w:r>
      <w:r w:rsidRPr="00036FAC">
        <w:t>parities</w:t>
      </w:r>
      <w:r w:rsidR="00907D8C">
        <w:t xml:space="preserve"> </w:t>
      </w:r>
      <w:r w:rsidRPr="00036FAC">
        <w:t>for</w:t>
      </w:r>
      <w:r w:rsidR="00907D8C">
        <w:t xml:space="preserve"> </w:t>
      </w:r>
      <w:r w:rsidRPr="00036FAC">
        <w:t>the</w:t>
      </w:r>
      <w:r w:rsidR="00907D8C">
        <w:t xml:space="preserve"> </w:t>
      </w:r>
      <w:r w:rsidRPr="00036FAC">
        <w:t>year</w:t>
      </w:r>
      <w:r w:rsidR="00907D8C">
        <w:t xml:space="preserve"> </w:t>
      </w:r>
      <w:r w:rsidRPr="00036FAC">
        <w:t>2000)</w:t>
      </w:r>
      <w:r w:rsidR="00907D8C">
        <w:t xml:space="preserve"> </w:t>
      </w:r>
      <w:r w:rsidRPr="00036FAC">
        <w:t>grew</w:t>
      </w:r>
      <w:r w:rsidR="00907D8C">
        <w:t xml:space="preserve"> </w:t>
      </w:r>
      <w:r w:rsidRPr="00036FAC">
        <w:t>by</w:t>
      </w:r>
      <w:r w:rsidR="00907D8C">
        <w:t xml:space="preserve"> </w:t>
      </w:r>
      <w:r w:rsidRPr="00036FAC">
        <w:t>32</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compared</w:t>
      </w:r>
      <w:r w:rsidR="00907D8C">
        <w:t xml:space="preserve"> </w:t>
      </w:r>
      <w:r w:rsidRPr="00036FAC">
        <w:t>with</w:t>
      </w:r>
      <w:r w:rsidR="00907D8C">
        <w:t xml:space="preserve"> </w:t>
      </w:r>
      <w:r w:rsidRPr="00036FAC">
        <w:t>an</w:t>
      </w:r>
      <w:r w:rsidR="00907D8C">
        <w:t xml:space="preserve"> </w:t>
      </w:r>
      <w:r w:rsidRPr="00036FAC">
        <w:t>OECD</w:t>
      </w:r>
      <w:r w:rsidR="00907D8C">
        <w:t xml:space="preserve"> </w:t>
      </w:r>
      <w:r w:rsidRPr="00036FAC">
        <w:t>average</w:t>
      </w:r>
      <w:r w:rsidR="00907D8C">
        <w:t xml:space="preserve"> </w:t>
      </w:r>
      <w:r w:rsidRPr="00036FAC">
        <w:t>of</w:t>
      </w:r>
      <w:r w:rsidR="00907D8C">
        <w:t xml:space="preserve"> </w:t>
      </w:r>
      <w:r w:rsidRPr="00036FAC">
        <w:t>51</w:t>
      </w:r>
      <w:r w:rsidR="00907D8C">
        <w:t xml:space="preserve"> </w:t>
      </w:r>
      <w:r w:rsidR="00AE58B5">
        <w:t>per</w:t>
      </w:r>
      <w:r w:rsidR="00907D8C">
        <w:t xml:space="preserve"> </w:t>
      </w:r>
      <w:r w:rsidR="00AE58B5">
        <w:t>cent</w:t>
      </w:r>
      <w:r w:rsidRPr="00036FAC">
        <w:t>.</w:t>
      </w:r>
    </w:p>
    <w:p w:rsidR="006F7CDF" w:rsidRDefault="00036FAC" w:rsidP="006F7CDF">
      <w:pPr>
        <w:pStyle w:val="Heading1"/>
      </w:pPr>
      <w:bookmarkStart w:id="37" w:name="_Toc275331911"/>
      <w:r w:rsidRPr="00036FAC">
        <w:t>Table</w:t>
      </w:r>
      <w:r w:rsidR="00907D8C">
        <w:t xml:space="preserve"> </w:t>
      </w:r>
      <w:r w:rsidRPr="00036FAC">
        <w:t>10</w:t>
      </w:r>
    </w:p>
    <w:p w:rsidR="00036FAC" w:rsidRDefault="00036FAC" w:rsidP="006F7CDF">
      <w:pPr>
        <w:pStyle w:val="SingleTxtG"/>
        <w:rPr>
          <w:b/>
        </w:rPr>
      </w:pPr>
      <w:r w:rsidRPr="006F7CDF">
        <w:rPr>
          <w:b/>
        </w:rPr>
        <w:t>New</w:t>
      </w:r>
      <w:r w:rsidR="00907D8C">
        <w:rPr>
          <w:b/>
        </w:rPr>
        <w:t xml:space="preserve"> </w:t>
      </w:r>
      <w:r w:rsidRPr="006F7CDF">
        <w:rPr>
          <w:b/>
        </w:rPr>
        <w:t>Zealand</w:t>
      </w:r>
      <w:r w:rsidR="00907D8C">
        <w:rPr>
          <w:b/>
        </w:rPr>
        <w:t xml:space="preserve"> </w:t>
      </w:r>
      <w:r w:rsidR="00E607C4">
        <w:rPr>
          <w:b/>
        </w:rPr>
        <w:t>G</w:t>
      </w:r>
      <w:r w:rsidRPr="006F7CDF">
        <w:rPr>
          <w:b/>
        </w:rPr>
        <w:t>overnment</w:t>
      </w:r>
      <w:r w:rsidR="00907D8C">
        <w:rPr>
          <w:b/>
        </w:rPr>
        <w:t xml:space="preserve"> </w:t>
      </w:r>
      <w:r w:rsidRPr="006F7CDF">
        <w:rPr>
          <w:b/>
        </w:rPr>
        <w:t>budget</w:t>
      </w:r>
      <w:r w:rsidR="00907D8C">
        <w:rPr>
          <w:b/>
        </w:rPr>
        <w:t xml:space="preserve"> </w:t>
      </w:r>
      <w:r w:rsidRPr="006F7CDF">
        <w:rPr>
          <w:b/>
        </w:rPr>
        <w:t>by</w:t>
      </w:r>
      <w:r w:rsidR="00907D8C">
        <w:rPr>
          <w:b/>
        </w:rPr>
        <w:t xml:space="preserve"> </w:t>
      </w:r>
      <w:r w:rsidRPr="006F7CDF">
        <w:rPr>
          <w:b/>
        </w:rPr>
        <w:t>sector</w:t>
      </w:r>
      <w:bookmarkEnd w:id="37"/>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00"/>
        <w:gridCol w:w="1000"/>
        <w:gridCol w:w="467"/>
        <w:gridCol w:w="1033"/>
        <w:gridCol w:w="435"/>
        <w:gridCol w:w="1065"/>
        <w:gridCol w:w="403"/>
        <w:gridCol w:w="997"/>
        <w:gridCol w:w="471"/>
        <w:gridCol w:w="1029"/>
        <w:gridCol w:w="439"/>
      </w:tblGrid>
      <w:tr w:rsidR="00477AB2" w:rsidRPr="006F7CDF" w:rsidTr="00BC582B">
        <w:trPr>
          <w:tblHeader/>
        </w:trPr>
        <w:tc>
          <w:tcPr>
            <w:tcW w:w="2300" w:type="dxa"/>
            <w:tcBorders>
              <w:top w:val="single" w:sz="4" w:space="0" w:color="auto"/>
              <w:bottom w:val="single" w:sz="4" w:space="0" w:color="auto"/>
              <w:right w:val="single" w:sz="24" w:space="0" w:color="FFFFFF"/>
            </w:tcBorders>
            <w:shd w:val="clear" w:color="auto" w:fill="auto"/>
            <w:vAlign w:val="bottom"/>
          </w:tcPr>
          <w:p w:rsidR="00477AB2" w:rsidRPr="006F7CDF" w:rsidRDefault="00477AB2" w:rsidP="006F7CDF">
            <w:pPr>
              <w:spacing w:before="80" w:after="80" w:line="200" w:lineRule="exact"/>
              <w:ind w:right="113"/>
              <w:rPr>
                <w:i/>
                <w:sz w:val="16"/>
              </w:rPr>
            </w:pPr>
            <w:r>
              <w:rPr>
                <w:i/>
                <w:sz w:val="16"/>
              </w:rPr>
              <w:t>New</w:t>
            </w:r>
            <w:r w:rsidR="00907D8C">
              <w:rPr>
                <w:i/>
                <w:sz w:val="16"/>
              </w:rPr>
              <w:t xml:space="preserve"> </w:t>
            </w:r>
            <w:r>
              <w:rPr>
                <w:i/>
                <w:sz w:val="16"/>
              </w:rPr>
              <w:t>Zealand</w:t>
            </w:r>
            <w:r w:rsidR="00907D8C">
              <w:rPr>
                <w:i/>
                <w:sz w:val="16"/>
              </w:rPr>
              <w:t xml:space="preserve"> </w:t>
            </w:r>
            <w:r w:rsidR="00F3240B">
              <w:rPr>
                <w:i/>
                <w:sz w:val="16"/>
              </w:rPr>
              <w:t>G</w:t>
            </w:r>
            <w:r>
              <w:rPr>
                <w:i/>
                <w:sz w:val="16"/>
              </w:rPr>
              <w:t>overnment</w:t>
            </w:r>
            <w:r w:rsidR="00907D8C">
              <w:rPr>
                <w:i/>
                <w:sz w:val="16"/>
              </w:rPr>
              <w:t xml:space="preserve"> </w:t>
            </w:r>
            <w:r>
              <w:rPr>
                <w:i/>
                <w:sz w:val="16"/>
              </w:rPr>
              <w:t>budget</w:t>
            </w:r>
            <w:r w:rsidR="00907D8C">
              <w:rPr>
                <w:i/>
                <w:sz w:val="16"/>
              </w:rPr>
              <w:t xml:space="preserve"> </w:t>
            </w:r>
            <w:r>
              <w:rPr>
                <w:i/>
                <w:sz w:val="16"/>
              </w:rPr>
              <w:t>by</w:t>
            </w:r>
            <w:r w:rsidR="00907D8C">
              <w:rPr>
                <w:i/>
                <w:sz w:val="16"/>
              </w:rPr>
              <w:t xml:space="preserve"> </w:t>
            </w:r>
            <w:r>
              <w:rPr>
                <w:i/>
                <w:sz w:val="16"/>
              </w:rPr>
              <w:t>sector</w:t>
            </w:r>
          </w:p>
        </w:tc>
        <w:tc>
          <w:tcPr>
            <w:tcW w:w="146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77AB2" w:rsidRPr="00477AB2" w:rsidRDefault="00477AB2" w:rsidP="00477AB2">
            <w:pPr>
              <w:suppressAutoHyphens w:val="0"/>
              <w:spacing w:before="80" w:after="80" w:line="200" w:lineRule="exact"/>
              <w:ind w:right="113"/>
              <w:jc w:val="center"/>
              <w:rPr>
                <w:i/>
                <w:sz w:val="18"/>
              </w:rPr>
            </w:pPr>
            <w:r w:rsidRPr="00477AB2">
              <w:rPr>
                <w:i/>
                <w:sz w:val="18"/>
              </w:rPr>
              <w:t>2005</w:t>
            </w:r>
            <w:r w:rsidR="00E0064A">
              <w:rPr>
                <w:i/>
                <w:sz w:val="18"/>
              </w:rPr>
              <w:t>/</w:t>
            </w:r>
            <w:r w:rsidRPr="00477AB2">
              <w:rPr>
                <w:i/>
                <w:sz w:val="18"/>
              </w:rPr>
              <w:t>06</w:t>
            </w:r>
          </w:p>
        </w:tc>
        <w:tc>
          <w:tcPr>
            <w:tcW w:w="14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77AB2" w:rsidRPr="00477AB2" w:rsidRDefault="00477AB2" w:rsidP="00477AB2">
            <w:pPr>
              <w:suppressAutoHyphens w:val="0"/>
              <w:spacing w:before="80" w:after="80" w:line="200" w:lineRule="exact"/>
              <w:ind w:right="113"/>
              <w:jc w:val="center"/>
              <w:rPr>
                <w:i/>
                <w:sz w:val="18"/>
              </w:rPr>
            </w:pPr>
            <w:r w:rsidRPr="00477AB2">
              <w:rPr>
                <w:i/>
                <w:sz w:val="18"/>
              </w:rPr>
              <w:t>2006</w:t>
            </w:r>
            <w:r w:rsidR="00E0064A">
              <w:rPr>
                <w:i/>
                <w:sz w:val="18"/>
              </w:rPr>
              <w:t>/</w:t>
            </w:r>
            <w:r w:rsidRPr="00477AB2">
              <w:rPr>
                <w:i/>
                <w:sz w:val="18"/>
              </w:rPr>
              <w:t>07</w:t>
            </w:r>
          </w:p>
        </w:tc>
        <w:tc>
          <w:tcPr>
            <w:tcW w:w="14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77AB2" w:rsidRPr="00477AB2" w:rsidRDefault="00477AB2" w:rsidP="00477AB2">
            <w:pPr>
              <w:suppressAutoHyphens w:val="0"/>
              <w:spacing w:before="80" w:after="80" w:line="200" w:lineRule="exact"/>
              <w:ind w:right="113"/>
              <w:jc w:val="center"/>
              <w:rPr>
                <w:i/>
                <w:sz w:val="18"/>
              </w:rPr>
            </w:pPr>
            <w:r w:rsidRPr="00477AB2">
              <w:rPr>
                <w:i/>
                <w:sz w:val="18"/>
              </w:rPr>
              <w:t>2007</w:t>
            </w:r>
            <w:r w:rsidR="00E0064A">
              <w:rPr>
                <w:i/>
                <w:sz w:val="18"/>
              </w:rPr>
              <w:t>/</w:t>
            </w:r>
            <w:r w:rsidRPr="00477AB2">
              <w:rPr>
                <w:i/>
                <w:sz w:val="18"/>
              </w:rPr>
              <w:t>08</w:t>
            </w:r>
          </w:p>
        </w:tc>
        <w:tc>
          <w:tcPr>
            <w:tcW w:w="14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477AB2" w:rsidRPr="00477AB2" w:rsidRDefault="00477AB2" w:rsidP="00477AB2">
            <w:pPr>
              <w:suppressAutoHyphens w:val="0"/>
              <w:spacing w:before="80" w:after="80" w:line="200" w:lineRule="exact"/>
              <w:ind w:right="113"/>
              <w:jc w:val="center"/>
              <w:rPr>
                <w:i/>
                <w:sz w:val="18"/>
              </w:rPr>
            </w:pPr>
            <w:r w:rsidRPr="00477AB2">
              <w:rPr>
                <w:i/>
                <w:sz w:val="18"/>
              </w:rPr>
              <w:t>2008</w:t>
            </w:r>
            <w:r w:rsidR="00E0064A">
              <w:rPr>
                <w:i/>
                <w:sz w:val="18"/>
              </w:rPr>
              <w:t>/</w:t>
            </w:r>
            <w:r w:rsidRPr="00477AB2">
              <w:rPr>
                <w:i/>
                <w:sz w:val="18"/>
              </w:rPr>
              <w:t>09</w:t>
            </w:r>
          </w:p>
        </w:tc>
        <w:tc>
          <w:tcPr>
            <w:tcW w:w="1468" w:type="dxa"/>
            <w:gridSpan w:val="2"/>
            <w:tcBorders>
              <w:top w:val="single" w:sz="4" w:space="0" w:color="auto"/>
              <w:left w:val="single" w:sz="24" w:space="0" w:color="FFFFFF"/>
              <w:bottom w:val="single" w:sz="4" w:space="0" w:color="auto"/>
            </w:tcBorders>
            <w:shd w:val="clear" w:color="auto" w:fill="auto"/>
            <w:vAlign w:val="bottom"/>
          </w:tcPr>
          <w:p w:rsidR="00477AB2" w:rsidRPr="00477AB2" w:rsidRDefault="00477AB2" w:rsidP="00477AB2">
            <w:pPr>
              <w:suppressAutoHyphens w:val="0"/>
              <w:spacing w:before="80" w:after="80" w:line="200" w:lineRule="exact"/>
              <w:ind w:right="113"/>
              <w:jc w:val="center"/>
              <w:rPr>
                <w:i/>
                <w:sz w:val="18"/>
              </w:rPr>
            </w:pPr>
            <w:r w:rsidRPr="00477AB2">
              <w:rPr>
                <w:i/>
                <w:sz w:val="18"/>
              </w:rPr>
              <w:t>2009</w:t>
            </w:r>
            <w:r w:rsidR="00E0064A">
              <w:rPr>
                <w:i/>
                <w:sz w:val="18"/>
              </w:rPr>
              <w:t>/</w:t>
            </w:r>
            <w:r w:rsidRPr="00477AB2">
              <w:rPr>
                <w:i/>
                <w:sz w:val="18"/>
              </w:rPr>
              <w:t>10</w:t>
            </w:r>
          </w:p>
        </w:tc>
      </w:tr>
      <w:tr w:rsidR="00477AB2" w:rsidRPr="006F7CDF" w:rsidTr="00BC582B">
        <w:trPr>
          <w:tblHeader/>
        </w:trPr>
        <w:tc>
          <w:tcPr>
            <w:tcW w:w="2300" w:type="dxa"/>
            <w:tcBorders>
              <w:top w:val="single" w:sz="4" w:space="0" w:color="auto"/>
              <w:bottom w:val="single" w:sz="12" w:space="0" w:color="auto"/>
              <w:right w:val="single" w:sz="24" w:space="0" w:color="FFFFFF"/>
            </w:tcBorders>
            <w:shd w:val="clear" w:color="auto" w:fill="auto"/>
            <w:vAlign w:val="bottom"/>
          </w:tcPr>
          <w:p w:rsidR="00477AB2" w:rsidRPr="006F7CDF" w:rsidRDefault="00477AB2" w:rsidP="006F7CDF">
            <w:pPr>
              <w:spacing w:before="80" w:after="80" w:line="200" w:lineRule="exact"/>
              <w:ind w:right="113"/>
              <w:rPr>
                <w:i/>
                <w:sz w:val="16"/>
              </w:rPr>
            </w:pPr>
            <w:r>
              <w:rPr>
                <w:i/>
                <w:sz w:val="16"/>
              </w:rPr>
              <w:t>Sector</w:t>
            </w:r>
          </w:p>
        </w:tc>
        <w:tc>
          <w:tcPr>
            <w:tcW w:w="1000" w:type="dxa"/>
            <w:tcBorders>
              <w:top w:val="single" w:sz="4" w:space="0" w:color="auto"/>
              <w:left w:val="single" w:sz="24" w:space="0" w:color="FFFFFF"/>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r w:rsidR="003E4D94">
              <w:rPr>
                <w:i/>
                <w:sz w:val="18"/>
              </w:rPr>
              <w:t>’</w:t>
            </w:r>
            <w:r w:rsidRPr="00477AB2">
              <w:rPr>
                <w:i/>
                <w:sz w:val="18"/>
              </w:rPr>
              <w:t>000</w:t>
            </w:r>
          </w:p>
        </w:tc>
        <w:tc>
          <w:tcPr>
            <w:tcW w:w="467" w:type="dxa"/>
            <w:tcBorders>
              <w:top w:val="single" w:sz="4" w:space="0" w:color="auto"/>
              <w:bottom w:val="single" w:sz="12" w:space="0" w:color="auto"/>
              <w:right w:val="single" w:sz="24" w:space="0" w:color="FFFFFF"/>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p>
        </w:tc>
        <w:tc>
          <w:tcPr>
            <w:tcW w:w="1033" w:type="dxa"/>
            <w:tcBorders>
              <w:top w:val="single" w:sz="4" w:space="0" w:color="auto"/>
              <w:left w:val="single" w:sz="24" w:space="0" w:color="FFFFFF"/>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r w:rsidR="003E4D94">
              <w:rPr>
                <w:i/>
                <w:sz w:val="18"/>
              </w:rPr>
              <w:t>’</w:t>
            </w:r>
            <w:r w:rsidRPr="00477AB2">
              <w:rPr>
                <w:i/>
                <w:sz w:val="18"/>
              </w:rPr>
              <w:t>000</w:t>
            </w:r>
          </w:p>
        </w:tc>
        <w:tc>
          <w:tcPr>
            <w:tcW w:w="435" w:type="dxa"/>
            <w:tcBorders>
              <w:top w:val="single" w:sz="4" w:space="0" w:color="auto"/>
              <w:bottom w:val="single" w:sz="12" w:space="0" w:color="auto"/>
              <w:right w:val="single" w:sz="24" w:space="0" w:color="FFFFFF"/>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p>
        </w:tc>
        <w:tc>
          <w:tcPr>
            <w:tcW w:w="1065" w:type="dxa"/>
            <w:tcBorders>
              <w:top w:val="single" w:sz="4" w:space="0" w:color="auto"/>
              <w:left w:val="single" w:sz="24" w:space="0" w:color="FFFFFF"/>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r w:rsidR="003E4D94">
              <w:rPr>
                <w:i/>
                <w:sz w:val="18"/>
              </w:rPr>
              <w:t>’</w:t>
            </w:r>
            <w:r w:rsidRPr="00477AB2">
              <w:rPr>
                <w:i/>
                <w:sz w:val="18"/>
              </w:rPr>
              <w:t>000</w:t>
            </w:r>
          </w:p>
        </w:tc>
        <w:tc>
          <w:tcPr>
            <w:tcW w:w="403" w:type="dxa"/>
            <w:tcBorders>
              <w:top w:val="single" w:sz="4" w:space="0" w:color="auto"/>
              <w:bottom w:val="single" w:sz="12" w:space="0" w:color="auto"/>
              <w:right w:val="single" w:sz="24" w:space="0" w:color="FFFFFF"/>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p>
        </w:tc>
        <w:tc>
          <w:tcPr>
            <w:tcW w:w="997" w:type="dxa"/>
            <w:tcBorders>
              <w:top w:val="single" w:sz="4" w:space="0" w:color="auto"/>
              <w:left w:val="single" w:sz="24" w:space="0" w:color="FFFFFF"/>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r w:rsidR="003E4D94">
              <w:rPr>
                <w:i/>
                <w:sz w:val="18"/>
              </w:rPr>
              <w:t>’</w:t>
            </w:r>
            <w:r w:rsidRPr="00477AB2">
              <w:rPr>
                <w:i/>
                <w:sz w:val="18"/>
              </w:rPr>
              <w:t>000</w:t>
            </w:r>
          </w:p>
        </w:tc>
        <w:tc>
          <w:tcPr>
            <w:tcW w:w="471" w:type="dxa"/>
            <w:tcBorders>
              <w:top w:val="single" w:sz="4" w:space="0" w:color="auto"/>
              <w:bottom w:val="single" w:sz="12" w:space="0" w:color="auto"/>
              <w:right w:val="single" w:sz="24" w:space="0" w:color="FFFFFF"/>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p>
        </w:tc>
        <w:tc>
          <w:tcPr>
            <w:tcW w:w="1029" w:type="dxa"/>
            <w:tcBorders>
              <w:top w:val="single" w:sz="4" w:space="0" w:color="auto"/>
              <w:left w:val="single" w:sz="24" w:space="0" w:color="FFFFFF"/>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r w:rsidR="003E4D94">
              <w:rPr>
                <w:i/>
                <w:sz w:val="18"/>
              </w:rPr>
              <w:t>’</w:t>
            </w:r>
            <w:r w:rsidRPr="00477AB2">
              <w:rPr>
                <w:i/>
                <w:sz w:val="18"/>
              </w:rPr>
              <w:t>000</w:t>
            </w:r>
          </w:p>
        </w:tc>
        <w:tc>
          <w:tcPr>
            <w:tcW w:w="439" w:type="dxa"/>
            <w:tcBorders>
              <w:top w:val="single" w:sz="4" w:space="0" w:color="auto"/>
              <w:bottom w:val="single" w:sz="12" w:space="0" w:color="auto"/>
            </w:tcBorders>
            <w:shd w:val="clear" w:color="auto" w:fill="auto"/>
            <w:vAlign w:val="bottom"/>
          </w:tcPr>
          <w:p w:rsidR="00477AB2" w:rsidRPr="00477AB2" w:rsidRDefault="00477AB2" w:rsidP="00F90A93">
            <w:pPr>
              <w:suppressAutoHyphens w:val="0"/>
              <w:spacing w:before="80" w:after="80" w:line="200" w:lineRule="exact"/>
              <w:ind w:right="113"/>
              <w:jc w:val="right"/>
              <w:rPr>
                <w:i/>
                <w:sz w:val="18"/>
              </w:rPr>
            </w:pPr>
            <w:r w:rsidRPr="00477AB2">
              <w:rPr>
                <w:i/>
                <w:sz w:val="18"/>
              </w:rPr>
              <w:t>%</w:t>
            </w:r>
          </w:p>
        </w:tc>
      </w:tr>
      <w:tr w:rsidR="006F7CDF" w:rsidRPr="006F7CDF" w:rsidTr="00477AB2">
        <w:tc>
          <w:tcPr>
            <w:tcW w:w="2300" w:type="dxa"/>
            <w:tcBorders>
              <w:top w:val="single" w:sz="12" w:space="0" w:color="auto"/>
            </w:tcBorders>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Economic</w:t>
            </w:r>
            <w:r w:rsidR="00907D8C">
              <w:rPr>
                <w:sz w:val="18"/>
              </w:rPr>
              <w:t xml:space="preserve"> </w:t>
            </w:r>
            <w:r w:rsidR="00F3240B">
              <w:rPr>
                <w:sz w:val="18"/>
              </w:rPr>
              <w:t>d</w:t>
            </w:r>
            <w:r w:rsidRPr="006F7CDF">
              <w:rPr>
                <w:sz w:val="18"/>
              </w:rPr>
              <w:t>evelopment</w:t>
            </w:r>
            <w:r w:rsidR="00907D8C">
              <w:rPr>
                <w:sz w:val="18"/>
              </w:rPr>
              <w:t xml:space="preserve"> </w:t>
            </w:r>
            <w:r w:rsidRPr="006F7CDF">
              <w:rPr>
                <w:sz w:val="18"/>
              </w:rPr>
              <w:t>and</w:t>
            </w:r>
            <w:r w:rsidR="00907D8C">
              <w:rPr>
                <w:sz w:val="18"/>
              </w:rPr>
              <w:t xml:space="preserve"> </w:t>
            </w:r>
            <w:r w:rsidR="00F3240B">
              <w:rPr>
                <w:sz w:val="18"/>
              </w:rPr>
              <w:t>i</w:t>
            </w:r>
            <w:r w:rsidRPr="006F7CDF">
              <w:rPr>
                <w:sz w:val="18"/>
              </w:rPr>
              <w:t>nfrastructure</w:t>
            </w:r>
          </w:p>
        </w:tc>
        <w:tc>
          <w:tcPr>
            <w:tcW w:w="1000" w:type="dxa"/>
            <w:tcBorders>
              <w:top w:val="single" w:sz="12" w:space="0" w:color="auto"/>
            </w:tcBorders>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3</w:t>
            </w:r>
            <w:r w:rsidR="00907D8C">
              <w:rPr>
                <w:sz w:val="18"/>
              </w:rPr>
              <w:t xml:space="preserve"> </w:t>
            </w:r>
            <w:r w:rsidR="006F7CDF" w:rsidRPr="006F7CDF">
              <w:rPr>
                <w:sz w:val="18"/>
              </w:rPr>
              <w:t>207</w:t>
            </w:r>
            <w:r w:rsidR="00907D8C">
              <w:rPr>
                <w:sz w:val="18"/>
              </w:rPr>
              <w:t xml:space="preserve"> </w:t>
            </w:r>
            <w:r w:rsidR="006F7CDF" w:rsidRPr="006F7CDF">
              <w:rPr>
                <w:sz w:val="18"/>
              </w:rPr>
              <w:t>055</w:t>
            </w:r>
          </w:p>
        </w:tc>
        <w:tc>
          <w:tcPr>
            <w:tcW w:w="467" w:type="dxa"/>
            <w:tcBorders>
              <w:top w:val="single" w:sz="12"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c>
          <w:tcPr>
            <w:tcW w:w="1033" w:type="dxa"/>
            <w:tcBorders>
              <w:top w:val="single" w:sz="12" w:space="0" w:color="auto"/>
            </w:tcBorders>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3</w:t>
            </w:r>
            <w:r w:rsidR="00907D8C">
              <w:rPr>
                <w:sz w:val="18"/>
              </w:rPr>
              <w:t xml:space="preserve"> </w:t>
            </w:r>
            <w:r>
              <w:rPr>
                <w:sz w:val="18"/>
              </w:rPr>
              <w:t>784</w:t>
            </w:r>
            <w:r w:rsidR="00907D8C">
              <w:rPr>
                <w:sz w:val="18"/>
              </w:rPr>
              <w:t xml:space="preserve"> </w:t>
            </w:r>
            <w:r w:rsidR="006F7CDF" w:rsidRPr="006F7CDF">
              <w:rPr>
                <w:sz w:val="18"/>
              </w:rPr>
              <w:t>684</w:t>
            </w:r>
          </w:p>
        </w:tc>
        <w:tc>
          <w:tcPr>
            <w:tcW w:w="435" w:type="dxa"/>
            <w:tcBorders>
              <w:top w:val="single" w:sz="12"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c>
          <w:tcPr>
            <w:tcW w:w="1065" w:type="dxa"/>
            <w:tcBorders>
              <w:top w:val="single" w:sz="12"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4</w:t>
            </w:r>
            <w:r w:rsidR="00907D8C">
              <w:rPr>
                <w:sz w:val="18"/>
              </w:rPr>
              <w:t xml:space="preserve"> </w:t>
            </w:r>
            <w:r>
              <w:rPr>
                <w:sz w:val="18"/>
              </w:rPr>
              <w:t>358</w:t>
            </w:r>
            <w:r w:rsidR="00907D8C">
              <w:rPr>
                <w:sz w:val="18"/>
              </w:rPr>
              <w:t xml:space="preserve"> </w:t>
            </w:r>
            <w:r w:rsidR="006F7CDF" w:rsidRPr="006F7CDF">
              <w:rPr>
                <w:sz w:val="18"/>
              </w:rPr>
              <w:t>356</w:t>
            </w:r>
          </w:p>
        </w:tc>
        <w:tc>
          <w:tcPr>
            <w:tcW w:w="403" w:type="dxa"/>
            <w:tcBorders>
              <w:top w:val="single" w:sz="12"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7</w:t>
            </w:r>
          </w:p>
        </w:tc>
        <w:tc>
          <w:tcPr>
            <w:tcW w:w="997" w:type="dxa"/>
            <w:tcBorders>
              <w:top w:val="single" w:sz="12"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26</w:t>
            </w:r>
            <w:r w:rsidR="00907D8C">
              <w:rPr>
                <w:sz w:val="18"/>
              </w:rPr>
              <w:t xml:space="preserve"> </w:t>
            </w:r>
            <w:r>
              <w:rPr>
                <w:sz w:val="18"/>
              </w:rPr>
              <w:t>033</w:t>
            </w:r>
            <w:r w:rsidR="00907D8C">
              <w:rPr>
                <w:sz w:val="18"/>
              </w:rPr>
              <w:t xml:space="preserve"> </w:t>
            </w:r>
            <w:r w:rsidR="006F7CDF" w:rsidRPr="006F7CDF">
              <w:rPr>
                <w:sz w:val="18"/>
              </w:rPr>
              <w:t>391</w:t>
            </w:r>
          </w:p>
        </w:tc>
        <w:tc>
          <w:tcPr>
            <w:tcW w:w="471" w:type="dxa"/>
            <w:tcBorders>
              <w:top w:val="single" w:sz="12"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27</w:t>
            </w:r>
          </w:p>
        </w:tc>
        <w:tc>
          <w:tcPr>
            <w:tcW w:w="1029" w:type="dxa"/>
            <w:tcBorders>
              <w:top w:val="single" w:sz="12"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6</w:t>
            </w:r>
            <w:r w:rsidR="00907D8C">
              <w:rPr>
                <w:sz w:val="18"/>
              </w:rPr>
              <w:t xml:space="preserve"> </w:t>
            </w:r>
            <w:r>
              <w:rPr>
                <w:sz w:val="18"/>
              </w:rPr>
              <w:t>087</w:t>
            </w:r>
            <w:r w:rsidR="00907D8C">
              <w:rPr>
                <w:sz w:val="18"/>
              </w:rPr>
              <w:t xml:space="preserve"> </w:t>
            </w:r>
            <w:r w:rsidR="006F7CDF" w:rsidRPr="006F7CDF">
              <w:rPr>
                <w:sz w:val="18"/>
              </w:rPr>
              <w:t>932</w:t>
            </w:r>
          </w:p>
        </w:tc>
        <w:tc>
          <w:tcPr>
            <w:tcW w:w="439" w:type="dxa"/>
            <w:tcBorders>
              <w:top w:val="single" w:sz="12"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8</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Education/Science</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9</w:t>
            </w:r>
            <w:r w:rsidR="00907D8C">
              <w:rPr>
                <w:sz w:val="18"/>
              </w:rPr>
              <w:t xml:space="preserve"> </w:t>
            </w:r>
            <w:r>
              <w:rPr>
                <w:sz w:val="18"/>
              </w:rPr>
              <w:t>183</w:t>
            </w:r>
            <w:r w:rsidR="00907D8C">
              <w:rPr>
                <w:sz w:val="18"/>
              </w:rPr>
              <w:t xml:space="preserve"> </w:t>
            </w:r>
            <w:r w:rsidR="006F7CDF" w:rsidRPr="006F7CDF">
              <w:rPr>
                <w:sz w:val="18"/>
              </w:rPr>
              <w:t>903</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9</w:t>
            </w:r>
            <w:r w:rsidR="00907D8C">
              <w:rPr>
                <w:sz w:val="18"/>
              </w:rPr>
              <w:t xml:space="preserve"> </w:t>
            </w:r>
            <w:r>
              <w:rPr>
                <w:sz w:val="18"/>
              </w:rPr>
              <w:t>766</w:t>
            </w:r>
            <w:r w:rsidR="00907D8C">
              <w:rPr>
                <w:sz w:val="18"/>
              </w:rPr>
              <w:t xml:space="preserve"> </w:t>
            </w:r>
            <w:r w:rsidR="006F7CDF" w:rsidRPr="006F7CDF">
              <w:rPr>
                <w:sz w:val="18"/>
              </w:rPr>
              <w:t>203</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16</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10</w:t>
            </w:r>
            <w:r w:rsidR="00907D8C">
              <w:rPr>
                <w:sz w:val="18"/>
              </w:rPr>
              <w:t xml:space="preserve"> </w:t>
            </w:r>
            <w:r>
              <w:rPr>
                <w:sz w:val="18"/>
              </w:rPr>
              <w:t>213</w:t>
            </w:r>
            <w:r w:rsidR="00907D8C">
              <w:rPr>
                <w:sz w:val="18"/>
              </w:rPr>
              <w:t xml:space="preserve"> </w:t>
            </w:r>
            <w:r w:rsidR="006F7CDF" w:rsidRPr="006F7CDF">
              <w:rPr>
                <w:sz w:val="18"/>
              </w:rPr>
              <w:t>777</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16</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11</w:t>
            </w:r>
            <w:r w:rsidR="00907D8C">
              <w:rPr>
                <w:sz w:val="18"/>
              </w:rPr>
              <w:t xml:space="preserve"> </w:t>
            </w:r>
            <w:r>
              <w:rPr>
                <w:sz w:val="18"/>
              </w:rPr>
              <w:t>944</w:t>
            </w:r>
            <w:r w:rsidR="00907D8C">
              <w:rPr>
                <w:sz w:val="18"/>
              </w:rPr>
              <w:t xml:space="preserve"> </w:t>
            </w:r>
            <w:r w:rsidR="006F7CDF" w:rsidRPr="006F7CDF">
              <w:rPr>
                <w:sz w:val="18"/>
              </w:rPr>
              <w:t>551</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12</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12</w:t>
            </w:r>
            <w:r w:rsidR="00907D8C">
              <w:rPr>
                <w:sz w:val="18"/>
              </w:rPr>
              <w:t xml:space="preserve"> </w:t>
            </w:r>
            <w:r>
              <w:rPr>
                <w:sz w:val="18"/>
              </w:rPr>
              <w:t>284</w:t>
            </w:r>
            <w:r w:rsidR="00907D8C">
              <w:rPr>
                <w:sz w:val="18"/>
              </w:rPr>
              <w:t xml:space="preserve"> </w:t>
            </w:r>
            <w:r w:rsidR="006F7CDF" w:rsidRPr="006F7CDF">
              <w:rPr>
                <w:sz w:val="18"/>
              </w:rPr>
              <w:t>700</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Environment</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422</w:t>
            </w:r>
            <w:r w:rsidR="00907D8C">
              <w:rPr>
                <w:sz w:val="18"/>
              </w:rPr>
              <w:t xml:space="preserve"> </w:t>
            </w:r>
            <w:r w:rsidR="006F7CDF" w:rsidRPr="006F7CDF">
              <w:rPr>
                <w:sz w:val="18"/>
              </w:rPr>
              <w:t>729</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533</w:t>
            </w:r>
            <w:r w:rsidR="00907D8C">
              <w:rPr>
                <w:sz w:val="18"/>
              </w:rPr>
              <w:t xml:space="preserve"> </w:t>
            </w:r>
            <w:r w:rsidR="006F7CDF" w:rsidRPr="006F7CDF">
              <w:rPr>
                <w:sz w:val="18"/>
              </w:rPr>
              <w:t>495</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6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524</w:t>
            </w:r>
            <w:r w:rsidR="00907D8C">
              <w:rPr>
                <w:sz w:val="18"/>
              </w:rPr>
              <w:t xml:space="preserve"> </w:t>
            </w:r>
            <w:r w:rsidRPr="006F7CDF">
              <w:rPr>
                <w:sz w:val="18"/>
              </w:rPr>
              <w:t>269</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697</w:t>
            </w:r>
            <w:r w:rsidR="00907D8C">
              <w:rPr>
                <w:sz w:val="18"/>
              </w:rPr>
              <w:t xml:space="preserve"> </w:t>
            </w:r>
            <w:r w:rsidR="006F7CDF" w:rsidRPr="006F7CDF">
              <w:rPr>
                <w:sz w:val="18"/>
              </w:rPr>
              <w:t>744</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w:t>
            </w:r>
            <w:r w:rsidR="00907D8C">
              <w:rPr>
                <w:sz w:val="18"/>
              </w:rPr>
              <w:t xml:space="preserve"> </w:t>
            </w:r>
            <w:r>
              <w:rPr>
                <w:sz w:val="18"/>
              </w:rPr>
              <w:t>184</w:t>
            </w:r>
            <w:r w:rsidR="00907D8C">
              <w:rPr>
                <w:sz w:val="18"/>
              </w:rPr>
              <w:t xml:space="preserve"> </w:t>
            </w:r>
            <w:r w:rsidR="006F7CDF" w:rsidRPr="006F7CDF">
              <w:rPr>
                <w:sz w:val="18"/>
              </w:rPr>
              <w:t>425</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External</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3</w:t>
            </w:r>
            <w:r w:rsidR="00907D8C">
              <w:rPr>
                <w:sz w:val="18"/>
              </w:rPr>
              <w:t xml:space="preserve"> </w:t>
            </w:r>
            <w:r>
              <w:rPr>
                <w:sz w:val="18"/>
              </w:rPr>
              <w:t>007</w:t>
            </w:r>
            <w:r w:rsidR="00907D8C">
              <w:rPr>
                <w:sz w:val="18"/>
              </w:rPr>
              <w:t xml:space="preserve"> </w:t>
            </w:r>
            <w:r w:rsidR="006F7CDF" w:rsidRPr="006F7CDF">
              <w:rPr>
                <w:sz w:val="18"/>
              </w:rPr>
              <w:t>518</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3</w:t>
            </w:r>
            <w:r w:rsidR="00907D8C">
              <w:rPr>
                <w:sz w:val="18"/>
              </w:rPr>
              <w:t xml:space="preserve"> </w:t>
            </w:r>
            <w:r>
              <w:rPr>
                <w:sz w:val="18"/>
              </w:rPr>
              <w:t>487</w:t>
            </w:r>
            <w:r w:rsidR="00907D8C">
              <w:rPr>
                <w:sz w:val="18"/>
              </w:rPr>
              <w:t xml:space="preserve"> </w:t>
            </w:r>
            <w:r w:rsidR="006F7CDF" w:rsidRPr="006F7CDF">
              <w:rPr>
                <w:sz w:val="18"/>
              </w:rPr>
              <w:t>442</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3</w:t>
            </w:r>
            <w:r w:rsidR="00907D8C">
              <w:rPr>
                <w:sz w:val="18"/>
              </w:rPr>
              <w:t xml:space="preserve"> </w:t>
            </w:r>
            <w:r>
              <w:rPr>
                <w:sz w:val="18"/>
              </w:rPr>
              <w:t>450</w:t>
            </w:r>
            <w:r w:rsidR="00907D8C">
              <w:rPr>
                <w:sz w:val="18"/>
              </w:rPr>
              <w:t xml:space="preserve"> </w:t>
            </w:r>
            <w:r w:rsidR="006F7CDF" w:rsidRPr="006F7CDF">
              <w:rPr>
                <w:sz w:val="18"/>
              </w:rPr>
              <w:t>959</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5</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4</w:t>
            </w:r>
            <w:r w:rsidR="00907D8C">
              <w:rPr>
                <w:sz w:val="18"/>
              </w:rPr>
              <w:t xml:space="preserve"> </w:t>
            </w:r>
            <w:r>
              <w:rPr>
                <w:sz w:val="18"/>
              </w:rPr>
              <w:t>031</w:t>
            </w:r>
            <w:r w:rsidR="00907D8C">
              <w:rPr>
                <w:sz w:val="18"/>
              </w:rPr>
              <w:t xml:space="preserve"> </w:t>
            </w:r>
            <w:r w:rsidR="006F7CDF" w:rsidRPr="006F7CDF">
              <w:rPr>
                <w:sz w:val="18"/>
              </w:rPr>
              <w:t>818</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4</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4</w:t>
            </w:r>
            <w:r w:rsidR="00907D8C">
              <w:rPr>
                <w:sz w:val="18"/>
              </w:rPr>
              <w:t xml:space="preserve"> </w:t>
            </w:r>
            <w:r>
              <w:rPr>
                <w:sz w:val="18"/>
              </w:rPr>
              <w:t>532</w:t>
            </w:r>
            <w:r w:rsidR="00907D8C">
              <w:rPr>
                <w:sz w:val="18"/>
              </w:rPr>
              <w:t xml:space="preserve"> </w:t>
            </w:r>
            <w:r w:rsidR="006F7CDF" w:rsidRPr="006F7CDF">
              <w:rPr>
                <w:sz w:val="18"/>
              </w:rPr>
              <w:t>038</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Finance</w:t>
            </w:r>
            <w:r w:rsidR="00907D8C">
              <w:rPr>
                <w:sz w:val="18"/>
              </w:rPr>
              <w:t xml:space="preserve"> </w:t>
            </w:r>
            <w:r w:rsidRPr="006F7CDF">
              <w:rPr>
                <w:sz w:val="18"/>
              </w:rPr>
              <w:t>and</w:t>
            </w:r>
            <w:r w:rsidR="00907D8C">
              <w:rPr>
                <w:sz w:val="18"/>
              </w:rPr>
              <w:t xml:space="preserve"> </w:t>
            </w:r>
            <w:r w:rsidRPr="006F7CDF">
              <w:rPr>
                <w:sz w:val="18"/>
              </w:rPr>
              <w:t>Government</w:t>
            </w:r>
            <w:r w:rsidR="00907D8C">
              <w:rPr>
                <w:sz w:val="18"/>
              </w:rPr>
              <w:t xml:space="preserve"> </w:t>
            </w:r>
            <w:r w:rsidR="00F3240B">
              <w:rPr>
                <w:sz w:val="18"/>
              </w:rPr>
              <w:t>a</w:t>
            </w:r>
            <w:r w:rsidRPr="006F7CDF">
              <w:rPr>
                <w:sz w:val="18"/>
              </w:rPr>
              <w:t>dministration</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9</w:t>
            </w:r>
            <w:r w:rsidR="00907D8C">
              <w:rPr>
                <w:sz w:val="18"/>
              </w:rPr>
              <w:t xml:space="preserve"> </w:t>
            </w:r>
            <w:r>
              <w:rPr>
                <w:sz w:val="18"/>
              </w:rPr>
              <w:t>161</w:t>
            </w:r>
            <w:r w:rsidR="00907D8C">
              <w:rPr>
                <w:sz w:val="18"/>
              </w:rPr>
              <w:t xml:space="preserve"> </w:t>
            </w:r>
            <w:r w:rsidR="006F7CDF" w:rsidRPr="006F7CDF">
              <w:rPr>
                <w:sz w:val="18"/>
              </w:rPr>
              <w:t>116</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10</w:t>
            </w:r>
            <w:r w:rsidR="00907D8C">
              <w:rPr>
                <w:sz w:val="18"/>
              </w:rPr>
              <w:t xml:space="preserve"> </w:t>
            </w:r>
            <w:r>
              <w:rPr>
                <w:sz w:val="18"/>
              </w:rPr>
              <w:t>058</w:t>
            </w:r>
            <w:r w:rsidR="00907D8C">
              <w:rPr>
                <w:sz w:val="18"/>
              </w:rPr>
              <w:t xml:space="preserve"> </w:t>
            </w:r>
            <w:r w:rsidR="006F7CDF" w:rsidRPr="006F7CDF">
              <w:rPr>
                <w:sz w:val="18"/>
              </w:rPr>
              <w:t>023</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10</w:t>
            </w:r>
            <w:r w:rsidR="00907D8C">
              <w:rPr>
                <w:sz w:val="18"/>
              </w:rPr>
              <w:t xml:space="preserve"> </w:t>
            </w:r>
            <w:r>
              <w:rPr>
                <w:sz w:val="18"/>
              </w:rPr>
              <w:t>447</w:t>
            </w:r>
            <w:r w:rsidR="00907D8C">
              <w:rPr>
                <w:sz w:val="18"/>
              </w:rPr>
              <w:t xml:space="preserve"> </w:t>
            </w:r>
            <w:r w:rsidR="006F7CDF" w:rsidRPr="006F7CDF">
              <w:rPr>
                <w:sz w:val="18"/>
              </w:rPr>
              <w:t>981</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16</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16</w:t>
            </w:r>
            <w:r w:rsidR="00907D8C">
              <w:rPr>
                <w:sz w:val="18"/>
              </w:rPr>
              <w:t xml:space="preserve"> </w:t>
            </w:r>
            <w:r>
              <w:rPr>
                <w:sz w:val="18"/>
              </w:rPr>
              <w:t>965</w:t>
            </w:r>
            <w:r w:rsidR="00907D8C">
              <w:rPr>
                <w:sz w:val="18"/>
              </w:rPr>
              <w:t xml:space="preserve"> </w:t>
            </w:r>
            <w:r w:rsidR="006F7CDF" w:rsidRPr="006F7CDF">
              <w:rPr>
                <w:sz w:val="18"/>
              </w:rPr>
              <w:t>215</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9</w:t>
            </w:r>
            <w:r w:rsidR="00907D8C">
              <w:rPr>
                <w:sz w:val="18"/>
              </w:rPr>
              <w:t xml:space="preserve"> </w:t>
            </w:r>
            <w:r>
              <w:rPr>
                <w:sz w:val="18"/>
              </w:rPr>
              <w:t>764</w:t>
            </w:r>
            <w:r w:rsidR="00907D8C">
              <w:rPr>
                <w:sz w:val="18"/>
              </w:rPr>
              <w:t xml:space="preserve"> </w:t>
            </w:r>
            <w:r w:rsidR="006F7CDF" w:rsidRPr="006F7CDF">
              <w:rPr>
                <w:sz w:val="18"/>
              </w:rPr>
              <w:t>947</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13</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Health</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9</w:t>
            </w:r>
            <w:r w:rsidR="00907D8C">
              <w:rPr>
                <w:sz w:val="18"/>
              </w:rPr>
              <w:t xml:space="preserve"> </w:t>
            </w:r>
            <w:r>
              <w:rPr>
                <w:sz w:val="18"/>
              </w:rPr>
              <w:t>680</w:t>
            </w:r>
            <w:r w:rsidR="00907D8C">
              <w:rPr>
                <w:sz w:val="18"/>
              </w:rPr>
              <w:t xml:space="preserve"> </w:t>
            </w:r>
            <w:r w:rsidR="006F7CDF" w:rsidRPr="006F7CDF">
              <w:rPr>
                <w:sz w:val="18"/>
              </w:rPr>
              <w:t>965</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18</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10</w:t>
            </w:r>
            <w:r w:rsidR="00907D8C">
              <w:rPr>
                <w:sz w:val="18"/>
              </w:rPr>
              <w:t xml:space="preserve"> </w:t>
            </w:r>
            <w:r>
              <w:rPr>
                <w:sz w:val="18"/>
              </w:rPr>
              <w:t>412</w:t>
            </w:r>
            <w:r w:rsidR="00907D8C">
              <w:rPr>
                <w:sz w:val="18"/>
              </w:rPr>
              <w:t xml:space="preserve"> </w:t>
            </w:r>
            <w:r w:rsidR="006F7CDF" w:rsidRPr="006F7CDF">
              <w:rPr>
                <w:sz w:val="18"/>
              </w:rPr>
              <w:t>845</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11</w:t>
            </w:r>
            <w:r w:rsidR="00907D8C">
              <w:rPr>
                <w:sz w:val="18"/>
              </w:rPr>
              <w:t xml:space="preserve"> </w:t>
            </w:r>
            <w:r>
              <w:rPr>
                <w:sz w:val="18"/>
              </w:rPr>
              <w:t>928</w:t>
            </w:r>
            <w:r w:rsidR="00907D8C">
              <w:rPr>
                <w:sz w:val="18"/>
              </w:rPr>
              <w:t xml:space="preserve"> </w:t>
            </w:r>
            <w:r w:rsidR="006F7CDF" w:rsidRPr="006F7CDF">
              <w:rPr>
                <w:sz w:val="18"/>
              </w:rPr>
              <w:t>703</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19</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12</w:t>
            </w:r>
            <w:r w:rsidR="00907D8C">
              <w:rPr>
                <w:sz w:val="18"/>
              </w:rPr>
              <w:t xml:space="preserve"> </w:t>
            </w:r>
            <w:r>
              <w:rPr>
                <w:sz w:val="18"/>
              </w:rPr>
              <w:t>078</w:t>
            </w:r>
            <w:r w:rsidR="00907D8C">
              <w:rPr>
                <w:sz w:val="18"/>
              </w:rPr>
              <w:t xml:space="preserve"> </w:t>
            </w:r>
            <w:r w:rsidR="006F7CDF" w:rsidRPr="006F7CDF">
              <w:rPr>
                <w:sz w:val="18"/>
              </w:rPr>
              <w:t>610</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12</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12</w:t>
            </w:r>
            <w:r w:rsidR="00907D8C">
              <w:rPr>
                <w:sz w:val="18"/>
              </w:rPr>
              <w:t xml:space="preserve"> </w:t>
            </w:r>
            <w:r>
              <w:rPr>
                <w:sz w:val="18"/>
              </w:rPr>
              <w:t>977</w:t>
            </w:r>
            <w:r w:rsidR="00907D8C">
              <w:rPr>
                <w:sz w:val="18"/>
              </w:rPr>
              <w:t xml:space="preserve"> </w:t>
            </w:r>
            <w:r w:rsidR="006F7CDF" w:rsidRPr="006F7CDF">
              <w:rPr>
                <w:sz w:val="18"/>
              </w:rPr>
              <w:t>715</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17</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Justice</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2</w:t>
            </w:r>
            <w:r w:rsidR="00907D8C">
              <w:rPr>
                <w:sz w:val="18"/>
              </w:rPr>
              <w:t xml:space="preserve"> </w:t>
            </w:r>
            <w:r>
              <w:rPr>
                <w:sz w:val="18"/>
              </w:rPr>
              <w:t>401</w:t>
            </w:r>
            <w:r w:rsidR="00907D8C">
              <w:rPr>
                <w:sz w:val="18"/>
              </w:rPr>
              <w:t xml:space="preserve"> </w:t>
            </w:r>
            <w:r w:rsidR="006F7CDF" w:rsidRPr="006F7CDF">
              <w:rPr>
                <w:sz w:val="18"/>
              </w:rPr>
              <w:t>476</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4</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2</w:t>
            </w:r>
            <w:r w:rsidR="00907D8C">
              <w:rPr>
                <w:sz w:val="18"/>
              </w:rPr>
              <w:t xml:space="preserve"> </w:t>
            </w:r>
            <w:r w:rsidR="006F7CDF" w:rsidRPr="006F7CDF">
              <w:rPr>
                <w:sz w:val="18"/>
              </w:rPr>
              <w:t>753</w:t>
            </w:r>
            <w:r w:rsidR="00907D8C">
              <w:rPr>
                <w:sz w:val="18"/>
              </w:rPr>
              <w:t xml:space="preserve"> </w:t>
            </w:r>
            <w:r w:rsidR="006F7CDF" w:rsidRPr="006F7CDF">
              <w:rPr>
                <w:sz w:val="18"/>
              </w:rPr>
              <w:t>976</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5</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3</w:t>
            </w:r>
            <w:r w:rsidR="00907D8C">
              <w:rPr>
                <w:sz w:val="18"/>
              </w:rPr>
              <w:t xml:space="preserve"> </w:t>
            </w:r>
            <w:r w:rsidR="006F7CDF" w:rsidRPr="006F7CDF">
              <w:rPr>
                <w:sz w:val="18"/>
              </w:rPr>
              <w:t>097</w:t>
            </w:r>
            <w:r w:rsidR="00907D8C">
              <w:rPr>
                <w:sz w:val="18"/>
              </w:rPr>
              <w:t xml:space="preserve"> </w:t>
            </w:r>
            <w:r w:rsidR="006F7CDF" w:rsidRPr="006F7CDF">
              <w:rPr>
                <w:sz w:val="18"/>
              </w:rPr>
              <w:t>452</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5</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3</w:t>
            </w:r>
            <w:r w:rsidR="00907D8C">
              <w:rPr>
                <w:sz w:val="18"/>
              </w:rPr>
              <w:t xml:space="preserve"> </w:t>
            </w:r>
            <w:r>
              <w:rPr>
                <w:sz w:val="18"/>
              </w:rPr>
              <w:t>793</w:t>
            </w:r>
            <w:r w:rsidR="00907D8C">
              <w:rPr>
                <w:sz w:val="18"/>
              </w:rPr>
              <w:t xml:space="preserve"> </w:t>
            </w:r>
            <w:r w:rsidR="006F7CDF" w:rsidRPr="006F7CDF">
              <w:rPr>
                <w:sz w:val="18"/>
              </w:rPr>
              <w:t>795</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4</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4</w:t>
            </w:r>
            <w:r w:rsidR="00907D8C">
              <w:rPr>
                <w:sz w:val="18"/>
              </w:rPr>
              <w:t xml:space="preserve"> </w:t>
            </w:r>
            <w:r>
              <w:rPr>
                <w:sz w:val="18"/>
              </w:rPr>
              <w:t>172</w:t>
            </w:r>
            <w:r w:rsidR="00907D8C">
              <w:rPr>
                <w:sz w:val="18"/>
              </w:rPr>
              <w:t xml:space="preserve"> </w:t>
            </w:r>
            <w:r w:rsidR="006F7CDF" w:rsidRPr="006F7CDF">
              <w:rPr>
                <w:sz w:val="18"/>
              </w:rPr>
              <w:t>249</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6</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Māori,</w:t>
            </w:r>
            <w:r w:rsidR="00907D8C">
              <w:rPr>
                <w:sz w:val="18"/>
              </w:rPr>
              <w:t xml:space="preserve"> </w:t>
            </w:r>
            <w:r w:rsidR="00F3240B">
              <w:rPr>
                <w:sz w:val="18"/>
              </w:rPr>
              <w:t>o</w:t>
            </w:r>
            <w:r w:rsidRPr="006F7CDF">
              <w:rPr>
                <w:sz w:val="18"/>
              </w:rPr>
              <w:t>ther</w:t>
            </w:r>
            <w:r w:rsidR="00907D8C">
              <w:rPr>
                <w:sz w:val="18"/>
              </w:rPr>
              <w:t xml:space="preserve"> </w:t>
            </w:r>
            <w:r w:rsidR="00F3240B">
              <w:rPr>
                <w:sz w:val="18"/>
              </w:rPr>
              <w:t>p</w:t>
            </w:r>
            <w:r w:rsidRPr="006F7CDF">
              <w:rPr>
                <w:sz w:val="18"/>
              </w:rPr>
              <w:t>opulations</w:t>
            </w:r>
            <w:r w:rsidR="00907D8C">
              <w:rPr>
                <w:sz w:val="18"/>
              </w:rPr>
              <w:t xml:space="preserve"> </w:t>
            </w:r>
            <w:r w:rsidRPr="006F7CDF">
              <w:rPr>
                <w:sz w:val="18"/>
              </w:rPr>
              <w:t>and</w:t>
            </w:r>
            <w:r w:rsidR="00907D8C">
              <w:rPr>
                <w:sz w:val="18"/>
              </w:rPr>
              <w:t xml:space="preserve"> </w:t>
            </w:r>
            <w:r w:rsidR="00477AB2">
              <w:rPr>
                <w:sz w:val="18"/>
              </w:rPr>
              <w:t>c</w:t>
            </w:r>
            <w:r w:rsidRPr="006F7CDF">
              <w:rPr>
                <w:sz w:val="18"/>
              </w:rPr>
              <w:t>ultural</w:t>
            </w:r>
          </w:p>
        </w:tc>
        <w:tc>
          <w:tcPr>
            <w:tcW w:w="1000"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89</w:t>
            </w:r>
            <w:r w:rsidR="00477AB2">
              <w:rPr>
                <w:sz w:val="18"/>
              </w:rPr>
              <w:t>5</w:t>
            </w:r>
            <w:r w:rsidR="00907D8C">
              <w:rPr>
                <w:sz w:val="18"/>
              </w:rPr>
              <w:t xml:space="preserve"> </w:t>
            </w:r>
            <w:r w:rsidRPr="006F7CDF">
              <w:rPr>
                <w:sz w:val="18"/>
              </w:rPr>
              <w:t>832</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892</w:t>
            </w:r>
            <w:r w:rsidR="00907D8C">
              <w:rPr>
                <w:sz w:val="18"/>
              </w:rPr>
              <w:t xml:space="preserve"> </w:t>
            </w:r>
            <w:r w:rsidR="006F7CDF" w:rsidRPr="006F7CDF">
              <w:rPr>
                <w:sz w:val="18"/>
              </w:rPr>
              <w:t>014</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987</w:t>
            </w:r>
            <w:r w:rsidR="00907D8C">
              <w:rPr>
                <w:sz w:val="18"/>
              </w:rPr>
              <w:t xml:space="preserve"> </w:t>
            </w:r>
            <w:r w:rsidR="006F7CDF" w:rsidRPr="006F7CDF">
              <w:rPr>
                <w:sz w:val="18"/>
              </w:rPr>
              <w:t>625</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w:t>
            </w:r>
            <w:r w:rsidR="00907D8C">
              <w:rPr>
                <w:sz w:val="18"/>
              </w:rPr>
              <w:t xml:space="preserve"> </w:t>
            </w:r>
            <w:r>
              <w:rPr>
                <w:sz w:val="18"/>
              </w:rPr>
              <w:t>170</w:t>
            </w:r>
            <w:r w:rsidR="00907D8C">
              <w:rPr>
                <w:sz w:val="18"/>
              </w:rPr>
              <w:t xml:space="preserve"> </w:t>
            </w:r>
            <w:r w:rsidR="006F7CDF" w:rsidRPr="006F7CDF">
              <w:rPr>
                <w:sz w:val="18"/>
              </w:rPr>
              <w:t>367</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w:t>
            </w:r>
            <w:r w:rsidR="00907D8C">
              <w:rPr>
                <w:sz w:val="18"/>
              </w:rPr>
              <w:t xml:space="preserve"> </w:t>
            </w:r>
            <w:r>
              <w:rPr>
                <w:sz w:val="18"/>
              </w:rPr>
              <w:t>289</w:t>
            </w:r>
            <w:r w:rsidR="00907D8C">
              <w:rPr>
                <w:sz w:val="18"/>
              </w:rPr>
              <w:t xml:space="preserve"> </w:t>
            </w:r>
            <w:r w:rsidR="006F7CDF" w:rsidRPr="006F7CDF">
              <w:rPr>
                <w:sz w:val="18"/>
              </w:rPr>
              <w:t>299</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w:t>
            </w:r>
          </w:p>
        </w:tc>
      </w:tr>
      <w:tr w:rsidR="006F7CDF" w:rsidRPr="006F7CDF" w:rsidTr="00477AB2">
        <w:tc>
          <w:tcPr>
            <w:tcW w:w="2300" w:type="dxa"/>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Primary</w:t>
            </w:r>
          </w:p>
        </w:tc>
        <w:tc>
          <w:tcPr>
            <w:tcW w:w="1000"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585</w:t>
            </w:r>
            <w:r w:rsidR="00907D8C">
              <w:rPr>
                <w:sz w:val="18"/>
              </w:rPr>
              <w:t xml:space="preserve"> </w:t>
            </w:r>
            <w:r w:rsidR="006F7CDF" w:rsidRPr="006F7CDF">
              <w:rPr>
                <w:sz w:val="18"/>
              </w:rPr>
              <w:t>625</w:t>
            </w:r>
          </w:p>
        </w:tc>
        <w:tc>
          <w:tcPr>
            <w:tcW w:w="467"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33" w:type="dxa"/>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638</w:t>
            </w:r>
            <w:r w:rsidR="00907D8C">
              <w:rPr>
                <w:sz w:val="18"/>
              </w:rPr>
              <w:t xml:space="preserve"> </w:t>
            </w:r>
            <w:r w:rsidR="006F7CDF" w:rsidRPr="006F7CDF">
              <w:rPr>
                <w:sz w:val="18"/>
              </w:rPr>
              <w:t>938</w:t>
            </w:r>
          </w:p>
        </w:tc>
        <w:tc>
          <w:tcPr>
            <w:tcW w:w="435"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1065"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749</w:t>
            </w:r>
            <w:r w:rsidR="00907D8C">
              <w:rPr>
                <w:sz w:val="18"/>
              </w:rPr>
              <w:t xml:space="preserve"> </w:t>
            </w:r>
            <w:r w:rsidR="006F7CDF" w:rsidRPr="006F7CDF">
              <w:rPr>
                <w:sz w:val="18"/>
              </w:rPr>
              <w:t>137</w:t>
            </w:r>
          </w:p>
        </w:tc>
        <w:tc>
          <w:tcPr>
            <w:tcW w:w="403"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c>
          <w:tcPr>
            <w:tcW w:w="997"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w:t>
            </w:r>
            <w:r w:rsidR="00907D8C">
              <w:rPr>
                <w:sz w:val="18"/>
              </w:rPr>
              <w:t xml:space="preserve"> </w:t>
            </w:r>
            <w:r>
              <w:rPr>
                <w:sz w:val="18"/>
              </w:rPr>
              <w:t>562</w:t>
            </w:r>
            <w:r w:rsidR="00907D8C">
              <w:rPr>
                <w:sz w:val="18"/>
              </w:rPr>
              <w:t xml:space="preserve"> </w:t>
            </w:r>
            <w:r w:rsidR="006F7CDF" w:rsidRPr="006F7CDF">
              <w:rPr>
                <w:sz w:val="18"/>
              </w:rPr>
              <w:t>971</w:t>
            </w:r>
          </w:p>
        </w:tc>
        <w:tc>
          <w:tcPr>
            <w:tcW w:w="471"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w:t>
            </w:r>
          </w:p>
        </w:tc>
        <w:tc>
          <w:tcPr>
            <w:tcW w:w="1029" w:type="dxa"/>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803</w:t>
            </w:r>
            <w:r w:rsidR="00907D8C">
              <w:rPr>
                <w:sz w:val="18"/>
              </w:rPr>
              <w:t xml:space="preserve"> </w:t>
            </w:r>
            <w:r w:rsidR="006F7CDF" w:rsidRPr="006F7CDF">
              <w:rPr>
                <w:sz w:val="18"/>
              </w:rPr>
              <w:t>529</w:t>
            </w:r>
          </w:p>
        </w:tc>
        <w:tc>
          <w:tcPr>
            <w:tcW w:w="439" w:type="dxa"/>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1</w:t>
            </w:r>
          </w:p>
        </w:tc>
      </w:tr>
      <w:tr w:rsidR="006F7CDF" w:rsidRPr="006F7CDF" w:rsidTr="00477AB2">
        <w:tc>
          <w:tcPr>
            <w:tcW w:w="2300" w:type="dxa"/>
            <w:tcBorders>
              <w:bottom w:val="single" w:sz="4" w:space="0" w:color="auto"/>
            </w:tcBorders>
            <w:shd w:val="clear" w:color="auto" w:fill="auto"/>
          </w:tcPr>
          <w:p w:rsidR="006F7CDF" w:rsidRPr="006F7CDF" w:rsidRDefault="006F7CDF" w:rsidP="00F90A93">
            <w:pPr>
              <w:suppressAutoHyphens w:val="0"/>
              <w:spacing w:before="40" w:after="40" w:line="220" w:lineRule="exact"/>
              <w:ind w:right="113"/>
              <w:rPr>
                <w:sz w:val="18"/>
              </w:rPr>
            </w:pPr>
            <w:r w:rsidRPr="006F7CDF">
              <w:rPr>
                <w:sz w:val="18"/>
              </w:rPr>
              <w:t>Social</w:t>
            </w:r>
            <w:r w:rsidR="00907D8C">
              <w:rPr>
                <w:sz w:val="18"/>
              </w:rPr>
              <w:t xml:space="preserve"> </w:t>
            </w:r>
            <w:r w:rsidR="00F3240B">
              <w:rPr>
                <w:sz w:val="18"/>
              </w:rPr>
              <w:t>d</w:t>
            </w:r>
            <w:r w:rsidRPr="006F7CDF">
              <w:rPr>
                <w:sz w:val="18"/>
              </w:rPr>
              <w:t>evelopment</w:t>
            </w:r>
            <w:r w:rsidR="00907D8C">
              <w:rPr>
                <w:sz w:val="18"/>
              </w:rPr>
              <w:t xml:space="preserve"> </w:t>
            </w:r>
            <w:r w:rsidRPr="006F7CDF">
              <w:rPr>
                <w:sz w:val="18"/>
              </w:rPr>
              <w:t>and</w:t>
            </w:r>
            <w:r w:rsidR="00907D8C">
              <w:rPr>
                <w:sz w:val="18"/>
              </w:rPr>
              <w:t xml:space="preserve"> </w:t>
            </w:r>
            <w:r w:rsidR="00F3240B">
              <w:rPr>
                <w:sz w:val="18"/>
              </w:rPr>
              <w:t>h</w:t>
            </w:r>
            <w:r w:rsidRPr="006F7CDF">
              <w:rPr>
                <w:sz w:val="18"/>
              </w:rPr>
              <w:t>ousing</w:t>
            </w:r>
          </w:p>
        </w:tc>
        <w:tc>
          <w:tcPr>
            <w:tcW w:w="1000" w:type="dxa"/>
            <w:tcBorders>
              <w:bottom w:val="single" w:sz="4" w:space="0" w:color="auto"/>
            </w:tcBorders>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15</w:t>
            </w:r>
            <w:r w:rsidR="00907D8C">
              <w:rPr>
                <w:sz w:val="18"/>
              </w:rPr>
              <w:t xml:space="preserve"> </w:t>
            </w:r>
            <w:r>
              <w:rPr>
                <w:sz w:val="18"/>
              </w:rPr>
              <w:t>981</w:t>
            </w:r>
            <w:r w:rsidR="00907D8C">
              <w:rPr>
                <w:sz w:val="18"/>
              </w:rPr>
              <w:t xml:space="preserve"> </w:t>
            </w:r>
            <w:r w:rsidR="006F7CDF" w:rsidRPr="006F7CDF">
              <w:rPr>
                <w:sz w:val="18"/>
              </w:rPr>
              <w:t>810</w:t>
            </w:r>
          </w:p>
        </w:tc>
        <w:tc>
          <w:tcPr>
            <w:tcW w:w="467" w:type="dxa"/>
            <w:tcBorders>
              <w:bottom w:val="single" w:sz="4"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29</w:t>
            </w:r>
          </w:p>
        </w:tc>
        <w:tc>
          <w:tcPr>
            <w:tcW w:w="1033" w:type="dxa"/>
            <w:tcBorders>
              <w:bottom w:val="single" w:sz="4" w:space="0" w:color="auto"/>
            </w:tcBorders>
            <w:shd w:val="clear" w:color="auto" w:fill="auto"/>
            <w:vAlign w:val="bottom"/>
          </w:tcPr>
          <w:p w:rsidR="006F7CDF" w:rsidRPr="006F7CDF" w:rsidRDefault="00477AB2" w:rsidP="00F90A93">
            <w:pPr>
              <w:suppressAutoHyphens w:val="0"/>
              <w:spacing w:before="40" w:after="40" w:line="220" w:lineRule="exact"/>
              <w:ind w:right="113"/>
              <w:jc w:val="right"/>
              <w:rPr>
                <w:sz w:val="18"/>
              </w:rPr>
            </w:pPr>
            <w:r>
              <w:rPr>
                <w:sz w:val="18"/>
              </w:rPr>
              <w:t>17</w:t>
            </w:r>
            <w:r w:rsidR="00907D8C">
              <w:rPr>
                <w:sz w:val="18"/>
              </w:rPr>
              <w:t xml:space="preserve"> </w:t>
            </w:r>
            <w:r>
              <w:rPr>
                <w:sz w:val="18"/>
              </w:rPr>
              <w:t>340</w:t>
            </w:r>
            <w:r w:rsidR="00907D8C">
              <w:rPr>
                <w:sz w:val="18"/>
              </w:rPr>
              <w:t xml:space="preserve"> </w:t>
            </w:r>
            <w:r w:rsidR="006F7CDF" w:rsidRPr="006F7CDF">
              <w:rPr>
                <w:sz w:val="18"/>
              </w:rPr>
              <w:t>021</w:t>
            </w:r>
          </w:p>
        </w:tc>
        <w:tc>
          <w:tcPr>
            <w:tcW w:w="435" w:type="dxa"/>
            <w:tcBorders>
              <w:bottom w:val="single" w:sz="4"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29</w:t>
            </w:r>
          </w:p>
        </w:tc>
        <w:tc>
          <w:tcPr>
            <w:tcW w:w="1065" w:type="dxa"/>
            <w:tcBorders>
              <w:bottom w:val="single" w:sz="4"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17</w:t>
            </w:r>
            <w:r w:rsidR="00907D8C">
              <w:rPr>
                <w:sz w:val="18"/>
              </w:rPr>
              <w:t xml:space="preserve"> </w:t>
            </w:r>
            <w:r>
              <w:rPr>
                <w:sz w:val="18"/>
              </w:rPr>
              <w:t>748</w:t>
            </w:r>
            <w:r w:rsidR="00907D8C">
              <w:rPr>
                <w:sz w:val="18"/>
              </w:rPr>
              <w:t xml:space="preserve"> </w:t>
            </w:r>
            <w:r w:rsidR="006F7CDF" w:rsidRPr="006F7CDF">
              <w:rPr>
                <w:sz w:val="18"/>
              </w:rPr>
              <w:t>188</w:t>
            </w:r>
          </w:p>
        </w:tc>
        <w:tc>
          <w:tcPr>
            <w:tcW w:w="403" w:type="dxa"/>
            <w:tcBorders>
              <w:bottom w:val="single" w:sz="4"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28</w:t>
            </w:r>
          </w:p>
        </w:tc>
        <w:tc>
          <w:tcPr>
            <w:tcW w:w="997" w:type="dxa"/>
            <w:tcBorders>
              <w:bottom w:val="single" w:sz="4"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19</w:t>
            </w:r>
            <w:r w:rsidR="00907D8C">
              <w:rPr>
                <w:sz w:val="18"/>
              </w:rPr>
              <w:t xml:space="preserve"> </w:t>
            </w:r>
            <w:r>
              <w:rPr>
                <w:sz w:val="18"/>
              </w:rPr>
              <w:t>346</w:t>
            </w:r>
            <w:r w:rsidR="00907D8C">
              <w:rPr>
                <w:sz w:val="18"/>
              </w:rPr>
              <w:t xml:space="preserve"> </w:t>
            </w:r>
            <w:r w:rsidR="006F7CDF" w:rsidRPr="006F7CDF">
              <w:rPr>
                <w:sz w:val="18"/>
              </w:rPr>
              <w:t>188</w:t>
            </w:r>
          </w:p>
        </w:tc>
        <w:tc>
          <w:tcPr>
            <w:tcW w:w="471" w:type="dxa"/>
            <w:tcBorders>
              <w:bottom w:val="single" w:sz="4"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20</w:t>
            </w:r>
          </w:p>
        </w:tc>
        <w:tc>
          <w:tcPr>
            <w:tcW w:w="1029" w:type="dxa"/>
            <w:tcBorders>
              <w:bottom w:val="single" w:sz="4" w:space="0" w:color="auto"/>
            </w:tcBorders>
            <w:shd w:val="clear" w:color="auto" w:fill="auto"/>
            <w:vAlign w:val="bottom"/>
          </w:tcPr>
          <w:p w:rsidR="006F7CDF" w:rsidRPr="006F7CDF" w:rsidRDefault="00985639" w:rsidP="00F90A93">
            <w:pPr>
              <w:suppressAutoHyphens w:val="0"/>
              <w:spacing w:before="40" w:after="40" w:line="220" w:lineRule="exact"/>
              <w:ind w:right="113"/>
              <w:jc w:val="right"/>
              <w:rPr>
                <w:sz w:val="18"/>
              </w:rPr>
            </w:pPr>
            <w:r>
              <w:rPr>
                <w:sz w:val="18"/>
              </w:rPr>
              <w:t>21</w:t>
            </w:r>
            <w:r w:rsidR="00907D8C">
              <w:rPr>
                <w:sz w:val="18"/>
              </w:rPr>
              <w:t xml:space="preserve"> </w:t>
            </w:r>
            <w:r>
              <w:rPr>
                <w:sz w:val="18"/>
              </w:rPr>
              <w:t>143</w:t>
            </w:r>
            <w:r w:rsidR="00907D8C">
              <w:rPr>
                <w:sz w:val="18"/>
              </w:rPr>
              <w:t xml:space="preserve"> </w:t>
            </w:r>
            <w:r w:rsidR="006F7CDF" w:rsidRPr="006F7CDF">
              <w:rPr>
                <w:sz w:val="18"/>
              </w:rPr>
              <w:t>303</w:t>
            </w:r>
          </w:p>
        </w:tc>
        <w:tc>
          <w:tcPr>
            <w:tcW w:w="439" w:type="dxa"/>
            <w:tcBorders>
              <w:bottom w:val="single" w:sz="4" w:space="0" w:color="auto"/>
            </w:tcBorders>
            <w:shd w:val="clear" w:color="auto" w:fill="auto"/>
            <w:vAlign w:val="bottom"/>
          </w:tcPr>
          <w:p w:rsidR="006F7CDF" w:rsidRPr="006F7CDF" w:rsidRDefault="006F7CDF" w:rsidP="00F90A93">
            <w:pPr>
              <w:suppressAutoHyphens w:val="0"/>
              <w:spacing w:before="40" w:after="40" w:line="220" w:lineRule="exact"/>
              <w:ind w:right="113"/>
              <w:jc w:val="right"/>
              <w:rPr>
                <w:sz w:val="18"/>
              </w:rPr>
            </w:pPr>
            <w:r w:rsidRPr="006F7CDF">
              <w:rPr>
                <w:sz w:val="18"/>
              </w:rPr>
              <w:t>28</w:t>
            </w:r>
          </w:p>
        </w:tc>
      </w:tr>
      <w:tr w:rsidR="006F7CDF" w:rsidRPr="00477AB2" w:rsidTr="00477AB2">
        <w:tc>
          <w:tcPr>
            <w:tcW w:w="2300" w:type="dxa"/>
            <w:tcBorders>
              <w:top w:val="single" w:sz="4" w:space="0" w:color="auto"/>
              <w:bottom w:val="single" w:sz="12" w:space="0" w:color="auto"/>
            </w:tcBorders>
            <w:shd w:val="clear" w:color="auto" w:fill="auto"/>
          </w:tcPr>
          <w:p w:rsidR="006F7CDF" w:rsidRPr="00477AB2" w:rsidRDefault="006F7CDF" w:rsidP="00F3240B">
            <w:pPr>
              <w:suppressAutoHyphens w:val="0"/>
              <w:spacing w:before="80" w:after="80" w:line="220" w:lineRule="exact"/>
              <w:ind w:left="284" w:right="113"/>
              <w:rPr>
                <w:b/>
                <w:sz w:val="18"/>
              </w:rPr>
            </w:pPr>
            <w:r w:rsidRPr="00477AB2">
              <w:rPr>
                <w:b/>
                <w:sz w:val="18"/>
              </w:rPr>
              <w:t>Total</w:t>
            </w:r>
          </w:p>
        </w:tc>
        <w:tc>
          <w:tcPr>
            <w:tcW w:w="1000" w:type="dxa"/>
            <w:tcBorders>
              <w:top w:val="single" w:sz="4" w:space="0" w:color="auto"/>
              <w:bottom w:val="single" w:sz="12" w:space="0" w:color="auto"/>
            </w:tcBorders>
            <w:shd w:val="clear" w:color="auto" w:fill="auto"/>
            <w:vAlign w:val="bottom"/>
          </w:tcPr>
          <w:p w:rsidR="006F7CDF" w:rsidRPr="00477AB2" w:rsidRDefault="00477AB2" w:rsidP="00477AB2">
            <w:pPr>
              <w:suppressAutoHyphens w:val="0"/>
              <w:spacing w:before="80" w:after="80" w:line="220" w:lineRule="exact"/>
              <w:ind w:right="113"/>
              <w:jc w:val="right"/>
              <w:rPr>
                <w:b/>
                <w:sz w:val="18"/>
              </w:rPr>
            </w:pPr>
            <w:r>
              <w:rPr>
                <w:b/>
                <w:sz w:val="18"/>
              </w:rPr>
              <w:t>54</w:t>
            </w:r>
            <w:r w:rsidR="00907D8C">
              <w:rPr>
                <w:b/>
                <w:sz w:val="18"/>
              </w:rPr>
              <w:t xml:space="preserve"> </w:t>
            </w:r>
            <w:r>
              <w:rPr>
                <w:b/>
                <w:sz w:val="18"/>
              </w:rPr>
              <w:t>528</w:t>
            </w:r>
            <w:r w:rsidR="00907D8C">
              <w:rPr>
                <w:b/>
                <w:sz w:val="18"/>
              </w:rPr>
              <w:t xml:space="preserve"> </w:t>
            </w:r>
            <w:r w:rsidR="006F7CDF" w:rsidRPr="00477AB2">
              <w:rPr>
                <w:b/>
                <w:sz w:val="18"/>
              </w:rPr>
              <w:t>029</w:t>
            </w:r>
          </w:p>
        </w:tc>
        <w:tc>
          <w:tcPr>
            <w:tcW w:w="467" w:type="dxa"/>
            <w:tcBorders>
              <w:top w:val="single" w:sz="4" w:space="0" w:color="auto"/>
              <w:bottom w:val="single" w:sz="12" w:space="0" w:color="auto"/>
            </w:tcBorders>
            <w:shd w:val="clear" w:color="auto" w:fill="auto"/>
            <w:vAlign w:val="bottom"/>
          </w:tcPr>
          <w:p w:rsidR="006F7CDF" w:rsidRPr="00477AB2" w:rsidRDefault="006F7CDF" w:rsidP="00477AB2">
            <w:pPr>
              <w:suppressAutoHyphens w:val="0"/>
              <w:spacing w:before="80" w:after="80" w:line="220" w:lineRule="exact"/>
              <w:ind w:right="113"/>
              <w:jc w:val="right"/>
              <w:rPr>
                <w:b/>
                <w:sz w:val="18"/>
              </w:rPr>
            </w:pPr>
          </w:p>
        </w:tc>
        <w:tc>
          <w:tcPr>
            <w:tcW w:w="1033" w:type="dxa"/>
            <w:tcBorders>
              <w:top w:val="single" w:sz="4" w:space="0" w:color="auto"/>
              <w:bottom w:val="single" w:sz="12" w:space="0" w:color="auto"/>
            </w:tcBorders>
            <w:shd w:val="clear" w:color="auto" w:fill="auto"/>
            <w:vAlign w:val="bottom"/>
          </w:tcPr>
          <w:p w:rsidR="006F7CDF" w:rsidRPr="00477AB2" w:rsidRDefault="00477AB2" w:rsidP="00477AB2">
            <w:pPr>
              <w:suppressAutoHyphens w:val="0"/>
              <w:spacing w:before="80" w:after="80" w:line="220" w:lineRule="exact"/>
              <w:ind w:right="113"/>
              <w:jc w:val="right"/>
              <w:rPr>
                <w:b/>
                <w:sz w:val="18"/>
              </w:rPr>
            </w:pPr>
            <w:r>
              <w:rPr>
                <w:b/>
                <w:sz w:val="18"/>
              </w:rPr>
              <w:t>59</w:t>
            </w:r>
            <w:r w:rsidR="00907D8C">
              <w:rPr>
                <w:b/>
                <w:sz w:val="18"/>
              </w:rPr>
              <w:t xml:space="preserve"> </w:t>
            </w:r>
            <w:r>
              <w:rPr>
                <w:b/>
                <w:sz w:val="18"/>
              </w:rPr>
              <w:t>667</w:t>
            </w:r>
            <w:r w:rsidR="00907D8C">
              <w:rPr>
                <w:b/>
                <w:sz w:val="18"/>
              </w:rPr>
              <w:t xml:space="preserve"> </w:t>
            </w:r>
            <w:r w:rsidR="006F7CDF" w:rsidRPr="00477AB2">
              <w:rPr>
                <w:b/>
                <w:sz w:val="18"/>
              </w:rPr>
              <w:t>641</w:t>
            </w:r>
          </w:p>
        </w:tc>
        <w:tc>
          <w:tcPr>
            <w:tcW w:w="435" w:type="dxa"/>
            <w:tcBorders>
              <w:top w:val="single" w:sz="4" w:space="0" w:color="auto"/>
              <w:bottom w:val="single" w:sz="12" w:space="0" w:color="auto"/>
            </w:tcBorders>
            <w:shd w:val="clear" w:color="auto" w:fill="auto"/>
            <w:vAlign w:val="bottom"/>
          </w:tcPr>
          <w:p w:rsidR="006F7CDF" w:rsidRPr="00477AB2" w:rsidRDefault="006F7CDF" w:rsidP="00477AB2">
            <w:pPr>
              <w:suppressAutoHyphens w:val="0"/>
              <w:spacing w:before="80" w:after="80" w:line="220" w:lineRule="exact"/>
              <w:ind w:right="113"/>
              <w:jc w:val="right"/>
              <w:rPr>
                <w:b/>
                <w:sz w:val="18"/>
              </w:rPr>
            </w:pPr>
          </w:p>
        </w:tc>
        <w:tc>
          <w:tcPr>
            <w:tcW w:w="1065" w:type="dxa"/>
            <w:tcBorders>
              <w:top w:val="single" w:sz="4" w:space="0" w:color="auto"/>
              <w:bottom w:val="single" w:sz="12" w:space="0" w:color="auto"/>
            </w:tcBorders>
            <w:shd w:val="clear" w:color="auto" w:fill="auto"/>
            <w:vAlign w:val="bottom"/>
          </w:tcPr>
          <w:p w:rsidR="006F7CDF" w:rsidRPr="00477AB2" w:rsidRDefault="00985639" w:rsidP="00477AB2">
            <w:pPr>
              <w:suppressAutoHyphens w:val="0"/>
              <w:spacing w:before="80" w:after="80" w:line="220" w:lineRule="exact"/>
              <w:ind w:right="113"/>
              <w:jc w:val="right"/>
              <w:rPr>
                <w:b/>
                <w:sz w:val="18"/>
              </w:rPr>
            </w:pPr>
            <w:r>
              <w:rPr>
                <w:b/>
                <w:sz w:val="18"/>
              </w:rPr>
              <w:t>63</w:t>
            </w:r>
            <w:r w:rsidR="00907D8C">
              <w:rPr>
                <w:b/>
                <w:sz w:val="18"/>
              </w:rPr>
              <w:t xml:space="preserve"> </w:t>
            </w:r>
            <w:r>
              <w:rPr>
                <w:b/>
                <w:sz w:val="18"/>
              </w:rPr>
              <w:t>506</w:t>
            </w:r>
            <w:r w:rsidR="00907D8C">
              <w:rPr>
                <w:b/>
                <w:sz w:val="18"/>
              </w:rPr>
              <w:t xml:space="preserve"> </w:t>
            </w:r>
            <w:r w:rsidR="006F7CDF" w:rsidRPr="00477AB2">
              <w:rPr>
                <w:b/>
                <w:sz w:val="18"/>
              </w:rPr>
              <w:t>447</w:t>
            </w:r>
          </w:p>
        </w:tc>
        <w:tc>
          <w:tcPr>
            <w:tcW w:w="403" w:type="dxa"/>
            <w:tcBorders>
              <w:top w:val="single" w:sz="4" w:space="0" w:color="auto"/>
              <w:bottom w:val="single" w:sz="12" w:space="0" w:color="auto"/>
            </w:tcBorders>
            <w:shd w:val="clear" w:color="auto" w:fill="auto"/>
            <w:vAlign w:val="bottom"/>
          </w:tcPr>
          <w:p w:rsidR="006F7CDF" w:rsidRPr="00477AB2" w:rsidRDefault="006F7CDF" w:rsidP="00477AB2">
            <w:pPr>
              <w:suppressAutoHyphens w:val="0"/>
              <w:spacing w:before="80" w:after="80" w:line="220" w:lineRule="exact"/>
              <w:ind w:right="113"/>
              <w:jc w:val="right"/>
              <w:rPr>
                <w:b/>
                <w:sz w:val="18"/>
              </w:rPr>
            </w:pPr>
          </w:p>
        </w:tc>
        <w:tc>
          <w:tcPr>
            <w:tcW w:w="997" w:type="dxa"/>
            <w:tcBorders>
              <w:top w:val="single" w:sz="4" w:space="0" w:color="auto"/>
              <w:bottom w:val="single" w:sz="12" w:space="0" w:color="auto"/>
            </w:tcBorders>
            <w:shd w:val="clear" w:color="auto" w:fill="auto"/>
            <w:vAlign w:val="bottom"/>
          </w:tcPr>
          <w:p w:rsidR="006F7CDF" w:rsidRPr="00477AB2" w:rsidRDefault="00985639" w:rsidP="00477AB2">
            <w:pPr>
              <w:suppressAutoHyphens w:val="0"/>
              <w:spacing w:before="80" w:after="80" w:line="220" w:lineRule="exact"/>
              <w:ind w:right="113"/>
              <w:jc w:val="right"/>
              <w:rPr>
                <w:b/>
                <w:sz w:val="18"/>
              </w:rPr>
            </w:pPr>
            <w:r>
              <w:rPr>
                <w:b/>
                <w:sz w:val="18"/>
              </w:rPr>
              <w:t>97</w:t>
            </w:r>
            <w:r w:rsidR="00907D8C">
              <w:rPr>
                <w:b/>
                <w:sz w:val="18"/>
              </w:rPr>
              <w:t xml:space="preserve"> </w:t>
            </w:r>
            <w:r>
              <w:rPr>
                <w:b/>
                <w:sz w:val="18"/>
              </w:rPr>
              <w:t>624</w:t>
            </w:r>
            <w:r w:rsidR="00907D8C">
              <w:rPr>
                <w:b/>
                <w:sz w:val="18"/>
              </w:rPr>
              <w:t xml:space="preserve"> </w:t>
            </w:r>
            <w:r w:rsidR="006F7CDF" w:rsidRPr="00477AB2">
              <w:rPr>
                <w:b/>
                <w:sz w:val="18"/>
              </w:rPr>
              <w:t>650</w:t>
            </w:r>
          </w:p>
        </w:tc>
        <w:tc>
          <w:tcPr>
            <w:tcW w:w="471" w:type="dxa"/>
            <w:tcBorders>
              <w:top w:val="single" w:sz="4" w:space="0" w:color="auto"/>
              <w:bottom w:val="single" w:sz="12" w:space="0" w:color="auto"/>
            </w:tcBorders>
            <w:shd w:val="clear" w:color="auto" w:fill="auto"/>
            <w:vAlign w:val="bottom"/>
          </w:tcPr>
          <w:p w:rsidR="006F7CDF" w:rsidRPr="00477AB2" w:rsidRDefault="006F7CDF" w:rsidP="00477AB2">
            <w:pPr>
              <w:suppressAutoHyphens w:val="0"/>
              <w:spacing w:before="80" w:after="80" w:line="220" w:lineRule="exact"/>
              <w:ind w:right="113"/>
              <w:jc w:val="right"/>
              <w:rPr>
                <w:b/>
                <w:sz w:val="18"/>
              </w:rPr>
            </w:pPr>
          </w:p>
        </w:tc>
        <w:tc>
          <w:tcPr>
            <w:tcW w:w="1029" w:type="dxa"/>
            <w:tcBorders>
              <w:top w:val="single" w:sz="4" w:space="0" w:color="auto"/>
              <w:bottom w:val="single" w:sz="12" w:space="0" w:color="auto"/>
            </w:tcBorders>
            <w:shd w:val="clear" w:color="auto" w:fill="auto"/>
            <w:vAlign w:val="bottom"/>
          </w:tcPr>
          <w:p w:rsidR="006F7CDF" w:rsidRPr="00477AB2" w:rsidRDefault="00985639" w:rsidP="00477AB2">
            <w:pPr>
              <w:suppressAutoHyphens w:val="0"/>
              <w:spacing w:before="80" w:after="80" w:line="220" w:lineRule="exact"/>
              <w:ind w:right="113"/>
              <w:jc w:val="right"/>
              <w:rPr>
                <w:b/>
                <w:sz w:val="18"/>
              </w:rPr>
            </w:pPr>
            <w:r>
              <w:rPr>
                <w:b/>
                <w:sz w:val="18"/>
              </w:rPr>
              <w:t>74</w:t>
            </w:r>
            <w:r w:rsidR="00907D8C">
              <w:rPr>
                <w:b/>
                <w:sz w:val="18"/>
              </w:rPr>
              <w:t xml:space="preserve"> </w:t>
            </w:r>
            <w:r>
              <w:rPr>
                <w:b/>
                <w:sz w:val="18"/>
              </w:rPr>
              <w:t>240</w:t>
            </w:r>
            <w:r w:rsidR="00907D8C">
              <w:rPr>
                <w:b/>
                <w:sz w:val="18"/>
              </w:rPr>
              <w:t xml:space="preserve"> </w:t>
            </w:r>
            <w:r w:rsidR="006F7CDF" w:rsidRPr="00477AB2">
              <w:rPr>
                <w:b/>
                <w:sz w:val="18"/>
              </w:rPr>
              <w:t>137</w:t>
            </w:r>
          </w:p>
        </w:tc>
        <w:tc>
          <w:tcPr>
            <w:tcW w:w="439" w:type="dxa"/>
            <w:tcBorders>
              <w:top w:val="single" w:sz="4" w:space="0" w:color="auto"/>
              <w:bottom w:val="single" w:sz="12" w:space="0" w:color="auto"/>
            </w:tcBorders>
            <w:shd w:val="clear" w:color="auto" w:fill="auto"/>
            <w:vAlign w:val="bottom"/>
          </w:tcPr>
          <w:p w:rsidR="006F7CDF" w:rsidRPr="00477AB2" w:rsidRDefault="006F7CDF" w:rsidP="00477AB2">
            <w:pPr>
              <w:suppressAutoHyphens w:val="0"/>
              <w:spacing w:before="80" w:after="80" w:line="220" w:lineRule="exact"/>
              <w:ind w:right="113"/>
              <w:jc w:val="right"/>
              <w:rPr>
                <w:b/>
                <w:sz w:val="18"/>
              </w:rPr>
            </w:pPr>
          </w:p>
        </w:tc>
      </w:tr>
    </w:tbl>
    <w:p w:rsidR="00036FAC" w:rsidRPr="007C016E" w:rsidRDefault="00036FAC" w:rsidP="002F3BCD">
      <w:pPr>
        <w:spacing w:before="120" w:after="80"/>
        <w:ind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The</w:t>
      </w:r>
      <w:r w:rsidR="00907D8C">
        <w:rPr>
          <w:sz w:val="18"/>
          <w:szCs w:val="18"/>
        </w:rPr>
        <w:t xml:space="preserve"> </w:t>
      </w:r>
      <w:r w:rsidRPr="007C016E">
        <w:rPr>
          <w:sz w:val="18"/>
          <w:szCs w:val="18"/>
        </w:rPr>
        <w:t>Estimates</w:t>
      </w:r>
      <w:r w:rsidR="00907D8C">
        <w:rPr>
          <w:sz w:val="18"/>
          <w:szCs w:val="18"/>
        </w:rPr>
        <w:t xml:space="preserve"> </w:t>
      </w:r>
      <w:r w:rsidRPr="007C016E">
        <w:rPr>
          <w:sz w:val="18"/>
          <w:szCs w:val="18"/>
        </w:rPr>
        <w:t>of</w:t>
      </w:r>
      <w:r w:rsidR="00907D8C">
        <w:rPr>
          <w:sz w:val="18"/>
          <w:szCs w:val="18"/>
        </w:rPr>
        <w:t xml:space="preserve"> </w:t>
      </w:r>
      <w:r w:rsidRPr="007C016E">
        <w:rPr>
          <w:sz w:val="18"/>
          <w:szCs w:val="18"/>
        </w:rPr>
        <w:t>Appropriations,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907D8C">
        <w:rPr>
          <w:sz w:val="18"/>
          <w:szCs w:val="18"/>
        </w:rPr>
        <w:t xml:space="preserve"> </w:t>
      </w:r>
      <w:r w:rsidRPr="007C016E">
        <w:rPr>
          <w:sz w:val="18"/>
          <w:szCs w:val="18"/>
        </w:rPr>
        <w:t>Treasury</w:t>
      </w:r>
      <w:r w:rsidR="006F7CDF" w:rsidRPr="007C016E">
        <w:rPr>
          <w:sz w:val="18"/>
          <w:szCs w:val="18"/>
        </w:rPr>
        <w:t>.</w:t>
      </w:r>
    </w:p>
    <w:p w:rsidR="00036FAC" w:rsidRPr="00036FAC" w:rsidRDefault="00036FAC" w:rsidP="006C436C">
      <w:pPr>
        <w:pStyle w:val="H23G"/>
      </w:pPr>
      <w:r w:rsidRPr="00036FAC">
        <w:tab/>
        <w:t>(g)</w:t>
      </w:r>
      <w:r w:rsidRPr="00036FAC">
        <w:tab/>
      </w:r>
      <w:r w:rsidR="00BC582B">
        <w:t>Per</w:t>
      </w:r>
      <w:r w:rsidR="00AE58B5">
        <w:t>cent</w:t>
      </w:r>
      <w:r w:rsidRPr="00036FAC">
        <w:t>age</w:t>
      </w:r>
      <w:r w:rsidR="00907D8C">
        <w:t xml:space="preserve"> </w:t>
      </w:r>
      <w:r w:rsidRPr="00036FAC">
        <w:t>of</w:t>
      </w:r>
      <w:r w:rsidR="00907D8C">
        <w:t xml:space="preserve"> </w:t>
      </w:r>
      <w:r w:rsidRPr="00036FAC">
        <w:t>gross</w:t>
      </w:r>
      <w:r w:rsidR="00907D8C">
        <w:t xml:space="preserve"> </w:t>
      </w:r>
      <w:r w:rsidRPr="00036FAC">
        <w:t>national</w:t>
      </w:r>
      <w:r w:rsidR="00907D8C">
        <w:t xml:space="preserve"> </w:t>
      </w:r>
      <w:r w:rsidRPr="00036FAC">
        <w:t>income</w:t>
      </w:r>
      <w:r w:rsidR="00907D8C">
        <w:t xml:space="preserve"> </w:t>
      </w:r>
      <w:r w:rsidRPr="00036FAC">
        <w:t>spent</w:t>
      </w:r>
      <w:r w:rsidR="00907D8C">
        <w:t xml:space="preserve"> </w:t>
      </w:r>
      <w:r w:rsidRPr="00036FAC">
        <w:t>on</w:t>
      </w:r>
      <w:r w:rsidR="00907D8C">
        <w:t xml:space="preserve"> </w:t>
      </w:r>
      <w:r w:rsidR="00BC582B">
        <w:t>official</w:t>
      </w:r>
      <w:r w:rsidR="00907D8C">
        <w:t xml:space="preserve"> </w:t>
      </w:r>
      <w:r w:rsidR="00BC582B">
        <w:t>development</w:t>
      </w:r>
      <w:r w:rsidR="00907D8C">
        <w:t xml:space="preserve"> </w:t>
      </w:r>
      <w:r w:rsidR="00BC582B">
        <w:t>assistance</w:t>
      </w:r>
    </w:p>
    <w:p w:rsidR="00BC582B" w:rsidRDefault="00BC582B" w:rsidP="003F4202">
      <w:pPr>
        <w:pStyle w:val="Heading1"/>
        <w:keepNext/>
      </w:pPr>
      <w:bookmarkStart w:id="38" w:name="_Toc275331912"/>
      <w:r>
        <w:t>Table</w:t>
      </w:r>
      <w:r w:rsidR="00907D8C">
        <w:t xml:space="preserve"> </w:t>
      </w:r>
      <w:r>
        <w:t>11</w:t>
      </w:r>
    </w:p>
    <w:p w:rsidR="00036FAC" w:rsidRPr="00BC582B" w:rsidRDefault="00036FAC" w:rsidP="003F4202">
      <w:pPr>
        <w:pStyle w:val="SingleTxtG"/>
        <w:keepNext/>
        <w:rPr>
          <w:b/>
        </w:rPr>
      </w:pPr>
      <w:r w:rsidRPr="00BC582B">
        <w:rPr>
          <w:b/>
        </w:rPr>
        <w:t>Spending</w:t>
      </w:r>
      <w:r w:rsidR="00907D8C">
        <w:rPr>
          <w:b/>
        </w:rPr>
        <w:t xml:space="preserve"> </w:t>
      </w:r>
      <w:r w:rsidRPr="00BC582B">
        <w:rPr>
          <w:b/>
        </w:rPr>
        <w:t>on</w:t>
      </w:r>
      <w:r w:rsidR="00907D8C">
        <w:rPr>
          <w:b/>
        </w:rPr>
        <w:t xml:space="preserve"> </w:t>
      </w:r>
      <w:r w:rsidRPr="00BC582B">
        <w:rPr>
          <w:b/>
        </w:rPr>
        <w:t>official</w:t>
      </w:r>
      <w:r w:rsidR="00907D8C">
        <w:rPr>
          <w:b/>
        </w:rPr>
        <w:t xml:space="preserve"> </w:t>
      </w:r>
      <w:r w:rsidRPr="00BC582B">
        <w:rPr>
          <w:b/>
        </w:rPr>
        <w:t>development</w:t>
      </w:r>
      <w:r w:rsidR="00907D8C">
        <w:rPr>
          <w:b/>
        </w:rPr>
        <w:t xml:space="preserve"> </w:t>
      </w:r>
      <w:r w:rsidRPr="00BC582B">
        <w:rPr>
          <w:b/>
        </w:rPr>
        <w:t>assistance</w:t>
      </w:r>
      <w:r w:rsidR="00907D8C">
        <w:rPr>
          <w:b/>
        </w:rPr>
        <w:t xml:space="preserve"> </w:t>
      </w:r>
      <w:r w:rsidRPr="00BC582B">
        <w:rPr>
          <w:b/>
        </w:rPr>
        <w:t>(ODA)</w:t>
      </w:r>
      <w:bookmarkEnd w:id="3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40"/>
        <w:gridCol w:w="2809"/>
        <w:gridCol w:w="2121"/>
      </w:tblGrid>
      <w:tr w:rsidR="00036FAC" w:rsidRPr="00BC582B" w:rsidTr="00BC582B">
        <w:trPr>
          <w:trHeight w:val="240"/>
          <w:tblHeader/>
        </w:trPr>
        <w:tc>
          <w:tcPr>
            <w:tcW w:w="1810"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rPr>
                <w:i/>
                <w:sz w:val="16"/>
              </w:rPr>
            </w:pPr>
            <w:r w:rsidRPr="00BC582B">
              <w:rPr>
                <w:i/>
                <w:sz w:val="16"/>
              </w:rPr>
              <w:t>Calendar</w:t>
            </w:r>
            <w:r w:rsidR="00907D8C">
              <w:rPr>
                <w:i/>
                <w:sz w:val="16"/>
              </w:rPr>
              <w:t xml:space="preserve"> </w:t>
            </w:r>
            <w:r w:rsidRPr="00BC582B">
              <w:rPr>
                <w:i/>
                <w:sz w:val="16"/>
              </w:rPr>
              <w:t>year</w:t>
            </w:r>
          </w:p>
        </w:tc>
        <w:tc>
          <w:tcPr>
            <w:tcW w:w="2083"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GNI</w:t>
            </w:r>
            <w:r w:rsidR="00907D8C">
              <w:rPr>
                <w:i/>
                <w:sz w:val="16"/>
              </w:rPr>
              <w:t xml:space="preserve"> </w:t>
            </w:r>
            <w:r w:rsidRPr="00BC582B">
              <w:rPr>
                <w:i/>
                <w:sz w:val="16"/>
              </w:rPr>
              <w:t>$</w:t>
            </w:r>
            <w:r w:rsidR="00907D8C">
              <w:rPr>
                <w:i/>
                <w:sz w:val="16"/>
              </w:rPr>
              <w:t xml:space="preserve"> </w:t>
            </w:r>
            <w:r w:rsidRPr="00BC582B">
              <w:rPr>
                <w:i/>
                <w:sz w:val="16"/>
              </w:rPr>
              <w:t>million</w:t>
            </w:r>
          </w:p>
        </w:tc>
        <w:tc>
          <w:tcPr>
            <w:tcW w:w="1573"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ODA/GNI</w:t>
            </w:r>
            <w:r w:rsidR="00907D8C">
              <w:rPr>
                <w:i/>
                <w:sz w:val="16"/>
              </w:rPr>
              <w:t xml:space="preserve"> </w:t>
            </w:r>
            <w:r w:rsidRPr="00BC582B">
              <w:rPr>
                <w:i/>
                <w:sz w:val="16"/>
              </w:rPr>
              <w:t>(%)</w:t>
            </w:r>
          </w:p>
        </w:tc>
      </w:tr>
      <w:tr w:rsidR="00036FAC" w:rsidRPr="00BC582B" w:rsidTr="00BC582B">
        <w:trPr>
          <w:trHeight w:val="240"/>
        </w:trPr>
        <w:tc>
          <w:tcPr>
            <w:tcW w:w="1810" w:type="dxa"/>
            <w:tcBorders>
              <w:top w:val="single" w:sz="12" w:space="0" w:color="auto"/>
            </w:tcBorders>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2005</w:t>
            </w:r>
          </w:p>
        </w:tc>
        <w:tc>
          <w:tcPr>
            <w:tcW w:w="2083" w:type="dxa"/>
            <w:tcBorders>
              <w:top w:val="single" w:sz="12" w:space="0" w:color="auto"/>
            </w:tcBorders>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143</w:t>
            </w:r>
            <w:r w:rsidR="00907D8C">
              <w:rPr>
                <w:sz w:val="18"/>
              </w:rPr>
              <w:t xml:space="preserve"> </w:t>
            </w:r>
            <w:r w:rsidRPr="00BC582B">
              <w:rPr>
                <w:sz w:val="18"/>
              </w:rPr>
              <w:t>303.00</w:t>
            </w:r>
          </w:p>
        </w:tc>
        <w:tc>
          <w:tcPr>
            <w:tcW w:w="1573" w:type="dxa"/>
            <w:tcBorders>
              <w:top w:val="single" w:sz="12" w:space="0" w:color="auto"/>
            </w:tcBorders>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0.27</w:t>
            </w:r>
          </w:p>
        </w:tc>
      </w:tr>
      <w:tr w:rsidR="00036FAC" w:rsidRPr="00BC582B" w:rsidTr="00BC582B">
        <w:trPr>
          <w:trHeight w:val="240"/>
        </w:trPr>
        <w:tc>
          <w:tcPr>
            <w:tcW w:w="1810"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2006</w:t>
            </w:r>
          </w:p>
        </w:tc>
        <w:tc>
          <w:tcPr>
            <w:tcW w:w="2083"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148</w:t>
            </w:r>
            <w:r w:rsidR="00907D8C">
              <w:rPr>
                <w:sz w:val="18"/>
              </w:rPr>
              <w:t xml:space="preserve"> </w:t>
            </w:r>
            <w:r w:rsidR="00036FAC" w:rsidRPr="00BC582B">
              <w:rPr>
                <w:sz w:val="18"/>
              </w:rPr>
              <w:t>843.00</w:t>
            </w:r>
          </w:p>
        </w:tc>
        <w:tc>
          <w:tcPr>
            <w:tcW w:w="1573" w:type="dxa"/>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0.27</w:t>
            </w:r>
          </w:p>
        </w:tc>
      </w:tr>
      <w:tr w:rsidR="00036FAC" w:rsidRPr="00BC582B" w:rsidTr="00BC582B">
        <w:trPr>
          <w:trHeight w:val="240"/>
        </w:trPr>
        <w:tc>
          <w:tcPr>
            <w:tcW w:w="1810"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2007</w:t>
            </w:r>
          </w:p>
        </w:tc>
        <w:tc>
          <w:tcPr>
            <w:tcW w:w="2083"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163</w:t>
            </w:r>
            <w:r w:rsidR="00907D8C">
              <w:rPr>
                <w:sz w:val="18"/>
              </w:rPr>
              <w:t xml:space="preserve"> </w:t>
            </w:r>
            <w:r w:rsidR="00036FAC" w:rsidRPr="00BC582B">
              <w:rPr>
                <w:sz w:val="18"/>
              </w:rPr>
              <w:t>385.50</w:t>
            </w:r>
          </w:p>
        </w:tc>
        <w:tc>
          <w:tcPr>
            <w:tcW w:w="1573" w:type="dxa"/>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0.27</w:t>
            </w:r>
          </w:p>
        </w:tc>
      </w:tr>
      <w:tr w:rsidR="00036FAC" w:rsidRPr="00BC582B" w:rsidTr="00BC582B">
        <w:trPr>
          <w:trHeight w:val="240"/>
        </w:trPr>
        <w:tc>
          <w:tcPr>
            <w:tcW w:w="1810"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2008</w:t>
            </w:r>
          </w:p>
        </w:tc>
        <w:tc>
          <w:tcPr>
            <w:tcW w:w="2083"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165</w:t>
            </w:r>
            <w:r w:rsidR="00907D8C">
              <w:rPr>
                <w:sz w:val="18"/>
              </w:rPr>
              <w:t xml:space="preserve"> </w:t>
            </w:r>
            <w:r w:rsidR="00036FAC" w:rsidRPr="00BC582B">
              <w:rPr>
                <w:sz w:val="18"/>
              </w:rPr>
              <w:t>487.98</w:t>
            </w:r>
          </w:p>
        </w:tc>
        <w:tc>
          <w:tcPr>
            <w:tcW w:w="1573" w:type="dxa"/>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0.30</w:t>
            </w:r>
          </w:p>
        </w:tc>
      </w:tr>
      <w:tr w:rsidR="00036FAC" w:rsidRPr="00BC582B" w:rsidTr="00BC582B">
        <w:trPr>
          <w:trHeight w:val="240"/>
        </w:trPr>
        <w:tc>
          <w:tcPr>
            <w:tcW w:w="1810"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2009</w:t>
            </w:r>
          </w:p>
        </w:tc>
        <w:tc>
          <w:tcPr>
            <w:tcW w:w="2083"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172</w:t>
            </w:r>
            <w:r w:rsidR="00907D8C">
              <w:rPr>
                <w:sz w:val="18"/>
              </w:rPr>
              <w:t xml:space="preserve"> </w:t>
            </w:r>
            <w:r w:rsidR="00036FAC" w:rsidRPr="00BC582B">
              <w:rPr>
                <w:sz w:val="18"/>
              </w:rPr>
              <w:t>953.02</w:t>
            </w:r>
          </w:p>
        </w:tc>
        <w:tc>
          <w:tcPr>
            <w:tcW w:w="1573" w:type="dxa"/>
            <w:shd w:val="clear" w:color="auto" w:fill="auto"/>
            <w:vAlign w:val="bottom"/>
          </w:tcPr>
          <w:p w:rsidR="00036FAC" w:rsidRPr="00BC582B" w:rsidRDefault="00036FAC" w:rsidP="00BC582B">
            <w:pPr>
              <w:suppressAutoHyphens w:val="0"/>
              <w:spacing w:before="40" w:after="40" w:line="220" w:lineRule="exact"/>
              <w:ind w:right="113"/>
              <w:jc w:val="right"/>
              <w:rPr>
                <w:sz w:val="18"/>
              </w:rPr>
            </w:pPr>
            <w:r w:rsidRPr="00BC582B">
              <w:rPr>
                <w:sz w:val="18"/>
              </w:rPr>
              <w:t>0.29</w:t>
            </w:r>
          </w:p>
        </w:tc>
      </w:tr>
    </w:tbl>
    <w:p w:rsidR="00036FAC" w:rsidRPr="007C016E" w:rsidRDefault="00036FAC" w:rsidP="003E4D94">
      <w:pPr>
        <w:spacing w:before="120" w:after="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The</w:t>
      </w:r>
      <w:r w:rsidR="00907D8C">
        <w:rPr>
          <w:sz w:val="18"/>
          <w:szCs w:val="18"/>
        </w:rPr>
        <w:t xml:space="preserve"> </w:t>
      </w:r>
      <w:r w:rsidRPr="007C016E">
        <w:rPr>
          <w:sz w:val="18"/>
          <w:szCs w:val="18"/>
        </w:rPr>
        <w:t>Ministry</w:t>
      </w:r>
      <w:r w:rsidR="00907D8C">
        <w:rPr>
          <w:sz w:val="18"/>
          <w:szCs w:val="18"/>
        </w:rPr>
        <w:t xml:space="preserve"> </w:t>
      </w:r>
      <w:r w:rsidRPr="007C016E">
        <w:rPr>
          <w:sz w:val="18"/>
          <w:szCs w:val="18"/>
        </w:rPr>
        <w:t>of</w:t>
      </w:r>
      <w:r w:rsidR="00907D8C">
        <w:rPr>
          <w:sz w:val="18"/>
          <w:szCs w:val="18"/>
        </w:rPr>
        <w:t xml:space="preserve"> </w:t>
      </w:r>
      <w:r w:rsidRPr="007C016E">
        <w:rPr>
          <w:sz w:val="18"/>
          <w:szCs w:val="18"/>
        </w:rPr>
        <w:t>Foreign</w:t>
      </w:r>
      <w:r w:rsidR="00907D8C">
        <w:rPr>
          <w:sz w:val="18"/>
          <w:szCs w:val="18"/>
        </w:rPr>
        <w:t xml:space="preserve"> </w:t>
      </w:r>
      <w:r w:rsidRPr="007C016E">
        <w:rPr>
          <w:sz w:val="18"/>
          <w:szCs w:val="18"/>
        </w:rPr>
        <w:t>Affairs</w:t>
      </w:r>
      <w:r w:rsidR="00907D8C">
        <w:rPr>
          <w:sz w:val="18"/>
          <w:szCs w:val="18"/>
        </w:rPr>
        <w:t xml:space="preserve"> </w:t>
      </w:r>
      <w:r w:rsidRPr="007C016E">
        <w:rPr>
          <w:sz w:val="18"/>
          <w:szCs w:val="18"/>
        </w:rPr>
        <w:t>and</w:t>
      </w:r>
      <w:r w:rsidR="00907D8C">
        <w:rPr>
          <w:sz w:val="18"/>
          <w:szCs w:val="18"/>
        </w:rPr>
        <w:t xml:space="preserve"> </w:t>
      </w:r>
      <w:r w:rsidRPr="007C016E">
        <w:rPr>
          <w:sz w:val="18"/>
          <w:szCs w:val="18"/>
        </w:rPr>
        <w:t>Trade</w:t>
      </w:r>
      <w:r w:rsidR="00BC582B" w:rsidRPr="007C016E">
        <w:rPr>
          <w:sz w:val="18"/>
          <w:szCs w:val="18"/>
        </w:rPr>
        <w:t>.</w:t>
      </w:r>
    </w:p>
    <w:p w:rsidR="00036FAC" w:rsidRPr="00036FAC" w:rsidRDefault="00036FAC" w:rsidP="00006D5C">
      <w:pPr>
        <w:pStyle w:val="StyleSingleTxtGAfter3pt"/>
      </w:pPr>
      <w:r w:rsidRPr="00036FAC">
        <w:t>42.</w:t>
      </w:r>
      <w:r w:rsidRPr="00036FAC">
        <w:tab/>
        <w:t>The</w:t>
      </w:r>
      <w:r w:rsidR="00907D8C">
        <w:t xml:space="preserve"> </w:t>
      </w:r>
      <w:r w:rsidR="00BC582B">
        <w:t>per</w:t>
      </w:r>
      <w:r w:rsidR="00AE58B5">
        <w:t>cent</w:t>
      </w:r>
      <w:r w:rsidRPr="00036FAC">
        <w:t>age</w:t>
      </w:r>
      <w:r w:rsidR="00907D8C">
        <w:t xml:space="preserve"> </w:t>
      </w:r>
      <w:r w:rsidRPr="00036FAC">
        <w:t>of</w:t>
      </w:r>
      <w:r w:rsidR="00907D8C">
        <w:t xml:space="preserve"> </w:t>
      </w:r>
      <w:r w:rsidRPr="00036FAC">
        <w:t>GNI</w:t>
      </w:r>
      <w:r w:rsidR="00907D8C">
        <w:t xml:space="preserve"> </w:t>
      </w:r>
      <w:r w:rsidRPr="00036FAC">
        <w:t>spent</w:t>
      </w:r>
      <w:r w:rsidR="00907D8C">
        <w:t xml:space="preserve"> </w:t>
      </w:r>
      <w:r w:rsidRPr="00036FAC">
        <w:t>on</w:t>
      </w:r>
      <w:r w:rsidR="00907D8C">
        <w:t xml:space="preserve"> </w:t>
      </w:r>
      <w:r w:rsidRPr="00036FAC">
        <w:t>ODA</w:t>
      </w:r>
      <w:r w:rsidR="00907D8C">
        <w:t xml:space="preserve"> </w:t>
      </w:r>
      <w:r w:rsidRPr="00036FAC">
        <w:t>went</w:t>
      </w:r>
      <w:r w:rsidR="00907D8C">
        <w:t xml:space="preserve"> </w:t>
      </w:r>
      <w:r w:rsidRPr="00036FAC">
        <w:t>down</w:t>
      </w:r>
      <w:r w:rsidR="00907D8C">
        <w:t xml:space="preserve"> </w:t>
      </w:r>
      <w:r w:rsidRPr="00036FAC">
        <w:t>between</w:t>
      </w:r>
      <w:r w:rsidR="00907D8C">
        <w:t xml:space="preserve"> </w:t>
      </w:r>
      <w:r w:rsidRPr="00036FAC">
        <w:t>2008</w:t>
      </w:r>
      <w:r w:rsidR="00907D8C">
        <w:t xml:space="preserve"> </w:t>
      </w:r>
      <w:r w:rsidRPr="00036FAC">
        <w:t>and</w:t>
      </w:r>
      <w:r w:rsidR="00907D8C">
        <w:t xml:space="preserve"> </w:t>
      </w:r>
      <w:r w:rsidRPr="00036FAC">
        <w:t>2009</w:t>
      </w:r>
      <w:r w:rsidR="00907D8C">
        <w:t xml:space="preserve"> </w:t>
      </w:r>
      <w:r w:rsidRPr="00036FAC">
        <w:t>primarily</w:t>
      </w:r>
      <w:r w:rsidR="00907D8C">
        <w:t xml:space="preserve"> </w:t>
      </w:r>
      <w:r w:rsidRPr="00036FAC">
        <w:t>because</w:t>
      </w:r>
      <w:r w:rsidR="00907D8C">
        <w:t xml:space="preserve"> </w:t>
      </w:r>
      <w:r w:rsidRPr="00036FAC">
        <w:t>of</w:t>
      </w:r>
      <w:r w:rsidR="00907D8C">
        <w:t xml:space="preserve"> </w:t>
      </w:r>
      <w:r w:rsidRPr="00036FAC">
        <w:t>an</w:t>
      </w:r>
      <w:r w:rsidR="00907D8C">
        <w:t xml:space="preserve"> </w:t>
      </w:r>
      <w:r w:rsidRPr="00036FAC">
        <w:t>increase</w:t>
      </w:r>
      <w:r w:rsidR="00907D8C">
        <w:t xml:space="preserve"> </w:t>
      </w:r>
      <w:r w:rsidR="00BC582B">
        <w:t>in</w:t>
      </w:r>
      <w:r w:rsidR="00907D8C">
        <w:t xml:space="preserve"> </w:t>
      </w:r>
      <w:r w:rsidR="00BC582B">
        <w:t>actual</w:t>
      </w:r>
      <w:r w:rsidR="00907D8C">
        <w:t xml:space="preserve"> </w:t>
      </w:r>
      <w:r w:rsidR="00BC582B">
        <w:t>GNI</w:t>
      </w:r>
      <w:r w:rsidR="00907D8C">
        <w:t xml:space="preserve"> </w:t>
      </w:r>
      <w:r w:rsidR="00BC582B">
        <w:t>against</w:t>
      </w:r>
      <w:r w:rsidR="00907D8C">
        <w:t xml:space="preserve"> </w:t>
      </w:r>
      <w:r w:rsidR="00BC582B">
        <w:t>forecast,</w:t>
      </w:r>
      <w:r w:rsidR="00907D8C">
        <w:t xml:space="preserve"> </w:t>
      </w:r>
      <w:r w:rsidRPr="00036FAC">
        <w:t>and</w:t>
      </w:r>
      <w:r w:rsidR="00907D8C">
        <w:t xml:space="preserve"> </w:t>
      </w:r>
      <w:r w:rsidRPr="00036FAC">
        <w:t>a</w:t>
      </w:r>
      <w:r w:rsidR="00907D8C">
        <w:t xml:space="preserve"> </w:t>
      </w:r>
      <w:r w:rsidRPr="00036FAC">
        <w:t>Government</w:t>
      </w:r>
      <w:r w:rsidR="00907D8C">
        <w:t xml:space="preserve"> </w:t>
      </w:r>
      <w:r w:rsidRPr="00036FAC">
        <w:t>decision</w:t>
      </w:r>
      <w:r w:rsidR="00907D8C">
        <w:t xml:space="preserve"> </w:t>
      </w:r>
      <w:r w:rsidRPr="00036FAC">
        <w:t>to</w:t>
      </w:r>
      <w:r w:rsidR="00907D8C">
        <w:t xml:space="preserve"> </w:t>
      </w:r>
      <w:r w:rsidRPr="00036FAC">
        <w:t>make</w:t>
      </w:r>
      <w:r w:rsidR="00907D8C">
        <w:t xml:space="preserve"> </w:t>
      </w:r>
      <w:r w:rsidRPr="00036FAC">
        <w:t>an</w:t>
      </w:r>
      <w:r w:rsidR="00907D8C">
        <w:t xml:space="preserve"> </w:t>
      </w:r>
      <w:r w:rsidRPr="00036FAC">
        <w:t>absolu</w:t>
      </w:r>
      <w:r w:rsidR="00BC582B">
        <w:t>te</w:t>
      </w:r>
      <w:r w:rsidR="00907D8C">
        <w:t xml:space="preserve"> </w:t>
      </w:r>
      <w:r w:rsidR="00BC582B">
        <w:t>dollar</w:t>
      </w:r>
      <w:r w:rsidR="00907D8C">
        <w:t xml:space="preserve"> </w:t>
      </w:r>
      <w:r w:rsidR="00BC582B">
        <w:t>expenditure</w:t>
      </w:r>
      <w:r w:rsidR="00907D8C">
        <w:t xml:space="preserve"> </w:t>
      </w:r>
      <w:r w:rsidR="00BC582B">
        <w:t>increase,</w:t>
      </w:r>
      <w:r w:rsidR="00907D8C">
        <w:t xml:space="preserve"> </w:t>
      </w:r>
      <w:r w:rsidRPr="00036FAC">
        <w:t>rather</w:t>
      </w:r>
      <w:r w:rsidR="00907D8C">
        <w:t xml:space="preserve"> </w:t>
      </w:r>
      <w:r w:rsidRPr="00036FAC">
        <w:t>than</w:t>
      </w:r>
      <w:r w:rsidR="00907D8C">
        <w:t xml:space="preserve"> </w:t>
      </w:r>
      <w:r w:rsidRPr="00036FAC">
        <w:t>a</w:t>
      </w:r>
      <w:r w:rsidR="00907D8C">
        <w:t xml:space="preserve"> </w:t>
      </w:r>
      <w:r w:rsidRPr="00036FAC">
        <w:t>proportion</w:t>
      </w:r>
      <w:r w:rsidR="00907D8C">
        <w:t xml:space="preserve"> </w:t>
      </w:r>
      <w:r w:rsidRPr="00036FAC">
        <w:t>of</w:t>
      </w:r>
      <w:r w:rsidR="00907D8C">
        <w:t xml:space="preserve"> </w:t>
      </w:r>
      <w:r w:rsidRPr="00036FAC">
        <w:t>GNI.</w:t>
      </w:r>
      <w:r w:rsidR="00907D8C">
        <w:t xml:space="preserve"> </w:t>
      </w:r>
      <w:r w:rsidR="00BC582B">
        <w:t>Expenditure</w:t>
      </w:r>
      <w:r w:rsidR="00907D8C">
        <w:t xml:space="preserve"> </w:t>
      </w:r>
      <w:r w:rsidR="00BC582B">
        <w:t>against</w:t>
      </w:r>
      <w:r w:rsidR="00907D8C">
        <w:t xml:space="preserve"> </w:t>
      </w:r>
      <w:r w:rsidR="00BC582B">
        <w:t>budget</w:t>
      </w:r>
      <w:r w:rsidR="00907D8C">
        <w:t xml:space="preserve"> </w:t>
      </w:r>
      <w:r w:rsidRPr="00036FAC">
        <w:t>was</w:t>
      </w:r>
      <w:r w:rsidR="00907D8C">
        <w:t xml:space="preserve"> </w:t>
      </w:r>
      <w:r w:rsidRPr="00036FAC">
        <w:t>slightly</w:t>
      </w:r>
      <w:r w:rsidR="00907D8C">
        <w:t xml:space="preserve"> </w:t>
      </w:r>
      <w:r w:rsidRPr="00036FAC">
        <w:t>lower</w:t>
      </w:r>
      <w:r w:rsidR="00907D8C">
        <w:t xml:space="preserve"> </w:t>
      </w:r>
      <w:r w:rsidRPr="00036FAC">
        <w:t>over</w:t>
      </w:r>
      <w:r w:rsidR="00907D8C">
        <w:t xml:space="preserve"> </w:t>
      </w:r>
      <w:r w:rsidR="00BC582B">
        <w:t>Calendar</w:t>
      </w:r>
      <w:r w:rsidR="00907D8C">
        <w:t xml:space="preserve"> </w:t>
      </w:r>
      <w:r w:rsidRPr="00036FAC">
        <w:t>Year</w:t>
      </w:r>
      <w:r w:rsidR="00907D8C">
        <w:t xml:space="preserve"> </w:t>
      </w:r>
      <w:r w:rsidRPr="00036FAC">
        <w:t>2009,</w:t>
      </w:r>
      <w:r w:rsidR="00907D8C">
        <w:t xml:space="preserve"> </w:t>
      </w:r>
      <w:r w:rsidRPr="00036FAC">
        <w:t>but</w:t>
      </w:r>
      <w:r w:rsidR="00907D8C">
        <w:t xml:space="preserve"> </w:t>
      </w:r>
      <w:r w:rsidRPr="00036FAC">
        <w:t>the</w:t>
      </w:r>
      <w:r w:rsidR="00907D8C">
        <w:t xml:space="preserve"> </w:t>
      </w:r>
      <w:r w:rsidRPr="00036FAC">
        <w:t>ODA</w:t>
      </w:r>
      <w:r w:rsidR="00907D8C">
        <w:t xml:space="preserve"> </w:t>
      </w:r>
      <w:r w:rsidRPr="00036FAC">
        <w:t>budget</w:t>
      </w:r>
      <w:r w:rsidR="00907D8C">
        <w:t xml:space="preserve"> </w:t>
      </w:r>
      <w:r w:rsidRPr="00036FAC">
        <w:t>is</w:t>
      </w:r>
      <w:r w:rsidR="00907D8C">
        <w:t xml:space="preserve"> </w:t>
      </w:r>
      <w:r w:rsidRPr="00036FAC">
        <w:t>set</w:t>
      </w:r>
      <w:r w:rsidR="00907D8C">
        <w:t xml:space="preserve"> </w:t>
      </w:r>
      <w:r w:rsidRPr="00036FAC">
        <w:t>to</w:t>
      </w:r>
      <w:r w:rsidR="00907D8C">
        <w:t xml:space="preserve"> </w:t>
      </w:r>
      <w:r w:rsidRPr="00036FAC">
        <w:t>rise</w:t>
      </w:r>
      <w:r w:rsidR="00907D8C">
        <w:t xml:space="preserve"> </w:t>
      </w:r>
      <w:r w:rsidRPr="00036FAC">
        <w:t>by</w:t>
      </w:r>
      <w:r w:rsidR="00907D8C">
        <w:t xml:space="preserve"> </w:t>
      </w:r>
      <w:r w:rsidRPr="00036FAC">
        <w:t>$25m</w:t>
      </w:r>
      <w:r w:rsidR="00907D8C">
        <w:t xml:space="preserve"> </w:t>
      </w:r>
      <w:r w:rsidRPr="00036FAC">
        <w:t>ea</w:t>
      </w:r>
      <w:r w:rsidR="00BC582B">
        <w:t>c</w:t>
      </w:r>
      <w:r w:rsidRPr="00036FAC">
        <w:t>h</w:t>
      </w:r>
      <w:r w:rsidR="00907D8C">
        <w:t xml:space="preserve"> </w:t>
      </w:r>
      <w:r w:rsidRPr="00036FAC">
        <w:t>year</w:t>
      </w:r>
      <w:r w:rsidR="00907D8C">
        <w:t xml:space="preserve"> </w:t>
      </w:r>
      <w:r w:rsidRPr="00036FAC">
        <w:t>to</w:t>
      </w:r>
      <w:r w:rsidR="00907D8C">
        <w:t xml:space="preserve"> </w:t>
      </w:r>
      <w:r w:rsidRPr="00036FAC">
        <w:t>2012/13.</w:t>
      </w:r>
    </w:p>
    <w:p w:rsidR="00036FAC" w:rsidRPr="00036FAC" w:rsidRDefault="00036FAC" w:rsidP="006C436C">
      <w:pPr>
        <w:pStyle w:val="H23G"/>
      </w:pPr>
      <w:r w:rsidRPr="00036FAC">
        <w:tab/>
        <w:t>(h)</w:t>
      </w:r>
      <w:r w:rsidRPr="00036FAC">
        <w:tab/>
        <w:t>External</w:t>
      </w:r>
      <w:r w:rsidR="00907D8C">
        <w:t xml:space="preserve"> </w:t>
      </w:r>
      <w:r w:rsidRPr="00036FAC">
        <w:t>and</w:t>
      </w:r>
      <w:r w:rsidR="00907D8C">
        <w:t xml:space="preserve"> </w:t>
      </w:r>
      <w:r w:rsidRPr="00036FAC">
        <w:t>internal</w:t>
      </w:r>
      <w:r w:rsidR="00907D8C">
        <w:t xml:space="preserve"> </w:t>
      </w:r>
      <w:r w:rsidRPr="00036FAC">
        <w:t>public</w:t>
      </w:r>
      <w:r w:rsidR="00907D8C">
        <w:t xml:space="preserve"> </w:t>
      </w:r>
      <w:r w:rsidRPr="00036FAC">
        <w:t>debt</w:t>
      </w:r>
    </w:p>
    <w:p w:rsidR="00036FAC" w:rsidRPr="00036FAC" w:rsidRDefault="00036FAC" w:rsidP="00006D5C">
      <w:pPr>
        <w:pStyle w:val="StyleSingleTxtGAfter3pt"/>
      </w:pPr>
      <w:r w:rsidRPr="00036FAC">
        <w:t>43.</w:t>
      </w:r>
      <w:r w:rsidRPr="00036FAC">
        <w:tab/>
        <w:t>Table</w:t>
      </w:r>
      <w:r w:rsidR="00907D8C">
        <w:t xml:space="preserve"> </w:t>
      </w:r>
      <w:r w:rsidRPr="00036FAC">
        <w:t>12</w:t>
      </w:r>
      <w:r w:rsidR="00907D8C">
        <w:t xml:space="preserve"> </w:t>
      </w:r>
      <w:r w:rsidRPr="00036FAC">
        <w:t>presents</w:t>
      </w:r>
      <w:r w:rsidR="00907D8C">
        <w:t xml:space="preserve"> </w:t>
      </w:r>
      <w:r w:rsidRPr="00036FAC">
        <w:t>core</w:t>
      </w:r>
      <w:r w:rsidR="00907D8C">
        <w:t xml:space="preserve"> </w:t>
      </w:r>
      <w:r w:rsidRPr="00036FAC">
        <w:t>public</w:t>
      </w:r>
      <w:r w:rsidR="00907D8C">
        <w:t xml:space="preserve"> </w:t>
      </w:r>
      <w:r w:rsidRPr="00036FAC">
        <w:t>debt,</w:t>
      </w:r>
      <w:r w:rsidR="00907D8C">
        <w:t xml:space="preserve"> </w:t>
      </w:r>
      <w:r w:rsidRPr="00036FAC">
        <w:t>which</w:t>
      </w:r>
      <w:r w:rsidR="00907D8C">
        <w:t xml:space="preserve"> </w:t>
      </w:r>
      <w:r w:rsidRPr="00036FAC">
        <w:t>is</w:t>
      </w:r>
      <w:r w:rsidR="00907D8C">
        <w:t xml:space="preserve"> </w:t>
      </w:r>
      <w:r w:rsidRPr="00036FAC">
        <w:t>made</w:t>
      </w:r>
      <w:r w:rsidR="00907D8C">
        <w:t xml:space="preserve"> </w:t>
      </w:r>
      <w:r w:rsidRPr="00036FAC">
        <w:t>up</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(domestic)</w:t>
      </w:r>
      <w:r w:rsidR="00907D8C">
        <w:t xml:space="preserve"> </w:t>
      </w:r>
      <w:r w:rsidRPr="00036FAC">
        <w:t>and</w:t>
      </w:r>
      <w:r w:rsidR="00907D8C">
        <w:t xml:space="preserve"> </w:t>
      </w:r>
      <w:r w:rsidRPr="00036FAC">
        <w:t>fo</w:t>
      </w:r>
      <w:r w:rsidR="00BC582B">
        <w:t>reign</w:t>
      </w:r>
      <w:r w:rsidR="00907D8C">
        <w:t xml:space="preserve"> </w:t>
      </w:r>
      <w:r w:rsidR="00BC582B">
        <w:t>(external)</w:t>
      </w:r>
      <w:r w:rsidR="00907D8C">
        <w:t xml:space="preserve"> </w:t>
      </w:r>
      <w:r w:rsidR="00BC582B">
        <w:t>currency</w:t>
      </w:r>
      <w:r w:rsidR="00907D8C">
        <w:t xml:space="preserve"> </w:t>
      </w:r>
      <w:r w:rsidR="00BC582B">
        <w:t>debt.</w:t>
      </w:r>
      <w:r w:rsidR="00907D8C">
        <w:t xml:space="preserve"> </w:t>
      </w:r>
      <w:r w:rsidRPr="00036FAC">
        <w:t>Core</w:t>
      </w:r>
      <w:r w:rsidR="00907D8C">
        <w:t xml:space="preserve"> </w:t>
      </w:r>
      <w:r w:rsidRPr="00036FAC">
        <w:t>crown</w:t>
      </w:r>
      <w:r w:rsidR="00907D8C">
        <w:t xml:space="preserve"> </w:t>
      </w:r>
      <w:r w:rsidRPr="00036FAC">
        <w:t>debt</w:t>
      </w:r>
      <w:r w:rsidR="00907D8C">
        <w:t xml:space="preserve"> </w:t>
      </w:r>
      <w:r w:rsidRPr="00036FAC">
        <w:t>represents</w:t>
      </w:r>
      <w:r w:rsidR="00907D8C">
        <w:t xml:space="preserve"> </w:t>
      </w:r>
      <w:r w:rsidRPr="00036FAC">
        <w:t>borrowings</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departments,</w:t>
      </w:r>
      <w:r w:rsidR="00907D8C">
        <w:t xml:space="preserve"> </w:t>
      </w:r>
      <w:r w:rsidRPr="00036FAC">
        <w:t>offices</w:t>
      </w:r>
      <w:r w:rsidR="00907D8C">
        <w:t xml:space="preserve"> </w:t>
      </w:r>
      <w:r w:rsidRPr="00036FAC">
        <w:t>of</w:t>
      </w:r>
      <w:r w:rsidR="00907D8C">
        <w:t xml:space="preserve"> </w:t>
      </w:r>
      <w:r w:rsidRPr="00036FAC">
        <w:t>Parliament,</w:t>
      </w:r>
      <w:r w:rsidR="00907D8C">
        <w:t xml:space="preserve"> </w:t>
      </w:r>
      <w:r w:rsidRPr="00036FAC">
        <w:t>and</w:t>
      </w:r>
      <w:r w:rsidR="00907D8C">
        <w:t xml:space="preserve"> </w:t>
      </w:r>
      <w:r w:rsidRPr="00036FAC">
        <w:t>the</w:t>
      </w:r>
      <w:r w:rsidR="00907D8C">
        <w:t xml:space="preserve"> </w:t>
      </w:r>
      <w:r w:rsidRPr="00036FAC">
        <w:t>Reserve</w:t>
      </w:r>
      <w:r w:rsidR="00907D8C">
        <w:t xml:space="preserve"> </w:t>
      </w:r>
      <w:r w:rsidRPr="00036FAC">
        <w:t>Bank,</w:t>
      </w:r>
      <w:r w:rsidR="00907D8C">
        <w:t xml:space="preserve"> </w:t>
      </w:r>
      <w:r w:rsidRPr="00036FAC">
        <w:t>and</w:t>
      </w:r>
      <w:r w:rsidR="00907D8C">
        <w:t xml:space="preserve"> </w:t>
      </w:r>
      <w:r w:rsidRPr="00036FAC">
        <w:t>therefore</w:t>
      </w:r>
      <w:r w:rsidR="00907D8C">
        <w:t xml:space="preserve"> </w:t>
      </w:r>
      <w:r w:rsidRPr="00036FAC">
        <w:t>excludes</w:t>
      </w:r>
      <w:r w:rsidR="00907D8C">
        <w:t xml:space="preserve"> </w:t>
      </w:r>
      <w:r w:rsidRPr="00036FAC">
        <w:t>the</w:t>
      </w:r>
      <w:r w:rsidR="00907D8C">
        <w:t xml:space="preserve"> </w:t>
      </w:r>
      <w:r w:rsidRPr="00036FAC">
        <w:t>debt</w:t>
      </w:r>
      <w:r w:rsidR="00907D8C">
        <w:t xml:space="preserve"> </w:t>
      </w:r>
      <w:r w:rsidRPr="00036FAC">
        <w:t>of</w:t>
      </w:r>
      <w:r w:rsidR="00907D8C">
        <w:t xml:space="preserve"> </w:t>
      </w:r>
      <w:r w:rsidRPr="00036FAC">
        <w:t>state-owned</w:t>
      </w:r>
      <w:r w:rsidR="00907D8C">
        <w:t xml:space="preserve"> </w:t>
      </w:r>
      <w:r w:rsidRPr="00036FAC">
        <w:t>enterprises.</w:t>
      </w:r>
    </w:p>
    <w:p w:rsidR="00BC582B" w:rsidRDefault="00BC582B" w:rsidP="00BC582B">
      <w:pPr>
        <w:pStyle w:val="Heading1"/>
      </w:pPr>
      <w:bookmarkStart w:id="39" w:name="_Toc275331913"/>
      <w:r>
        <w:t>Table</w:t>
      </w:r>
      <w:r w:rsidR="00907D8C">
        <w:t xml:space="preserve"> </w:t>
      </w:r>
      <w:r>
        <w:t>12</w:t>
      </w:r>
    </w:p>
    <w:p w:rsidR="00036FAC" w:rsidRPr="00BC582B" w:rsidRDefault="00036FAC" w:rsidP="00DA1E10">
      <w:pPr>
        <w:pStyle w:val="SingleTxtG"/>
        <w:rPr>
          <w:b/>
        </w:rPr>
      </w:pPr>
      <w:r w:rsidRPr="00BC582B">
        <w:rPr>
          <w:b/>
        </w:rPr>
        <w:t>External</w:t>
      </w:r>
      <w:r w:rsidR="00907D8C">
        <w:rPr>
          <w:b/>
        </w:rPr>
        <w:t xml:space="preserve"> </w:t>
      </w:r>
      <w:r w:rsidRPr="00BC582B">
        <w:rPr>
          <w:b/>
        </w:rPr>
        <w:t>and</w:t>
      </w:r>
      <w:r w:rsidR="00907D8C">
        <w:rPr>
          <w:b/>
        </w:rPr>
        <w:t xml:space="preserve"> </w:t>
      </w:r>
      <w:r w:rsidRPr="00BC582B">
        <w:rPr>
          <w:b/>
        </w:rPr>
        <w:t>internal</w:t>
      </w:r>
      <w:r w:rsidR="00907D8C">
        <w:rPr>
          <w:b/>
        </w:rPr>
        <w:t xml:space="preserve"> </w:t>
      </w:r>
      <w:r w:rsidRPr="00BC582B">
        <w:rPr>
          <w:b/>
        </w:rPr>
        <w:t>public</w:t>
      </w:r>
      <w:r w:rsidR="00907D8C">
        <w:rPr>
          <w:b/>
        </w:rPr>
        <w:t xml:space="preserve"> </w:t>
      </w:r>
      <w:r w:rsidRPr="00BC582B">
        <w:rPr>
          <w:b/>
        </w:rPr>
        <w:t>debt</w:t>
      </w:r>
      <w:bookmarkEnd w:id="39"/>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40"/>
        <w:gridCol w:w="1367"/>
        <w:gridCol w:w="1368"/>
        <w:gridCol w:w="1368"/>
        <w:gridCol w:w="1381"/>
        <w:gridCol w:w="1381"/>
      </w:tblGrid>
      <w:tr w:rsidR="00036FAC" w:rsidRPr="00BC582B" w:rsidTr="005315CA">
        <w:trPr>
          <w:trHeight w:val="240"/>
          <w:tblHeader/>
        </w:trPr>
        <w:tc>
          <w:tcPr>
            <w:tcW w:w="1728"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rPr>
                <w:i/>
                <w:sz w:val="16"/>
              </w:rPr>
            </w:pPr>
          </w:p>
        </w:tc>
        <w:tc>
          <w:tcPr>
            <w:tcW w:w="1440"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12</w:t>
            </w:r>
            <w:r w:rsidR="00907D8C">
              <w:rPr>
                <w:i/>
                <w:sz w:val="16"/>
              </w:rPr>
              <w:t xml:space="preserve"> </w:t>
            </w:r>
            <w:r w:rsidRPr="00BC582B">
              <w:rPr>
                <w:i/>
                <w:sz w:val="16"/>
              </w:rPr>
              <w:t>months</w:t>
            </w:r>
            <w:r w:rsidR="00907D8C">
              <w:rPr>
                <w:i/>
                <w:sz w:val="16"/>
              </w:rPr>
              <w:t xml:space="preserve"> </w:t>
            </w:r>
            <w:r w:rsidRPr="00BC582B">
              <w:rPr>
                <w:i/>
                <w:sz w:val="16"/>
              </w:rPr>
              <w:t>to</w:t>
            </w:r>
            <w:r w:rsidR="00DA1E10">
              <w:rPr>
                <w:i/>
                <w:sz w:val="16"/>
              </w:rPr>
              <w:br/>
            </w:r>
            <w:r w:rsidRPr="00BC582B">
              <w:rPr>
                <w:i/>
                <w:sz w:val="16"/>
              </w:rPr>
              <w:t>30</w:t>
            </w:r>
            <w:r w:rsidR="00907D8C">
              <w:rPr>
                <w:i/>
                <w:sz w:val="16"/>
              </w:rPr>
              <w:t xml:space="preserve"> </w:t>
            </w:r>
            <w:r w:rsidRPr="00BC582B">
              <w:rPr>
                <w:i/>
                <w:sz w:val="16"/>
              </w:rPr>
              <w:t>June</w:t>
            </w:r>
            <w:r w:rsidR="00907D8C">
              <w:rPr>
                <w:i/>
                <w:sz w:val="16"/>
              </w:rPr>
              <w:t xml:space="preserve"> </w:t>
            </w:r>
            <w:r w:rsidRPr="00BC582B">
              <w:rPr>
                <w:i/>
                <w:sz w:val="16"/>
              </w:rPr>
              <w:t>2005</w:t>
            </w:r>
            <w:r w:rsidR="00DA1E10">
              <w:rPr>
                <w:i/>
                <w:sz w:val="16"/>
              </w:rPr>
              <w:br/>
            </w:r>
            <w:r w:rsidRPr="00BC582B">
              <w:rPr>
                <w:i/>
                <w:sz w:val="16"/>
              </w:rPr>
              <w:t>$</w:t>
            </w:r>
            <w:r w:rsidR="00907D8C">
              <w:rPr>
                <w:i/>
                <w:sz w:val="16"/>
              </w:rPr>
              <w:t xml:space="preserve"> </w:t>
            </w:r>
            <w:r w:rsidRPr="00BC582B">
              <w:rPr>
                <w:i/>
                <w:sz w:val="16"/>
              </w:rPr>
              <w:t>millions</w:t>
            </w:r>
          </w:p>
        </w:tc>
        <w:tc>
          <w:tcPr>
            <w:tcW w:w="1440"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12</w:t>
            </w:r>
            <w:r w:rsidR="00907D8C">
              <w:rPr>
                <w:i/>
                <w:sz w:val="16"/>
              </w:rPr>
              <w:t xml:space="preserve"> </w:t>
            </w:r>
            <w:r w:rsidRPr="00BC582B">
              <w:rPr>
                <w:i/>
                <w:sz w:val="16"/>
              </w:rPr>
              <w:t>months</w:t>
            </w:r>
            <w:r w:rsidR="00907D8C">
              <w:rPr>
                <w:i/>
                <w:sz w:val="16"/>
              </w:rPr>
              <w:t xml:space="preserve"> </w:t>
            </w:r>
            <w:r w:rsidRPr="00BC582B">
              <w:rPr>
                <w:i/>
                <w:sz w:val="16"/>
              </w:rPr>
              <w:t>to</w:t>
            </w:r>
            <w:r w:rsidR="00DA1E10">
              <w:rPr>
                <w:i/>
                <w:sz w:val="16"/>
              </w:rPr>
              <w:br/>
            </w:r>
            <w:r w:rsidRPr="00BC582B">
              <w:rPr>
                <w:i/>
                <w:sz w:val="16"/>
              </w:rPr>
              <w:t>30</w:t>
            </w:r>
            <w:r w:rsidR="00907D8C">
              <w:rPr>
                <w:i/>
                <w:sz w:val="16"/>
              </w:rPr>
              <w:t xml:space="preserve"> </w:t>
            </w:r>
            <w:r w:rsidRPr="00BC582B">
              <w:rPr>
                <w:i/>
                <w:sz w:val="16"/>
              </w:rPr>
              <w:t>June</w:t>
            </w:r>
            <w:r w:rsidR="00907D8C">
              <w:rPr>
                <w:i/>
                <w:sz w:val="16"/>
              </w:rPr>
              <w:t xml:space="preserve"> </w:t>
            </w:r>
            <w:r w:rsidRPr="00BC582B">
              <w:rPr>
                <w:i/>
                <w:sz w:val="16"/>
              </w:rPr>
              <w:t>2006</w:t>
            </w:r>
            <w:r w:rsidR="00DA1E10">
              <w:rPr>
                <w:i/>
                <w:sz w:val="16"/>
              </w:rPr>
              <w:br/>
            </w:r>
            <w:r w:rsidRPr="00BC582B">
              <w:rPr>
                <w:i/>
                <w:sz w:val="16"/>
              </w:rPr>
              <w:t>$</w:t>
            </w:r>
            <w:r w:rsidR="00907D8C">
              <w:rPr>
                <w:i/>
                <w:sz w:val="16"/>
              </w:rPr>
              <w:t xml:space="preserve"> </w:t>
            </w:r>
            <w:r w:rsidRPr="00BC582B">
              <w:rPr>
                <w:i/>
                <w:sz w:val="16"/>
              </w:rPr>
              <w:t>millions</w:t>
            </w:r>
          </w:p>
        </w:tc>
        <w:tc>
          <w:tcPr>
            <w:tcW w:w="1440"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12</w:t>
            </w:r>
            <w:r w:rsidR="00907D8C">
              <w:rPr>
                <w:i/>
                <w:sz w:val="16"/>
              </w:rPr>
              <w:t xml:space="preserve"> </w:t>
            </w:r>
            <w:r w:rsidRPr="00BC582B">
              <w:rPr>
                <w:i/>
                <w:sz w:val="16"/>
              </w:rPr>
              <w:t>months</w:t>
            </w:r>
            <w:r w:rsidR="00907D8C">
              <w:rPr>
                <w:i/>
                <w:sz w:val="16"/>
              </w:rPr>
              <w:t xml:space="preserve"> </w:t>
            </w:r>
            <w:r w:rsidRPr="00BC582B">
              <w:rPr>
                <w:i/>
                <w:sz w:val="16"/>
              </w:rPr>
              <w:t>to</w:t>
            </w:r>
            <w:r w:rsidR="00DA1E10">
              <w:rPr>
                <w:i/>
                <w:sz w:val="16"/>
              </w:rPr>
              <w:br/>
            </w:r>
            <w:r w:rsidRPr="00BC582B">
              <w:rPr>
                <w:i/>
                <w:sz w:val="16"/>
              </w:rPr>
              <w:t>30</w:t>
            </w:r>
            <w:r w:rsidR="00907D8C">
              <w:rPr>
                <w:i/>
                <w:sz w:val="16"/>
              </w:rPr>
              <w:t xml:space="preserve"> </w:t>
            </w:r>
            <w:r w:rsidRPr="00BC582B">
              <w:rPr>
                <w:i/>
                <w:sz w:val="16"/>
              </w:rPr>
              <w:t>June</w:t>
            </w:r>
            <w:r w:rsidR="00907D8C">
              <w:rPr>
                <w:i/>
                <w:sz w:val="16"/>
              </w:rPr>
              <w:t xml:space="preserve"> </w:t>
            </w:r>
            <w:r w:rsidRPr="00BC582B">
              <w:rPr>
                <w:i/>
                <w:sz w:val="16"/>
              </w:rPr>
              <w:t>2007</w:t>
            </w:r>
            <w:r w:rsidR="00DA1E10">
              <w:rPr>
                <w:i/>
                <w:sz w:val="16"/>
              </w:rPr>
              <w:br/>
            </w:r>
            <w:r w:rsidRPr="00BC582B">
              <w:rPr>
                <w:i/>
                <w:sz w:val="16"/>
              </w:rPr>
              <w:t>$</w:t>
            </w:r>
            <w:r w:rsidR="00907D8C">
              <w:rPr>
                <w:i/>
                <w:sz w:val="16"/>
              </w:rPr>
              <w:t xml:space="preserve"> </w:t>
            </w:r>
            <w:r w:rsidRPr="00BC582B">
              <w:rPr>
                <w:i/>
                <w:sz w:val="16"/>
              </w:rPr>
              <w:t>millions</w:t>
            </w:r>
          </w:p>
        </w:tc>
        <w:tc>
          <w:tcPr>
            <w:tcW w:w="1454"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12</w:t>
            </w:r>
            <w:r w:rsidR="00907D8C">
              <w:rPr>
                <w:i/>
                <w:sz w:val="16"/>
              </w:rPr>
              <w:t xml:space="preserve"> </w:t>
            </w:r>
            <w:r w:rsidRPr="00BC582B">
              <w:rPr>
                <w:i/>
                <w:sz w:val="16"/>
              </w:rPr>
              <w:t>months</w:t>
            </w:r>
            <w:r w:rsidR="00907D8C">
              <w:rPr>
                <w:i/>
                <w:sz w:val="16"/>
              </w:rPr>
              <w:t xml:space="preserve"> </w:t>
            </w:r>
            <w:r w:rsidRPr="00BC582B">
              <w:rPr>
                <w:i/>
                <w:sz w:val="16"/>
              </w:rPr>
              <w:t>to</w:t>
            </w:r>
            <w:r w:rsidR="00DA1E10">
              <w:rPr>
                <w:i/>
                <w:sz w:val="16"/>
              </w:rPr>
              <w:br/>
            </w:r>
            <w:r w:rsidRPr="00BC582B">
              <w:rPr>
                <w:i/>
                <w:sz w:val="16"/>
              </w:rPr>
              <w:t>30</w:t>
            </w:r>
            <w:r w:rsidR="00907D8C">
              <w:rPr>
                <w:i/>
                <w:sz w:val="16"/>
              </w:rPr>
              <w:t xml:space="preserve"> </w:t>
            </w:r>
            <w:r w:rsidRPr="00BC582B">
              <w:rPr>
                <w:i/>
                <w:sz w:val="16"/>
              </w:rPr>
              <w:t>June</w:t>
            </w:r>
            <w:r w:rsidR="00907D8C">
              <w:rPr>
                <w:i/>
                <w:sz w:val="16"/>
              </w:rPr>
              <w:t xml:space="preserve"> </w:t>
            </w:r>
            <w:r w:rsidRPr="00BC582B">
              <w:rPr>
                <w:i/>
                <w:sz w:val="16"/>
              </w:rPr>
              <w:t>2008</w:t>
            </w:r>
            <w:r w:rsidR="00DA1E10">
              <w:rPr>
                <w:i/>
                <w:sz w:val="16"/>
              </w:rPr>
              <w:br/>
            </w:r>
            <w:r w:rsidRPr="00BC582B">
              <w:rPr>
                <w:i/>
                <w:sz w:val="16"/>
              </w:rPr>
              <w:t>$</w:t>
            </w:r>
            <w:r w:rsidR="00907D8C">
              <w:rPr>
                <w:i/>
                <w:sz w:val="16"/>
              </w:rPr>
              <w:t xml:space="preserve"> </w:t>
            </w:r>
            <w:r w:rsidRPr="00BC582B">
              <w:rPr>
                <w:i/>
                <w:sz w:val="16"/>
              </w:rPr>
              <w:t>millions</w:t>
            </w:r>
          </w:p>
        </w:tc>
        <w:tc>
          <w:tcPr>
            <w:tcW w:w="1454" w:type="dxa"/>
            <w:tcBorders>
              <w:top w:val="single" w:sz="4" w:space="0" w:color="auto"/>
              <w:bottom w:val="single" w:sz="12" w:space="0" w:color="auto"/>
            </w:tcBorders>
            <w:shd w:val="clear" w:color="auto" w:fill="auto"/>
            <w:vAlign w:val="bottom"/>
          </w:tcPr>
          <w:p w:rsidR="00036FAC" w:rsidRPr="00BC582B" w:rsidRDefault="00036FAC" w:rsidP="00BC582B">
            <w:pPr>
              <w:suppressAutoHyphens w:val="0"/>
              <w:spacing w:before="80" w:after="80" w:line="200" w:lineRule="exact"/>
              <w:ind w:right="113"/>
              <w:jc w:val="right"/>
              <w:rPr>
                <w:i/>
                <w:sz w:val="16"/>
              </w:rPr>
            </w:pPr>
            <w:r w:rsidRPr="00BC582B">
              <w:rPr>
                <w:i/>
                <w:sz w:val="16"/>
              </w:rPr>
              <w:t>12</w:t>
            </w:r>
            <w:r w:rsidR="00907D8C">
              <w:rPr>
                <w:i/>
                <w:sz w:val="16"/>
              </w:rPr>
              <w:t xml:space="preserve"> </w:t>
            </w:r>
            <w:r w:rsidRPr="00BC582B">
              <w:rPr>
                <w:i/>
                <w:sz w:val="16"/>
              </w:rPr>
              <w:t>months</w:t>
            </w:r>
            <w:r w:rsidR="00907D8C">
              <w:rPr>
                <w:i/>
                <w:sz w:val="16"/>
              </w:rPr>
              <w:t xml:space="preserve"> </w:t>
            </w:r>
            <w:r w:rsidRPr="00BC582B">
              <w:rPr>
                <w:i/>
                <w:sz w:val="16"/>
              </w:rPr>
              <w:t>to</w:t>
            </w:r>
            <w:r w:rsidR="00DA1E10">
              <w:rPr>
                <w:i/>
                <w:sz w:val="16"/>
              </w:rPr>
              <w:br/>
            </w:r>
            <w:r w:rsidRPr="00BC582B">
              <w:rPr>
                <w:i/>
                <w:sz w:val="16"/>
              </w:rPr>
              <w:t>30</w:t>
            </w:r>
            <w:r w:rsidR="00907D8C">
              <w:rPr>
                <w:i/>
                <w:sz w:val="16"/>
              </w:rPr>
              <w:t xml:space="preserve"> </w:t>
            </w:r>
            <w:r w:rsidRPr="00BC582B">
              <w:rPr>
                <w:i/>
                <w:sz w:val="16"/>
              </w:rPr>
              <w:t>June</w:t>
            </w:r>
            <w:r w:rsidR="00907D8C">
              <w:rPr>
                <w:i/>
                <w:sz w:val="16"/>
              </w:rPr>
              <w:t xml:space="preserve"> </w:t>
            </w:r>
            <w:r w:rsidRPr="00BC582B">
              <w:rPr>
                <w:i/>
                <w:sz w:val="16"/>
              </w:rPr>
              <w:t>200</w:t>
            </w:r>
            <w:r w:rsidR="00DA1E10">
              <w:rPr>
                <w:i/>
                <w:sz w:val="16"/>
              </w:rPr>
              <w:t>9</w:t>
            </w:r>
            <w:r w:rsidR="00DA1E10">
              <w:rPr>
                <w:i/>
                <w:sz w:val="16"/>
              </w:rPr>
              <w:br/>
            </w:r>
            <w:r w:rsidRPr="00BC582B">
              <w:rPr>
                <w:i/>
                <w:sz w:val="16"/>
              </w:rPr>
              <w:t>$</w:t>
            </w:r>
            <w:r w:rsidR="00907D8C">
              <w:rPr>
                <w:i/>
                <w:sz w:val="16"/>
              </w:rPr>
              <w:t xml:space="preserve"> </w:t>
            </w:r>
            <w:r w:rsidRPr="00BC582B">
              <w:rPr>
                <w:i/>
                <w:sz w:val="16"/>
              </w:rPr>
              <w:t>millions</w:t>
            </w:r>
          </w:p>
        </w:tc>
      </w:tr>
      <w:tr w:rsidR="00036FAC" w:rsidRPr="00BC582B" w:rsidTr="005315CA">
        <w:trPr>
          <w:trHeight w:val="240"/>
        </w:trPr>
        <w:tc>
          <w:tcPr>
            <w:tcW w:w="1728" w:type="dxa"/>
            <w:tcBorders>
              <w:top w:val="single" w:sz="12" w:space="0" w:color="auto"/>
            </w:tcBorders>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New</w:t>
            </w:r>
            <w:r w:rsidR="00907D8C">
              <w:rPr>
                <w:sz w:val="18"/>
              </w:rPr>
              <w:t xml:space="preserve"> </w:t>
            </w:r>
            <w:r w:rsidRPr="00BC582B">
              <w:rPr>
                <w:sz w:val="18"/>
              </w:rPr>
              <w:t>Zealand</w:t>
            </w:r>
          </w:p>
        </w:tc>
        <w:tc>
          <w:tcPr>
            <w:tcW w:w="1440" w:type="dxa"/>
            <w:tcBorders>
              <w:top w:val="single" w:sz="12" w:space="0" w:color="auto"/>
            </w:tcBorders>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22</w:t>
            </w:r>
            <w:r w:rsidR="00907D8C">
              <w:rPr>
                <w:sz w:val="18"/>
              </w:rPr>
              <w:t xml:space="preserve"> </w:t>
            </w:r>
            <w:r w:rsidR="00036FAC" w:rsidRPr="00BC582B">
              <w:rPr>
                <w:sz w:val="18"/>
              </w:rPr>
              <w:t>163</w:t>
            </w:r>
          </w:p>
        </w:tc>
        <w:tc>
          <w:tcPr>
            <w:tcW w:w="1440" w:type="dxa"/>
            <w:tcBorders>
              <w:top w:val="single" w:sz="12" w:space="0" w:color="auto"/>
            </w:tcBorders>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16</w:t>
            </w:r>
            <w:r w:rsidR="00907D8C">
              <w:rPr>
                <w:sz w:val="18"/>
              </w:rPr>
              <w:t xml:space="preserve"> </w:t>
            </w:r>
            <w:r w:rsidR="00036FAC" w:rsidRPr="00BC582B">
              <w:rPr>
                <w:sz w:val="18"/>
              </w:rPr>
              <w:t>729</w:t>
            </w:r>
          </w:p>
        </w:tc>
        <w:tc>
          <w:tcPr>
            <w:tcW w:w="1440" w:type="dxa"/>
            <w:tcBorders>
              <w:top w:val="single" w:sz="12" w:space="0" w:color="auto"/>
            </w:tcBorders>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41</w:t>
            </w:r>
            <w:r w:rsidR="00907D8C">
              <w:rPr>
                <w:sz w:val="18"/>
              </w:rPr>
              <w:t xml:space="preserve"> </w:t>
            </w:r>
            <w:r w:rsidR="00036FAC" w:rsidRPr="00BC582B">
              <w:rPr>
                <w:sz w:val="18"/>
              </w:rPr>
              <w:t>547</w:t>
            </w:r>
          </w:p>
        </w:tc>
        <w:tc>
          <w:tcPr>
            <w:tcW w:w="1454" w:type="dxa"/>
            <w:tcBorders>
              <w:top w:val="single" w:sz="12" w:space="0" w:color="auto"/>
            </w:tcBorders>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18</w:t>
            </w:r>
            <w:r w:rsidR="00907D8C">
              <w:rPr>
                <w:sz w:val="18"/>
              </w:rPr>
              <w:t xml:space="preserve"> </w:t>
            </w:r>
            <w:r w:rsidR="00036FAC" w:rsidRPr="00BC582B">
              <w:rPr>
                <w:sz w:val="18"/>
              </w:rPr>
              <w:t>329</w:t>
            </w:r>
          </w:p>
        </w:tc>
        <w:tc>
          <w:tcPr>
            <w:tcW w:w="1454" w:type="dxa"/>
            <w:tcBorders>
              <w:top w:val="single" w:sz="12" w:space="0" w:color="auto"/>
            </w:tcBorders>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44</w:t>
            </w:r>
            <w:r w:rsidR="00907D8C">
              <w:rPr>
                <w:sz w:val="18"/>
              </w:rPr>
              <w:t xml:space="preserve"> </w:t>
            </w:r>
            <w:r w:rsidR="00036FAC" w:rsidRPr="00BC582B">
              <w:rPr>
                <w:sz w:val="18"/>
              </w:rPr>
              <w:t>285</w:t>
            </w:r>
          </w:p>
        </w:tc>
      </w:tr>
      <w:tr w:rsidR="00036FAC" w:rsidRPr="00BC582B" w:rsidTr="005315CA">
        <w:trPr>
          <w:trHeight w:val="240"/>
        </w:trPr>
        <w:tc>
          <w:tcPr>
            <w:tcW w:w="1728"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Foreign</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12</w:t>
            </w:r>
            <w:r w:rsidR="00907D8C">
              <w:rPr>
                <w:sz w:val="18"/>
              </w:rPr>
              <w:t xml:space="preserve"> </w:t>
            </w:r>
            <w:r w:rsidR="00036FAC" w:rsidRPr="00BC582B">
              <w:rPr>
                <w:sz w:val="18"/>
              </w:rPr>
              <w:t>882</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18</w:t>
            </w:r>
            <w:r w:rsidR="00907D8C">
              <w:rPr>
                <w:sz w:val="18"/>
              </w:rPr>
              <w:t xml:space="preserve"> </w:t>
            </w:r>
            <w:r w:rsidR="00036FAC" w:rsidRPr="00BC582B">
              <w:rPr>
                <w:sz w:val="18"/>
              </w:rPr>
              <w:t>732</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(5</w:t>
            </w:r>
            <w:r w:rsidR="00907D8C">
              <w:rPr>
                <w:sz w:val="18"/>
              </w:rPr>
              <w:t xml:space="preserve"> </w:t>
            </w:r>
            <w:r w:rsidR="00036FAC" w:rsidRPr="00BC582B">
              <w:rPr>
                <w:sz w:val="18"/>
              </w:rPr>
              <w:t>397)</w:t>
            </w:r>
          </w:p>
        </w:tc>
        <w:tc>
          <w:tcPr>
            <w:tcW w:w="1454"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19</w:t>
            </w:r>
            <w:r w:rsidR="00907D8C">
              <w:rPr>
                <w:sz w:val="18"/>
              </w:rPr>
              <w:t xml:space="preserve"> </w:t>
            </w:r>
            <w:r w:rsidR="00036FAC" w:rsidRPr="00BC582B">
              <w:rPr>
                <w:sz w:val="18"/>
              </w:rPr>
              <w:t>007</w:t>
            </w:r>
          </w:p>
        </w:tc>
        <w:tc>
          <w:tcPr>
            <w:tcW w:w="1454"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6</w:t>
            </w:r>
            <w:r w:rsidR="00907D8C">
              <w:rPr>
                <w:sz w:val="18"/>
              </w:rPr>
              <w:t xml:space="preserve"> </w:t>
            </w:r>
            <w:r w:rsidR="00036FAC" w:rsidRPr="00BC582B">
              <w:rPr>
                <w:sz w:val="18"/>
              </w:rPr>
              <w:t>257</w:t>
            </w:r>
          </w:p>
        </w:tc>
      </w:tr>
      <w:tr w:rsidR="00036FAC" w:rsidRPr="00BC582B" w:rsidTr="005315CA">
        <w:trPr>
          <w:trHeight w:val="240"/>
        </w:trPr>
        <w:tc>
          <w:tcPr>
            <w:tcW w:w="1728" w:type="dxa"/>
            <w:shd w:val="clear" w:color="auto" w:fill="auto"/>
          </w:tcPr>
          <w:p w:rsidR="00036FAC" w:rsidRPr="00BC582B" w:rsidRDefault="00036FAC" w:rsidP="00BC582B">
            <w:pPr>
              <w:suppressAutoHyphens w:val="0"/>
              <w:spacing w:before="40" w:after="40" w:line="220" w:lineRule="exact"/>
              <w:ind w:right="113"/>
              <w:rPr>
                <w:sz w:val="18"/>
              </w:rPr>
            </w:pPr>
            <w:r w:rsidRPr="00BC582B">
              <w:rPr>
                <w:sz w:val="18"/>
              </w:rPr>
              <w:t>Core</w:t>
            </w:r>
            <w:r w:rsidR="00907D8C">
              <w:rPr>
                <w:sz w:val="18"/>
              </w:rPr>
              <w:t xml:space="preserve"> </w:t>
            </w:r>
            <w:r w:rsidRPr="00BC582B">
              <w:rPr>
                <w:sz w:val="18"/>
              </w:rPr>
              <w:t>Crown</w:t>
            </w:r>
            <w:r w:rsidR="00907D8C">
              <w:rPr>
                <w:sz w:val="18"/>
              </w:rPr>
              <w:t xml:space="preserve"> </w:t>
            </w:r>
            <w:r w:rsidRPr="00BC582B">
              <w:rPr>
                <w:sz w:val="18"/>
              </w:rPr>
              <w:t>Borrowings</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35</w:t>
            </w:r>
            <w:r w:rsidR="00907D8C">
              <w:rPr>
                <w:sz w:val="18"/>
              </w:rPr>
              <w:t xml:space="preserve"> </w:t>
            </w:r>
            <w:r w:rsidR="00036FAC" w:rsidRPr="00BC582B">
              <w:rPr>
                <w:sz w:val="18"/>
              </w:rPr>
              <w:t>045</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35</w:t>
            </w:r>
            <w:r w:rsidR="00907D8C">
              <w:rPr>
                <w:sz w:val="18"/>
              </w:rPr>
              <w:t xml:space="preserve"> </w:t>
            </w:r>
            <w:r w:rsidR="00036FAC" w:rsidRPr="00BC582B">
              <w:rPr>
                <w:sz w:val="18"/>
              </w:rPr>
              <w:t>461</w:t>
            </w:r>
          </w:p>
        </w:tc>
        <w:tc>
          <w:tcPr>
            <w:tcW w:w="1440"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36</w:t>
            </w:r>
            <w:r w:rsidR="00907D8C">
              <w:rPr>
                <w:sz w:val="18"/>
              </w:rPr>
              <w:t xml:space="preserve"> </w:t>
            </w:r>
            <w:r w:rsidR="00036FAC" w:rsidRPr="00BC582B">
              <w:rPr>
                <w:sz w:val="18"/>
              </w:rPr>
              <w:t>150</w:t>
            </w:r>
          </w:p>
        </w:tc>
        <w:tc>
          <w:tcPr>
            <w:tcW w:w="1454"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37</w:t>
            </w:r>
            <w:r w:rsidR="00907D8C">
              <w:rPr>
                <w:sz w:val="18"/>
              </w:rPr>
              <w:t xml:space="preserve"> </w:t>
            </w:r>
            <w:r w:rsidR="00036FAC" w:rsidRPr="00BC582B">
              <w:rPr>
                <w:sz w:val="18"/>
              </w:rPr>
              <w:t>336</w:t>
            </w:r>
          </w:p>
        </w:tc>
        <w:tc>
          <w:tcPr>
            <w:tcW w:w="1454" w:type="dxa"/>
            <w:shd w:val="clear" w:color="auto" w:fill="auto"/>
            <w:vAlign w:val="bottom"/>
          </w:tcPr>
          <w:p w:rsidR="00036FAC" w:rsidRPr="00BC582B" w:rsidRDefault="00BC582B" w:rsidP="00BC582B">
            <w:pPr>
              <w:suppressAutoHyphens w:val="0"/>
              <w:spacing w:before="40" w:after="40" w:line="220" w:lineRule="exact"/>
              <w:ind w:right="113"/>
              <w:jc w:val="right"/>
              <w:rPr>
                <w:sz w:val="18"/>
              </w:rPr>
            </w:pPr>
            <w:r>
              <w:rPr>
                <w:sz w:val="18"/>
              </w:rPr>
              <w:t>50</w:t>
            </w:r>
            <w:r w:rsidR="00907D8C">
              <w:rPr>
                <w:sz w:val="18"/>
              </w:rPr>
              <w:t xml:space="preserve"> </w:t>
            </w:r>
            <w:r w:rsidR="00036FAC" w:rsidRPr="00BC582B">
              <w:rPr>
                <w:sz w:val="18"/>
              </w:rPr>
              <w:t>545</w:t>
            </w:r>
          </w:p>
        </w:tc>
      </w:tr>
    </w:tbl>
    <w:p w:rsidR="00036FAC" w:rsidRPr="007C016E" w:rsidRDefault="00036FAC" w:rsidP="00DA1E10">
      <w:pPr>
        <w:spacing w:before="6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907D8C">
        <w:rPr>
          <w:sz w:val="18"/>
          <w:szCs w:val="18"/>
        </w:rPr>
        <w:t xml:space="preserve"> </w:t>
      </w:r>
      <w:r w:rsidRPr="007C016E">
        <w:rPr>
          <w:sz w:val="18"/>
          <w:szCs w:val="18"/>
        </w:rPr>
        <w:t>Treasury</w:t>
      </w:r>
      <w:r w:rsidR="00BC582B" w:rsidRPr="007C016E">
        <w:rPr>
          <w:sz w:val="18"/>
          <w:szCs w:val="18"/>
        </w:rPr>
        <w:t>.</w:t>
      </w:r>
    </w:p>
    <w:p w:rsidR="00036FAC" w:rsidRPr="00036FAC" w:rsidRDefault="00BC582B" w:rsidP="006C436C">
      <w:pPr>
        <w:pStyle w:val="H23G"/>
      </w:pPr>
      <w:r>
        <w:tab/>
        <w:t>11.</w:t>
      </w:r>
      <w:r>
        <w:tab/>
        <w:t>Unemployment</w:t>
      </w:r>
    </w:p>
    <w:p w:rsidR="00036FAC" w:rsidRPr="00036FAC" w:rsidRDefault="00036FAC" w:rsidP="00BC582B">
      <w:pPr>
        <w:pStyle w:val="SingleTxtG"/>
      </w:pPr>
      <w:r w:rsidRPr="00036FAC">
        <w:t>44.</w:t>
      </w:r>
      <w:r w:rsidRPr="00036FAC">
        <w:tab/>
        <w:t>In</w:t>
      </w:r>
      <w:r w:rsidR="00907D8C">
        <w:t xml:space="preserve"> </w:t>
      </w:r>
      <w:r w:rsidRPr="00036FAC">
        <w:t>New</w:t>
      </w:r>
      <w:r w:rsidR="00907D8C">
        <w:t xml:space="preserve"> </w:t>
      </w:r>
      <w:r w:rsidRPr="00036FAC">
        <w:t>Zealand</w:t>
      </w:r>
      <w:r w:rsidR="00907D8C">
        <w:t xml:space="preserve"> </w:t>
      </w:r>
      <w:r w:rsidRPr="00036FAC">
        <w:t>the</w:t>
      </w:r>
      <w:r w:rsidR="00907D8C">
        <w:t xml:space="preserve"> </w:t>
      </w:r>
      <w:r w:rsidRPr="00036FAC">
        <w:t>unemployment</w:t>
      </w:r>
      <w:r w:rsidR="00907D8C">
        <w:t xml:space="preserve"> </w:t>
      </w:r>
      <w:r w:rsidRPr="00036FAC">
        <w:t>rate</w:t>
      </w:r>
      <w:r w:rsidR="00907D8C">
        <w:t xml:space="preserve"> </w:t>
      </w:r>
      <w:r w:rsidRPr="00036FAC">
        <w:t>is</w:t>
      </w:r>
      <w:r w:rsidR="00907D8C">
        <w:t xml:space="preserve"> </w:t>
      </w:r>
      <w:r w:rsidRPr="00036FAC">
        <w:t>defined</w:t>
      </w:r>
      <w:r w:rsidR="00907D8C">
        <w:t xml:space="preserve"> </w:t>
      </w:r>
      <w:r w:rsidRPr="00036FAC">
        <w:t>as</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people</w:t>
      </w:r>
      <w:r w:rsidR="00907D8C">
        <w:t xml:space="preserve"> </w:t>
      </w:r>
      <w:r w:rsidRPr="00036FAC">
        <w:t>aged</w:t>
      </w:r>
      <w:r w:rsidR="00907D8C">
        <w:t xml:space="preserve"> </w:t>
      </w:r>
      <w:r w:rsidRPr="00036FAC">
        <w:t>15</w:t>
      </w:r>
      <w:r w:rsidR="00907D8C">
        <w:t xml:space="preserve"> </w:t>
      </w:r>
      <w:r w:rsidRPr="00036FAC">
        <w:t>years</w:t>
      </w:r>
      <w:r w:rsidR="00907D8C">
        <w:t xml:space="preserve"> </w:t>
      </w:r>
      <w:r w:rsidRPr="00036FAC">
        <w:t>and</w:t>
      </w:r>
      <w:r w:rsidR="00907D8C">
        <w:t xml:space="preserve"> </w:t>
      </w:r>
      <w:r w:rsidRPr="00036FAC">
        <w:t>over</w:t>
      </w:r>
      <w:r w:rsidR="00907D8C">
        <w:t xml:space="preserve"> </w:t>
      </w:r>
      <w:r w:rsidRPr="00036FAC">
        <w:t>who</w:t>
      </w:r>
      <w:r w:rsidR="00907D8C">
        <w:t xml:space="preserve"> </w:t>
      </w:r>
      <w:r w:rsidRPr="00036FAC">
        <w:t>are</w:t>
      </w:r>
      <w:r w:rsidR="00907D8C">
        <w:t xml:space="preserve"> </w:t>
      </w:r>
      <w:r w:rsidRPr="00036FAC">
        <w:t>not</w:t>
      </w:r>
      <w:r w:rsidR="00907D8C">
        <w:t xml:space="preserve"> </w:t>
      </w:r>
      <w:r w:rsidRPr="00036FAC">
        <w:t>employed</w:t>
      </w:r>
      <w:r w:rsidR="00907D8C">
        <w:t xml:space="preserve"> </w:t>
      </w:r>
      <w:r w:rsidRPr="00036FAC">
        <w:t>and</w:t>
      </w:r>
      <w:r w:rsidR="00907D8C">
        <w:t xml:space="preserve"> </w:t>
      </w:r>
      <w:r w:rsidRPr="00036FAC">
        <w:t>who</w:t>
      </w:r>
      <w:r w:rsidR="00907D8C">
        <w:t xml:space="preserve"> </w:t>
      </w:r>
      <w:r w:rsidRPr="00036FAC">
        <w:t>are</w:t>
      </w:r>
      <w:r w:rsidR="00907D8C">
        <w:t xml:space="preserve"> </w:t>
      </w:r>
      <w:r w:rsidRPr="00036FAC">
        <w:t>actively</w:t>
      </w:r>
      <w:r w:rsidR="00907D8C">
        <w:t xml:space="preserve"> </w:t>
      </w:r>
      <w:r w:rsidRPr="00036FAC">
        <w:t>seeking</w:t>
      </w:r>
      <w:r w:rsidR="00907D8C">
        <w:t xml:space="preserve"> </w:t>
      </w:r>
      <w:r w:rsidRPr="00036FAC">
        <w:t>and</w:t>
      </w:r>
      <w:r w:rsidR="00907D8C">
        <w:t xml:space="preserve"> </w:t>
      </w:r>
      <w:r w:rsidRPr="00036FAC">
        <w:t>available</w:t>
      </w:r>
      <w:r w:rsidR="00907D8C">
        <w:t xml:space="preserve"> </w:t>
      </w:r>
      <w:r w:rsidRPr="00036FAC">
        <w:t>for</w:t>
      </w:r>
      <w:r w:rsidR="00907D8C">
        <w:t xml:space="preserve"> </w:t>
      </w:r>
      <w:r w:rsidRPr="00036FAC">
        <w:t>paid</w:t>
      </w:r>
      <w:r w:rsidR="00907D8C">
        <w:t xml:space="preserve"> </w:t>
      </w:r>
      <w:r w:rsidRPr="00036FAC">
        <w:t>work,</w:t>
      </w:r>
      <w:r w:rsidR="00907D8C">
        <w:t xml:space="preserve"> </w:t>
      </w:r>
      <w:r w:rsidRPr="00036FAC">
        <w:t>expressed</w:t>
      </w:r>
      <w:r w:rsidR="00907D8C">
        <w:t xml:space="preserve"> </w:t>
      </w:r>
      <w:r w:rsidRPr="00036FAC">
        <w:t>as</w:t>
      </w:r>
      <w:r w:rsidR="00907D8C">
        <w:t xml:space="preserve"> </w:t>
      </w:r>
      <w:r w:rsidRPr="00036FAC">
        <w:t>a</w:t>
      </w:r>
      <w:r w:rsidR="00907D8C">
        <w:t xml:space="preserve"> </w:t>
      </w:r>
      <w:r w:rsidR="00BC582B">
        <w:t>per</w:t>
      </w:r>
      <w:r w:rsidR="00AE58B5">
        <w:t>cent</w:t>
      </w:r>
      <w:r w:rsidRPr="00036FAC">
        <w:t>age</w:t>
      </w:r>
      <w:r w:rsidR="00907D8C">
        <w:t xml:space="preserve"> </w:t>
      </w:r>
      <w:r w:rsidRPr="00036FAC">
        <w:t>of</w:t>
      </w:r>
      <w:r w:rsidR="00907D8C">
        <w:t xml:space="preserve"> </w:t>
      </w:r>
      <w:r w:rsidRPr="00036FAC">
        <w:t>the</w:t>
      </w:r>
      <w:r w:rsidR="00907D8C">
        <w:t xml:space="preserve"> </w:t>
      </w:r>
      <w:r w:rsidRPr="00036FAC">
        <w:t>total</w:t>
      </w:r>
      <w:r w:rsidR="00907D8C">
        <w:t xml:space="preserve"> </w:t>
      </w:r>
      <w:r w:rsidRPr="00036FAC">
        <w:t>labour</w:t>
      </w:r>
      <w:r w:rsidR="00907D8C">
        <w:t xml:space="preserve"> </w:t>
      </w:r>
      <w:r w:rsidRPr="00036FAC">
        <w:t>force.</w:t>
      </w:r>
      <w:r w:rsidR="00907D8C">
        <w:t xml:space="preserve"> </w:t>
      </w:r>
      <w:r w:rsidRPr="00036FAC">
        <w:t>The</w:t>
      </w:r>
      <w:r w:rsidR="00907D8C">
        <w:t xml:space="preserve"> </w:t>
      </w:r>
      <w:r w:rsidRPr="00036FAC">
        <w:t>labour</w:t>
      </w:r>
      <w:r w:rsidR="00907D8C">
        <w:t xml:space="preserve"> </w:t>
      </w:r>
      <w:r w:rsidRPr="00036FAC">
        <w:t>force</w:t>
      </w:r>
      <w:r w:rsidR="00907D8C">
        <w:t xml:space="preserve"> </w:t>
      </w:r>
      <w:r w:rsidRPr="00036FAC">
        <w:t>is</w:t>
      </w:r>
      <w:r w:rsidR="00907D8C">
        <w:t xml:space="preserve"> </w:t>
      </w:r>
      <w:r w:rsidRPr="00036FAC">
        <w:t>defined</w:t>
      </w:r>
      <w:r w:rsidR="00907D8C">
        <w:t xml:space="preserve"> </w:t>
      </w:r>
      <w:r w:rsidRPr="00036FAC">
        <w:t>as</w:t>
      </w:r>
      <w:r w:rsidR="00907D8C">
        <w:t xml:space="preserve"> </w:t>
      </w:r>
      <w:r w:rsidRPr="00036FAC">
        <w:t>the</w:t>
      </w:r>
      <w:r w:rsidR="00907D8C">
        <w:t xml:space="preserve"> </w:t>
      </w:r>
      <w:r w:rsidRPr="00036FAC">
        <w:t>population</w:t>
      </w:r>
      <w:r w:rsidR="00907D8C">
        <w:t xml:space="preserve"> </w:t>
      </w:r>
      <w:r w:rsidRPr="00036FAC">
        <w:t>aged</w:t>
      </w:r>
      <w:r w:rsidR="00907D8C">
        <w:t xml:space="preserve"> </w:t>
      </w:r>
      <w:r w:rsidRPr="00036FAC">
        <w:t>15</w:t>
      </w:r>
      <w:r w:rsidR="00907D8C">
        <w:t xml:space="preserve"> </w:t>
      </w:r>
      <w:r w:rsidRPr="00036FAC">
        <w:t>years</w:t>
      </w:r>
      <w:r w:rsidR="00907D8C">
        <w:t xml:space="preserve"> </w:t>
      </w:r>
      <w:r w:rsidRPr="00036FAC">
        <w:t>and</w:t>
      </w:r>
      <w:r w:rsidR="00907D8C">
        <w:t xml:space="preserve"> </w:t>
      </w:r>
      <w:r w:rsidRPr="00036FAC">
        <w:t>over</w:t>
      </w:r>
      <w:r w:rsidR="00907D8C">
        <w:t xml:space="preserve"> </w:t>
      </w:r>
      <w:r w:rsidRPr="00036FAC">
        <w:t>who</w:t>
      </w:r>
      <w:r w:rsidR="00907D8C">
        <w:t xml:space="preserve"> </w:t>
      </w:r>
      <w:r w:rsidRPr="00036FAC">
        <w:t>are</w:t>
      </w:r>
      <w:r w:rsidR="00907D8C">
        <w:t xml:space="preserve"> </w:t>
      </w:r>
      <w:r w:rsidR="00BC582B">
        <w:t>either</w:t>
      </w:r>
      <w:r w:rsidR="00907D8C">
        <w:t xml:space="preserve"> </w:t>
      </w:r>
      <w:r w:rsidR="00BC582B">
        <w:t>employed</w:t>
      </w:r>
      <w:r w:rsidR="00907D8C">
        <w:t xml:space="preserve"> </w:t>
      </w:r>
      <w:r w:rsidR="00BC582B">
        <w:t>or</w:t>
      </w:r>
      <w:r w:rsidR="00907D8C">
        <w:t xml:space="preserve"> </w:t>
      </w:r>
      <w:r w:rsidR="00BC582B">
        <w:t>unemployed.</w:t>
      </w:r>
    </w:p>
    <w:p w:rsidR="00036FAC" w:rsidRPr="00036FAC" w:rsidRDefault="00036FAC" w:rsidP="00BC582B">
      <w:pPr>
        <w:pStyle w:val="SingleTxtG"/>
      </w:pPr>
      <w:r w:rsidRPr="00036FAC">
        <w:t>45.</w:t>
      </w:r>
      <w:r w:rsidRPr="00036FAC">
        <w:tab/>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4.5</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labour</w:t>
      </w:r>
      <w:r w:rsidR="00907D8C">
        <w:t xml:space="preserve"> </w:t>
      </w:r>
      <w:r w:rsidRPr="00036FAC">
        <w:t>force</w:t>
      </w:r>
      <w:r w:rsidR="00907D8C">
        <w:t xml:space="preserve"> </w:t>
      </w:r>
      <w:r w:rsidRPr="00036FAC">
        <w:t>(or</w:t>
      </w:r>
      <w:r w:rsidR="00907D8C">
        <w:t xml:space="preserve"> </w:t>
      </w:r>
      <w:r w:rsidRPr="00036FAC">
        <w:t>103,300</w:t>
      </w:r>
      <w:r w:rsidR="00907D8C">
        <w:t xml:space="preserve"> </w:t>
      </w:r>
      <w:r w:rsidRPr="00036FAC">
        <w:t>people)</w:t>
      </w:r>
      <w:r w:rsidR="00907D8C">
        <w:t xml:space="preserve"> </w:t>
      </w:r>
      <w:r w:rsidRPr="00036FAC">
        <w:t>w</w:t>
      </w:r>
      <w:r w:rsidR="00F90A93">
        <w:t>ere</w:t>
      </w:r>
      <w:r w:rsidR="00907D8C">
        <w:t xml:space="preserve"> </w:t>
      </w:r>
      <w:r w:rsidRPr="00036FAC">
        <w:t>unemployed</w:t>
      </w:r>
      <w:r w:rsidR="00907D8C">
        <w:t xml:space="preserve"> </w:t>
      </w:r>
      <w:r w:rsidRPr="00036FAC">
        <w:t>and</w:t>
      </w:r>
      <w:r w:rsidR="00907D8C">
        <w:t xml:space="preserve"> </w:t>
      </w:r>
      <w:r w:rsidRPr="00036FAC">
        <w:t>actively</w:t>
      </w:r>
      <w:r w:rsidR="00907D8C">
        <w:t xml:space="preserve"> </w:t>
      </w:r>
      <w:r w:rsidRPr="00036FAC">
        <w:t>seeking</w:t>
      </w:r>
      <w:r w:rsidR="00907D8C">
        <w:t xml:space="preserve"> </w:t>
      </w:r>
      <w:r w:rsidRPr="00036FAC">
        <w:t>work,</w:t>
      </w:r>
      <w:r w:rsidR="00907D8C">
        <w:t xml:space="preserve"> </w:t>
      </w:r>
      <w:r w:rsidRPr="00036FAC">
        <w:t>an</w:t>
      </w:r>
      <w:r w:rsidR="00907D8C">
        <w:t xml:space="preserve"> </w:t>
      </w:r>
      <w:r w:rsidRPr="00036FAC">
        <w:t>increase</w:t>
      </w:r>
      <w:r w:rsidR="00907D8C">
        <w:t xml:space="preserve"> </w:t>
      </w:r>
      <w:r w:rsidRPr="00036FAC">
        <w:t>from</w:t>
      </w:r>
      <w:r w:rsidR="00907D8C">
        <w:t xml:space="preserve"> </w:t>
      </w:r>
      <w:r w:rsidRPr="00036FAC">
        <w:t>3.7</w:t>
      </w:r>
      <w:r w:rsidR="00907D8C">
        <w:t xml:space="preserve"> </w:t>
      </w:r>
      <w:r w:rsidR="001B201B">
        <w:t>per</w:t>
      </w:r>
      <w:r w:rsidR="00907D8C">
        <w:t xml:space="preserve"> </w:t>
      </w:r>
      <w:r w:rsidR="001B201B">
        <w:t>cent</w:t>
      </w:r>
      <w:r w:rsidR="00907D8C">
        <w:t xml:space="preserve"> </w:t>
      </w:r>
      <w:r w:rsidRPr="00036FAC">
        <w:t>(or</w:t>
      </w:r>
      <w:r w:rsidR="00907D8C">
        <w:t xml:space="preserve"> </w:t>
      </w:r>
      <w:r w:rsidRPr="00036FAC">
        <w:t>82,600</w:t>
      </w:r>
      <w:r w:rsidR="00907D8C">
        <w:t xml:space="preserve"> </w:t>
      </w:r>
      <w:r w:rsidRPr="00036FAC">
        <w:t>people)</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2008.</w:t>
      </w:r>
      <w:r w:rsidR="00907D8C">
        <w:t xml:space="preserve"> </w:t>
      </w:r>
      <w:r w:rsidRPr="00036FAC">
        <w:t>This</w:t>
      </w:r>
      <w:r w:rsidR="00907D8C">
        <w:t xml:space="preserve"> </w:t>
      </w:r>
      <w:r w:rsidRPr="00036FAC">
        <w:t>reflects</w:t>
      </w:r>
      <w:r w:rsidR="00907D8C">
        <w:t xml:space="preserve"> </w:t>
      </w:r>
      <w:r w:rsidRPr="00036FAC">
        <w:t>the</w:t>
      </w:r>
      <w:r w:rsidR="00907D8C">
        <w:t xml:space="preserve"> </w:t>
      </w:r>
      <w:r w:rsidRPr="00036FAC">
        <w:t>economic</w:t>
      </w:r>
      <w:r w:rsidR="00907D8C">
        <w:t xml:space="preserve"> </w:t>
      </w:r>
      <w:r w:rsidRPr="00036FAC">
        <w:t>recession</w:t>
      </w:r>
      <w:r w:rsidR="00907D8C">
        <w:t xml:space="preserve"> </w:t>
      </w:r>
      <w:r w:rsidRPr="00036FAC">
        <w:t>over</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p>
    <w:p w:rsidR="00036FAC" w:rsidRPr="00036FAC" w:rsidRDefault="00036FAC" w:rsidP="00BC582B">
      <w:pPr>
        <w:pStyle w:val="SingleTxtG"/>
      </w:pPr>
      <w:r w:rsidRPr="00036FAC">
        <w:t>46.</w:t>
      </w:r>
      <w:r w:rsidRPr="00036FAC">
        <w:tab/>
        <w:t>The</w:t>
      </w:r>
      <w:r w:rsidR="00907D8C">
        <w:t xml:space="preserve"> </w:t>
      </w:r>
      <w:r w:rsidRPr="00036FAC">
        <w:t>unemployment</w:t>
      </w:r>
      <w:r w:rsidR="00907D8C">
        <w:t xml:space="preserve"> </w:t>
      </w:r>
      <w:r w:rsidRPr="00036FAC">
        <w:t>rate</w:t>
      </w:r>
      <w:r w:rsidR="00907D8C">
        <w:t xml:space="preserve"> </w:t>
      </w:r>
      <w:r w:rsidRPr="00036FAC">
        <w:t>reached</w:t>
      </w:r>
      <w:r w:rsidR="00907D8C">
        <w:t xml:space="preserve"> </w:t>
      </w:r>
      <w:r w:rsidRPr="00036FAC">
        <w:t>a</w:t>
      </w:r>
      <w:r w:rsidR="00907D8C">
        <w:t xml:space="preserve"> </w:t>
      </w:r>
      <w:r w:rsidRPr="00036FAC">
        <w:t>peak</w:t>
      </w:r>
      <w:r w:rsidR="00907D8C">
        <w:t xml:space="preserve"> </w:t>
      </w:r>
      <w:r w:rsidRPr="00036FAC">
        <w:t>of</w:t>
      </w:r>
      <w:r w:rsidR="00907D8C">
        <w:t xml:space="preserve"> </w:t>
      </w:r>
      <w:r w:rsidRPr="00036FAC">
        <w:t>10.9</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1992</w:t>
      </w:r>
      <w:r w:rsidR="00907D8C">
        <w:t xml:space="preserve"> </w:t>
      </w:r>
      <w:r w:rsidRPr="00036FAC">
        <w:t>(184,200</w:t>
      </w:r>
      <w:r w:rsidR="00907D8C">
        <w:t xml:space="preserve"> </w:t>
      </w:r>
      <w:r w:rsidRPr="00036FAC">
        <w:t>people</w:t>
      </w:r>
      <w:r w:rsidR="00907D8C">
        <w:t xml:space="preserve"> </w:t>
      </w:r>
      <w:r w:rsidRPr="00036FAC">
        <w:t>unemployed),</w:t>
      </w:r>
      <w:r w:rsidR="00907D8C">
        <w:t xml:space="preserve"> </w:t>
      </w:r>
      <w:r w:rsidRPr="00036FAC">
        <w:t>then</w:t>
      </w:r>
      <w:r w:rsidR="00907D8C">
        <w:t xml:space="preserve"> </w:t>
      </w:r>
      <w:r w:rsidRPr="00036FAC">
        <w:t>declined</w:t>
      </w:r>
      <w:r w:rsidR="00907D8C">
        <w:t xml:space="preserve"> </w:t>
      </w:r>
      <w:r w:rsidRPr="00036FAC">
        <w:t>steadily</w:t>
      </w:r>
      <w:r w:rsidR="00907D8C">
        <w:t xml:space="preserve"> </w:t>
      </w:r>
      <w:r w:rsidRPr="00036FAC">
        <w:t>between</w:t>
      </w:r>
      <w:r w:rsidR="00907D8C">
        <w:t xml:space="preserve"> </w:t>
      </w:r>
      <w:r w:rsidRPr="00036FAC">
        <w:t>1999</w:t>
      </w:r>
      <w:r w:rsidR="00907D8C">
        <w:t xml:space="preserve"> </w:t>
      </w:r>
      <w:r w:rsidRPr="00036FAC">
        <w:t>and</w:t>
      </w:r>
      <w:r w:rsidR="00907D8C">
        <w:t xml:space="preserve"> </w:t>
      </w:r>
      <w:r w:rsidRPr="00036FAC">
        <w:t>2008.</w:t>
      </w:r>
      <w:r w:rsidR="00907D8C">
        <w:t xml:space="preserve"> </w:t>
      </w:r>
      <w:r w:rsidRPr="00036FAC">
        <w:t>The</w:t>
      </w:r>
      <w:r w:rsidR="00907D8C">
        <w:t xml:space="preserve"> </w:t>
      </w:r>
      <w:r w:rsidRPr="00036FAC">
        <w:t>2009</w:t>
      </w:r>
      <w:r w:rsidR="00907D8C">
        <w:t xml:space="preserve"> </w:t>
      </w:r>
      <w:r w:rsidRPr="00036FAC">
        <w:t>unemployment</w:t>
      </w:r>
      <w:r w:rsidR="00907D8C">
        <w:t xml:space="preserve"> </w:t>
      </w:r>
      <w:r w:rsidRPr="00036FAC">
        <w:t>rate</w:t>
      </w:r>
      <w:r w:rsidR="00907D8C">
        <w:t xml:space="preserve"> </w:t>
      </w:r>
      <w:r w:rsidRPr="00036FAC">
        <w:t>was</w:t>
      </w:r>
      <w:r w:rsidR="00907D8C">
        <w:t xml:space="preserve"> </w:t>
      </w:r>
      <w:r w:rsidRPr="00036FAC">
        <w:t>slightly</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1987</w:t>
      </w:r>
      <w:r w:rsidR="00907D8C">
        <w:t xml:space="preserve"> </w:t>
      </w:r>
      <w:r w:rsidRPr="00036FAC">
        <w:t>(4.1</w:t>
      </w:r>
      <w:r w:rsidR="00907D8C">
        <w:t xml:space="preserve"> </w:t>
      </w:r>
      <w:r w:rsidR="001B201B">
        <w:t>per</w:t>
      </w:r>
      <w:r w:rsidR="00907D8C">
        <w:t xml:space="preserve"> </w:t>
      </w:r>
      <w:r w:rsidR="001B201B">
        <w:t>cent</w:t>
      </w:r>
      <w:r w:rsidR="00907D8C">
        <w:t xml:space="preserve"> </w:t>
      </w:r>
      <w:r w:rsidRPr="00036FAC">
        <w:t>or</w:t>
      </w:r>
      <w:r w:rsidR="00907D8C">
        <w:t xml:space="preserve"> </w:t>
      </w:r>
      <w:r w:rsidRPr="00036FAC">
        <w:t>69,700</w:t>
      </w:r>
      <w:r w:rsidR="00907D8C">
        <w:t xml:space="preserve"> </w:t>
      </w:r>
      <w:r w:rsidRPr="00036FAC">
        <w:t>people</w:t>
      </w:r>
      <w:r w:rsidR="00907D8C">
        <w:t xml:space="preserve"> </w:t>
      </w:r>
      <w:r w:rsidRPr="00036FAC">
        <w:t>unemploye</w:t>
      </w:r>
      <w:r w:rsidR="00BC582B">
        <w:t>d).</w:t>
      </w:r>
    </w:p>
    <w:p w:rsidR="00036FAC" w:rsidRPr="00036FAC" w:rsidRDefault="00036FAC" w:rsidP="006C436C">
      <w:pPr>
        <w:pStyle w:val="H23G"/>
      </w:pPr>
      <w:r w:rsidRPr="00036FAC">
        <w:tab/>
        <w:t>(a)</w:t>
      </w:r>
      <w:r w:rsidRPr="00036FAC">
        <w:tab/>
        <w:t>Age</w:t>
      </w:r>
      <w:r w:rsidR="00907D8C">
        <w:t xml:space="preserve"> </w:t>
      </w:r>
      <w:r w:rsidRPr="00036FAC">
        <w:t>and</w:t>
      </w:r>
      <w:r w:rsidR="00907D8C">
        <w:t xml:space="preserve"> </w:t>
      </w:r>
      <w:r w:rsidRPr="00036FAC">
        <w:t>sex</w:t>
      </w:r>
      <w:r w:rsidR="00907D8C">
        <w:t xml:space="preserve"> </w:t>
      </w:r>
      <w:r w:rsidRPr="00036FAC">
        <w:t>differences</w:t>
      </w:r>
    </w:p>
    <w:p w:rsidR="00036FAC" w:rsidRPr="00036FAC" w:rsidRDefault="00036FAC" w:rsidP="00F90A93">
      <w:pPr>
        <w:pStyle w:val="SingleTxtG"/>
      </w:pPr>
      <w:r w:rsidRPr="00036FAC">
        <w:t>47.</w:t>
      </w:r>
      <w:r w:rsidRPr="00036FAC">
        <w:tab/>
        <w:t>Unemployment</w:t>
      </w:r>
      <w:r w:rsidR="00907D8C">
        <w:t xml:space="preserve"> </w:t>
      </w:r>
      <w:r w:rsidRPr="00036FAC">
        <w:t>rates</w:t>
      </w:r>
      <w:r w:rsidR="00907D8C">
        <w:t xml:space="preserve"> </w:t>
      </w:r>
      <w:r w:rsidRPr="00036FAC">
        <w:t>for</w:t>
      </w:r>
      <w:r w:rsidR="00907D8C">
        <w:t xml:space="preserve"> </w:t>
      </w:r>
      <w:r w:rsidRPr="00036FAC">
        <w:t>different</w:t>
      </w:r>
      <w:r w:rsidR="00907D8C">
        <w:t xml:space="preserve"> </w:t>
      </w:r>
      <w:r w:rsidRPr="00036FAC">
        <w:t>age</w:t>
      </w:r>
      <w:r w:rsidR="00907D8C">
        <w:t xml:space="preserve"> </w:t>
      </w:r>
      <w:r w:rsidRPr="00036FAC">
        <w:t>groups</w:t>
      </w:r>
      <w:r w:rsidR="00907D8C">
        <w:t xml:space="preserve"> </w:t>
      </w:r>
      <w:r w:rsidRPr="00036FAC">
        <w:t>have</w:t>
      </w:r>
      <w:r w:rsidR="00907D8C">
        <w:t xml:space="preserve"> </w:t>
      </w:r>
      <w:r w:rsidRPr="00036FAC">
        <w:t>followed</w:t>
      </w:r>
      <w:r w:rsidR="00907D8C">
        <w:t xml:space="preserve"> </w:t>
      </w:r>
      <w:r w:rsidRPr="00036FAC">
        <w:t>similar</w:t>
      </w:r>
      <w:r w:rsidR="00907D8C">
        <w:t xml:space="preserve"> </w:t>
      </w:r>
      <w:r w:rsidRPr="00036FAC">
        <w:t>trends,</w:t>
      </w:r>
      <w:r w:rsidR="00907D8C">
        <w:t xml:space="preserve"> </w:t>
      </w:r>
      <w:r w:rsidRPr="00036FAC">
        <w:t>but</w:t>
      </w:r>
      <w:r w:rsidR="00907D8C">
        <w:t xml:space="preserve"> </w:t>
      </w:r>
      <w:r w:rsidRPr="00036FAC">
        <w:t>for</w:t>
      </w:r>
      <w:r w:rsidR="00907D8C">
        <w:t xml:space="preserve"> </w:t>
      </w:r>
      <w:r w:rsidRPr="00036FAC">
        <w:t>those</w:t>
      </w:r>
      <w:r w:rsidR="00907D8C">
        <w:t xml:space="preserve"> </w:t>
      </w:r>
      <w:r w:rsidRPr="00036FAC">
        <w:t>aged</w:t>
      </w:r>
      <w:r w:rsidR="00907D8C">
        <w:t xml:space="preserve"> </w:t>
      </w:r>
      <w:r w:rsidRPr="00036FAC">
        <w:t>15–24</w:t>
      </w:r>
      <w:r w:rsidR="00907D8C">
        <w:t xml:space="preserve"> </w:t>
      </w:r>
      <w:r w:rsidRPr="00036FAC">
        <w:t>years</w:t>
      </w:r>
      <w:r w:rsidR="00907D8C">
        <w:t xml:space="preserve"> </w:t>
      </w:r>
      <w:r w:rsidRPr="00036FAC">
        <w:t>have</w:t>
      </w:r>
      <w:r w:rsidR="00907D8C">
        <w:t xml:space="preserve"> </w:t>
      </w:r>
      <w:r w:rsidRPr="00036FAC">
        <w:t>consistently</w:t>
      </w:r>
      <w:r w:rsidR="00907D8C">
        <w:t xml:space="preserve"> </w:t>
      </w:r>
      <w:r w:rsidRPr="00036FAC">
        <w:t>been</w:t>
      </w:r>
      <w:r w:rsidR="00907D8C">
        <w:t xml:space="preserve"> </w:t>
      </w:r>
      <w:r w:rsidRPr="00036FAC">
        <w:t>more</w:t>
      </w:r>
      <w:r w:rsidR="00907D8C">
        <w:t xml:space="preserve"> </w:t>
      </w:r>
      <w:r w:rsidRPr="00036FAC">
        <w:t>than</w:t>
      </w:r>
      <w:r w:rsidR="00907D8C">
        <w:t xml:space="preserve"> </w:t>
      </w:r>
      <w:r w:rsidRPr="00036FAC">
        <w:t>twice</w:t>
      </w:r>
      <w:r w:rsidR="00907D8C">
        <w:t xml:space="preserve"> </w:t>
      </w:r>
      <w:r w:rsidRPr="00036FAC">
        <w:t>the</w:t>
      </w:r>
      <w:r w:rsidR="00907D8C">
        <w:t xml:space="preserve"> </w:t>
      </w:r>
      <w:r w:rsidRPr="00036FAC">
        <w:t>rates</w:t>
      </w:r>
      <w:r w:rsidR="00907D8C">
        <w:t xml:space="preserve"> </w:t>
      </w:r>
      <w:r w:rsidRPr="00036FAC">
        <w:t>for</w:t>
      </w:r>
      <w:r w:rsidR="00907D8C">
        <w:t xml:space="preserve"> </w:t>
      </w:r>
      <w:r w:rsidRPr="00036FAC">
        <w:t>those</w:t>
      </w:r>
      <w:r w:rsidR="00907D8C">
        <w:t xml:space="preserve"> </w:t>
      </w:r>
      <w:r w:rsidRPr="00036FAC">
        <w:t>aged</w:t>
      </w:r>
      <w:r w:rsidR="00907D8C">
        <w:t xml:space="preserve"> </w:t>
      </w:r>
      <w:r w:rsidRPr="00036FAC">
        <w:t>25–64</w:t>
      </w:r>
      <w:r w:rsidR="00907D8C">
        <w:t xml:space="preserve"> </w:t>
      </w:r>
      <w:r w:rsidRPr="00036FAC">
        <w:t>years.</w:t>
      </w:r>
    </w:p>
    <w:p w:rsidR="00036FAC" w:rsidRPr="00036FAC" w:rsidRDefault="00036FAC" w:rsidP="00F90A93">
      <w:pPr>
        <w:pStyle w:val="SingleTxtG"/>
      </w:pPr>
      <w:r w:rsidRPr="00036FAC">
        <w:t>48.</w:t>
      </w:r>
      <w:r w:rsidRPr="00036FAC">
        <w:tab/>
        <w:t>Unemployment</w:t>
      </w:r>
      <w:r w:rsidR="00907D8C">
        <w:t xml:space="preserve"> </w:t>
      </w:r>
      <w:r w:rsidRPr="00036FAC">
        <w:t>rates</w:t>
      </w:r>
      <w:r w:rsidR="00907D8C">
        <w:t xml:space="preserve"> </w:t>
      </w:r>
      <w:r w:rsidRPr="00036FAC">
        <w:t>were</w:t>
      </w:r>
      <w:r w:rsidR="00907D8C">
        <w:t xml:space="preserve"> </w:t>
      </w:r>
      <w:r w:rsidRPr="00036FAC">
        <w:t>the</w:t>
      </w:r>
      <w:r w:rsidR="00907D8C">
        <w:t xml:space="preserve"> </w:t>
      </w:r>
      <w:r w:rsidRPr="00036FAC">
        <w:t>same</w:t>
      </w:r>
      <w:r w:rsidR="00907D8C">
        <w:t xml:space="preserve"> </w:t>
      </w:r>
      <w:r w:rsidRPr="00036FAC">
        <w:t>for</w:t>
      </w:r>
      <w:r w:rsidR="00907D8C">
        <w:t xml:space="preserve"> </w:t>
      </w:r>
      <w:r w:rsidRPr="00036FAC">
        <w:t>males</w:t>
      </w:r>
      <w:r w:rsidR="00907D8C">
        <w:t xml:space="preserve"> </w:t>
      </w:r>
      <w:r w:rsidRPr="00036FAC">
        <w:t>and</w:t>
      </w:r>
      <w:r w:rsidR="00907D8C">
        <w:t xml:space="preserve"> </w:t>
      </w:r>
      <w:r w:rsidRPr="00036FAC">
        <w:t>females</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March</w:t>
      </w:r>
      <w:r w:rsidR="00907D8C">
        <w:t xml:space="preserve"> </w:t>
      </w:r>
      <w:r w:rsidRPr="00036FAC">
        <w:t>2009,</w:t>
      </w:r>
      <w:r w:rsidR="00907D8C">
        <w:t xml:space="preserve"> </w:t>
      </w:r>
      <w:r w:rsidRPr="00036FAC">
        <w:t>after</w:t>
      </w:r>
      <w:r w:rsidR="00907D8C">
        <w:t xml:space="preserve"> </w:t>
      </w:r>
      <w:r w:rsidRPr="00036FAC">
        <w:t>being</w:t>
      </w:r>
      <w:r w:rsidR="00907D8C">
        <w:t xml:space="preserve"> </w:t>
      </w:r>
      <w:r w:rsidRPr="00036FAC">
        <w:t>higher</w:t>
      </w:r>
      <w:r w:rsidR="00907D8C">
        <w:t xml:space="preserve"> </w:t>
      </w:r>
      <w:r w:rsidRPr="00036FAC">
        <w:t>for</w:t>
      </w:r>
      <w:r w:rsidR="00907D8C">
        <w:t xml:space="preserve"> </w:t>
      </w:r>
      <w:r w:rsidRPr="00036FAC">
        <w:t>females</w:t>
      </w:r>
      <w:r w:rsidR="00907D8C">
        <w:t xml:space="preserve"> </w:t>
      </w:r>
      <w:r w:rsidRPr="00036FAC">
        <w:t>than</w:t>
      </w:r>
      <w:r w:rsidR="00907D8C">
        <w:t xml:space="preserve"> </w:t>
      </w:r>
      <w:r w:rsidRPr="00036FAC">
        <w:t>for</w:t>
      </w:r>
      <w:r w:rsidR="00907D8C">
        <w:t xml:space="preserve"> </w:t>
      </w:r>
      <w:r w:rsidRPr="00036FAC">
        <w:t>males</w:t>
      </w:r>
      <w:r w:rsidR="00907D8C">
        <w:t xml:space="preserve"> </w:t>
      </w:r>
      <w:r w:rsidRPr="00036FAC">
        <w:t>between</w:t>
      </w:r>
      <w:r w:rsidR="00907D8C">
        <w:t xml:space="preserve"> </w:t>
      </w:r>
      <w:r w:rsidRPr="00036FAC">
        <w:t>2003</w:t>
      </w:r>
      <w:r w:rsidR="00907D8C">
        <w:t xml:space="preserve"> </w:t>
      </w:r>
      <w:r w:rsidRPr="00036FAC">
        <w:t>and</w:t>
      </w:r>
      <w:r w:rsidR="00907D8C">
        <w:t xml:space="preserve"> </w:t>
      </w:r>
      <w:r w:rsidRPr="00036FAC">
        <w:t>2008,</w:t>
      </w:r>
      <w:r w:rsidR="00907D8C">
        <w:t xml:space="preserve"> </w:t>
      </w:r>
      <w:r w:rsidRPr="00036FAC">
        <w:t>and</w:t>
      </w:r>
      <w:r w:rsidR="00907D8C">
        <w:t xml:space="preserve"> </w:t>
      </w:r>
      <w:r w:rsidRPr="00036FAC">
        <w:t>higher</w:t>
      </w:r>
      <w:r w:rsidR="00907D8C">
        <w:t xml:space="preserve"> </w:t>
      </w:r>
      <w:r w:rsidRPr="00036FAC">
        <w:t>for</w:t>
      </w:r>
      <w:r w:rsidR="00907D8C">
        <w:t xml:space="preserve"> </w:t>
      </w:r>
      <w:r w:rsidRPr="00036FAC">
        <w:t>males</w:t>
      </w:r>
      <w:r w:rsidR="00907D8C">
        <w:t xml:space="preserve"> </w:t>
      </w:r>
      <w:r w:rsidRPr="00036FAC">
        <w:t>than</w:t>
      </w:r>
      <w:r w:rsidR="00907D8C">
        <w:t xml:space="preserve"> </w:t>
      </w:r>
      <w:r w:rsidRPr="00036FAC">
        <w:t>for</w:t>
      </w:r>
      <w:r w:rsidR="00907D8C">
        <w:t xml:space="preserve"> </w:t>
      </w:r>
      <w:r w:rsidRPr="00036FAC">
        <w:t>females</w:t>
      </w:r>
      <w:r w:rsidR="00907D8C">
        <w:t xml:space="preserve"> </w:t>
      </w:r>
      <w:r w:rsidRPr="00036FAC">
        <w:t>in</w:t>
      </w:r>
      <w:r w:rsidR="00907D8C">
        <w:t xml:space="preserve"> </w:t>
      </w:r>
      <w:r w:rsidRPr="00036FAC">
        <w:t>the</w:t>
      </w:r>
      <w:r w:rsidR="00907D8C">
        <w:t xml:space="preserve"> </w:t>
      </w:r>
      <w:r w:rsidRPr="00036FAC">
        <w:t>peak</w:t>
      </w:r>
      <w:r w:rsidR="00907D8C">
        <w:t xml:space="preserve"> </w:t>
      </w:r>
      <w:r w:rsidRPr="00036FAC">
        <w:t>years</w:t>
      </w:r>
      <w:r w:rsidR="00907D8C">
        <w:t xml:space="preserve"> </w:t>
      </w:r>
      <w:r w:rsidRPr="00036FAC">
        <w:t>of</w:t>
      </w:r>
      <w:r w:rsidR="00907D8C">
        <w:t xml:space="preserve"> </w:t>
      </w:r>
      <w:r w:rsidRPr="00036FAC">
        <w:t>unemployment.</w:t>
      </w:r>
    </w:p>
    <w:p w:rsidR="00F90A93" w:rsidRDefault="00F90A93" w:rsidP="00F90A93">
      <w:pPr>
        <w:pStyle w:val="Heading1"/>
      </w:pPr>
      <w:bookmarkStart w:id="40" w:name="_Toc275331914"/>
      <w:r>
        <w:t>Table</w:t>
      </w:r>
      <w:r w:rsidR="00907D8C">
        <w:t xml:space="preserve"> </w:t>
      </w:r>
      <w:r>
        <w:t>13</w:t>
      </w:r>
    </w:p>
    <w:p w:rsidR="00036FAC" w:rsidRPr="00F90A93" w:rsidRDefault="00036FAC" w:rsidP="00F90A93">
      <w:pPr>
        <w:pStyle w:val="SingleTxtG"/>
        <w:rPr>
          <w:b/>
        </w:rPr>
      </w:pPr>
      <w:r w:rsidRPr="00F90A93">
        <w:rPr>
          <w:b/>
        </w:rPr>
        <w:t>Unemployment</w:t>
      </w:r>
      <w:r w:rsidR="00907D8C">
        <w:rPr>
          <w:b/>
        </w:rPr>
        <w:t xml:space="preserve"> </w:t>
      </w:r>
      <w:r w:rsidRPr="00F90A93">
        <w:rPr>
          <w:b/>
        </w:rPr>
        <w:t>rates</w:t>
      </w:r>
      <w:r w:rsidR="00907D8C">
        <w:rPr>
          <w:b/>
        </w:rPr>
        <w:t xml:space="preserve"> </w:t>
      </w:r>
      <w:r w:rsidRPr="00F90A93">
        <w:rPr>
          <w:b/>
        </w:rPr>
        <w:t>(%),</w:t>
      </w:r>
      <w:r w:rsidR="00907D8C">
        <w:rPr>
          <w:b/>
        </w:rPr>
        <w:t xml:space="preserve"> </w:t>
      </w:r>
      <w:r w:rsidRPr="00F90A93">
        <w:rPr>
          <w:b/>
        </w:rPr>
        <w:t>by</w:t>
      </w:r>
      <w:r w:rsidR="00907D8C">
        <w:rPr>
          <w:b/>
        </w:rPr>
        <w:t xml:space="preserve"> </w:t>
      </w:r>
      <w:r w:rsidRPr="00F90A93">
        <w:rPr>
          <w:b/>
        </w:rPr>
        <w:t>age</w:t>
      </w:r>
      <w:r w:rsidR="00907D8C">
        <w:rPr>
          <w:b/>
        </w:rPr>
        <w:t xml:space="preserve"> </w:t>
      </w:r>
      <w:r w:rsidRPr="00F90A93">
        <w:rPr>
          <w:b/>
        </w:rPr>
        <w:t>and</w:t>
      </w:r>
      <w:r w:rsidR="00907D8C">
        <w:rPr>
          <w:b/>
        </w:rPr>
        <w:t xml:space="preserve"> </w:t>
      </w:r>
      <w:r w:rsidRPr="00F90A93">
        <w:rPr>
          <w:b/>
        </w:rPr>
        <w:t>sex,</w:t>
      </w:r>
      <w:r w:rsidR="00907D8C">
        <w:rPr>
          <w:b/>
        </w:rPr>
        <w:t xml:space="preserve"> </w:t>
      </w:r>
      <w:r w:rsidRPr="00F90A93">
        <w:rPr>
          <w:b/>
        </w:rPr>
        <w:t>selected</w:t>
      </w:r>
      <w:r w:rsidR="00907D8C">
        <w:rPr>
          <w:b/>
        </w:rPr>
        <w:t xml:space="preserve"> </w:t>
      </w:r>
      <w:r w:rsidRPr="00F90A93">
        <w:rPr>
          <w:b/>
        </w:rPr>
        <w:t>years,</w:t>
      </w:r>
      <w:r w:rsidR="00907D8C">
        <w:rPr>
          <w:b/>
        </w:rPr>
        <w:t xml:space="preserve"> </w:t>
      </w:r>
      <w:r w:rsidRPr="00F90A93">
        <w:rPr>
          <w:b/>
        </w:rPr>
        <w:t>1987–2009</w:t>
      </w:r>
      <w:bookmarkEnd w:id="4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71"/>
        <w:gridCol w:w="1043"/>
        <w:gridCol w:w="1052"/>
        <w:gridCol w:w="1052"/>
        <w:gridCol w:w="1058"/>
        <w:gridCol w:w="1052"/>
        <w:gridCol w:w="1042"/>
      </w:tblGrid>
      <w:tr w:rsidR="005B7D23" w:rsidRPr="00F90A93" w:rsidTr="00B62090">
        <w:tblPrEx>
          <w:tblCellMar>
            <w:top w:w="0" w:type="dxa"/>
            <w:bottom w:w="0" w:type="dxa"/>
          </w:tblCellMar>
        </w:tblPrEx>
        <w:trPr>
          <w:trHeight w:val="240"/>
        </w:trPr>
        <w:tc>
          <w:tcPr>
            <w:tcW w:w="726" w:type="pct"/>
            <w:tcBorders>
              <w:top w:val="single" w:sz="4" w:space="0" w:color="auto"/>
              <w:bottom w:val="single" w:sz="12" w:space="0" w:color="auto"/>
            </w:tcBorders>
            <w:shd w:val="clear" w:color="auto" w:fill="auto"/>
          </w:tcPr>
          <w:p w:rsidR="005B7D23" w:rsidRPr="005B7D23" w:rsidRDefault="005B7D23" w:rsidP="005B7D23">
            <w:pPr>
              <w:suppressAutoHyphens w:val="0"/>
              <w:spacing w:before="80" w:after="80" w:line="200" w:lineRule="exact"/>
              <w:ind w:right="113"/>
              <w:rPr>
                <w:i/>
                <w:sz w:val="16"/>
                <w:szCs w:val="16"/>
              </w:rPr>
            </w:pPr>
            <w:r>
              <w:rPr>
                <w:i/>
                <w:sz w:val="16"/>
                <w:szCs w:val="16"/>
              </w:rPr>
              <w:t>Males</w:t>
            </w:r>
          </w:p>
        </w:tc>
        <w:tc>
          <w:tcPr>
            <w:tcW w:w="707" w:type="pct"/>
            <w:tcBorders>
              <w:top w:val="single" w:sz="4" w:space="0" w:color="auto"/>
              <w:bottom w:val="single" w:sz="12" w:space="0" w:color="auto"/>
            </w:tcBorders>
            <w:shd w:val="clear" w:color="auto" w:fill="auto"/>
          </w:tcPr>
          <w:p w:rsidR="005B7D23" w:rsidRPr="005B7D23" w:rsidRDefault="005B7D23" w:rsidP="005B7D23">
            <w:pPr>
              <w:suppressAutoHyphens w:val="0"/>
              <w:spacing w:before="80" w:after="80" w:line="200" w:lineRule="exact"/>
              <w:ind w:right="113"/>
              <w:jc w:val="right"/>
              <w:rPr>
                <w:i/>
                <w:sz w:val="16"/>
                <w:szCs w:val="16"/>
              </w:rPr>
            </w:pPr>
          </w:p>
        </w:tc>
        <w:tc>
          <w:tcPr>
            <w:tcW w:w="714" w:type="pct"/>
            <w:tcBorders>
              <w:top w:val="single" w:sz="4" w:space="0" w:color="auto"/>
              <w:bottom w:val="single" w:sz="12" w:space="0" w:color="auto"/>
            </w:tcBorders>
            <w:shd w:val="clear" w:color="auto" w:fill="auto"/>
          </w:tcPr>
          <w:p w:rsidR="005B7D23" w:rsidRPr="005B7D23" w:rsidRDefault="005B7D23" w:rsidP="005B7D23">
            <w:pPr>
              <w:suppressAutoHyphens w:val="0"/>
              <w:spacing w:before="80" w:after="80" w:line="200" w:lineRule="exact"/>
              <w:ind w:right="113"/>
              <w:jc w:val="right"/>
              <w:rPr>
                <w:i/>
                <w:sz w:val="16"/>
                <w:szCs w:val="16"/>
              </w:rPr>
            </w:pPr>
          </w:p>
        </w:tc>
        <w:tc>
          <w:tcPr>
            <w:tcW w:w="714" w:type="pct"/>
            <w:tcBorders>
              <w:top w:val="single" w:sz="4" w:space="0" w:color="auto"/>
              <w:bottom w:val="single" w:sz="12" w:space="0" w:color="auto"/>
            </w:tcBorders>
            <w:shd w:val="clear" w:color="auto" w:fill="auto"/>
          </w:tcPr>
          <w:p w:rsidR="005B7D23" w:rsidRPr="005B7D23" w:rsidRDefault="005B7D23" w:rsidP="005B7D23">
            <w:pPr>
              <w:suppressAutoHyphens w:val="0"/>
              <w:spacing w:before="80" w:after="80" w:line="200" w:lineRule="exact"/>
              <w:ind w:right="113"/>
              <w:jc w:val="right"/>
              <w:rPr>
                <w:i/>
                <w:sz w:val="16"/>
                <w:szCs w:val="16"/>
              </w:rPr>
            </w:pPr>
          </w:p>
        </w:tc>
        <w:tc>
          <w:tcPr>
            <w:tcW w:w="718" w:type="pct"/>
            <w:tcBorders>
              <w:top w:val="single" w:sz="4" w:space="0" w:color="auto"/>
              <w:bottom w:val="single" w:sz="12" w:space="0" w:color="auto"/>
            </w:tcBorders>
            <w:shd w:val="clear" w:color="auto" w:fill="auto"/>
          </w:tcPr>
          <w:p w:rsidR="005B7D23" w:rsidRPr="005B7D23" w:rsidRDefault="005B7D23" w:rsidP="005B7D23">
            <w:pPr>
              <w:suppressAutoHyphens w:val="0"/>
              <w:spacing w:before="80" w:after="80" w:line="200" w:lineRule="exact"/>
              <w:ind w:right="113"/>
              <w:jc w:val="right"/>
              <w:rPr>
                <w:i/>
                <w:sz w:val="16"/>
                <w:szCs w:val="16"/>
              </w:rPr>
            </w:pPr>
          </w:p>
        </w:tc>
        <w:tc>
          <w:tcPr>
            <w:tcW w:w="714" w:type="pct"/>
            <w:tcBorders>
              <w:top w:val="single" w:sz="4" w:space="0" w:color="auto"/>
              <w:bottom w:val="single" w:sz="12" w:space="0" w:color="auto"/>
            </w:tcBorders>
            <w:shd w:val="clear" w:color="auto" w:fill="auto"/>
            <w:vAlign w:val="bottom"/>
          </w:tcPr>
          <w:p w:rsidR="005B7D23" w:rsidRPr="005B7D23" w:rsidRDefault="005B7D23" w:rsidP="005B7D23">
            <w:pPr>
              <w:suppressAutoHyphens w:val="0"/>
              <w:spacing w:before="80" w:after="80" w:line="200" w:lineRule="exact"/>
              <w:ind w:right="113"/>
              <w:jc w:val="right"/>
              <w:rPr>
                <w:i/>
                <w:sz w:val="16"/>
                <w:szCs w:val="16"/>
              </w:rPr>
            </w:pPr>
            <w:r w:rsidRPr="005B7D23">
              <w:rPr>
                <w:i/>
                <w:sz w:val="16"/>
                <w:szCs w:val="16"/>
              </w:rPr>
              <w:t>Female</w:t>
            </w:r>
          </w:p>
        </w:tc>
        <w:tc>
          <w:tcPr>
            <w:tcW w:w="708" w:type="pct"/>
            <w:tcBorders>
              <w:top w:val="single" w:sz="4" w:space="0" w:color="auto"/>
              <w:bottom w:val="single" w:sz="12" w:space="0" w:color="auto"/>
            </w:tcBorders>
            <w:shd w:val="clear" w:color="auto" w:fill="auto"/>
            <w:vAlign w:val="bottom"/>
          </w:tcPr>
          <w:p w:rsidR="005B7D23" w:rsidRPr="005B7D23" w:rsidRDefault="005B7D23" w:rsidP="005B7D23">
            <w:pPr>
              <w:suppressAutoHyphens w:val="0"/>
              <w:spacing w:before="80" w:after="80" w:line="200" w:lineRule="exact"/>
              <w:ind w:right="113"/>
              <w:jc w:val="right"/>
              <w:rPr>
                <w:b/>
                <w:i/>
                <w:sz w:val="16"/>
                <w:szCs w:val="16"/>
              </w:rPr>
            </w:pPr>
            <w:r w:rsidRPr="005B7D23">
              <w:rPr>
                <w:b/>
                <w:i/>
                <w:sz w:val="16"/>
                <w:szCs w:val="16"/>
              </w:rPr>
              <w:t>Total</w:t>
            </w:r>
          </w:p>
        </w:tc>
      </w:tr>
      <w:tr w:rsidR="005B3B12" w:rsidRPr="00F90A93" w:rsidTr="00B62090">
        <w:tblPrEx>
          <w:tblCellMar>
            <w:top w:w="0" w:type="dxa"/>
            <w:bottom w:w="0" w:type="dxa"/>
          </w:tblCellMar>
        </w:tblPrEx>
        <w:trPr>
          <w:trHeight w:val="240"/>
        </w:trPr>
        <w:tc>
          <w:tcPr>
            <w:tcW w:w="726" w:type="pct"/>
            <w:tcBorders>
              <w:top w:val="single" w:sz="12" w:space="0" w:color="auto"/>
              <w:bottom w:val="nil"/>
            </w:tcBorders>
            <w:shd w:val="clear" w:color="auto" w:fill="auto"/>
          </w:tcPr>
          <w:p w:rsidR="005B3B12" w:rsidRPr="00F90A93" w:rsidRDefault="005B3B12" w:rsidP="00F90A93">
            <w:pPr>
              <w:suppressAutoHyphens w:val="0"/>
              <w:spacing w:before="40" w:after="40" w:line="220" w:lineRule="exact"/>
              <w:ind w:right="113"/>
              <w:rPr>
                <w:sz w:val="18"/>
              </w:rPr>
            </w:pPr>
            <w:r>
              <w:rPr>
                <w:sz w:val="18"/>
              </w:rPr>
              <w:t>Year</w:t>
            </w:r>
          </w:p>
        </w:tc>
        <w:tc>
          <w:tcPr>
            <w:tcW w:w="707" w:type="pct"/>
            <w:tcBorders>
              <w:top w:val="single" w:sz="12" w:space="0" w:color="auto"/>
              <w:bottom w:val="nil"/>
            </w:tcBorders>
            <w:shd w:val="clear" w:color="auto" w:fill="auto"/>
          </w:tcPr>
          <w:p w:rsidR="005B3B12" w:rsidRDefault="005B3B12" w:rsidP="00F90A93">
            <w:pPr>
              <w:suppressAutoHyphens w:val="0"/>
              <w:spacing w:before="40" w:after="40" w:line="220" w:lineRule="exact"/>
              <w:ind w:right="113"/>
              <w:jc w:val="right"/>
              <w:rPr>
                <w:sz w:val="18"/>
              </w:rPr>
            </w:pPr>
            <w:r>
              <w:rPr>
                <w:sz w:val="18"/>
              </w:rPr>
              <w:t>15–24</w:t>
            </w:r>
          </w:p>
        </w:tc>
        <w:tc>
          <w:tcPr>
            <w:tcW w:w="714" w:type="pct"/>
            <w:tcBorders>
              <w:top w:val="single" w:sz="12" w:space="0" w:color="auto"/>
              <w:bottom w:val="nil"/>
            </w:tcBorders>
            <w:shd w:val="clear" w:color="auto" w:fill="auto"/>
          </w:tcPr>
          <w:p w:rsidR="005B3B12" w:rsidRDefault="005B3B12" w:rsidP="00F90A93">
            <w:pPr>
              <w:suppressAutoHyphens w:val="0"/>
              <w:spacing w:before="40" w:after="40" w:line="220" w:lineRule="exact"/>
              <w:ind w:right="113"/>
              <w:jc w:val="right"/>
              <w:rPr>
                <w:sz w:val="18"/>
              </w:rPr>
            </w:pPr>
            <w:r>
              <w:rPr>
                <w:sz w:val="18"/>
              </w:rPr>
              <w:t>25–44</w:t>
            </w:r>
          </w:p>
        </w:tc>
        <w:tc>
          <w:tcPr>
            <w:tcW w:w="714" w:type="pct"/>
            <w:tcBorders>
              <w:top w:val="single" w:sz="12" w:space="0" w:color="auto"/>
              <w:bottom w:val="nil"/>
            </w:tcBorders>
            <w:shd w:val="clear" w:color="auto" w:fill="auto"/>
          </w:tcPr>
          <w:p w:rsidR="005B3B12" w:rsidRDefault="005B3B12" w:rsidP="00F90A93">
            <w:pPr>
              <w:suppressAutoHyphens w:val="0"/>
              <w:spacing w:before="40" w:after="40" w:line="220" w:lineRule="exact"/>
              <w:ind w:right="113"/>
              <w:jc w:val="right"/>
              <w:rPr>
                <w:sz w:val="18"/>
              </w:rPr>
            </w:pPr>
            <w:r>
              <w:rPr>
                <w:sz w:val="18"/>
              </w:rPr>
              <w:t>45–64</w:t>
            </w:r>
          </w:p>
        </w:tc>
        <w:tc>
          <w:tcPr>
            <w:tcW w:w="718" w:type="pct"/>
            <w:tcBorders>
              <w:top w:val="single" w:sz="12" w:space="0" w:color="auto"/>
              <w:bottom w:val="nil"/>
            </w:tcBorders>
            <w:shd w:val="clear" w:color="auto" w:fill="auto"/>
          </w:tcPr>
          <w:p w:rsidR="005B3B12" w:rsidRDefault="005B3B12" w:rsidP="00F90A93">
            <w:pPr>
              <w:suppressAutoHyphens w:val="0"/>
              <w:spacing w:before="40" w:after="40" w:line="220" w:lineRule="exact"/>
              <w:ind w:right="113"/>
              <w:jc w:val="right"/>
              <w:rPr>
                <w:sz w:val="18"/>
              </w:rPr>
            </w:pPr>
            <w:r>
              <w:rPr>
                <w:sz w:val="18"/>
              </w:rPr>
              <w:t>15+</w:t>
            </w:r>
          </w:p>
        </w:tc>
        <w:tc>
          <w:tcPr>
            <w:tcW w:w="714" w:type="pct"/>
            <w:tcBorders>
              <w:top w:val="single" w:sz="12" w:space="0" w:color="auto"/>
              <w:bottom w:val="nil"/>
            </w:tcBorders>
            <w:shd w:val="clear" w:color="auto" w:fill="auto"/>
            <w:vAlign w:val="bottom"/>
          </w:tcPr>
          <w:p w:rsidR="005B3B12" w:rsidRDefault="005B3B12" w:rsidP="00F90A93">
            <w:pPr>
              <w:suppressAutoHyphens w:val="0"/>
              <w:spacing w:before="40" w:after="40" w:line="220" w:lineRule="exact"/>
              <w:ind w:right="113"/>
              <w:jc w:val="right"/>
              <w:rPr>
                <w:sz w:val="18"/>
              </w:rPr>
            </w:pPr>
            <w:r>
              <w:rPr>
                <w:sz w:val="18"/>
              </w:rPr>
              <w:t>15+</w:t>
            </w:r>
          </w:p>
        </w:tc>
        <w:tc>
          <w:tcPr>
            <w:tcW w:w="708" w:type="pct"/>
            <w:tcBorders>
              <w:top w:val="single" w:sz="12" w:space="0" w:color="auto"/>
              <w:bottom w:val="nil"/>
            </w:tcBorders>
            <w:shd w:val="clear" w:color="auto" w:fill="auto"/>
            <w:vAlign w:val="bottom"/>
          </w:tcPr>
          <w:p w:rsidR="005B3B12" w:rsidRPr="00F90A93" w:rsidRDefault="005B3B12" w:rsidP="00F90A93">
            <w:pPr>
              <w:suppressAutoHyphens w:val="0"/>
              <w:spacing w:before="40" w:after="40" w:line="220" w:lineRule="exact"/>
              <w:ind w:right="113"/>
              <w:jc w:val="right"/>
              <w:rPr>
                <w:b/>
                <w:sz w:val="18"/>
              </w:rPr>
            </w:pPr>
            <w:r>
              <w:rPr>
                <w:b/>
                <w:sz w:val="18"/>
              </w:rPr>
              <w:t>15+</w:t>
            </w:r>
          </w:p>
        </w:tc>
      </w:tr>
      <w:tr w:rsidR="00F90A93" w:rsidRPr="00F90A93" w:rsidTr="005B7D23">
        <w:tblPrEx>
          <w:tblCellMar>
            <w:top w:w="0" w:type="dxa"/>
            <w:bottom w:w="0" w:type="dxa"/>
          </w:tblCellMar>
        </w:tblPrEx>
        <w:trPr>
          <w:trHeight w:val="240"/>
        </w:trPr>
        <w:tc>
          <w:tcPr>
            <w:tcW w:w="726" w:type="pct"/>
            <w:tcBorders>
              <w:top w:val="nil"/>
            </w:tcBorders>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1987</w:t>
            </w:r>
          </w:p>
        </w:tc>
        <w:tc>
          <w:tcPr>
            <w:tcW w:w="707" w:type="pct"/>
            <w:tcBorders>
              <w:top w:val="nil"/>
            </w:tcBorders>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7.9</w:t>
            </w:r>
          </w:p>
        </w:tc>
        <w:tc>
          <w:tcPr>
            <w:tcW w:w="714" w:type="pct"/>
            <w:tcBorders>
              <w:top w:val="nil"/>
            </w:tcBorders>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3.3</w:t>
            </w:r>
          </w:p>
        </w:tc>
        <w:tc>
          <w:tcPr>
            <w:tcW w:w="714" w:type="pct"/>
            <w:tcBorders>
              <w:top w:val="nil"/>
            </w:tcBorders>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1.8</w:t>
            </w:r>
          </w:p>
        </w:tc>
        <w:tc>
          <w:tcPr>
            <w:tcW w:w="718" w:type="pct"/>
            <w:tcBorders>
              <w:top w:val="nil"/>
            </w:tcBorders>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3.7</w:t>
            </w:r>
          </w:p>
        </w:tc>
        <w:tc>
          <w:tcPr>
            <w:tcW w:w="714" w:type="pct"/>
            <w:tcBorders>
              <w:top w:val="nil"/>
            </w:tcBorders>
            <w:shd w:val="clear" w:color="auto" w:fill="auto"/>
            <w:vAlign w:val="bottom"/>
          </w:tcPr>
          <w:p w:rsidR="00036FAC" w:rsidRPr="00F90A93" w:rsidRDefault="00F90A93" w:rsidP="00F90A93">
            <w:pPr>
              <w:suppressAutoHyphens w:val="0"/>
              <w:spacing w:before="40" w:after="40" w:line="220" w:lineRule="exact"/>
              <w:ind w:right="113"/>
              <w:jc w:val="right"/>
              <w:rPr>
                <w:sz w:val="18"/>
              </w:rPr>
            </w:pPr>
            <w:r>
              <w:rPr>
                <w:sz w:val="18"/>
              </w:rPr>
              <w:t>4.8</w:t>
            </w:r>
          </w:p>
        </w:tc>
        <w:tc>
          <w:tcPr>
            <w:tcW w:w="708" w:type="pct"/>
            <w:tcBorders>
              <w:top w:val="nil"/>
            </w:tcBorders>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4.1</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1991</w:t>
            </w:r>
          </w:p>
        </w:tc>
        <w:tc>
          <w:tcPr>
            <w:tcW w:w="707"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15.6</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7.3</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5.1</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9.1</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8.1</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8.7</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1996</w:t>
            </w:r>
          </w:p>
        </w:tc>
        <w:tc>
          <w:tcPr>
            <w:tcW w:w="707" w:type="pct"/>
            <w:shd w:val="clear" w:color="auto" w:fill="auto"/>
          </w:tcPr>
          <w:p w:rsidR="00036FAC" w:rsidRPr="00F90A93" w:rsidRDefault="00036FAC" w:rsidP="00F90A93">
            <w:pPr>
              <w:suppressAutoHyphens w:val="0"/>
              <w:spacing w:before="40" w:after="40" w:line="220" w:lineRule="exact"/>
              <w:ind w:right="113"/>
              <w:jc w:val="right"/>
              <w:rPr>
                <w:sz w:val="18"/>
              </w:rPr>
            </w:pPr>
            <w:r w:rsidRPr="00F90A93">
              <w:rPr>
                <w:sz w:val="18"/>
              </w:rPr>
              <w:t>12.3</w:t>
            </w:r>
            <w:r w:rsidR="00907D8C">
              <w:rPr>
                <w:sz w:val="18"/>
              </w:rPr>
              <w:t xml:space="preserve"> </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5.5</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3.8</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6.3</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6.4</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6.4</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2001</w:t>
            </w:r>
          </w:p>
        </w:tc>
        <w:tc>
          <w:tcPr>
            <w:tcW w:w="707"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13.1</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4.9</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3.8</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6.0</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5.7</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5.9</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2006</w:t>
            </w:r>
          </w:p>
        </w:tc>
        <w:tc>
          <w:tcPr>
            <w:tcW w:w="707"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9.7</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3.1</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2.2</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3.5</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4.2</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3.9</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2008</w:t>
            </w:r>
          </w:p>
        </w:tc>
        <w:tc>
          <w:tcPr>
            <w:tcW w:w="707"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9.9</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2.9</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1.9</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3.4</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3.9</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3.7</w:t>
            </w:r>
          </w:p>
        </w:tc>
      </w:tr>
      <w:tr w:rsidR="00F90A93" w:rsidRPr="00F90A93" w:rsidTr="005B7D23">
        <w:tblPrEx>
          <w:tblCellMar>
            <w:top w:w="0" w:type="dxa"/>
            <w:bottom w:w="0" w:type="dxa"/>
          </w:tblCellMar>
        </w:tblPrEx>
        <w:trPr>
          <w:trHeight w:val="240"/>
        </w:trPr>
        <w:tc>
          <w:tcPr>
            <w:tcW w:w="726" w:type="pct"/>
            <w:shd w:val="clear" w:color="auto" w:fill="auto"/>
          </w:tcPr>
          <w:p w:rsidR="00036FAC" w:rsidRPr="00F90A93" w:rsidRDefault="00036FAC" w:rsidP="00F90A93">
            <w:pPr>
              <w:suppressAutoHyphens w:val="0"/>
              <w:spacing w:before="40" w:after="40" w:line="220" w:lineRule="exact"/>
              <w:ind w:right="113"/>
              <w:rPr>
                <w:sz w:val="18"/>
              </w:rPr>
            </w:pPr>
            <w:r w:rsidRPr="00F90A93">
              <w:rPr>
                <w:sz w:val="18"/>
              </w:rPr>
              <w:t>2009</w:t>
            </w:r>
          </w:p>
        </w:tc>
        <w:tc>
          <w:tcPr>
            <w:tcW w:w="707"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12.1</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3.5</w:t>
            </w:r>
          </w:p>
        </w:tc>
        <w:tc>
          <w:tcPr>
            <w:tcW w:w="714"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2.4</w:t>
            </w:r>
          </w:p>
        </w:tc>
        <w:tc>
          <w:tcPr>
            <w:tcW w:w="718" w:type="pct"/>
            <w:shd w:val="clear" w:color="auto" w:fill="auto"/>
          </w:tcPr>
          <w:p w:rsidR="00036FAC" w:rsidRPr="00F90A93" w:rsidRDefault="00F90A93" w:rsidP="00F90A93">
            <w:pPr>
              <w:suppressAutoHyphens w:val="0"/>
              <w:spacing w:before="40" w:after="40" w:line="220" w:lineRule="exact"/>
              <w:ind w:right="113"/>
              <w:jc w:val="right"/>
              <w:rPr>
                <w:sz w:val="18"/>
              </w:rPr>
            </w:pPr>
            <w:r>
              <w:rPr>
                <w:sz w:val="18"/>
              </w:rPr>
              <w:t>4.5</w:t>
            </w:r>
          </w:p>
        </w:tc>
        <w:tc>
          <w:tcPr>
            <w:tcW w:w="714" w:type="pct"/>
            <w:shd w:val="clear" w:color="auto" w:fill="auto"/>
            <w:vAlign w:val="bottom"/>
          </w:tcPr>
          <w:p w:rsidR="00036FAC" w:rsidRPr="00F90A93" w:rsidRDefault="00036FAC" w:rsidP="00F90A93">
            <w:pPr>
              <w:suppressAutoHyphens w:val="0"/>
              <w:spacing w:before="40" w:after="40" w:line="220" w:lineRule="exact"/>
              <w:ind w:right="113"/>
              <w:jc w:val="right"/>
              <w:rPr>
                <w:sz w:val="18"/>
              </w:rPr>
            </w:pPr>
            <w:r w:rsidRPr="00F90A93">
              <w:rPr>
                <w:sz w:val="18"/>
              </w:rPr>
              <w:t>4.5</w:t>
            </w:r>
          </w:p>
        </w:tc>
        <w:tc>
          <w:tcPr>
            <w:tcW w:w="708" w:type="pct"/>
            <w:shd w:val="clear" w:color="auto" w:fill="auto"/>
            <w:vAlign w:val="bottom"/>
          </w:tcPr>
          <w:p w:rsidR="00036FAC" w:rsidRPr="00F90A93" w:rsidRDefault="00036FAC" w:rsidP="00F90A93">
            <w:pPr>
              <w:suppressAutoHyphens w:val="0"/>
              <w:spacing w:before="40" w:after="40" w:line="220" w:lineRule="exact"/>
              <w:ind w:right="113"/>
              <w:jc w:val="right"/>
              <w:rPr>
                <w:b/>
                <w:sz w:val="18"/>
              </w:rPr>
            </w:pPr>
            <w:r w:rsidRPr="00F90A93">
              <w:rPr>
                <w:b/>
                <w:sz w:val="18"/>
              </w:rPr>
              <w:t>4.5</w:t>
            </w:r>
          </w:p>
        </w:tc>
      </w:tr>
    </w:tbl>
    <w:p w:rsidR="00F90A93" w:rsidRPr="007C016E" w:rsidRDefault="00F90A93" w:rsidP="007C016E">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907D8C">
        <w:rPr>
          <w:sz w:val="18"/>
          <w:szCs w:val="18"/>
        </w:rPr>
        <w:t xml:space="preserve"> </w:t>
      </w:r>
      <w:r w:rsidRPr="007C016E">
        <w:rPr>
          <w:sz w:val="18"/>
          <w:szCs w:val="18"/>
        </w:rPr>
        <w:t>Household</w:t>
      </w:r>
      <w:r w:rsidR="00907D8C">
        <w:rPr>
          <w:sz w:val="18"/>
          <w:szCs w:val="18"/>
        </w:rPr>
        <w:t xml:space="preserve"> </w:t>
      </w:r>
      <w:r w:rsidRPr="007C016E">
        <w:rPr>
          <w:sz w:val="18"/>
          <w:szCs w:val="18"/>
        </w:rPr>
        <w:t>Labour</w:t>
      </w:r>
      <w:r w:rsidR="00907D8C">
        <w:rPr>
          <w:sz w:val="18"/>
          <w:szCs w:val="18"/>
        </w:rPr>
        <w:t xml:space="preserve"> </w:t>
      </w:r>
      <w:r w:rsidRPr="007C016E">
        <w:rPr>
          <w:sz w:val="18"/>
          <w:szCs w:val="18"/>
        </w:rPr>
        <w:t>Force</w:t>
      </w:r>
      <w:r w:rsidR="00907D8C">
        <w:rPr>
          <w:sz w:val="18"/>
          <w:szCs w:val="18"/>
        </w:rPr>
        <w:t xml:space="preserve"> </w:t>
      </w:r>
      <w:r w:rsidRPr="007C016E">
        <w:rPr>
          <w:sz w:val="18"/>
          <w:szCs w:val="18"/>
        </w:rPr>
        <w:t>Survey.</w:t>
      </w:r>
    </w:p>
    <w:p w:rsidR="00F90A93" w:rsidRPr="007C016E" w:rsidRDefault="00F90A93" w:rsidP="00DA1E10">
      <w:pPr>
        <w:spacing w:after="240"/>
        <w:ind w:left="1134" w:right="1134" w:firstLine="170"/>
        <w:rPr>
          <w:sz w:val="18"/>
          <w:szCs w:val="18"/>
        </w:rPr>
      </w:pPr>
      <w:r w:rsidRPr="007C016E">
        <w:rPr>
          <w:i/>
          <w:sz w:val="18"/>
          <w:szCs w:val="18"/>
        </w:rPr>
        <w:t>Note</w:t>
      </w:r>
      <w:r w:rsidRPr="007C016E">
        <w:rPr>
          <w:sz w:val="18"/>
          <w:szCs w:val="18"/>
        </w:rPr>
        <w:t>:</w:t>
      </w:r>
      <w:r w:rsidR="00907D8C">
        <w:rPr>
          <w:sz w:val="18"/>
          <w:szCs w:val="18"/>
        </w:rPr>
        <w:t xml:space="preserve">  </w:t>
      </w:r>
      <w:r w:rsidRPr="007C016E">
        <w:rPr>
          <w:sz w:val="18"/>
          <w:szCs w:val="18"/>
        </w:rPr>
        <w:t>Average</w:t>
      </w:r>
      <w:r w:rsidR="00907D8C">
        <w:rPr>
          <w:sz w:val="18"/>
          <w:szCs w:val="18"/>
        </w:rPr>
        <w:t xml:space="preserve"> </w:t>
      </w:r>
      <w:r w:rsidRPr="007C016E">
        <w:rPr>
          <w:sz w:val="18"/>
          <w:szCs w:val="18"/>
        </w:rPr>
        <w:t>for</w:t>
      </w:r>
      <w:r w:rsidR="00907D8C">
        <w:rPr>
          <w:sz w:val="18"/>
          <w:szCs w:val="18"/>
        </w:rPr>
        <w:t xml:space="preserve"> </w:t>
      </w:r>
      <w:r w:rsidRPr="007C016E">
        <w:rPr>
          <w:sz w:val="18"/>
          <w:szCs w:val="18"/>
        </w:rPr>
        <w:t>March</w:t>
      </w:r>
      <w:r w:rsidR="00907D8C">
        <w:rPr>
          <w:sz w:val="18"/>
          <w:szCs w:val="18"/>
        </w:rPr>
        <w:t xml:space="preserve"> </w:t>
      </w:r>
      <w:r w:rsidRPr="007C016E">
        <w:rPr>
          <w:sz w:val="18"/>
          <w:szCs w:val="18"/>
        </w:rPr>
        <w:t>years.</w:t>
      </w:r>
    </w:p>
    <w:p w:rsidR="00036FAC" w:rsidRPr="00036FAC" w:rsidRDefault="00F90A93" w:rsidP="006C436C">
      <w:pPr>
        <w:pStyle w:val="H23G"/>
      </w:pPr>
      <w:r>
        <w:tab/>
      </w:r>
      <w:r w:rsidR="00036FAC" w:rsidRPr="00036FAC">
        <w:t>(b)</w:t>
      </w:r>
      <w:r w:rsidR="00036FAC" w:rsidRPr="00036FAC">
        <w:tab/>
        <w:t>Ethnic</w:t>
      </w:r>
      <w:r w:rsidR="00907D8C">
        <w:t xml:space="preserve"> </w:t>
      </w:r>
      <w:r w:rsidR="00036FAC" w:rsidRPr="00036FAC">
        <w:t>differences</w:t>
      </w:r>
    </w:p>
    <w:p w:rsidR="002C3A48" w:rsidRPr="00036FAC" w:rsidRDefault="00036FAC" w:rsidP="002C3A48">
      <w:pPr>
        <w:pStyle w:val="SingleTxtG"/>
      </w:pPr>
      <w:r w:rsidRPr="00036FAC">
        <w:t>49.</w:t>
      </w:r>
      <w:r w:rsidRPr="00036FAC">
        <w:tab/>
        <w:t>The</w:t>
      </w:r>
      <w:r w:rsidR="00907D8C">
        <w:t xml:space="preserve"> </w:t>
      </w:r>
      <w:r w:rsidRPr="00036FAC">
        <w:t>unemployment</w:t>
      </w:r>
      <w:r w:rsidR="00907D8C">
        <w:t xml:space="preserve"> </w:t>
      </w:r>
      <w:r w:rsidRPr="00036FAC">
        <w:t>rate</w:t>
      </w:r>
      <w:r w:rsidR="00907D8C">
        <w:t xml:space="preserve"> </w:t>
      </w:r>
      <w:r w:rsidRPr="00036FAC">
        <w:t>is</w:t>
      </w:r>
      <w:r w:rsidR="00907D8C">
        <w:t xml:space="preserve"> </w:t>
      </w:r>
      <w:r w:rsidRPr="00036FAC">
        <w:t>lowest</w:t>
      </w:r>
      <w:r w:rsidR="00907D8C">
        <w:t xml:space="preserve"> </w:t>
      </w:r>
      <w:r w:rsidRPr="00036FAC">
        <w:t>among</w:t>
      </w:r>
      <w:r w:rsidR="00907D8C">
        <w:t xml:space="preserve"> </w:t>
      </w:r>
      <w:r w:rsidRPr="00036FAC">
        <w:t>people</w:t>
      </w:r>
      <w:r w:rsidR="00907D8C">
        <w:t xml:space="preserve"> </w:t>
      </w:r>
      <w:r w:rsidRPr="00036FAC">
        <w:t>of</w:t>
      </w:r>
      <w:r w:rsidR="00907D8C">
        <w:t xml:space="preserve"> </w:t>
      </w:r>
      <w:r w:rsidRPr="00036FAC">
        <w:t>European</w:t>
      </w:r>
      <w:r w:rsidR="00907D8C">
        <w:t xml:space="preserve"> </w:t>
      </w:r>
      <w:r w:rsidRPr="00036FAC">
        <w:t>ethnicity.</w:t>
      </w:r>
      <w:r w:rsidR="00907D8C">
        <w:t xml:space="preserve"> </w:t>
      </w:r>
      <w:r w:rsidRPr="00036FAC">
        <w:t>For</w:t>
      </w:r>
      <w:r w:rsidR="00907D8C">
        <w:t xml:space="preserve"> </w:t>
      </w:r>
      <w:r w:rsidRPr="00036FAC">
        <w:t>this</w:t>
      </w:r>
      <w:r w:rsidR="00907D8C">
        <w:t xml:space="preserve"> </w:t>
      </w:r>
      <w:r w:rsidRPr="00036FAC">
        <w:t>group,</w:t>
      </w:r>
      <w:r w:rsidR="00907D8C">
        <w:t xml:space="preserve"> </w:t>
      </w:r>
      <w:r w:rsidRPr="00036FAC">
        <w:t>the</w:t>
      </w:r>
      <w:r w:rsidR="00907D8C">
        <w:t xml:space="preserve"> </w:t>
      </w:r>
      <w:r w:rsidRPr="00036FAC">
        <w:t>unemployment</w:t>
      </w:r>
      <w:r w:rsidR="00907D8C">
        <w:t xml:space="preserve"> </w:t>
      </w:r>
      <w:r w:rsidRPr="00036FAC">
        <w:t>rate</w:t>
      </w:r>
      <w:r w:rsidR="00907D8C">
        <w:t xml:space="preserve"> </w:t>
      </w:r>
      <w:r w:rsidRPr="00036FAC">
        <w:t>rose</w:t>
      </w:r>
      <w:r w:rsidR="00907D8C">
        <w:t xml:space="preserve"> </w:t>
      </w:r>
      <w:r w:rsidRPr="00036FAC">
        <w:t>from</w:t>
      </w:r>
      <w:r w:rsidR="00907D8C">
        <w:t xml:space="preserve"> </w:t>
      </w:r>
      <w:r w:rsidRPr="00036FAC">
        <w:t>3.3</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1987</w:t>
      </w:r>
      <w:r w:rsidR="00907D8C">
        <w:t xml:space="preserve"> </w:t>
      </w:r>
      <w:r w:rsidRPr="00036FAC">
        <w:t>to</w:t>
      </w:r>
      <w:r w:rsidR="00907D8C">
        <w:t xml:space="preserve"> </w:t>
      </w:r>
      <w:r w:rsidRPr="00036FAC">
        <w:t>a</w:t>
      </w:r>
      <w:r w:rsidR="00907D8C">
        <w:t xml:space="preserve"> </w:t>
      </w:r>
      <w:r w:rsidRPr="00036FAC">
        <w:t>peak</w:t>
      </w:r>
      <w:r w:rsidR="00907D8C">
        <w:t xml:space="preserve"> </w:t>
      </w:r>
      <w:r w:rsidRPr="00036FAC">
        <w:t>of</w:t>
      </w:r>
      <w:r w:rsidR="00907D8C">
        <w:t xml:space="preserve"> </w:t>
      </w:r>
      <w:r w:rsidRPr="00036FAC">
        <w:t>8.1</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1992,</w:t>
      </w:r>
      <w:r w:rsidR="00907D8C">
        <w:t xml:space="preserve"> </w:t>
      </w:r>
      <w:r w:rsidRPr="00036FAC">
        <w:t>before</w:t>
      </w:r>
      <w:r w:rsidR="00907D8C">
        <w:t xml:space="preserve"> </w:t>
      </w:r>
      <w:r w:rsidRPr="00036FAC">
        <w:t>declining</w:t>
      </w:r>
      <w:r w:rsidR="00907D8C">
        <w:t xml:space="preserve"> </w:t>
      </w:r>
      <w:r w:rsidRPr="00036FAC">
        <w:t>to</w:t>
      </w:r>
      <w:r w:rsidR="00907D8C">
        <w:t xml:space="preserve"> </w:t>
      </w:r>
      <w:r w:rsidRPr="00036FAC">
        <w:t>3.3</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(up</w:t>
      </w:r>
      <w:r w:rsidR="00907D8C">
        <w:t xml:space="preserve"> </w:t>
      </w:r>
      <w:r w:rsidRPr="00036FAC">
        <w:t>from</w:t>
      </w:r>
      <w:r w:rsidR="00907D8C">
        <w:t xml:space="preserve"> </w:t>
      </w:r>
      <w:r w:rsidRPr="00036FAC">
        <w:t>the</w:t>
      </w:r>
      <w:r w:rsidR="00907D8C">
        <w:t xml:space="preserve"> </w:t>
      </w:r>
      <w:r w:rsidRPr="00036FAC">
        <w:t>record</w:t>
      </w:r>
      <w:r w:rsidR="00907D8C">
        <w:t xml:space="preserve"> </w:t>
      </w:r>
      <w:r w:rsidRPr="00036FAC">
        <w:t>low</w:t>
      </w:r>
      <w:r w:rsidR="00907D8C">
        <w:t xml:space="preserve"> </w:t>
      </w:r>
      <w:r w:rsidRPr="00036FAC">
        <w:t>of</w:t>
      </w:r>
      <w:r w:rsidR="00907D8C">
        <w:t xml:space="preserve"> </w:t>
      </w:r>
      <w:r w:rsidRPr="00036FAC">
        <w:t>2.6</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years</w:t>
      </w:r>
      <w:r w:rsidR="00907D8C">
        <w:t xml:space="preserve"> </w:t>
      </w:r>
      <w:r w:rsidRPr="00036FAC">
        <w:t>to</w:t>
      </w:r>
      <w:r w:rsidR="00907D8C">
        <w:t xml:space="preserve"> </w:t>
      </w:r>
      <w:r w:rsidRPr="00036FAC">
        <w:t>March</w:t>
      </w:r>
      <w:r w:rsidR="00907D8C">
        <w:t xml:space="preserve"> </w:t>
      </w:r>
      <w:r w:rsidRPr="00036FAC">
        <w:t>2006–</w:t>
      </w:r>
      <w:r w:rsidR="00B71C3C">
        <w:t>20</w:t>
      </w:r>
      <w:r w:rsidRPr="00036FAC">
        <w:t>08).</w:t>
      </w:r>
      <w:r w:rsidR="00907D8C">
        <w:t xml:space="preserve"> </w:t>
      </w:r>
      <w:r w:rsidRPr="00036FAC">
        <w:t>The</w:t>
      </w:r>
      <w:r w:rsidR="00907D8C">
        <w:t xml:space="preserve"> </w:t>
      </w:r>
      <w:r w:rsidRPr="00036FAC">
        <w:t>unemployment</w:t>
      </w:r>
      <w:r w:rsidR="00907D8C">
        <w:t xml:space="preserve"> </w:t>
      </w:r>
      <w:r w:rsidRPr="00036FAC">
        <w:t>rate</w:t>
      </w:r>
      <w:r w:rsidR="00907D8C">
        <w:t xml:space="preserve"> </w:t>
      </w:r>
      <w:r w:rsidRPr="00036FAC">
        <w:t>of</w:t>
      </w:r>
      <w:r w:rsidR="00907D8C">
        <w:t xml:space="preserve"> </w:t>
      </w:r>
      <w:r w:rsidRPr="00036FAC">
        <w:t>the</w:t>
      </w:r>
      <w:r w:rsidR="00907D8C">
        <w:t xml:space="preserve"> </w:t>
      </w:r>
      <w:r w:rsidRPr="00036FAC">
        <w:t>Other</w:t>
      </w:r>
      <w:r w:rsidR="00907D8C">
        <w:t xml:space="preserve"> </w:t>
      </w:r>
      <w:r w:rsidRPr="00036FAC">
        <w:t>ethnic</w:t>
      </w:r>
      <w:r w:rsidR="00907D8C">
        <w:t xml:space="preserve"> </w:t>
      </w:r>
      <w:r w:rsidRPr="00036FAC">
        <w:t>group</w:t>
      </w:r>
      <w:r w:rsidR="00907D8C">
        <w:t xml:space="preserve"> </w:t>
      </w:r>
      <w:r w:rsidRPr="00036FAC">
        <w:t>category</w:t>
      </w:r>
      <w:r w:rsidR="00907D8C">
        <w:t xml:space="preserve"> </w:t>
      </w:r>
      <w:r w:rsidRPr="00036FAC">
        <w:t>(made</w:t>
      </w:r>
      <w:r w:rsidR="00907D8C">
        <w:t xml:space="preserve"> </w:t>
      </w:r>
      <w:r w:rsidRPr="00036FAC">
        <w:t>up</w:t>
      </w:r>
      <w:r w:rsidR="00907D8C">
        <w:t xml:space="preserve"> </w:t>
      </w:r>
      <w:r w:rsidRPr="00036FAC">
        <w:t>mainly</w:t>
      </w:r>
      <w:r w:rsidR="00907D8C">
        <w:t xml:space="preserve"> </w:t>
      </w:r>
      <w:r w:rsidRPr="00036FAC">
        <w:t>of</w:t>
      </w:r>
      <w:r w:rsidR="00907D8C">
        <w:t xml:space="preserve"> </w:t>
      </w:r>
      <w:r w:rsidRPr="00036FAC">
        <w:t>Asians,</w:t>
      </w:r>
      <w:r w:rsidR="00907D8C">
        <w:t xml:space="preserve"> </w:t>
      </w:r>
      <w:r w:rsidRPr="00036FAC">
        <w:t>but</w:t>
      </w:r>
      <w:r w:rsidR="00907D8C">
        <w:t xml:space="preserve"> </w:t>
      </w:r>
      <w:r w:rsidRPr="00036FAC">
        <w:t>includes</w:t>
      </w:r>
      <w:r w:rsidR="00907D8C">
        <w:t xml:space="preserve"> </w:t>
      </w:r>
      <w:r w:rsidRPr="00036FAC">
        <w:t>many</w:t>
      </w:r>
      <w:r w:rsidR="00907D8C">
        <w:t xml:space="preserve"> </w:t>
      </w:r>
      <w:r w:rsidRPr="00036FAC">
        <w:t>recent</w:t>
      </w:r>
      <w:r w:rsidR="00907D8C">
        <w:t xml:space="preserve"> </w:t>
      </w:r>
      <w:r w:rsidRPr="00036FAC">
        <w:t>migrants)</w:t>
      </w:r>
      <w:r w:rsidR="00907D8C">
        <w:t xml:space="preserve"> </w:t>
      </w:r>
      <w:r w:rsidRPr="00036FAC">
        <w:t>increased</w:t>
      </w:r>
      <w:r w:rsidR="00907D8C">
        <w:t xml:space="preserve"> </w:t>
      </w:r>
      <w:r w:rsidRPr="00036FAC">
        <w:t>from</w:t>
      </w:r>
      <w:r w:rsidR="00907D8C">
        <w:t xml:space="preserve"> </w:t>
      </w:r>
      <w:r w:rsidRPr="00036FAC">
        <w:t>3.5</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1987</w:t>
      </w:r>
      <w:r w:rsidR="00907D8C">
        <w:t xml:space="preserve"> </w:t>
      </w:r>
      <w:r w:rsidRPr="00036FAC">
        <w:t>to</w:t>
      </w:r>
      <w:r w:rsidR="00907D8C">
        <w:t xml:space="preserve"> </w:t>
      </w:r>
      <w:r w:rsidRPr="00036FAC">
        <w:t>peak</w:t>
      </w:r>
      <w:r w:rsidR="00907D8C">
        <w:t xml:space="preserve"> </w:t>
      </w:r>
      <w:r w:rsidRPr="00036FAC">
        <w:t>at</w:t>
      </w:r>
      <w:r w:rsidR="00907D8C">
        <w:t xml:space="preserve"> </w:t>
      </w:r>
      <w:r w:rsidRPr="00036FAC">
        <w:t>14.4</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1992</w:t>
      </w:r>
      <w:r w:rsidR="00907D8C">
        <w:t xml:space="preserve"> </w:t>
      </w:r>
      <w:r w:rsidRPr="00036FAC">
        <w:t>and</w:t>
      </w:r>
      <w:r w:rsidR="00907D8C">
        <w:t xml:space="preserve"> </w:t>
      </w:r>
      <w:r w:rsidRPr="00036FAC">
        <w:t>1993,</w:t>
      </w:r>
      <w:r w:rsidR="00907D8C">
        <w:t xml:space="preserve"> </w:t>
      </w:r>
      <w:r w:rsidRPr="00036FAC">
        <w:t>fell</w:t>
      </w:r>
      <w:r w:rsidR="00907D8C">
        <w:t xml:space="preserve"> </w:t>
      </w:r>
      <w:r w:rsidRPr="00036FAC">
        <w:t>to</w:t>
      </w:r>
      <w:r w:rsidR="00907D8C">
        <w:t xml:space="preserve"> </w:t>
      </w:r>
      <w:r w:rsidRPr="00036FAC">
        <w:t>5.2</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2008</w:t>
      </w:r>
      <w:r w:rsidR="00907D8C">
        <w:t xml:space="preserve"> </w:t>
      </w:r>
      <w:r w:rsidRPr="00036FAC">
        <w:t>and</w:t>
      </w:r>
      <w:r w:rsidR="00907D8C">
        <w:t xml:space="preserve"> </w:t>
      </w:r>
      <w:r w:rsidRPr="00036FAC">
        <w:t>increased</w:t>
      </w:r>
      <w:r w:rsidR="00907D8C">
        <w:t xml:space="preserve"> </w:t>
      </w:r>
      <w:r w:rsidRPr="00036FAC">
        <w:t>to</w:t>
      </w:r>
      <w:r w:rsidR="00907D8C">
        <w:t xml:space="preserve"> </w:t>
      </w:r>
      <w:r w:rsidRPr="00036FAC">
        <w:t>5.9</w:t>
      </w:r>
      <w:r w:rsidR="00907D8C">
        <w:t xml:space="preserve"> </w:t>
      </w:r>
      <w:r w:rsidR="001B201B">
        <w:t>per</w:t>
      </w:r>
      <w:r w:rsidR="00907D8C">
        <w:t xml:space="preserve"> </w:t>
      </w:r>
      <w:r w:rsidR="001B201B">
        <w:t>cent</w:t>
      </w:r>
      <w:r w:rsidR="00907D8C">
        <w:t xml:space="preserve"> </w:t>
      </w:r>
      <w:r w:rsidR="002C3A48">
        <w:t>in</w:t>
      </w:r>
      <w:r w:rsidR="00907D8C">
        <w:t xml:space="preserve"> </w:t>
      </w:r>
      <w:r w:rsidR="002C3A48">
        <w:t>the</w:t>
      </w:r>
      <w:r w:rsidR="00907D8C">
        <w:t xml:space="preserve"> </w:t>
      </w:r>
      <w:r w:rsidR="002C3A48">
        <w:t>year</w:t>
      </w:r>
      <w:r w:rsidR="00907D8C">
        <w:t xml:space="preserve"> </w:t>
      </w:r>
      <w:r w:rsidR="002C3A48">
        <w:t>to</w:t>
      </w:r>
      <w:r w:rsidR="00907D8C">
        <w:t xml:space="preserve"> </w:t>
      </w:r>
      <w:r w:rsidR="002C3A48">
        <w:t>March</w:t>
      </w:r>
      <w:r w:rsidR="00907D8C">
        <w:t xml:space="preserve"> </w:t>
      </w:r>
      <w:r w:rsidR="002C3A48">
        <w:t>2009.</w:t>
      </w:r>
    </w:p>
    <w:p w:rsidR="00036FAC" w:rsidRPr="00036FAC" w:rsidRDefault="00036FAC" w:rsidP="002C3A48">
      <w:pPr>
        <w:pStyle w:val="SingleTxtG"/>
      </w:pPr>
      <w:r w:rsidRPr="00036FAC">
        <w:t>50.</w:t>
      </w:r>
      <w:r w:rsidRPr="00036FAC">
        <w:tab/>
        <w:t>The</w:t>
      </w:r>
      <w:r w:rsidR="00907D8C">
        <w:t xml:space="preserve"> </w:t>
      </w:r>
      <w:r w:rsidRPr="00036FAC">
        <w:t>Māori</w:t>
      </w:r>
      <w:r w:rsidR="00907D8C">
        <w:t xml:space="preserve"> </w:t>
      </w:r>
      <w:r w:rsidRPr="00036FAC">
        <w:t>unemployment</w:t>
      </w:r>
      <w:r w:rsidR="00907D8C">
        <w:t xml:space="preserve"> </w:t>
      </w:r>
      <w:r w:rsidRPr="00036FAC">
        <w:t>rate</w:t>
      </w:r>
      <w:r w:rsidR="00907D8C">
        <w:t xml:space="preserve"> </w:t>
      </w:r>
      <w:r w:rsidRPr="00036FAC">
        <w:t>rose</w:t>
      </w:r>
      <w:r w:rsidR="00907D8C">
        <w:t xml:space="preserve"> </w:t>
      </w:r>
      <w:r w:rsidRPr="00036FAC">
        <w:t>from</w:t>
      </w:r>
      <w:r w:rsidR="00907D8C">
        <w:t xml:space="preserve"> </w:t>
      </w:r>
      <w:r w:rsidRPr="00036FAC">
        <w:t>11.2</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1987</w:t>
      </w:r>
      <w:r w:rsidR="00907D8C">
        <w:t xml:space="preserve"> </w:t>
      </w:r>
      <w:r w:rsidRPr="00036FAC">
        <w:t>to</w:t>
      </w:r>
      <w:r w:rsidR="00907D8C">
        <w:t xml:space="preserve"> </w:t>
      </w:r>
      <w:r w:rsidRPr="00036FAC">
        <w:t>a</w:t>
      </w:r>
      <w:r w:rsidR="00907D8C">
        <w:t xml:space="preserve"> </w:t>
      </w:r>
      <w:r w:rsidRPr="00036FAC">
        <w:t>peak</w:t>
      </w:r>
      <w:r w:rsidR="00907D8C">
        <w:t xml:space="preserve"> </w:t>
      </w:r>
      <w:r w:rsidRPr="00036FAC">
        <w:t>of</w:t>
      </w:r>
      <w:r w:rsidR="00907D8C">
        <w:t xml:space="preserve"> </w:t>
      </w:r>
      <w:r w:rsidRPr="00036FAC">
        <w:t>26.1</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1992.</w:t>
      </w:r>
      <w:r w:rsidR="00907D8C">
        <w:t xml:space="preserve"> </w:t>
      </w:r>
      <w:r w:rsidRPr="00036FAC">
        <w:t>It</w:t>
      </w:r>
      <w:r w:rsidR="00907D8C">
        <w:t xml:space="preserve"> </w:t>
      </w:r>
      <w:r w:rsidRPr="00036FAC">
        <w:t>fell</w:t>
      </w:r>
      <w:r w:rsidR="00907D8C">
        <w:t xml:space="preserve"> </w:t>
      </w:r>
      <w:r w:rsidRPr="00036FAC">
        <w:t>to</w:t>
      </w:r>
      <w:r w:rsidR="00907D8C">
        <w:t xml:space="preserve"> </w:t>
      </w:r>
      <w:r w:rsidRPr="00036FAC">
        <w:t>a</w:t>
      </w:r>
      <w:r w:rsidR="00907D8C">
        <w:t xml:space="preserve"> </w:t>
      </w:r>
      <w:r w:rsidRPr="00036FAC">
        <w:t>record</w:t>
      </w:r>
      <w:r w:rsidR="00907D8C">
        <w:t xml:space="preserve"> </w:t>
      </w:r>
      <w:r w:rsidRPr="00036FAC">
        <w:t>low</w:t>
      </w:r>
      <w:r w:rsidR="00907D8C">
        <w:t xml:space="preserve"> </w:t>
      </w:r>
      <w:r w:rsidRPr="00036FAC">
        <w:t>of</w:t>
      </w:r>
      <w:r w:rsidR="00907D8C">
        <w:t xml:space="preserve"> </w:t>
      </w:r>
      <w:r w:rsidRPr="00036FAC">
        <w:t>7.9</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2007,</w:t>
      </w:r>
      <w:r w:rsidR="00907D8C">
        <w:t xml:space="preserve"> </w:t>
      </w:r>
      <w:r w:rsidRPr="00036FAC">
        <w:t>increased</w:t>
      </w:r>
      <w:r w:rsidR="00907D8C">
        <w:t xml:space="preserve"> </w:t>
      </w:r>
      <w:r w:rsidRPr="00036FAC">
        <w:t>slightly</w:t>
      </w:r>
      <w:r w:rsidR="00907D8C">
        <w:t xml:space="preserve"> </w:t>
      </w:r>
      <w:r w:rsidRPr="00036FAC">
        <w:t>to</w:t>
      </w:r>
      <w:r w:rsidR="00907D8C">
        <w:t xml:space="preserve"> </w:t>
      </w:r>
      <w:r w:rsidRPr="00036FAC">
        <w:t>8.0</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2008,</w:t>
      </w:r>
      <w:r w:rsidR="00907D8C">
        <w:t xml:space="preserve"> </w:t>
      </w:r>
      <w:r w:rsidRPr="00036FAC">
        <w:t>then</w:t>
      </w:r>
      <w:r w:rsidR="00907D8C">
        <w:t xml:space="preserve"> </w:t>
      </w:r>
      <w:r w:rsidRPr="00036FAC">
        <w:t>rose</w:t>
      </w:r>
      <w:r w:rsidR="00907D8C">
        <w:t xml:space="preserve"> </w:t>
      </w:r>
      <w:r w:rsidRPr="00036FAC">
        <w:t>to</w:t>
      </w:r>
      <w:r w:rsidR="00907D8C">
        <w:t xml:space="preserve"> </w:t>
      </w:r>
      <w:r w:rsidRPr="00036FAC">
        <w:t>8.8</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Between</w:t>
      </w:r>
      <w:r w:rsidR="00907D8C">
        <w:t xml:space="preserve"> </w:t>
      </w:r>
      <w:r w:rsidRPr="00036FAC">
        <w:t>1987</w:t>
      </w:r>
      <w:r w:rsidR="00907D8C">
        <w:t xml:space="preserve"> </w:t>
      </w:r>
      <w:r w:rsidRPr="00036FAC">
        <w:t>and</w:t>
      </w:r>
      <w:r w:rsidR="00907D8C">
        <w:t xml:space="preserve"> </w:t>
      </w:r>
      <w:r w:rsidRPr="00036FAC">
        <w:t>1992,</w:t>
      </w:r>
      <w:r w:rsidR="00907D8C">
        <w:t xml:space="preserve"> </w:t>
      </w:r>
      <w:r w:rsidRPr="00036FAC">
        <w:t>the</w:t>
      </w:r>
      <w:r w:rsidR="00907D8C">
        <w:t xml:space="preserve"> </w:t>
      </w:r>
      <w:r w:rsidRPr="00036FAC">
        <w:t>unemployment</w:t>
      </w:r>
      <w:r w:rsidR="00907D8C">
        <w:t xml:space="preserve"> </w:t>
      </w:r>
      <w:r w:rsidRPr="00036FAC">
        <w:t>rate</w:t>
      </w:r>
      <w:r w:rsidR="00907D8C">
        <w:t xml:space="preserve"> </w:t>
      </w:r>
      <w:r w:rsidRPr="00036FAC">
        <w:t>for</w:t>
      </w:r>
      <w:r w:rsidR="00907D8C">
        <w:t xml:space="preserve"> </w:t>
      </w:r>
      <w:r w:rsidRPr="00036FAC">
        <w:t>Pacific</w:t>
      </w:r>
      <w:r w:rsidR="00907D8C">
        <w:t xml:space="preserve"> </w:t>
      </w:r>
      <w:r w:rsidRPr="00036FAC">
        <w:t>peoples</w:t>
      </w:r>
      <w:r w:rsidR="00907D8C">
        <w:t xml:space="preserve"> </w:t>
      </w:r>
      <w:r w:rsidRPr="00036FAC">
        <w:t>rose</w:t>
      </w:r>
      <w:r w:rsidR="00907D8C">
        <w:t xml:space="preserve"> </w:t>
      </w:r>
      <w:r w:rsidRPr="00036FAC">
        <w:t>from</w:t>
      </w:r>
      <w:r w:rsidR="00907D8C">
        <w:t xml:space="preserve"> </w:t>
      </w:r>
      <w:r w:rsidRPr="00036FAC">
        <w:t>6.1</w:t>
      </w:r>
      <w:r w:rsidR="00907D8C">
        <w:t xml:space="preserve"> </w:t>
      </w:r>
      <w:r w:rsidR="001B201B">
        <w:t>per</w:t>
      </w:r>
      <w:r w:rsidR="00907D8C">
        <w:t xml:space="preserve"> </w:t>
      </w:r>
      <w:r w:rsidR="001B201B">
        <w:t>cent</w:t>
      </w:r>
      <w:r w:rsidR="00907D8C">
        <w:t xml:space="preserve"> </w:t>
      </w:r>
      <w:r w:rsidRPr="00036FAC">
        <w:t>to</w:t>
      </w:r>
      <w:r w:rsidR="00907D8C">
        <w:t xml:space="preserve"> </w:t>
      </w:r>
      <w:r w:rsidRPr="00036FAC">
        <w:t>28.8</w:t>
      </w:r>
      <w:r w:rsidR="00907D8C">
        <w:t xml:space="preserve"> </w:t>
      </w:r>
      <w:r w:rsidR="00AE58B5">
        <w:t>per</w:t>
      </w:r>
      <w:r w:rsidR="00907D8C">
        <w:t xml:space="preserve"> </w:t>
      </w:r>
      <w:r w:rsidR="00AE58B5">
        <w:t>cent</w:t>
      </w:r>
      <w:r w:rsidRPr="00036FAC">
        <w:t>,</w:t>
      </w:r>
      <w:r w:rsidR="00907D8C">
        <w:t xml:space="preserve"> </w:t>
      </w:r>
      <w:r w:rsidRPr="00036FAC">
        <w:t>the</w:t>
      </w:r>
      <w:r w:rsidR="00907D8C">
        <w:t xml:space="preserve"> </w:t>
      </w:r>
      <w:r w:rsidRPr="00036FAC">
        <w:t>highest</w:t>
      </w:r>
      <w:r w:rsidR="00907D8C">
        <w:t xml:space="preserve"> </w:t>
      </w:r>
      <w:r w:rsidRPr="00036FAC">
        <w:t>rate</w:t>
      </w:r>
      <w:r w:rsidR="00907D8C">
        <w:t xml:space="preserve"> </w:t>
      </w:r>
      <w:r w:rsidRPr="00036FAC">
        <w:t>for</w:t>
      </w:r>
      <w:r w:rsidR="00907D8C">
        <w:t xml:space="preserve"> </w:t>
      </w:r>
      <w:r w:rsidRPr="00036FAC">
        <w:t>any</w:t>
      </w:r>
      <w:r w:rsidR="00907D8C">
        <w:t xml:space="preserve"> </w:t>
      </w:r>
      <w:r w:rsidRPr="00036FAC">
        <w:t>ethnic</w:t>
      </w:r>
      <w:r w:rsidR="00907D8C">
        <w:t xml:space="preserve"> </w:t>
      </w:r>
      <w:r w:rsidRPr="00036FAC">
        <w:t>group.</w:t>
      </w:r>
      <w:r w:rsidR="00907D8C">
        <w:t xml:space="preserve"> </w:t>
      </w:r>
      <w:r w:rsidRPr="00036FAC">
        <w:t>After</w:t>
      </w:r>
      <w:r w:rsidR="00907D8C">
        <w:t xml:space="preserve"> </w:t>
      </w:r>
      <w:r w:rsidRPr="00036FAC">
        <w:t>falling</w:t>
      </w:r>
      <w:r w:rsidR="00907D8C">
        <w:t xml:space="preserve"> </w:t>
      </w:r>
      <w:r w:rsidRPr="00036FAC">
        <w:t>to</w:t>
      </w:r>
      <w:r w:rsidR="00907D8C">
        <w:t xml:space="preserve"> </w:t>
      </w:r>
      <w:r w:rsidRPr="00036FAC">
        <w:t>6.3</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Pacific</w:t>
      </w:r>
      <w:r w:rsidR="00907D8C">
        <w:t xml:space="preserve"> </w:t>
      </w:r>
      <w:r w:rsidRPr="00036FAC">
        <w:t>peoples</w:t>
      </w:r>
      <w:r w:rsidR="00907D8C">
        <w:t xml:space="preserve"> </w:t>
      </w:r>
      <w:r w:rsidRPr="00036FAC">
        <w:t>unemployment</w:t>
      </w:r>
      <w:r w:rsidR="00907D8C">
        <w:t xml:space="preserve"> </w:t>
      </w:r>
      <w:r w:rsidRPr="00036FAC">
        <w:t>rate</w:t>
      </w:r>
      <w:r w:rsidR="00907D8C">
        <w:t xml:space="preserve"> </w:t>
      </w:r>
      <w:r w:rsidRPr="00036FAC">
        <w:t>increased</w:t>
      </w:r>
      <w:r w:rsidR="00907D8C">
        <w:t xml:space="preserve"> </w:t>
      </w:r>
      <w:r w:rsidRPr="00036FAC">
        <w:t>slightly</w:t>
      </w:r>
      <w:r w:rsidR="00907D8C">
        <w:t xml:space="preserve"> </w:t>
      </w:r>
      <w:r w:rsidRPr="00036FAC">
        <w:t>over</w:t>
      </w:r>
      <w:r w:rsidR="00907D8C">
        <w:t xml:space="preserve"> </w:t>
      </w:r>
      <w:r w:rsidRPr="00036FAC">
        <w:t>the</w:t>
      </w:r>
      <w:r w:rsidR="00907D8C">
        <w:t xml:space="preserve"> </w:t>
      </w:r>
      <w:r w:rsidRPr="00036FAC">
        <w:t>following</w:t>
      </w:r>
      <w:r w:rsidR="00907D8C">
        <w:t xml:space="preserve"> </w:t>
      </w:r>
      <w:r w:rsidRPr="00036FAC">
        <w:t>two</w:t>
      </w:r>
      <w:r w:rsidR="00907D8C">
        <w:t xml:space="preserve"> </w:t>
      </w:r>
      <w:r w:rsidRPr="00036FAC">
        <w:t>years,</w:t>
      </w:r>
      <w:r w:rsidR="00907D8C">
        <w:t xml:space="preserve"> </w:t>
      </w:r>
      <w:r w:rsidRPr="00036FAC">
        <w:t>then</w:t>
      </w:r>
      <w:r w:rsidR="00907D8C">
        <w:t xml:space="preserve"> </w:t>
      </w:r>
      <w:r w:rsidRPr="00036FAC">
        <w:t>rose</w:t>
      </w:r>
      <w:r w:rsidR="00907D8C">
        <w:t xml:space="preserve"> </w:t>
      </w:r>
      <w:r w:rsidRPr="00036FAC">
        <w:t>sharply</w:t>
      </w:r>
      <w:r w:rsidR="00907D8C">
        <w:t xml:space="preserve"> </w:t>
      </w:r>
      <w:r w:rsidRPr="00036FAC">
        <w:t>from</w:t>
      </w:r>
      <w:r w:rsidR="00907D8C">
        <w:t xml:space="preserve"> </w:t>
      </w:r>
      <w:r w:rsidRPr="00036FAC">
        <w:t>6.5</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2008</w:t>
      </w:r>
      <w:r w:rsidR="00907D8C">
        <w:t xml:space="preserve"> </w:t>
      </w:r>
      <w:r w:rsidRPr="00036FAC">
        <w:t>to</w:t>
      </w:r>
      <w:r w:rsidR="00907D8C">
        <w:t xml:space="preserve"> </w:t>
      </w:r>
      <w:r w:rsidRPr="00036FAC">
        <w:t>8.5</w:t>
      </w:r>
      <w:r w:rsidR="00907D8C">
        <w:t xml:space="preserve"> </w:t>
      </w:r>
      <w:r w:rsidR="001B201B">
        <w:t>per</w:t>
      </w:r>
      <w:r w:rsidR="00907D8C">
        <w:t xml:space="preserve"> </w:t>
      </w:r>
      <w:r w:rsidR="001B201B">
        <w:t>cent</w:t>
      </w:r>
      <w:r w:rsidR="00907D8C">
        <w:t xml:space="preserve"> </w:t>
      </w:r>
      <w:r w:rsidR="002C3A48">
        <w:t>in</w:t>
      </w:r>
      <w:r w:rsidR="00907D8C">
        <w:t xml:space="preserve"> </w:t>
      </w:r>
      <w:r w:rsidR="002C3A48">
        <w:t>the</w:t>
      </w:r>
      <w:r w:rsidR="00907D8C">
        <w:t xml:space="preserve"> </w:t>
      </w:r>
      <w:r w:rsidR="002C3A48">
        <w:t>year</w:t>
      </w:r>
      <w:r w:rsidR="00907D8C">
        <w:t xml:space="preserve"> </w:t>
      </w:r>
      <w:r w:rsidR="002C3A48">
        <w:t>to</w:t>
      </w:r>
      <w:r w:rsidR="00907D8C">
        <w:t xml:space="preserve"> </w:t>
      </w:r>
      <w:r w:rsidR="002C3A48">
        <w:t>March</w:t>
      </w:r>
      <w:r w:rsidR="00907D8C">
        <w:t xml:space="preserve"> </w:t>
      </w:r>
      <w:r w:rsidR="002C3A48">
        <w:t>2009.</w:t>
      </w:r>
    </w:p>
    <w:p w:rsidR="002C3A48" w:rsidRDefault="002C3A48" w:rsidP="00B50FB5">
      <w:pPr>
        <w:pStyle w:val="Heading1"/>
        <w:keepNext/>
      </w:pPr>
      <w:bookmarkStart w:id="41" w:name="_Toc275331915"/>
      <w:r>
        <w:t>Table</w:t>
      </w:r>
      <w:r w:rsidR="00907D8C">
        <w:t xml:space="preserve"> </w:t>
      </w:r>
      <w:r>
        <w:t>14</w:t>
      </w:r>
    </w:p>
    <w:p w:rsidR="00036FAC" w:rsidRPr="002C3A48" w:rsidRDefault="00036FAC" w:rsidP="00B50FB5">
      <w:pPr>
        <w:pStyle w:val="SingleTxtG"/>
        <w:keepNext/>
        <w:rPr>
          <w:b/>
        </w:rPr>
      </w:pPr>
      <w:r w:rsidRPr="002C3A48">
        <w:rPr>
          <w:b/>
        </w:rPr>
        <w:t>Unemployment</w:t>
      </w:r>
      <w:r w:rsidR="00907D8C">
        <w:rPr>
          <w:b/>
        </w:rPr>
        <w:t xml:space="preserve"> </w:t>
      </w:r>
      <w:r w:rsidRPr="002C3A48">
        <w:rPr>
          <w:b/>
        </w:rPr>
        <w:t>rate,</w:t>
      </w:r>
      <w:r w:rsidR="00907D8C">
        <w:rPr>
          <w:b/>
        </w:rPr>
        <w:t xml:space="preserve"> </w:t>
      </w:r>
      <w:r w:rsidRPr="002C3A48">
        <w:rPr>
          <w:b/>
        </w:rPr>
        <w:t>by</w:t>
      </w:r>
      <w:r w:rsidR="00907D8C">
        <w:rPr>
          <w:b/>
        </w:rPr>
        <w:t xml:space="preserve"> </w:t>
      </w:r>
      <w:r w:rsidRPr="002C3A48">
        <w:rPr>
          <w:b/>
        </w:rPr>
        <w:t>ethnic</w:t>
      </w:r>
      <w:r w:rsidR="00907D8C">
        <w:rPr>
          <w:b/>
        </w:rPr>
        <w:t xml:space="preserve"> </w:t>
      </w:r>
      <w:r w:rsidRPr="002C3A48">
        <w:rPr>
          <w:b/>
        </w:rPr>
        <w:t>group,</w:t>
      </w:r>
      <w:r w:rsidR="00907D8C">
        <w:rPr>
          <w:b/>
        </w:rPr>
        <w:t xml:space="preserve"> </w:t>
      </w:r>
      <w:r w:rsidRPr="002C3A48">
        <w:rPr>
          <w:b/>
        </w:rPr>
        <w:t>1987–2009</w:t>
      </w:r>
      <w:bookmarkEnd w:id="41"/>
    </w:p>
    <w:p w:rsidR="00036FAC" w:rsidRPr="00036FAC" w:rsidRDefault="00036FAC" w:rsidP="00B50FB5">
      <w:pPr>
        <w:keepNext/>
        <w:tabs>
          <w:tab w:val="right" w:pos="850"/>
          <w:tab w:val="left" w:pos="1134"/>
          <w:tab w:val="left" w:pos="1559"/>
          <w:tab w:val="left" w:pos="1984"/>
          <w:tab w:val="left" w:leader="dot" w:pos="7654"/>
          <w:tab w:val="right" w:pos="8929"/>
          <w:tab w:val="right" w:pos="9638"/>
        </w:tabs>
        <w:spacing w:after="120"/>
        <w:ind w:left="1100"/>
      </w:pPr>
      <w:r w:rsidRPr="00036FAC">
        <w:pict>
          <v:shape id="_x0000_i1028" type="#_x0000_t75" style="width:414.75pt;height:144.75pt">
            <v:imagedata r:id="rId10" o:title=""/>
          </v:shape>
        </w:pict>
      </w:r>
    </w:p>
    <w:p w:rsidR="00036FAC" w:rsidRPr="007C016E" w:rsidRDefault="00036FAC" w:rsidP="00DA1E10">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2C3A48" w:rsidRPr="007C016E">
        <w:rPr>
          <w:sz w:val="18"/>
          <w:szCs w:val="18"/>
        </w:rPr>
        <w:t>,</w:t>
      </w:r>
      <w:r w:rsidR="00907D8C">
        <w:rPr>
          <w:sz w:val="18"/>
          <w:szCs w:val="18"/>
        </w:rPr>
        <w:t xml:space="preserve"> </w:t>
      </w:r>
      <w:r w:rsidR="002C3A48" w:rsidRPr="007C016E">
        <w:rPr>
          <w:sz w:val="18"/>
          <w:szCs w:val="18"/>
        </w:rPr>
        <w:t>Household</w:t>
      </w:r>
      <w:r w:rsidR="00907D8C">
        <w:rPr>
          <w:sz w:val="18"/>
          <w:szCs w:val="18"/>
        </w:rPr>
        <w:t xml:space="preserve"> </w:t>
      </w:r>
      <w:r w:rsidR="002C3A48" w:rsidRPr="007C016E">
        <w:rPr>
          <w:sz w:val="18"/>
          <w:szCs w:val="18"/>
        </w:rPr>
        <w:t>Labour</w:t>
      </w:r>
      <w:r w:rsidR="00907D8C">
        <w:rPr>
          <w:sz w:val="18"/>
          <w:szCs w:val="18"/>
        </w:rPr>
        <w:t xml:space="preserve"> </w:t>
      </w:r>
      <w:r w:rsidR="002C3A48" w:rsidRPr="007C016E">
        <w:rPr>
          <w:sz w:val="18"/>
          <w:szCs w:val="18"/>
        </w:rPr>
        <w:t>Force</w:t>
      </w:r>
      <w:r w:rsidR="00907D8C">
        <w:rPr>
          <w:sz w:val="18"/>
          <w:szCs w:val="18"/>
        </w:rPr>
        <w:t xml:space="preserve"> </w:t>
      </w:r>
      <w:r w:rsidR="002C3A48" w:rsidRPr="007C016E">
        <w:rPr>
          <w:sz w:val="18"/>
          <w:szCs w:val="18"/>
        </w:rPr>
        <w:t>Survey.</w:t>
      </w:r>
    </w:p>
    <w:p w:rsidR="00036FAC" w:rsidRPr="007C016E" w:rsidRDefault="00036FAC" w:rsidP="007C016E">
      <w:pPr>
        <w:spacing w:after="240"/>
        <w:ind w:left="1134" w:right="1134" w:firstLine="170"/>
        <w:rPr>
          <w:sz w:val="18"/>
          <w:szCs w:val="18"/>
        </w:rPr>
      </w:pPr>
      <w:r w:rsidRPr="007C016E">
        <w:rPr>
          <w:i/>
          <w:sz w:val="18"/>
          <w:szCs w:val="18"/>
        </w:rPr>
        <w:t>Note</w:t>
      </w:r>
      <w:r w:rsidRPr="007C016E">
        <w:rPr>
          <w:sz w:val="18"/>
          <w:szCs w:val="18"/>
        </w:rPr>
        <w:t>:</w:t>
      </w:r>
      <w:r w:rsidR="00907D8C">
        <w:rPr>
          <w:sz w:val="18"/>
          <w:szCs w:val="18"/>
        </w:rPr>
        <w:t xml:space="preserve">  </w:t>
      </w:r>
      <w:r w:rsidR="003E4D94">
        <w:rPr>
          <w:sz w:val="18"/>
          <w:szCs w:val="18"/>
        </w:rPr>
        <w:t>“</w:t>
      </w:r>
      <w:r w:rsidR="002C3A48" w:rsidRPr="007C016E">
        <w:rPr>
          <w:sz w:val="18"/>
          <w:szCs w:val="18"/>
        </w:rPr>
        <w:t>Other</w:t>
      </w:r>
      <w:r w:rsidR="003E4D94">
        <w:rPr>
          <w:sz w:val="18"/>
          <w:szCs w:val="18"/>
        </w:rPr>
        <w:t>”</w:t>
      </w:r>
      <w:r w:rsidR="00907D8C">
        <w:rPr>
          <w:sz w:val="18"/>
          <w:szCs w:val="18"/>
        </w:rPr>
        <w:t xml:space="preserve"> </w:t>
      </w:r>
      <w:r w:rsidR="002C3A48" w:rsidRPr="007C016E">
        <w:rPr>
          <w:sz w:val="18"/>
          <w:szCs w:val="18"/>
        </w:rPr>
        <w:t>includes</w:t>
      </w:r>
      <w:r w:rsidR="00907D8C">
        <w:rPr>
          <w:sz w:val="18"/>
          <w:szCs w:val="18"/>
        </w:rPr>
        <w:t xml:space="preserve"> </w:t>
      </w:r>
      <w:r w:rsidR="002C3A48" w:rsidRPr="007C016E">
        <w:rPr>
          <w:sz w:val="18"/>
          <w:szCs w:val="18"/>
        </w:rPr>
        <w:t>Asian.</w:t>
      </w:r>
    </w:p>
    <w:p w:rsidR="00036FAC" w:rsidRPr="00036FAC" w:rsidRDefault="00036FAC" w:rsidP="006C436C">
      <w:pPr>
        <w:pStyle w:val="H23G"/>
      </w:pPr>
      <w:r w:rsidRPr="00036FAC">
        <w:tab/>
        <w:t>(c)</w:t>
      </w:r>
      <w:r w:rsidRPr="00036FAC">
        <w:tab/>
        <w:t>International</w:t>
      </w:r>
      <w:r w:rsidR="00907D8C">
        <w:t xml:space="preserve"> </w:t>
      </w:r>
      <w:r w:rsidRPr="00036FAC">
        <w:t>comparison</w:t>
      </w:r>
    </w:p>
    <w:p w:rsidR="00036FAC" w:rsidRPr="00036FAC" w:rsidRDefault="00036FAC" w:rsidP="002C3A48">
      <w:pPr>
        <w:pStyle w:val="SingleTxtG"/>
      </w:pPr>
      <w:r w:rsidRPr="00036FAC">
        <w:t>51.</w:t>
      </w:r>
      <w:r w:rsidRPr="00036FAC">
        <w:tab/>
        <w:t>In</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December</w:t>
      </w:r>
      <w:r w:rsidR="00907D8C">
        <w:t xml:space="preserve"> </w:t>
      </w:r>
      <w:r w:rsidRPr="00036FAC">
        <w:t>2008,</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harmonised</w:t>
      </w:r>
      <w:r w:rsidR="00907D8C">
        <w:t xml:space="preserve"> </w:t>
      </w:r>
      <w:r w:rsidRPr="00036FAC">
        <w:t>unemployment</w:t>
      </w:r>
      <w:r w:rsidR="00907D8C">
        <w:t xml:space="preserve"> </w:t>
      </w:r>
      <w:r w:rsidRPr="00036FAC">
        <w:t>rate</w:t>
      </w:r>
      <w:r w:rsidR="00907D8C">
        <w:t xml:space="preserve"> </w:t>
      </w:r>
      <w:r w:rsidRPr="00036FAC">
        <w:t>of</w:t>
      </w:r>
      <w:r w:rsidR="00907D8C">
        <w:t xml:space="preserve"> </w:t>
      </w:r>
      <w:r w:rsidRPr="00036FAC">
        <w:t>4.2</w:t>
      </w:r>
      <w:r w:rsidR="00907D8C">
        <w:t xml:space="preserve"> </w:t>
      </w:r>
      <w:r w:rsidR="001B201B">
        <w:t>per</w:t>
      </w:r>
      <w:r w:rsidR="00907D8C">
        <w:t xml:space="preserve"> </w:t>
      </w:r>
      <w:r w:rsidR="001B201B">
        <w:t>cent</w:t>
      </w:r>
      <w:r w:rsidR="00907D8C">
        <w:t xml:space="preserve"> </w:t>
      </w:r>
      <w:r w:rsidRPr="00036FAC">
        <w:t>was</w:t>
      </w:r>
      <w:r w:rsidR="00907D8C">
        <w:t xml:space="preserve"> </w:t>
      </w:r>
      <w:r w:rsidRPr="00036FAC">
        <w:t>the</w:t>
      </w:r>
      <w:r w:rsidR="00907D8C">
        <w:t xml:space="preserve"> </w:t>
      </w:r>
      <w:r w:rsidRPr="00036FAC">
        <w:t>10th</w:t>
      </w:r>
      <w:r w:rsidR="00907D8C">
        <w:t xml:space="preserve"> </w:t>
      </w:r>
      <w:r w:rsidRPr="00036FAC">
        <w:t>equal</w:t>
      </w:r>
      <w:r w:rsidR="00907D8C">
        <w:t xml:space="preserve"> </w:t>
      </w:r>
      <w:r w:rsidRPr="00036FAC">
        <w:t>lowest</w:t>
      </w:r>
      <w:r w:rsidR="00907D8C">
        <w:t xml:space="preserve"> </w:t>
      </w:r>
      <w:r w:rsidRPr="00036FAC">
        <w:t>(along</w:t>
      </w:r>
      <w:r w:rsidR="00907D8C">
        <w:t xml:space="preserve"> </w:t>
      </w:r>
      <w:r w:rsidRPr="00036FAC">
        <w:t>with</w:t>
      </w:r>
      <w:r w:rsidR="00907D8C">
        <w:t xml:space="preserve"> </w:t>
      </w:r>
      <w:r w:rsidRPr="00036FAC">
        <w:t>Australia</w:t>
      </w:r>
      <w:r w:rsidR="003E4D94">
        <w:t>’</w:t>
      </w:r>
      <w:r w:rsidRPr="00036FAC">
        <w:t>s)</w:t>
      </w:r>
      <w:r w:rsidR="00907D8C">
        <w:t xml:space="preserve"> </w:t>
      </w:r>
      <w:r w:rsidRPr="00036FAC">
        <w:t>out</w:t>
      </w:r>
      <w:r w:rsidR="00907D8C">
        <w:t xml:space="preserve"> </w:t>
      </w:r>
      <w:r w:rsidRPr="00036FAC">
        <w:t>of</w:t>
      </w:r>
      <w:r w:rsidR="00907D8C">
        <w:t xml:space="preserve"> </w:t>
      </w:r>
      <w:r w:rsidRPr="00036FAC">
        <w:t>30</w:t>
      </w:r>
      <w:r w:rsidR="00907D8C">
        <w:t xml:space="preserve"> </w:t>
      </w:r>
      <w:r w:rsidRPr="00036FAC">
        <w:t>OECD</w:t>
      </w:r>
      <w:r w:rsidR="00907D8C">
        <w:t xml:space="preserve"> </w:t>
      </w:r>
      <w:r w:rsidRPr="00036FAC">
        <w:t>countries</w:t>
      </w:r>
      <w:r w:rsidR="00907D8C">
        <w:t xml:space="preserve"> </w:t>
      </w:r>
      <w:r w:rsidRPr="00036FAC">
        <w:t>and</w:t>
      </w:r>
      <w:r w:rsidR="00907D8C">
        <w:t xml:space="preserve"> </w:t>
      </w:r>
      <w:r w:rsidRPr="00036FAC">
        <w:t>lower</w:t>
      </w:r>
      <w:r w:rsidR="00907D8C">
        <w:t xml:space="preserve"> </w:t>
      </w:r>
      <w:r w:rsidRPr="00036FAC">
        <w:t>than</w:t>
      </w:r>
      <w:r w:rsidR="00907D8C">
        <w:t xml:space="preserve"> </w:t>
      </w:r>
      <w:r w:rsidRPr="00036FAC">
        <w:t>the</w:t>
      </w:r>
      <w:r w:rsidR="00907D8C">
        <w:t xml:space="preserve"> </w:t>
      </w:r>
      <w:r w:rsidRPr="00036FAC">
        <w:t>OECD</w:t>
      </w:r>
      <w:r w:rsidR="00907D8C">
        <w:t xml:space="preserve"> </w:t>
      </w:r>
      <w:r w:rsidRPr="00036FAC">
        <w:t>average</w:t>
      </w:r>
      <w:r w:rsidR="00907D8C">
        <w:t xml:space="preserve"> </w:t>
      </w:r>
      <w:r w:rsidRPr="00036FAC">
        <w:t>of</w:t>
      </w:r>
      <w:r w:rsidR="00907D8C">
        <w:t xml:space="preserve"> </w:t>
      </w:r>
      <w:r w:rsidRPr="00036FAC">
        <w:t>6.0</w:t>
      </w:r>
      <w:r w:rsidR="00907D8C">
        <w:t xml:space="preserve"> </w:t>
      </w:r>
      <w:r w:rsidR="00AE58B5">
        <w:t>per</w:t>
      </w:r>
      <w:r w:rsidR="00907D8C">
        <w:t xml:space="preserve"> </w:t>
      </w:r>
      <w:r w:rsidR="00AE58B5">
        <w:t>cent</w:t>
      </w:r>
      <w:r w:rsidRPr="00036FAC">
        <w:t>.</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rate</w:t>
      </w:r>
      <w:r w:rsidR="00907D8C">
        <w:t xml:space="preserve"> </w:t>
      </w:r>
      <w:r w:rsidRPr="00036FAC">
        <w:t>was</w:t>
      </w:r>
      <w:r w:rsidR="00907D8C">
        <w:t xml:space="preserve"> </w:t>
      </w:r>
      <w:r w:rsidRPr="00036FAC">
        <w:t>lower</w:t>
      </w:r>
      <w:r w:rsidR="00907D8C">
        <w:t xml:space="preserve"> </w:t>
      </w:r>
      <w:r w:rsidRPr="00036FAC">
        <w:t>than</w:t>
      </w:r>
      <w:r w:rsidR="00907D8C">
        <w:t xml:space="preserve"> </w:t>
      </w:r>
      <w:r w:rsidRPr="00036FAC">
        <w:t>those</w:t>
      </w:r>
      <w:r w:rsidR="00907D8C">
        <w:t xml:space="preserve"> </w:t>
      </w:r>
      <w:r w:rsidRPr="00036FAC">
        <w:t>for</w:t>
      </w:r>
      <w:r w:rsidR="00907D8C">
        <w:t xml:space="preserve"> </w:t>
      </w:r>
      <w:r w:rsidRPr="00036FAC">
        <w:t>the</w:t>
      </w:r>
      <w:r w:rsidR="00907D8C">
        <w:t xml:space="preserve"> </w:t>
      </w:r>
      <w:r w:rsidRPr="00036FAC">
        <w:t>United</w:t>
      </w:r>
      <w:r w:rsidR="00907D8C">
        <w:t xml:space="preserve"> </w:t>
      </w:r>
      <w:r w:rsidRPr="00036FAC">
        <w:t>Kingdom</w:t>
      </w:r>
      <w:r w:rsidR="00907D8C">
        <w:t xml:space="preserve"> </w:t>
      </w:r>
      <w:r w:rsidRPr="00036FAC">
        <w:t>(5.6</w:t>
      </w:r>
      <w:r w:rsidR="00907D8C">
        <w:t xml:space="preserve"> </w:t>
      </w:r>
      <w:r w:rsidR="00AE58B5">
        <w:t>per</w:t>
      </w:r>
      <w:r w:rsidR="00907D8C">
        <w:t xml:space="preserve"> </w:t>
      </w:r>
      <w:r w:rsidR="00AE58B5">
        <w:t>cent</w:t>
      </w:r>
      <w:r w:rsidRPr="00036FAC">
        <w:t>),</w:t>
      </w:r>
      <w:r w:rsidR="00907D8C">
        <w:t xml:space="preserve"> </w:t>
      </w:r>
      <w:r w:rsidRPr="00036FAC">
        <w:t>the</w:t>
      </w:r>
      <w:r w:rsidR="00907D8C">
        <w:t xml:space="preserve"> </w:t>
      </w:r>
      <w:r w:rsidRPr="00036FAC">
        <w:t>United</w:t>
      </w:r>
      <w:r w:rsidR="00907D8C">
        <w:t xml:space="preserve"> </w:t>
      </w:r>
      <w:r w:rsidRPr="00036FAC">
        <w:t>States</w:t>
      </w:r>
      <w:r w:rsidR="00907D8C">
        <w:t xml:space="preserve"> </w:t>
      </w:r>
      <w:r w:rsidRPr="00036FAC">
        <w:t>(5.8</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Canada</w:t>
      </w:r>
      <w:r w:rsidR="00907D8C">
        <w:t xml:space="preserve"> </w:t>
      </w:r>
      <w:r w:rsidRPr="00036FAC">
        <w:t>(6.1</w:t>
      </w:r>
      <w:r w:rsidR="00907D8C">
        <w:t xml:space="preserve"> </w:t>
      </w:r>
      <w:r w:rsidR="00AE58B5">
        <w:t>per</w:t>
      </w:r>
      <w:r w:rsidR="00907D8C">
        <w:t xml:space="preserve"> </w:t>
      </w:r>
      <w:r w:rsidR="00AE58B5">
        <w:t>cent</w:t>
      </w:r>
      <w:r w:rsidRPr="00036FAC">
        <w:t>).</w:t>
      </w:r>
      <w:r w:rsidR="00907D8C">
        <w:t xml:space="preserve"> </w:t>
      </w:r>
      <w:r w:rsidRPr="00036FAC">
        <w:t>In</w:t>
      </w:r>
      <w:r w:rsidR="00907D8C">
        <w:t xml:space="preserve"> </w:t>
      </w:r>
      <w:r w:rsidRPr="00036FAC">
        <w:t>2007,</w:t>
      </w:r>
      <w:r w:rsidR="00907D8C">
        <w:t xml:space="preserve"> </w:t>
      </w:r>
      <w:r w:rsidRPr="00036FAC">
        <w:t>New</w:t>
      </w:r>
      <w:r w:rsidR="00907D8C">
        <w:t xml:space="preserve"> </w:t>
      </w:r>
      <w:r w:rsidRPr="00036FAC">
        <w:t>Zealand</w:t>
      </w:r>
      <w:r w:rsidR="00907D8C">
        <w:t xml:space="preserve"> </w:t>
      </w:r>
      <w:r w:rsidRPr="00036FAC">
        <w:t>had</w:t>
      </w:r>
      <w:r w:rsidR="00907D8C">
        <w:t xml:space="preserve"> </w:t>
      </w:r>
      <w:r w:rsidRPr="00036FAC">
        <w:t>the</w:t>
      </w:r>
      <w:r w:rsidR="00907D8C">
        <w:t xml:space="preserve"> </w:t>
      </w:r>
      <w:r w:rsidRPr="00036FAC">
        <w:t>fifth</w:t>
      </w:r>
      <w:r w:rsidR="00907D8C">
        <w:t xml:space="preserve"> </w:t>
      </w:r>
      <w:r w:rsidRPr="00036FAC">
        <w:t>lowest</w:t>
      </w:r>
      <w:r w:rsidR="00907D8C">
        <w:t xml:space="preserve"> </w:t>
      </w:r>
      <w:r w:rsidRPr="00036FAC">
        <w:t>proportion</w:t>
      </w:r>
      <w:r w:rsidR="00907D8C">
        <w:t xml:space="preserve"> </w:t>
      </w:r>
      <w:r w:rsidRPr="00036FAC">
        <w:t>of</w:t>
      </w:r>
      <w:r w:rsidR="00907D8C">
        <w:t xml:space="preserve"> </w:t>
      </w:r>
      <w:r w:rsidRPr="00036FAC">
        <w:t>people</w:t>
      </w:r>
      <w:r w:rsidR="00907D8C">
        <w:t xml:space="preserve"> </w:t>
      </w:r>
      <w:r w:rsidRPr="00036FAC">
        <w:t>unemployed</w:t>
      </w:r>
      <w:r w:rsidR="00907D8C">
        <w:t xml:space="preserve"> </w:t>
      </w:r>
      <w:r w:rsidRPr="00036FAC">
        <w:t>who</w:t>
      </w:r>
      <w:r w:rsidR="00907D8C">
        <w:t xml:space="preserve"> </w:t>
      </w:r>
      <w:r w:rsidRPr="00036FAC">
        <w:t>had</w:t>
      </w:r>
      <w:r w:rsidR="00907D8C">
        <w:t xml:space="preserve"> </w:t>
      </w:r>
      <w:r w:rsidRPr="00036FAC">
        <w:t>been</w:t>
      </w:r>
      <w:r w:rsidR="00907D8C">
        <w:t xml:space="preserve"> </w:t>
      </w:r>
      <w:r w:rsidRPr="00036FAC">
        <w:t>unemployed</w:t>
      </w:r>
      <w:r w:rsidR="00907D8C">
        <w:t xml:space="preserve"> </w:t>
      </w:r>
      <w:r w:rsidRPr="00036FAC">
        <w:t>for</w:t>
      </w:r>
      <w:r w:rsidR="00907D8C">
        <w:t xml:space="preserve"> </w:t>
      </w:r>
      <w:r w:rsidRPr="00036FAC">
        <w:t>six</w:t>
      </w:r>
      <w:r w:rsidR="00907D8C">
        <w:t xml:space="preserve"> </w:t>
      </w:r>
      <w:r w:rsidRPr="00036FAC">
        <w:t>months</w:t>
      </w:r>
      <w:r w:rsidR="00907D8C">
        <w:t xml:space="preserve"> </w:t>
      </w:r>
      <w:r w:rsidRPr="00036FAC">
        <w:t>or</w:t>
      </w:r>
      <w:r w:rsidR="00907D8C">
        <w:t xml:space="preserve"> </w:t>
      </w:r>
      <w:r w:rsidRPr="00036FAC">
        <w:t>longer.</w:t>
      </w:r>
    </w:p>
    <w:p w:rsidR="00036FAC" w:rsidRPr="00036FAC" w:rsidRDefault="002C3A48" w:rsidP="006C436C">
      <w:pPr>
        <w:pStyle w:val="H23G"/>
      </w:pPr>
      <w:r>
        <w:tab/>
        <w:t>12.</w:t>
      </w:r>
      <w:r>
        <w:tab/>
        <w:t>Employment</w:t>
      </w:r>
    </w:p>
    <w:p w:rsidR="00036FAC" w:rsidRPr="00036FAC" w:rsidRDefault="00036FAC" w:rsidP="002C3A48">
      <w:pPr>
        <w:pStyle w:val="SingleTxtG"/>
      </w:pPr>
      <w:r w:rsidRPr="00036FAC">
        <w:t>52.</w:t>
      </w:r>
      <w:r w:rsidRPr="00036FAC">
        <w:tab/>
        <w:t>The</w:t>
      </w:r>
      <w:r w:rsidR="00907D8C">
        <w:t xml:space="preserve"> </w:t>
      </w:r>
      <w:r w:rsidRPr="00036FAC">
        <w:t>employment</w:t>
      </w:r>
      <w:r w:rsidR="00907D8C">
        <w:t xml:space="preserve"> </w:t>
      </w:r>
      <w:r w:rsidRPr="00036FAC">
        <w:t>rate</w:t>
      </w:r>
      <w:r w:rsidR="00907D8C">
        <w:t xml:space="preserve"> </w:t>
      </w:r>
      <w:r w:rsidRPr="00036FAC">
        <w:t>is</w:t>
      </w:r>
      <w:r w:rsidR="00907D8C">
        <w:t xml:space="preserve"> </w:t>
      </w:r>
      <w:r w:rsidRPr="00036FAC">
        <w:t>the</w:t>
      </w:r>
      <w:r w:rsidR="00907D8C">
        <w:t xml:space="preserve"> </w:t>
      </w:r>
      <w:r w:rsidRPr="00036FAC">
        <w:t>proportion</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aged</w:t>
      </w:r>
      <w:r w:rsidR="00907D8C">
        <w:t xml:space="preserve"> </w:t>
      </w:r>
      <w:r w:rsidRPr="00036FAC">
        <w:t>15–64</w:t>
      </w:r>
      <w:r w:rsidR="00907D8C">
        <w:t xml:space="preserve"> </w:t>
      </w:r>
      <w:r w:rsidRPr="00036FAC">
        <w:t>years</w:t>
      </w:r>
      <w:r w:rsidR="00907D8C">
        <w:t xml:space="preserve"> </w:t>
      </w:r>
      <w:r w:rsidRPr="00036FAC">
        <w:t>who</w:t>
      </w:r>
      <w:r w:rsidR="00907D8C">
        <w:t xml:space="preserve"> </w:t>
      </w:r>
      <w:r w:rsidRPr="00036FAC">
        <w:t>are</w:t>
      </w:r>
      <w:r w:rsidR="00907D8C">
        <w:t xml:space="preserve"> </w:t>
      </w:r>
      <w:r w:rsidRPr="00036FAC">
        <w:t>employed</w:t>
      </w:r>
      <w:r w:rsidR="00907D8C">
        <w:t xml:space="preserve"> </w:t>
      </w:r>
      <w:r w:rsidRPr="00036FAC">
        <w:t>for</w:t>
      </w:r>
      <w:r w:rsidR="00907D8C">
        <w:t xml:space="preserve"> </w:t>
      </w:r>
      <w:r w:rsidRPr="00036FAC">
        <w:t>at</w:t>
      </w:r>
      <w:r w:rsidR="00907D8C">
        <w:t xml:space="preserve"> </w:t>
      </w:r>
      <w:r w:rsidRPr="00036FAC">
        <w:t>least</w:t>
      </w:r>
      <w:r w:rsidR="00907D8C">
        <w:t xml:space="preserve"> </w:t>
      </w:r>
      <w:r w:rsidRPr="00036FAC">
        <w:t>one</w:t>
      </w:r>
      <w:r w:rsidR="00907D8C">
        <w:t xml:space="preserve"> </w:t>
      </w:r>
      <w:r w:rsidRPr="00036FAC">
        <w:t>hour</w:t>
      </w:r>
      <w:r w:rsidR="00907D8C">
        <w:t xml:space="preserve"> </w:t>
      </w:r>
      <w:r w:rsidRPr="00036FAC">
        <w:t>per</w:t>
      </w:r>
      <w:r w:rsidR="00907D8C">
        <w:t xml:space="preserve"> </w:t>
      </w:r>
      <w:r w:rsidRPr="00036FAC">
        <w:t>week.</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March</w:t>
      </w:r>
      <w:r w:rsidR="00907D8C">
        <w:t xml:space="preserve"> </w:t>
      </w:r>
      <w:r w:rsidRPr="00036FAC">
        <w:t>2009,</w:t>
      </w:r>
      <w:r w:rsidR="00907D8C">
        <w:t xml:space="preserve"> </w:t>
      </w:r>
      <w:r w:rsidRPr="00036FAC">
        <w:t>74.6</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15–64</w:t>
      </w:r>
      <w:r w:rsidR="001F2C6F">
        <w:t xml:space="preserve"> </w:t>
      </w:r>
      <w:r w:rsidRPr="00036FAC">
        <w:t>year</w:t>
      </w:r>
      <w:r w:rsidR="001F2C6F">
        <w:t xml:space="preserve"> </w:t>
      </w:r>
      <w:r w:rsidRPr="00036FAC">
        <w:t>olds</w:t>
      </w:r>
      <w:r w:rsidR="00907D8C">
        <w:t xml:space="preserve"> </w:t>
      </w:r>
      <w:r w:rsidRPr="00036FAC">
        <w:t>(2.112</w:t>
      </w:r>
      <w:r w:rsidR="00907D8C">
        <w:t xml:space="preserve"> </w:t>
      </w:r>
      <w:r w:rsidRPr="00036FAC">
        <w:t>million</w:t>
      </w:r>
      <w:r w:rsidR="00907D8C">
        <w:t xml:space="preserve"> </w:t>
      </w:r>
      <w:r w:rsidRPr="00036FAC">
        <w:t>people)</w:t>
      </w:r>
      <w:r w:rsidR="00907D8C">
        <w:t xml:space="preserve"> </w:t>
      </w:r>
      <w:r w:rsidRPr="00036FAC">
        <w:t>were</w:t>
      </w:r>
      <w:r w:rsidR="00907D8C">
        <w:t xml:space="preserve"> </w:t>
      </w:r>
      <w:r w:rsidRPr="00036FAC">
        <w:t>employed.</w:t>
      </w:r>
      <w:r w:rsidR="00907D8C">
        <w:t xml:space="preserve"> </w:t>
      </w:r>
    </w:p>
    <w:p w:rsidR="00036FAC" w:rsidRPr="00036FAC" w:rsidRDefault="00036FAC" w:rsidP="002C3A48">
      <w:pPr>
        <w:pStyle w:val="SingleTxtG"/>
      </w:pPr>
      <w:r w:rsidRPr="00036FAC">
        <w:t>53.</w:t>
      </w:r>
      <w:r w:rsidRPr="00036FAC">
        <w:tab/>
        <w:t>The</w:t>
      </w:r>
      <w:r w:rsidR="00907D8C">
        <w:t xml:space="preserve"> </w:t>
      </w:r>
      <w:r w:rsidRPr="00036FAC">
        <w:t>full-time</w:t>
      </w:r>
      <w:r w:rsidR="00907D8C">
        <w:t xml:space="preserve"> </w:t>
      </w:r>
      <w:r w:rsidRPr="00036FAC">
        <w:t>employment</w:t>
      </w:r>
      <w:r w:rsidR="00907D8C">
        <w:t xml:space="preserve"> </w:t>
      </w:r>
      <w:r w:rsidRPr="00036FAC">
        <w:t>rate</w:t>
      </w:r>
      <w:r w:rsidR="00907D8C">
        <w:t xml:space="preserve"> </w:t>
      </w:r>
      <w:r w:rsidRPr="00036FAC">
        <w:t>for</w:t>
      </w:r>
      <w:r w:rsidR="00907D8C">
        <w:t xml:space="preserve"> </w:t>
      </w:r>
      <w:r w:rsidRPr="00036FAC">
        <w:t>15–64</w:t>
      </w:r>
      <w:r w:rsidR="00907D8C">
        <w:t xml:space="preserve"> </w:t>
      </w:r>
      <w:r w:rsidRPr="00036FAC">
        <w:t>year</w:t>
      </w:r>
      <w:r w:rsidR="00907D8C">
        <w:t xml:space="preserve"> </w:t>
      </w:r>
      <w:r w:rsidRPr="00036FAC">
        <w:t>olds</w:t>
      </w:r>
      <w:r w:rsidR="00907D8C">
        <w:t xml:space="preserve"> </w:t>
      </w:r>
      <w:r w:rsidRPr="00036FAC">
        <w:t>declined</w:t>
      </w:r>
      <w:r w:rsidR="00907D8C">
        <w:t xml:space="preserve"> </w:t>
      </w:r>
      <w:r w:rsidRPr="00036FAC">
        <w:t>sharply</w:t>
      </w:r>
      <w:r w:rsidR="00907D8C">
        <w:t xml:space="preserve"> </w:t>
      </w:r>
      <w:r w:rsidRPr="00036FAC">
        <w:t>between</w:t>
      </w:r>
      <w:r w:rsidR="00907D8C">
        <w:t xml:space="preserve"> </w:t>
      </w:r>
      <w:r w:rsidRPr="00036FAC">
        <w:t>the</w:t>
      </w:r>
      <w:r w:rsidR="00907D8C">
        <w:t xml:space="preserve"> </w:t>
      </w:r>
      <w:r w:rsidRPr="00036FAC">
        <w:t>years</w:t>
      </w:r>
      <w:r w:rsidR="00907D8C">
        <w:t xml:space="preserve"> </w:t>
      </w:r>
      <w:r w:rsidRPr="00036FAC">
        <w:t>ended</w:t>
      </w:r>
      <w:r w:rsidR="00907D8C">
        <w:t xml:space="preserve"> </w:t>
      </w:r>
      <w:r w:rsidRPr="00036FAC">
        <w:t>March</w:t>
      </w:r>
      <w:r w:rsidR="00907D8C">
        <w:t xml:space="preserve"> </w:t>
      </w:r>
      <w:r w:rsidRPr="00036FAC">
        <w:t>1987</w:t>
      </w:r>
      <w:r w:rsidR="00907D8C">
        <w:t xml:space="preserve"> </w:t>
      </w:r>
      <w:r w:rsidRPr="00036FAC">
        <w:t>(60.1</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March</w:t>
      </w:r>
      <w:r w:rsidR="00907D8C">
        <w:t xml:space="preserve"> </w:t>
      </w:r>
      <w:r w:rsidRPr="00036FAC">
        <w:t>1992</w:t>
      </w:r>
      <w:r w:rsidR="00907D8C">
        <w:t xml:space="preserve"> </w:t>
      </w:r>
      <w:r w:rsidRPr="00036FAC">
        <w:t>(51.4</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had</w:t>
      </w:r>
      <w:r w:rsidR="00907D8C">
        <w:t xml:space="preserve"> </w:t>
      </w:r>
      <w:r w:rsidRPr="00036FAC">
        <w:t>almost</w:t>
      </w:r>
      <w:r w:rsidR="00907D8C">
        <w:t xml:space="preserve"> </w:t>
      </w:r>
      <w:r w:rsidRPr="00036FAC">
        <w:t>recovered</w:t>
      </w:r>
      <w:r w:rsidR="00907D8C">
        <w:t xml:space="preserve"> </w:t>
      </w:r>
      <w:r w:rsidRPr="00036FAC">
        <w:t>to</w:t>
      </w:r>
      <w:r w:rsidR="00907D8C">
        <w:t xml:space="preserve"> </w:t>
      </w:r>
      <w:r w:rsidRPr="00036FAC">
        <w:t>the</w:t>
      </w:r>
      <w:r w:rsidR="00907D8C">
        <w:t xml:space="preserve"> </w:t>
      </w:r>
      <w:r w:rsidRPr="00036FAC">
        <w:t>mid-1980s</w:t>
      </w:r>
      <w:r w:rsidR="00907D8C">
        <w:t xml:space="preserve"> </w:t>
      </w:r>
      <w:r w:rsidRPr="00036FAC">
        <w:t>level</w:t>
      </w:r>
      <w:r w:rsidR="00907D8C">
        <w:t xml:space="preserve"> </w:t>
      </w:r>
      <w:r w:rsidRPr="00036FAC">
        <w:t>by</w:t>
      </w:r>
      <w:r w:rsidR="00907D8C">
        <w:t xml:space="preserve"> </w:t>
      </w:r>
      <w:r w:rsidRPr="00036FAC">
        <w:t>2009</w:t>
      </w:r>
      <w:r w:rsidR="00907D8C">
        <w:t xml:space="preserve"> </w:t>
      </w:r>
      <w:r w:rsidRPr="00036FAC">
        <w:t>(58.4</w:t>
      </w:r>
      <w:r w:rsidR="00907D8C">
        <w:t xml:space="preserve"> </w:t>
      </w:r>
      <w:r w:rsidR="00AE58B5">
        <w:t>per</w:t>
      </w:r>
      <w:r w:rsidR="00907D8C">
        <w:t xml:space="preserve"> </w:t>
      </w:r>
      <w:r w:rsidR="00AE58B5">
        <w:t>cent</w:t>
      </w:r>
      <w:r w:rsidRPr="00036FAC">
        <w:t>).</w:t>
      </w:r>
      <w:r w:rsidR="00907D8C">
        <w:t xml:space="preserve"> </w:t>
      </w:r>
      <w:r w:rsidRPr="00036FAC">
        <w:t>The</w:t>
      </w:r>
      <w:r w:rsidR="00907D8C">
        <w:t xml:space="preserve"> </w:t>
      </w:r>
      <w:r w:rsidRPr="00036FAC">
        <w:t>part-time</w:t>
      </w:r>
      <w:r w:rsidR="00907D8C">
        <w:t xml:space="preserve"> </w:t>
      </w:r>
      <w:r w:rsidRPr="00036FAC">
        <w:t>employment</w:t>
      </w:r>
      <w:r w:rsidR="00907D8C">
        <w:t xml:space="preserve"> </w:t>
      </w:r>
      <w:r w:rsidRPr="00036FAC">
        <w:t>rate</w:t>
      </w:r>
      <w:r w:rsidR="00907D8C">
        <w:t xml:space="preserve"> </w:t>
      </w:r>
      <w:r w:rsidRPr="00036FAC">
        <w:t>increased</w:t>
      </w:r>
      <w:r w:rsidR="00907D8C">
        <w:t xml:space="preserve"> </w:t>
      </w:r>
      <w:r w:rsidRPr="00036FAC">
        <w:t>over</w:t>
      </w:r>
      <w:r w:rsidR="00907D8C">
        <w:t xml:space="preserve"> </w:t>
      </w:r>
      <w:r w:rsidRPr="00036FAC">
        <w:t>the</w:t>
      </w:r>
      <w:r w:rsidR="00907D8C">
        <w:t xml:space="preserve"> </w:t>
      </w:r>
      <w:r w:rsidRPr="00036FAC">
        <w:t>period,</w:t>
      </w:r>
      <w:r w:rsidR="00907D8C">
        <w:t xml:space="preserve"> </w:t>
      </w:r>
      <w:r w:rsidRPr="00036FAC">
        <w:t>from</w:t>
      </w:r>
      <w:r w:rsidR="00907D8C">
        <w:t xml:space="preserve"> </w:t>
      </w:r>
      <w:r w:rsidRPr="00036FAC">
        <w:t>12.1</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1987</w:t>
      </w:r>
      <w:r w:rsidR="00907D8C">
        <w:t xml:space="preserve"> </w:t>
      </w:r>
      <w:r w:rsidRPr="00036FAC">
        <w:t>to</w:t>
      </w:r>
      <w:r w:rsidR="00907D8C">
        <w:t xml:space="preserve"> </w:t>
      </w:r>
      <w:r w:rsidRPr="00036FAC">
        <w:t>16.2</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r w:rsidR="00907D8C">
        <w:t xml:space="preserve"> </w:t>
      </w:r>
      <w:r w:rsidRPr="00036FAC">
        <w:t>Although</w:t>
      </w:r>
      <w:r w:rsidR="00907D8C">
        <w:t xml:space="preserve"> </w:t>
      </w:r>
      <w:r w:rsidRPr="00036FAC">
        <w:t>the</w:t>
      </w:r>
      <w:r w:rsidR="00907D8C">
        <w:t xml:space="preserve"> </w:t>
      </w:r>
      <w:r w:rsidRPr="00036FAC">
        <w:t>part-time</w:t>
      </w:r>
      <w:r w:rsidR="00907D8C">
        <w:t xml:space="preserve"> </w:t>
      </w:r>
      <w:r w:rsidRPr="00036FAC">
        <w:t>rate</w:t>
      </w:r>
      <w:r w:rsidR="00907D8C">
        <w:t xml:space="preserve"> </w:t>
      </w:r>
      <w:r w:rsidRPr="00036FAC">
        <w:t>has</w:t>
      </w:r>
      <w:r w:rsidR="00907D8C">
        <w:t xml:space="preserve"> </w:t>
      </w:r>
      <w:r w:rsidRPr="00036FAC">
        <w:t>almost</w:t>
      </w:r>
      <w:r w:rsidR="00907D8C">
        <w:t xml:space="preserve"> </w:t>
      </w:r>
      <w:r w:rsidRPr="00036FAC">
        <w:t>doubled</w:t>
      </w:r>
      <w:r w:rsidR="00907D8C">
        <w:t xml:space="preserve"> </w:t>
      </w:r>
      <w:r w:rsidRPr="00036FAC">
        <w:t>for</w:t>
      </w:r>
      <w:r w:rsidR="00907D8C">
        <w:t xml:space="preserve"> </w:t>
      </w:r>
      <w:r w:rsidRPr="00036FAC">
        <w:t>men</w:t>
      </w:r>
      <w:r w:rsidR="00907D8C">
        <w:t xml:space="preserve"> </w:t>
      </w:r>
      <w:r w:rsidRPr="00036FAC">
        <w:t>since</w:t>
      </w:r>
      <w:r w:rsidR="00907D8C">
        <w:t xml:space="preserve"> </w:t>
      </w:r>
      <w:r w:rsidRPr="00036FAC">
        <w:t>1986,</w:t>
      </w:r>
      <w:r w:rsidR="00907D8C">
        <w:t xml:space="preserve"> </w:t>
      </w:r>
      <w:r w:rsidRPr="00036FAC">
        <w:t>women</w:t>
      </w:r>
      <w:r w:rsidR="00907D8C">
        <w:t xml:space="preserve"> </w:t>
      </w:r>
      <w:r w:rsidRPr="00036FAC">
        <w:t>continue</w:t>
      </w:r>
      <w:r w:rsidR="00907D8C">
        <w:t xml:space="preserve"> </w:t>
      </w:r>
      <w:r w:rsidRPr="00036FAC">
        <w:t>to</w:t>
      </w:r>
      <w:r w:rsidR="00907D8C">
        <w:t xml:space="preserve"> </w:t>
      </w:r>
      <w:r w:rsidRPr="00036FAC">
        <w:t>have</w:t>
      </w:r>
      <w:r w:rsidR="00907D8C">
        <w:t xml:space="preserve"> </w:t>
      </w:r>
      <w:r w:rsidRPr="00036FAC">
        <w:t>a</w:t>
      </w:r>
      <w:r w:rsidR="00907D8C">
        <w:t xml:space="preserve"> </w:t>
      </w:r>
      <w:r w:rsidRPr="00036FAC">
        <w:t>higher</w:t>
      </w:r>
      <w:r w:rsidR="00907D8C">
        <w:t xml:space="preserve"> </w:t>
      </w:r>
      <w:r w:rsidRPr="00036FAC">
        <w:t>part-time</w:t>
      </w:r>
      <w:r w:rsidR="00907D8C">
        <w:t xml:space="preserve"> </w:t>
      </w:r>
      <w:r w:rsidRPr="00036FAC">
        <w:t>employment</w:t>
      </w:r>
      <w:r w:rsidR="00907D8C">
        <w:t xml:space="preserve"> </w:t>
      </w:r>
      <w:r w:rsidRPr="00036FAC">
        <w:t>rate</w:t>
      </w:r>
      <w:r w:rsidR="00907D8C">
        <w:t xml:space="preserve"> </w:t>
      </w:r>
      <w:r w:rsidRPr="00036FAC">
        <w:t>than</w:t>
      </w:r>
      <w:r w:rsidR="00907D8C">
        <w:t xml:space="preserve"> </w:t>
      </w:r>
      <w:r w:rsidRPr="00036FAC">
        <w:t>men</w:t>
      </w:r>
      <w:r w:rsidR="00907D8C">
        <w:t xml:space="preserve"> </w:t>
      </w:r>
      <w:r w:rsidRPr="00036FAC">
        <w:t>(23.5</w:t>
      </w:r>
      <w:r w:rsidR="00907D8C">
        <w:t xml:space="preserve"> </w:t>
      </w:r>
      <w:r w:rsidR="001B201B">
        <w:t>per</w:t>
      </w:r>
      <w:r w:rsidR="00907D8C">
        <w:t xml:space="preserve"> </w:t>
      </w:r>
      <w:r w:rsidR="001B201B">
        <w:t>cent</w:t>
      </w:r>
      <w:r w:rsidR="00907D8C">
        <w:t xml:space="preserve"> </w:t>
      </w:r>
      <w:r w:rsidRPr="00036FAC">
        <w:t>compared</w:t>
      </w:r>
      <w:r w:rsidR="00907D8C">
        <w:t xml:space="preserve"> </w:t>
      </w:r>
      <w:r w:rsidRPr="00036FAC">
        <w:t>with</w:t>
      </w:r>
      <w:r w:rsidR="00907D8C">
        <w:t xml:space="preserve"> </w:t>
      </w:r>
      <w:r w:rsidRPr="00036FAC">
        <w:t>8.5</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March</w:t>
      </w:r>
      <w:r w:rsidR="00907D8C">
        <w:t xml:space="preserve"> </w:t>
      </w:r>
      <w:r w:rsidRPr="00036FAC">
        <w:t>200</w:t>
      </w:r>
      <w:r w:rsidR="002C3A48">
        <w:t>9).</w:t>
      </w:r>
    </w:p>
    <w:p w:rsidR="00036FAC" w:rsidRPr="00036FAC" w:rsidRDefault="00036FAC" w:rsidP="006C436C">
      <w:pPr>
        <w:pStyle w:val="H23G"/>
      </w:pPr>
      <w:r w:rsidRPr="00036FAC">
        <w:tab/>
        <w:t>(a)</w:t>
      </w:r>
      <w:r w:rsidRPr="00036FAC">
        <w:tab/>
        <w:t>Age</w:t>
      </w:r>
      <w:r w:rsidR="00907D8C">
        <w:t xml:space="preserve"> </w:t>
      </w:r>
      <w:r w:rsidRPr="00036FAC">
        <w:t>and</w:t>
      </w:r>
      <w:r w:rsidR="00907D8C">
        <w:t xml:space="preserve"> </w:t>
      </w:r>
      <w:r w:rsidRPr="00036FAC">
        <w:t>sex</w:t>
      </w:r>
      <w:r w:rsidR="00907D8C">
        <w:t xml:space="preserve"> </w:t>
      </w:r>
      <w:r w:rsidRPr="00036FAC">
        <w:t>differences</w:t>
      </w:r>
    </w:p>
    <w:p w:rsidR="00036FAC" w:rsidRPr="00036FAC" w:rsidRDefault="00036FAC" w:rsidP="002C3A48">
      <w:pPr>
        <w:pStyle w:val="SingleTxtG"/>
      </w:pPr>
      <w:r w:rsidRPr="00036FAC">
        <w:t>54.</w:t>
      </w:r>
      <w:r w:rsidRPr="00036FAC">
        <w:tab/>
        <w:t>The</w:t>
      </w:r>
      <w:r w:rsidR="00907D8C">
        <w:t xml:space="preserve"> </w:t>
      </w:r>
      <w:r w:rsidRPr="00036FAC">
        <w:t>employment</w:t>
      </w:r>
      <w:r w:rsidR="00907D8C">
        <w:t xml:space="preserve"> </w:t>
      </w:r>
      <w:r w:rsidRPr="00036FAC">
        <w:t>rate</w:t>
      </w:r>
      <w:r w:rsidR="00907D8C">
        <w:t xml:space="preserve"> </w:t>
      </w:r>
      <w:r w:rsidRPr="00036FAC">
        <w:t>for</w:t>
      </w:r>
      <w:r w:rsidR="00907D8C">
        <w:t xml:space="preserve"> </w:t>
      </w:r>
      <w:r w:rsidRPr="00036FAC">
        <w:t>women</w:t>
      </w:r>
      <w:r w:rsidR="00907D8C">
        <w:t xml:space="preserve"> </w:t>
      </w:r>
      <w:r w:rsidRPr="00036FAC">
        <w:t>is</w:t>
      </w:r>
      <w:r w:rsidR="00907D8C">
        <w:t xml:space="preserve"> </w:t>
      </w:r>
      <w:r w:rsidRPr="00036FAC">
        <w:t>significantly</w:t>
      </w:r>
      <w:r w:rsidR="00907D8C">
        <w:t xml:space="preserve"> </w:t>
      </w:r>
      <w:r w:rsidRPr="00036FAC">
        <w:t>lower</w:t>
      </w:r>
      <w:r w:rsidR="00907D8C">
        <w:t xml:space="preserve"> </w:t>
      </w:r>
      <w:r w:rsidRPr="00036FAC">
        <w:t>than</w:t>
      </w:r>
      <w:r w:rsidR="00907D8C">
        <w:t xml:space="preserve"> </w:t>
      </w:r>
      <w:r w:rsidRPr="00036FAC">
        <w:t>that</w:t>
      </w:r>
      <w:r w:rsidR="00907D8C">
        <w:t xml:space="preserve"> </w:t>
      </w:r>
      <w:r w:rsidRPr="00036FAC">
        <w:t>for</w:t>
      </w:r>
      <w:r w:rsidR="00907D8C">
        <w:t xml:space="preserve"> </w:t>
      </w:r>
      <w:r w:rsidRPr="00036FAC">
        <w:t>men.</w:t>
      </w:r>
      <w:r w:rsidR="00907D8C">
        <w:t xml:space="preserve"> </w:t>
      </w:r>
      <w:r w:rsidRPr="00036FAC">
        <w:t>This</w:t>
      </w:r>
      <w:r w:rsidR="00907D8C">
        <w:t xml:space="preserve"> </w:t>
      </w:r>
      <w:r w:rsidRPr="00036FAC">
        <w:t>is</w:t>
      </w:r>
      <w:r w:rsidR="00907D8C">
        <w:t xml:space="preserve"> </w:t>
      </w:r>
      <w:r w:rsidRPr="00036FAC">
        <w:t>mainly</w:t>
      </w:r>
      <w:r w:rsidR="00907D8C">
        <w:t xml:space="preserve"> </w:t>
      </w:r>
      <w:r w:rsidRPr="00036FAC">
        <w:t>because</w:t>
      </w:r>
      <w:r w:rsidR="00907D8C">
        <w:t xml:space="preserve"> </w:t>
      </w:r>
      <w:r w:rsidRPr="00036FAC">
        <w:t>women</w:t>
      </w:r>
      <w:r w:rsidR="00907D8C">
        <w:t xml:space="preserve"> </w:t>
      </w:r>
      <w:r w:rsidRPr="00036FAC">
        <w:t>spend</w:t>
      </w:r>
      <w:r w:rsidR="00907D8C">
        <w:t xml:space="preserve"> </w:t>
      </w:r>
      <w:r w:rsidRPr="00036FAC">
        <w:t>more</w:t>
      </w:r>
      <w:r w:rsidR="00907D8C">
        <w:t xml:space="preserve"> </w:t>
      </w:r>
      <w:r w:rsidRPr="00036FAC">
        <w:t>time</w:t>
      </w:r>
      <w:r w:rsidR="00907D8C">
        <w:t xml:space="preserve"> </w:t>
      </w:r>
      <w:r w:rsidRPr="00036FAC">
        <w:t>on</w:t>
      </w:r>
      <w:r w:rsidR="00907D8C">
        <w:t xml:space="preserve"> </w:t>
      </w:r>
      <w:r w:rsidRPr="00036FAC">
        <w:t>childcare</w:t>
      </w:r>
      <w:r w:rsidR="00907D8C">
        <w:t xml:space="preserve"> </w:t>
      </w:r>
      <w:r w:rsidRPr="00036FAC">
        <w:t>and</w:t>
      </w:r>
      <w:r w:rsidR="00907D8C">
        <w:t xml:space="preserve"> </w:t>
      </w:r>
      <w:r w:rsidRPr="00036FAC">
        <w:t>other</w:t>
      </w:r>
      <w:r w:rsidR="00907D8C">
        <w:t xml:space="preserve"> </w:t>
      </w:r>
      <w:r w:rsidRPr="00036FAC">
        <w:t>unpaid</w:t>
      </w:r>
      <w:r w:rsidR="00907D8C">
        <w:t xml:space="preserve"> </w:t>
      </w:r>
      <w:r w:rsidRPr="00036FAC">
        <w:t>household</w:t>
      </w:r>
      <w:r w:rsidR="00907D8C">
        <w:t xml:space="preserve"> </w:t>
      </w:r>
      <w:r w:rsidRPr="00036FAC">
        <w:t>work</w:t>
      </w:r>
      <w:r w:rsidR="00907D8C">
        <w:t xml:space="preserve"> </w:t>
      </w:r>
      <w:r w:rsidRPr="00036FAC">
        <w:t>and</w:t>
      </w:r>
      <w:r w:rsidR="00907D8C">
        <w:t xml:space="preserve"> </w:t>
      </w:r>
      <w:r w:rsidRPr="00036FAC">
        <w:t>are</w:t>
      </w:r>
      <w:r w:rsidR="00907D8C">
        <w:t xml:space="preserve"> </w:t>
      </w:r>
      <w:r w:rsidRPr="00036FAC">
        <w:t>more</w:t>
      </w:r>
      <w:r w:rsidR="00907D8C">
        <w:t xml:space="preserve"> </w:t>
      </w:r>
      <w:r w:rsidRPr="00036FAC">
        <w:t>likely</w:t>
      </w:r>
      <w:r w:rsidR="00907D8C">
        <w:t xml:space="preserve"> </w:t>
      </w:r>
      <w:r w:rsidRPr="00036FAC">
        <w:t>than</w:t>
      </w:r>
      <w:r w:rsidR="00907D8C">
        <w:t xml:space="preserve"> </w:t>
      </w:r>
      <w:r w:rsidRPr="00036FAC">
        <w:t>men</w:t>
      </w:r>
      <w:r w:rsidR="00907D8C">
        <w:t xml:space="preserve"> </w:t>
      </w:r>
      <w:r w:rsidRPr="00036FAC">
        <w:t>to</w:t>
      </w:r>
      <w:r w:rsidR="00907D8C">
        <w:t xml:space="preserve"> </w:t>
      </w:r>
      <w:r w:rsidRPr="00036FAC">
        <w:t>undertake</w:t>
      </w:r>
      <w:r w:rsidR="00907D8C">
        <w:t xml:space="preserve"> </w:t>
      </w:r>
      <w:r w:rsidRPr="00036FAC">
        <w:t>some</w:t>
      </w:r>
      <w:r w:rsidR="00907D8C">
        <w:t xml:space="preserve"> </w:t>
      </w:r>
      <w:r w:rsidRPr="00036FAC">
        <w:t>form</w:t>
      </w:r>
      <w:r w:rsidR="00907D8C">
        <w:t xml:space="preserve"> </w:t>
      </w:r>
      <w:r w:rsidRPr="00036FAC">
        <w:t>of</w:t>
      </w:r>
      <w:r w:rsidR="00907D8C">
        <w:t xml:space="preserve"> </w:t>
      </w:r>
      <w:r w:rsidRPr="00036FAC">
        <w:t>study</w:t>
      </w:r>
      <w:r w:rsidR="00907D8C">
        <w:t xml:space="preserve"> </w:t>
      </w:r>
      <w:r w:rsidRPr="00036FAC">
        <w:t>or</w:t>
      </w:r>
      <w:r w:rsidR="00907D8C">
        <w:t xml:space="preserve"> </w:t>
      </w:r>
      <w:r w:rsidRPr="00036FAC">
        <w:t>training.</w:t>
      </w:r>
      <w:r w:rsidR="00907D8C">
        <w:t xml:space="preserve"> </w:t>
      </w:r>
      <w:r w:rsidRPr="00036FAC">
        <w:t>However,</w:t>
      </w:r>
      <w:r w:rsidR="00907D8C">
        <w:t xml:space="preserve"> </w:t>
      </w:r>
      <w:r w:rsidRPr="00036FAC">
        <w:t>growth</w:t>
      </w:r>
      <w:r w:rsidR="00907D8C">
        <w:t xml:space="preserve"> </w:t>
      </w:r>
      <w:r w:rsidRPr="00036FAC">
        <w:t>in</w:t>
      </w:r>
      <w:r w:rsidR="00907D8C">
        <w:t xml:space="preserve"> </w:t>
      </w:r>
      <w:r w:rsidRPr="00036FAC">
        <w:t>the</w:t>
      </w:r>
      <w:r w:rsidR="00907D8C">
        <w:t xml:space="preserve"> </w:t>
      </w:r>
      <w:r w:rsidRPr="00036FAC">
        <w:t>employment</w:t>
      </w:r>
      <w:r w:rsidR="00907D8C">
        <w:t xml:space="preserve"> </w:t>
      </w:r>
      <w:r w:rsidRPr="00036FAC">
        <w:t>rate</w:t>
      </w:r>
      <w:r w:rsidR="00907D8C">
        <w:t xml:space="preserve"> </w:t>
      </w:r>
      <w:r w:rsidRPr="00036FAC">
        <w:t>between</w:t>
      </w:r>
      <w:r w:rsidR="00907D8C">
        <w:t xml:space="preserve"> </w:t>
      </w:r>
      <w:r w:rsidRPr="00036FAC">
        <w:t>the</w:t>
      </w:r>
      <w:r w:rsidR="00907D8C">
        <w:t xml:space="preserve"> </w:t>
      </w:r>
      <w:r w:rsidRPr="00036FAC">
        <w:t>years</w:t>
      </w:r>
      <w:r w:rsidR="00907D8C">
        <w:t xml:space="preserve"> </w:t>
      </w:r>
      <w:r w:rsidRPr="00036FAC">
        <w:t>ended</w:t>
      </w:r>
      <w:r w:rsidR="00907D8C">
        <w:t xml:space="preserve"> </w:t>
      </w:r>
      <w:r w:rsidRPr="00036FAC">
        <w:t>March</w:t>
      </w:r>
      <w:r w:rsidR="00907D8C">
        <w:t xml:space="preserve"> </w:t>
      </w:r>
      <w:r w:rsidRPr="00036FAC">
        <w:t>1992</w:t>
      </w:r>
      <w:r w:rsidR="00907D8C">
        <w:t xml:space="preserve"> </w:t>
      </w:r>
      <w:r w:rsidRPr="00036FAC">
        <w:t>and</w:t>
      </w:r>
      <w:r w:rsidR="00907D8C">
        <w:t xml:space="preserve"> </w:t>
      </w:r>
      <w:r w:rsidRPr="00036FAC">
        <w:t>March</w:t>
      </w:r>
      <w:r w:rsidR="00907D8C">
        <w:t xml:space="preserve"> </w:t>
      </w:r>
      <w:r w:rsidRPr="00036FAC">
        <w:t>2009</w:t>
      </w:r>
      <w:r w:rsidR="00907D8C">
        <w:t xml:space="preserve"> </w:t>
      </w:r>
      <w:r w:rsidRPr="00036FAC">
        <w:t>was</w:t>
      </w:r>
      <w:r w:rsidR="00907D8C">
        <w:t xml:space="preserve"> </w:t>
      </w:r>
      <w:r w:rsidRPr="00036FAC">
        <w:t>stronger</w:t>
      </w:r>
      <w:r w:rsidR="00907D8C">
        <w:t xml:space="preserve"> </w:t>
      </w:r>
      <w:r w:rsidRPr="00036FAC">
        <w:t>for</w:t>
      </w:r>
      <w:r w:rsidR="00907D8C">
        <w:t xml:space="preserve"> </w:t>
      </w:r>
      <w:r w:rsidRPr="00036FAC">
        <w:t>women</w:t>
      </w:r>
      <w:r w:rsidR="00907D8C">
        <w:t xml:space="preserve"> </w:t>
      </w:r>
      <w:r w:rsidRPr="00036FAC">
        <w:t>than</w:t>
      </w:r>
      <w:r w:rsidR="00907D8C">
        <w:t xml:space="preserve"> </w:t>
      </w:r>
      <w:r w:rsidRPr="00036FAC">
        <w:t>for</w:t>
      </w:r>
      <w:r w:rsidR="00907D8C">
        <w:t xml:space="preserve"> </w:t>
      </w:r>
      <w:r w:rsidRPr="00036FAC">
        <w:t>men</w:t>
      </w:r>
      <w:r w:rsidR="00907D8C">
        <w:t xml:space="preserve"> </w:t>
      </w:r>
      <w:r w:rsidRPr="00036FAC">
        <w:t>and</w:t>
      </w:r>
      <w:r w:rsidR="00907D8C">
        <w:t xml:space="preserve"> </w:t>
      </w:r>
      <w:r w:rsidRPr="00036FAC">
        <w:t>the</w:t>
      </w:r>
      <w:r w:rsidR="00907D8C">
        <w:t xml:space="preserve"> </w:t>
      </w:r>
      <w:r w:rsidRPr="00036FAC">
        <w:t>sex</w:t>
      </w:r>
      <w:r w:rsidR="00907D8C">
        <w:t xml:space="preserve"> </w:t>
      </w:r>
      <w:r w:rsidRPr="00036FAC">
        <w:t>difference</w:t>
      </w:r>
      <w:r w:rsidR="00907D8C">
        <w:t xml:space="preserve"> </w:t>
      </w:r>
      <w:r w:rsidRPr="00036FAC">
        <w:t>in</w:t>
      </w:r>
      <w:r w:rsidR="00907D8C">
        <w:t xml:space="preserve"> </w:t>
      </w:r>
      <w:r w:rsidRPr="00036FAC">
        <w:t>the</w:t>
      </w:r>
      <w:r w:rsidR="00907D8C">
        <w:t xml:space="preserve"> </w:t>
      </w:r>
      <w:r w:rsidRPr="00036FAC">
        <w:t>employment</w:t>
      </w:r>
      <w:r w:rsidR="00907D8C">
        <w:t xml:space="preserve"> </w:t>
      </w:r>
      <w:r w:rsidRPr="00036FAC">
        <w:t>rate</w:t>
      </w:r>
      <w:r w:rsidR="00907D8C">
        <w:t xml:space="preserve"> </w:t>
      </w:r>
      <w:r w:rsidRPr="00036FAC">
        <w:t>has</w:t>
      </w:r>
      <w:r w:rsidR="00907D8C">
        <w:t xml:space="preserve"> </w:t>
      </w:r>
      <w:r w:rsidRPr="00036FAC">
        <w:t>narrowed</w:t>
      </w:r>
      <w:r w:rsidR="00907D8C">
        <w:t xml:space="preserve"> </w:t>
      </w:r>
      <w:r w:rsidRPr="00036FAC">
        <w:t>from</w:t>
      </w:r>
      <w:r w:rsidR="00907D8C">
        <w:t xml:space="preserve"> </w:t>
      </w:r>
      <w:r w:rsidRPr="00036FAC">
        <w:t>16</w:t>
      </w:r>
      <w:r w:rsidR="00907D8C">
        <w:t xml:space="preserve"> </w:t>
      </w:r>
      <w:r w:rsidRPr="00036FAC">
        <w:t>to</w:t>
      </w:r>
      <w:r w:rsidR="00907D8C">
        <w:t xml:space="preserve"> </w:t>
      </w:r>
      <w:r w:rsidRPr="00036FAC">
        <w:t>12</w:t>
      </w:r>
      <w:r w:rsidR="00907D8C">
        <w:t xml:space="preserve"> </w:t>
      </w:r>
      <w:r w:rsidR="002C3A48">
        <w:t>per</w:t>
      </w:r>
      <w:r w:rsidR="00AE58B5">
        <w:t>cent</w:t>
      </w:r>
      <w:r w:rsidRPr="00036FAC">
        <w:t>age</w:t>
      </w:r>
      <w:r w:rsidR="00907D8C">
        <w:t xml:space="preserve"> </w:t>
      </w:r>
      <w:r w:rsidRPr="00036FAC">
        <w:t>points</w:t>
      </w:r>
      <w:r w:rsidR="00907D8C">
        <w:t xml:space="preserve"> </w:t>
      </w:r>
      <w:r w:rsidRPr="00036FAC">
        <w:t>over</w:t>
      </w:r>
      <w:r w:rsidR="00907D8C">
        <w:t xml:space="preserve"> </w:t>
      </w:r>
      <w:r w:rsidRPr="00036FAC">
        <w:t>that</w:t>
      </w:r>
      <w:r w:rsidR="00907D8C">
        <w:t xml:space="preserve"> </w:t>
      </w:r>
      <w:r w:rsidRPr="00036FAC">
        <w:t>time.</w:t>
      </w:r>
    </w:p>
    <w:p w:rsidR="00036FAC" w:rsidRPr="00036FAC" w:rsidRDefault="00036FAC" w:rsidP="006C436C">
      <w:pPr>
        <w:pStyle w:val="H23G"/>
      </w:pPr>
      <w:r w:rsidRPr="00036FAC">
        <w:tab/>
        <w:t>(b)</w:t>
      </w:r>
      <w:r w:rsidRPr="00036FAC">
        <w:tab/>
        <w:t>Ethnic</w:t>
      </w:r>
      <w:r w:rsidR="00907D8C">
        <w:t xml:space="preserve"> </w:t>
      </w:r>
      <w:r w:rsidRPr="00036FAC">
        <w:t>differences</w:t>
      </w:r>
    </w:p>
    <w:p w:rsidR="00036FAC" w:rsidRPr="00036FAC" w:rsidRDefault="00036FAC" w:rsidP="00B50FB5">
      <w:pPr>
        <w:pStyle w:val="SingleTxtG"/>
      </w:pPr>
      <w:r w:rsidRPr="00036FAC">
        <w:t>55.</w:t>
      </w:r>
      <w:r w:rsidRPr="00036FAC">
        <w:tab/>
        <w:t>The</w:t>
      </w:r>
      <w:r w:rsidR="00907D8C">
        <w:t xml:space="preserve"> </w:t>
      </w:r>
      <w:r w:rsidRPr="00036FAC">
        <w:t>employment</w:t>
      </w:r>
      <w:r w:rsidR="00907D8C">
        <w:t xml:space="preserve"> </w:t>
      </w:r>
      <w:r w:rsidRPr="00036FAC">
        <w:t>rates</w:t>
      </w:r>
      <w:r w:rsidR="00907D8C">
        <w:t xml:space="preserve"> </w:t>
      </w:r>
      <w:r w:rsidRPr="00036FAC">
        <w:t>for</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showed</w:t>
      </w:r>
      <w:r w:rsidR="00907D8C">
        <w:t xml:space="preserve"> </w:t>
      </w:r>
      <w:r w:rsidRPr="00036FAC">
        <w:t>the</w:t>
      </w:r>
      <w:r w:rsidR="00907D8C">
        <w:t xml:space="preserve"> </w:t>
      </w:r>
      <w:r w:rsidRPr="00036FAC">
        <w:t>steepest</w:t>
      </w:r>
      <w:r w:rsidR="00907D8C">
        <w:t xml:space="preserve"> </w:t>
      </w:r>
      <w:r w:rsidRPr="00036FAC">
        <w:t>fall</w:t>
      </w:r>
      <w:r w:rsidR="00907D8C">
        <w:t xml:space="preserve"> </w:t>
      </w:r>
      <w:r w:rsidRPr="00036FAC">
        <w:t>between</w:t>
      </w:r>
      <w:r w:rsidR="00907D8C">
        <w:t xml:space="preserve"> </w:t>
      </w:r>
      <w:r w:rsidRPr="00036FAC">
        <w:t>1987</w:t>
      </w:r>
      <w:r w:rsidR="00907D8C">
        <w:t xml:space="preserve"> </w:t>
      </w:r>
      <w:r w:rsidRPr="00036FAC">
        <w:t>and</w:t>
      </w:r>
      <w:r w:rsidR="00907D8C">
        <w:t xml:space="preserve"> </w:t>
      </w:r>
      <w:r w:rsidRPr="00036FAC">
        <w:t>1992,</w:t>
      </w:r>
      <w:r w:rsidR="00907D8C">
        <w:t xml:space="preserve"> </w:t>
      </w:r>
      <w:r w:rsidRPr="00036FAC">
        <w:t>but</w:t>
      </w:r>
      <w:r w:rsidR="00907D8C">
        <w:t xml:space="preserve"> </w:t>
      </w:r>
      <w:r w:rsidRPr="00036FAC">
        <w:t>also</w:t>
      </w:r>
      <w:r w:rsidR="00907D8C">
        <w:t xml:space="preserve"> </w:t>
      </w:r>
      <w:r w:rsidRPr="00036FAC">
        <w:t>the</w:t>
      </w:r>
      <w:r w:rsidR="00907D8C">
        <w:t xml:space="preserve"> </w:t>
      </w:r>
      <w:r w:rsidRPr="00036FAC">
        <w:t>strongest</w:t>
      </w:r>
      <w:r w:rsidR="00907D8C">
        <w:t xml:space="preserve"> </w:t>
      </w:r>
      <w:r w:rsidRPr="00036FAC">
        <w:t>recovery</w:t>
      </w:r>
      <w:r w:rsidR="00907D8C">
        <w:t xml:space="preserve"> </w:t>
      </w:r>
      <w:r w:rsidRPr="00036FAC">
        <w:t>as</w:t>
      </w:r>
      <w:r w:rsidR="00907D8C">
        <w:t xml:space="preserve"> </w:t>
      </w:r>
      <w:r w:rsidRPr="00036FAC">
        <w:t>economic</w:t>
      </w:r>
      <w:r w:rsidR="00907D8C">
        <w:t xml:space="preserve"> </w:t>
      </w:r>
      <w:r w:rsidRPr="00036FAC">
        <w:t>conditions</w:t>
      </w:r>
      <w:r w:rsidR="00907D8C">
        <w:t xml:space="preserve"> </w:t>
      </w:r>
      <w:r w:rsidRPr="00036FAC">
        <w:t>improved.</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2009,</w:t>
      </w:r>
      <w:r w:rsidR="00907D8C">
        <w:t xml:space="preserve"> </w:t>
      </w:r>
      <w:r w:rsidRPr="00036FAC">
        <w:t>the</w:t>
      </w:r>
      <w:r w:rsidR="00907D8C">
        <w:t xml:space="preserve"> </w:t>
      </w:r>
      <w:r w:rsidRPr="00036FAC">
        <w:t>Māori</w:t>
      </w:r>
      <w:r w:rsidR="00907D8C">
        <w:t xml:space="preserve"> </w:t>
      </w:r>
      <w:r w:rsidRPr="00036FAC">
        <w:t>employment</w:t>
      </w:r>
      <w:r w:rsidR="00907D8C">
        <w:t xml:space="preserve"> </w:t>
      </w:r>
      <w:r w:rsidRPr="00036FAC">
        <w:t>rate,</w:t>
      </w:r>
      <w:r w:rsidR="00907D8C">
        <w:t xml:space="preserve"> </w:t>
      </w:r>
      <w:r w:rsidRPr="00036FAC">
        <w:t>at</w:t>
      </w:r>
      <w:r w:rsidR="00907D8C">
        <w:t xml:space="preserve"> </w:t>
      </w:r>
      <w:r w:rsidRPr="00036FAC">
        <w:t>65.6</w:t>
      </w:r>
      <w:r w:rsidR="00907D8C">
        <w:t xml:space="preserve"> </w:t>
      </w:r>
      <w:r w:rsidR="00AE58B5">
        <w:t>per</w:t>
      </w:r>
      <w:r w:rsidR="00907D8C">
        <w:t xml:space="preserve"> </w:t>
      </w:r>
      <w:r w:rsidR="00AE58B5">
        <w:t>cent</w:t>
      </w:r>
      <w:r w:rsidRPr="00036FAC">
        <w:t>,</w:t>
      </w:r>
      <w:r w:rsidR="00907D8C">
        <w:t xml:space="preserve"> </w:t>
      </w:r>
      <w:r w:rsidRPr="00036FAC">
        <w:t>was</w:t>
      </w:r>
      <w:r w:rsidR="00907D8C">
        <w:t xml:space="preserve"> </w:t>
      </w:r>
      <w:r w:rsidRPr="00036FAC">
        <w:t>slightly</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for</w:t>
      </w:r>
      <w:r w:rsidR="00907D8C">
        <w:t xml:space="preserve"> </w:t>
      </w:r>
      <w:r w:rsidRPr="00036FAC">
        <w:t>the</w:t>
      </w:r>
      <w:r w:rsidR="00907D8C">
        <w:t xml:space="preserve"> </w:t>
      </w:r>
      <w:r w:rsidRPr="00036FAC">
        <w:t>previous</w:t>
      </w:r>
      <w:r w:rsidR="00907D8C">
        <w:t xml:space="preserve"> </w:t>
      </w:r>
      <w:r w:rsidRPr="00036FAC">
        <w:t>year</w:t>
      </w:r>
      <w:r w:rsidR="00907D8C">
        <w:t xml:space="preserve"> </w:t>
      </w:r>
      <w:r w:rsidRPr="00036FAC">
        <w:t>(65.1</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had</w:t>
      </w:r>
      <w:r w:rsidR="00907D8C">
        <w:t xml:space="preserve"> </w:t>
      </w:r>
      <w:r w:rsidRPr="00036FAC">
        <w:t>surpassed</w:t>
      </w:r>
      <w:r w:rsidR="00907D8C">
        <w:t xml:space="preserve"> </w:t>
      </w:r>
      <w:r w:rsidRPr="00036FAC">
        <w:t>the</w:t>
      </w:r>
      <w:r w:rsidR="00907D8C">
        <w:t xml:space="preserve"> </w:t>
      </w:r>
      <w:r w:rsidRPr="00036FAC">
        <w:t>1987</w:t>
      </w:r>
      <w:r w:rsidR="00907D8C">
        <w:t xml:space="preserve"> </w:t>
      </w:r>
      <w:r w:rsidRPr="00036FAC">
        <w:t>level</w:t>
      </w:r>
      <w:r w:rsidR="00907D8C">
        <w:t xml:space="preserve"> </w:t>
      </w:r>
      <w:r w:rsidRPr="00036FAC">
        <w:t>(61.0</w:t>
      </w:r>
      <w:r w:rsidR="00907D8C">
        <w:t xml:space="preserve"> </w:t>
      </w:r>
      <w:r w:rsidR="00AE58B5">
        <w:t>per</w:t>
      </w:r>
      <w:r w:rsidR="00907D8C">
        <w:t xml:space="preserve"> </w:t>
      </w:r>
      <w:r w:rsidR="00AE58B5">
        <w:t>cent</w:t>
      </w:r>
      <w:r w:rsidRPr="00036FAC">
        <w:t>).</w:t>
      </w:r>
      <w:r w:rsidR="00907D8C">
        <w:t xml:space="preserve"> </w:t>
      </w:r>
      <w:r w:rsidRPr="00036FAC">
        <w:t>In</w:t>
      </w:r>
      <w:r w:rsidR="00907D8C">
        <w:t xml:space="preserve"> </w:t>
      </w:r>
      <w:r w:rsidRPr="00036FAC">
        <w:t>contrast,</w:t>
      </w:r>
      <w:r w:rsidR="00907D8C">
        <w:t xml:space="preserve"> </w:t>
      </w:r>
      <w:r w:rsidRPr="00036FAC">
        <w:t>the</w:t>
      </w:r>
      <w:r w:rsidR="00907D8C">
        <w:t xml:space="preserve"> </w:t>
      </w:r>
      <w:r w:rsidRPr="00036FAC">
        <w:t>Pacific</w:t>
      </w:r>
      <w:r w:rsidR="00907D8C">
        <w:t xml:space="preserve"> </w:t>
      </w:r>
      <w:r w:rsidRPr="00036FAC">
        <w:t>peoples</w:t>
      </w:r>
      <w:r w:rsidR="00907D8C">
        <w:t xml:space="preserve"> </w:t>
      </w:r>
      <w:r w:rsidRPr="00036FAC">
        <w:t>employment</w:t>
      </w:r>
      <w:r w:rsidR="00907D8C">
        <w:t xml:space="preserve"> </w:t>
      </w:r>
      <w:r w:rsidRPr="00036FAC">
        <w:t>rate</w:t>
      </w:r>
      <w:r w:rsidR="00907D8C">
        <w:t xml:space="preserve"> </w:t>
      </w:r>
      <w:r w:rsidRPr="00036FAC">
        <w:t>declined</w:t>
      </w:r>
      <w:r w:rsidR="00907D8C">
        <w:t xml:space="preserve"> </w:t>
      </w:r>
      <w:r w:rsidRPr="00036FAC">
        <w:t>slightly</w:t>
      </w:r>
      <w:r w:rsidR="00907D8C">
        <w:t xml:space="preserve"> </w:t>
      </w:r>
      <w:r w:rsidRPr="00036FAC">
        <w:t>between</w:t>
      </w:r>
      <w:r w:rsidR="00907D8C">
        <w:t xml:space="preserve"> </w:t>
      </w:r>
      <w:r w:rsidRPr="00036FAC">
        <w:t>the</w:t>
      </w:r>
      <w:r w:rsidR="00907D8C">
        <w:t xml:space="preserve"> </w:t>
      </w:r>
      <w:r w:rsidRPr="00036FAC">
        <w:t>2008</w:t>
      </w:r>
      <w:r w:rsidR="00907D8C">
        <w:t xml:space="preserve"> </w:t>
      </w:r>
      <w:r w:rsidRPr="00036FAC">
        <w:t>and</w:t>
      </w:r>
      <w:r w:rsidR="00907D8C">
        <w:t xml:space="preserve"> </w:t>
      </w:r>
      <w:r w:rsidRPr="00036FAC">
        <w:t>2009</w:t>
      </w:r>
      <w:r w:rsidR="00907D8C">
        <w:t xml:space="preserve"> </w:t>
      </w:r>
      <w:r w:rsidRPr="00036FAC">
        <w:t>March</w:t>
      </w:r>
      <w:r w:rsidR="00907D8C">
        <w:t xml:space="preserve"> </w:t>
      </w:r>
      <w:r w:rsidRPr="00036FAC">
        <w:t>years</w:t>
      </w:r>
      <w:r w:rsidR="00907D8C">
        <w:t xml:space="preserve"> </w:t>
      </w:r>
      <w:r w:rsidRPr="00036FAC">
        <w:t>(from</w:t>
      </w:r>
      <w:r w:rsidR="00907D8C">
        <w:t xml:space="preserve"> </w:t>
      </w:r>
      <w:r w:rsidRPr="00036FAC">
        <w:t>62.8</w:t>
      </w:r>
      <w:r w:rsidR="00907D8C">
        <w:t xml:space="preserve"> </w:t>
      </w:r>
      <w:r w:rsidR="001B201B">
        <w:t>per</w:t>
      </w:r>
      <w:r w:rsidR="00907D8C">
        <w:t xml:space="preserve"> </w:t>
      </w:r>
      <w:r w:rsidR="001B201B">
        <w:t>cent</w:t>
      </w:r>
      <w:r w:rsidR="00907D8C">
        <w:t xml:space="preserve"> </w:t>
      </w:r>
      <w:r w:rsidRPr="00036FAC">
        <w:t>to</w:t>
      </w:r>
      <w:r w:rsidR="00907D8C">
        <w:t xml:space="preserve"> </w:t>
      </w:r>
      <w:r w:rsidRPr="00036FAC">
        <w:t>62.4</w:t>
      </w:r>
      <w:r w:rsidR="00907D8C">
        <w:t xml:space="preserve"> </w:t>
      </w:r>
      <w:r w:rsidR="00AE58B5">
        <w:t>per</w:t>
      </w:r>
      <w:r w:rsidR="00907D8C">
        <w:t xml:space="preserve"> </w:t>
      </w:r>
      <w:r w:rsidR="00AE58B5">
        <w:t>cent</w:t>
      </w:r>
      <w:r w:rsidRPr="00036FAC">
        <w:t>)</w:t>
      </w:r>
      <w:r w:rsidR="00907D8C">
        <w:t xml:space="preserve"> </w:t>
      </w:r>
      <w:r w:rsidRPr="00036FAC">
        <w:t>and</w:t>
      </w:r>
      <w:r w:rsidR="00907D8C">
        <w:t xml:space="preserve"> </w:t>
      </w:r>
      <w:r w:rsidRPr="00036FAC">
        <w:t>they</w:t>
      </w:r>
      <w:r w:rsidR="00907D8C">
        <w:t xml:space="preserve"> </w:t>
      </w:r>
      <w:r w:rsidRPr="00036FAC">
        <w:t>were</w:t>
      </w:r>
      <w:r w:rsidR="00907D8C">
        <w:t xml:space="preserve"> </w:t>
      </w:r>
      <w:r w:rsidRPr="00036FAC">
        <w:t>still</w:t>
      </w:r>
      <w:r w:rsidR="00907D8C">
        <w:t xml:space="preserve"> </w:t>
      </w:r>
      <w:r w:rsidRPr="00036FAC">
        <w:t>less</w:t>
      </w:r>
      <w:r w:rsidR="00907D8C">
        <w:t xml:space="preserve"> </w:t>
      </w:r>
      <w:r w:rsidRPr="00036FAC">
        <w:t>likely</w:t>
      </w:r>
      <w:r w:rsidR="00907D8C">
        <w:t xml:space="preserve"> </w:t>
      </w:r>
      <w:r w:rsidRPr="00036FAC">
        <w:t>to</w:t>
      </w:r>
      <w:r w:rsidR="00907D8C">
        <w:t xml:space="preserve"> </w:t>
      </w:r>
      <w:r w:rsidRPr="00036FAC">
        <w:t>be</w:t>
      </w:r>
      <w:r w:rsidR="00907D8C">
        <w:t xml:space="preserve"> </w:t>
      </w:r>
      <w:r w:rsidRPr="00036FAC">
        <w:t>employed</w:t>
      </w:r>
      <w:r w:rsidR="00907D8C">
        <w:t xml:space="preserve"> </w:t>
      </w:r>
      <w:r w:rsidRPr="00036FAC">
        <w:t>than</w:t>
      </w:r>
      <w:r w:rsidR="00907D8C">
        <w:t xml:space="preserve"> </w:t>
      </w:r>
      <w:r w:rsidRPr="00036FAC">
        <w:t>in</w:t>
      </w:r>
      <w:r w:rsidR="00907D8C">
        <w:t xml:space="preserve"> </w:t>
      </w:r>
      <w:r w:rsidRPr="00036FAC">
        <w:t>1987</w:t>
      </w:r>
      <w:r w:rsidR="00907D8C">
        <w:t xml:space="preserve"> </w:t>
      </w:r>
      <w:r w:rsidRPr="00036FAC">
        <w:t>(69.0</w:t>
      </w:r>
      <w:r w:rsidR="00907D8C">
        <w:t xml:space="preserve"> </w:t>
      </w:r>
      <w:r w:rsidR="00AE58B5">
        <w:t>per</w:t>
      </w:r>
      <w:r w:rsidR="00907D8C">
        <w:t xml:space="preserve"> </w:t>
      </w:r>
      <w:r w:rsidR="00AE58B5">
        <w:t>cent</w:t>
      </w:r>
      <w:r w:rsidRPr="00036FAC">
        <w:t>).</w:t>
      </w:r>
      <w:r w:rsidR="00907D8C">
        <w:t xml:space="preserve"> </w:t>
      </w:r>
      <w:r w:rsidRPr="00036FAC">
        <w:t>Pacific</w:t>
      </w:r>
      <w:r w:rsidR="00907D8C">
        <w:t xml:space="preserve"> </w:t>
      </w:r>
      <w:r w:rsidRPr="00036FAC">
        <w:t>peoples</w:t>
      </w:r>
      <w:r w:rsidR="00907D8C">
        <w:t xml:space="preserve"> </w:t>
      </w:r>
      <w:r w:rsidRPr="00036FAC">
        <w:t>have</w:t>
      </w:r>
      <w:r w:rsidR="00907D8C">
        <w:t xml:space="preserve"> </w:t>
      </w:r>
      <w:r w:rsidRPr="00036FAC">
        <w:t>had</w:t>
      </w:r>
      <w:r w:rsidR="00907D8C">
        <w:t xml:space="preserve"> </w:t>
      </w:r>
      <w:r w:rsidRPr="00036FAC">
        <w:t>the</w:t>
      </w:r>
      <w:r w:rsidR="00907D8C">
        <w:t xml:space="preserve"> </w:t>
      </w:r>
      <w:r w:rsidRPr="00036FAC">
        <w:t>low</w:t>
      </w:r>
      <w:r w:rsidR="002C3A48">
        <w:t>est</w:t>
      </w:r>
      <w:r w:rsidR="00907D8C">
        <w:t xml:space="preserve"> </w:t>
      </w:r>
      <w:r w:rsidR="002C3A48">
        <w:t>employment</w:t>
      </w:r>
      <w:r w:rsidR="00907D8C">
        <w:t xml:space="preserve"> </w:t>
      </w:r>
      <w:r w:rsidR="002C3A48">
        <w:t>rate</w:t>
      </w:r>
      <w:r w:rsidR="00907D8C">
        <w:t xml:space="preserve"> </w:t>
      </w:r>
      <w:r w:rsidR="002C3A48">
        <w:t>since</w:t>
      </w:r>
      <w:r w:rsidR="00907D8C">
        <w:t xml:space="preserve"> </w:t>
      </w:r>
      <w:r w:rsidR="002C3A48">
        <w:t>2007.</w:t>
      </w:r>
    </w:p>
    <w:p w:rsidR="00036FAC" w:rsidRPr="00036FAC" w:rsidRDefault="00036FAC" w:rsidP="00B50FB5">
      <w:pPr>
        <w:pStyle w:val="SingleTxtG"/>
      </w:pPr>
      <w:r w:rsidRPr="00036FAC">
        <w:t>56.</w:t>
      </w:r>
      <w:r w:rsidRPr="00036FAC">
        <w:tab/>
        <w:t>After</w:t>
      </w:r>
      <w:r w:rsidR="00907D8C">
        <w:t xml:space="preserve"> </w:t>
      </w:r>
      <w:r w:rsidRPr="00036FAC">
        <w:t>declining</w:t>
      </w:r>
      <w:r w:rsidR="00907D8C">
        <w:t xml:space="preserve"> </w:t>
      </w:r>
      <w:r w:rsidRPr="00036FAC">
        <w:t>slightly</w:t>
      </w:r>
      <w:r w:rsidR="00907D8C">
        <w:t xml:space="preserve"> </w:t>
      </w:r>
      <w:r w:rsidRPr="00036FAC">
        <w:t>between</w:t>
      </w:r>
      <w:r w:rsidR="00907D8C">
        <w:t xml:space="preserve"> </w:t>
      </w:r>
      <w:r w:rsidRPr="00036FAC">
        <w:t>1987</w:t>
      </w:r>
      <w:r w:rsidR="00907D8C">
        <w:t xml:space="preserve"> </w:t>
      </w:r>
      <w:r w:rsidRPr="00036FAC">
        <w:t>and</w:t>
      </w:r>
      <w:r w:rsidR="00907D8C">
        <w:t xml:space="preserve"> </w:t>
      </w:r>
      <w:r w:rsidRPr="00036FAC">
        <w:t>1992,</w:t>
      </w:r>
      <w:r w:rsidR="00907D8C">
        <w:t xml:space="preserve"> </w:t>
      </w:r>
      <w:r w:rsidRPr="00036FAC">
        <w:t>the</w:t>
      </w:r>
      <w:r w:rsidR="00907D8C">
        <w:t xml:space="preserve"> </w:t>
      </w:r>
      <w:r w:rsidRPr="00036FAC">
        <w:t>European</w:t>
      </w:r>
      <w:r w:rsidR="00907D8C">
        <w:t xml:space="preserve"> </w:t>
      </w:r>
      <w:r w:rsidRPr="00036FAC">
        <w:t>employment</w:t>
      </w:r>
      <w:r w:rsidR="00907D8C">
        <w:t xml:space="preserve"> </w:t>
      </w:r>
      <w:r w:rsidRPr="00036FAC">
        <w:t>rate</w:t>
      </w:r>
      <w:r w:rsidR="00907D8C">
        <w:t xml:space="preserve"> </w:t>
      </w:r>
      <w:r w:rsidRPr="00036FAC">
        <w:t>reached</w:t>
      </w:r>
      <w:r w:rsidR="00907D8C">
        <w:t xml:space="preserve"> </w:t>
      </w:r>
      <w:r w:rsidRPr="00036FAC">
        <w:t>a</w:t>
      </w:r>
      <w:r w:rsidR="00907D8C">
        <w:t xml:space="preserve"> </w:t>
      </w:r>
      <w:r w:rsidRPr="00036FAC">
        <w:t>record</w:t>
      </w:r>
      <w:r w:rsidR="00907D8C">
        <w:t xml:space="preserve"> </w:t>
      </w:r>
      <w:r w:rsidRPr="00036FAC">
        <w:t>high</w:t>
      </w:r>
      <w:r w:rsidR="00907D8C">
        <w:t xml:space="preserve"> </w:t>
      </w:r>
      <w:r w:rsidRPr="00036FAC">
        <w:t>of</w:t>
      </w:r>
      <w:r w:rsidR="00907D8C">
        <w:t xml:space="preserve"> </w:t>
      </w:r>
      <w:r w:rsidRPr="00036FAC">
        <w:t>79.9</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March</w:t>
      </w:r>
      <w:r w:rsidR="00907D8C">
        <w:t xml:space="preserve"> </w:t>
      </w:r>
      <w:r w:rsidRPr="00036FAC">
        <w:t>2007,</w:t>
      </w:r>
      <w:r w:rsidR="00907D8C">
        <w:t xml:space="preserve"> </w:t>
      </w:r>
      <w:r w:rsidRPr="00036FAC">
        <w:t>then</w:t>
      </w:r>
      <w:r w:rsidR="00907D8C">
        <w:t xml:space="preserve"> </w:t>
      </w:r>
      <w:r w:rsidRPr="00036FAC">
        <w:t>fell</w:t>
      </w:r>
      <w:r w:rsidR="00907D8C">
        <w:t xml:space="preserve"> </w:t>
      </w:r>
      <w:r w:rsidRPr="00036FAC">
        <w:t>slightly</w:t>
      </w:r>
      <w:r w:rsidR="00907D8C">
        <w:t xml:space="preserve"> </w:t>
      </w:r>
      <w:r w:rsidRPr="00036FAC">
        <w:t>to</w:t>
      </w:r>
      <w:r w:rsidR="00907D8C">
        <w:t xml:space="preserve"> </w:t>
      </w:r>
      <w:r w:rsidRPr="00036FAC">
        <w:t>79.6</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2008</w:t>
      </w:r>
      <w:r w:rsidR="00907D8C">
        <w:t xml:space="preserve"> </w:t>
      </w:r>
      <w:r w:rsidRPr="00036FAC">
        <w:t>and</w:t>
      </w:r>
      <w:r w:rsidR="00907D8C">
        <w:t xml:space="preserve"> </w:t>
      </w:r>
      <w:r w:rsidRPr="00036FAC">
        <w:t>79.1</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r w:rsidR="00907D8C">
        <w:t xml:space="preserve"> </w:t>
      </w:r>
      <w:r w:rsidRPr="00036FAC">
        <w:t>The</w:t>
      </w:r>
      <w:r w:rsidR="00907D8C">
        <w:t xml:space="preserve"> </w:t>
      </w:r>
      <w:r w:rsidRPr="00036FAC">
        <w:t>European</w:t>
      </w:r>
      <w:r w:rsidR="00907D8C">
        <w:t xml:space="preserve"> </w:t>
      </w:r>
      <w:r w:rsidRPr="00036FAC">
        <w:t>employment</w:t>
      </w:r>
      <w:r w:rsidR="00907D8C">
        <w:t xml:space="preserve"> </w:t>
      </w:r>
      <w:r w:rsidRPr="00036FAC">
        <w:t>rate</w:t>
      </w:r>
      <w:r w:rsidR="00907D8C">
        <w:t xml:space="preserve"> </w:t>
      </w:r>
      <w:r w:rsidRPr="00036FAC">
        <w:t>had</w:t>
      </w:r>
      <w:r w:rsidR="00907D8C">
        <w:t xml:space="preserve"> </w:t>
      </w:r>
      <w:r w:rsidRPr="00036FAC">
        <w:t>surpassed</w:t>
      </w:r>
      <w:r w:rsidR="00907D8C">
        <w:t xml:space="preserve"> </w:t>
      </w:r>
      <w:r w:rsidRPr="00036FAC">
        <w:t>the</w:t>
      </w:r>
      <w:r w:rsidR="00907D8C">
        <w:t xml:space="preserve"> </w:t>
      </w:r>
      <w:r w:rsidRPr="00036FAC">
        <w:t>level</w:t>
      </w:r>
      <w:r w:rsidR="00907D8C">
        <w:t xml:space="preserve"> </w:t>
      </w:r>
      <w:r w:rsidRPr="00036FAC">
        <w:t>of</w:t>
      </w:r>
      <w:r w:rsidR="00907D8C">
        <w:t xml:space="preserve"> </w:t>
      </w:r>
      <w:r w:rsidRPr="00036FAC">
        <w:t>the</w:t>
      </w:r>
      <w:r w:rsidR="00907D8C">
        <w:t xml:space="preserve"> </w:t>
      </w:r>
      <w:r w:rsidRPr="00036FAC">
        <w:t>mid-1980s</w:t>
      </w:r>
      <w:r w:rsidR="00907D8C">
        <w:t xml:space="preserve"> </w:t>
      </w:r>
      <w:r w:rsidRPr="00036FAC">
        <w:t>(73.8</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1987)</w:t>
      </w:r>
      <w:r w:rsidR="00907D8C">
        <w:t xml:space="preserve"> </w:t>
      </w:r>
      <w:r w:rsidRPr="00036FAC">
        <w:t>by</w:t>
      </w:r>
      <w:r w:rsidR="00907D8C">
        <w:t xml:space="preserve"> </w:t>
      </w:r>
      <w:r w:rsidRPr="00036FAC">
        <w:t>the</w:t>
      </w:r>
      <w:r w:rsidR="00907D8C">
        <w:t xml:space="preserve"> </w:t>
      </w:r>
      <w:r w:rsidRPr="00036FAC">
        <w:t>mid-1990s.</w:t>
      </w:r>
      <w:r w:rsidR="00907D8C">
        <w:t xml:space="preserve"> </w:t>
      </w:r>
      <w:r w:rsidRPr="00036FAC">
        <w:t>The</w:t>
      </w:r>
      <w:r w:rsidR="00907D8C">
        <w:t xml:space="preserve"> </w:t>
      </w:r>
      <w:r w:rsidRPr="00036FAC">
        <w:t>employment</w:t>
      </w:r>
      <w:r w:rsidR="00907D8C">
        <w:t xml:space="preserve"> </w:t>
      </w:r>
      <w:r w:rsidRPr="00036FAC">
        <w:t>rate</w:t>
      </w:r>
      <w:r w:rsidR="00907D8C">
        <w:t xml:space="preserve"> </w:t>
      </w:r>
      <w:r w:rsidRPr="00036FAC">
        <w:t>for</w:t>
      </w:r>
      <w:r w:rsidR="00907D8C">
        <w:t xml:space="preserve"> </w:t>
      </w:r>
      <w:r w:rsidRPr="00036FAC">
        <w:t>the</w:t>
      </w:r>
      <w:r w:rsidR="00907D8C">
        <w:t xml:space="preserve"> </w:t>
      </w:r>
      <w:r w:rsidRPr="00036FAC">
        <w:t>Other</w:t>
      </w:r>
      <w:r w:rsidR="00907D8C">
        <w:t xml:space="preserve"> </w:t>
      </w:r>
      <w:r w:rsidRPr="00036FAC">
        <w:t>(including</w:t>
      </w:r>
      <w:r w:rsidR="00907D8C">
        <w:t xml:space="preserve"> </w:t>
      </w:r>
      <w:r w:rsidRPr="00036FAC">
        <w:t>Asian)</w:t>
      </w:r>
      <w:r w:rsidR="00907D8C">
        <w:t xml:space="preserve"> </w:t>
      </w:r>
      <w:r w:rsidRPr="00036FAC">
        <w:t>ethnic</w:t>
      </w:r>
      <w:r w:rsidR="00907D8C">
        <w:t xml:space="preserve"> </w:t>
      </w:r>
      <w:r w:rsidRPr="00036FAC">
        <w:t>group,</w:t>
      </w:r>
      <w:r w:rsidR="00907D8C">
        <w:t xml:space="preserve"> </w:t>
      </w:r>
      <w:r w:rsidRPr="00036FAC">
        <w:t>which</w:t>
      </w:r>
      <w:r w:rsidR="00907D8C">
        <w:t xml:space="preserve"> </w:t>
      </w:r>
      <w:r w:rsidRPr="00036FAC">
        <w:t>includes</w:t>
      </w:r>
      <w:r w:rsidR="00907D8C">
        <w:t xml:space="preserve"> </w:t>
      </w:r>
      <w:r w:rsidRPr="00036FAC">
        <w:t>many</w:t>
      </w:r>
      <w:r w:rsidR="00907D8C">
        <w:t xml:space="preserve"> </w:t>
      </w:r>
      <w:r w:rsidRPr="00036FAC">
        <w:t>new</w:t>
      </w:r>
      <w:r w:rsidR="00907D8C">
        <w:t xml:space="preserve"> </w:t>
      </w:r>
      <w:r w:rsidRPr="00036FAC">
        <w:t>migrants,</w:t>
      </w:r>
      <w:r w:rsidR="00907D8C">
        <w:t xml:space="preserve"> </w:t>
      </w:r>
      <w:r w:rsidRPr="00036FAC">
        <w:t>has</w:t>
      </w:r>
      <w:r w:rsidR="00907D8C">
        <w:t xml:space="preserve"> </w:t>
      </w:r>
      <w:r w:rsidRPr="00036FAC">
        <w:t>shown</w:t>
      </w:r>
      <w:r w:rsidR="00907D8C">
        <w:t xml:space="preserve"> </w:t>
      </w:r>
      <w:r w:rsidRPr="00036FAC">
        <w:t>the</w:t>
      </w:r>
      <w:r w:rsidR="00907D8C">
        <w:t xml:space="preserve"> </w:t>
      </w:r>
      <w:r w:rsidRPr="00036FAC">
        <w:t>most</w:t>
      </w:r>
      <w:r w:rsidR="00907D8C">
        <w:t xml:space="preserve"> </w:t>
      </w:r>
      <w:r w:rsidRPr="00036FAC">
        <w:t>change</w:t>
      </w:r>
      <w:r w:rsidR="00907D8C">
        <w:t xml:space="preserve"> </w:t>
      </w:r>
      <w:r w:rsidRPr="00036FAC">
        <w:t>over</w:t>
      </w:r>
      <w:r w:rsidR="00907D8C">
        <w:t xml:space="preserve"> </w:t>
      </w:r>
      <w:r w:rsidRPr="00036FAC">
        <w:t>the</w:t>
      </w:r>
      <w:r w:rsidR="00907D8C">
        <w:t xml:space="preserve"> </w:t>
      </w:r>
      <w:r w:rsidRPr="00036FAC">
        <w:t>period,</w:t>
      </w:r>
      <w:r w:rsidR="00907D8C">
        <w:t xml:space="preserve"> </w:t>
      </w:r>
      <w:r w:rsidRPr="00036FAC">
        <w:t>falling</w:t>
      </w:r>
      <w:r w:rsidR="00907D8C">
        <w:t xml:space="preserve"> </w:t>
      </w:r>
      <w:r w:rsidRPr="00036FAC">
        <w:t>from</w:t>
      </w:r>
      <w:r w:rsidR="00907D8C">
        <w:t xml:space="preserve"> </w:t>
      </w:r>
      <w:r w:rsidRPr="00036FAC">
        <w:t>the</w:t>
      </w:r>
      <w:r w:rsidR="00907D8C">
        <w:t xml:space="preserve"> </w:t>
      </w:r>
      <w:r w:rsidRPr="00036FAC">
        <w:t>second</w:t>
      </w:r>
      <w:r w:rsidR="00907D8C">
        <w:t xml:space="preserve"> </w:t>
      </w:r>
      <w:r w:rsidRPr="00036FAC">
        <w:t>highest</w:t>
      </w:r>
      <w:r w:rsidR="00907D8C">
        <w:t xml:space="preserve"> </w:t>
      </w:r>
      <w:r w:rsidRPr="00036FAC">
        <w:t>in</w:t>
      </w:r>
      <w:r w:rsidR="00907D8C">
        <w:t xml:space="preserve"> </w:t>
      </w:r>
      <w:r w:rsidRPr="00036FAC">
        <w:t>the</w:t>
      </w:r>
      <w:r w:rsidR="00907D8C">
        <w:t xml:space="preserve"> </w:t>
      </w:r>
      <w:r w:rsidR="003E4D94">
        <w:t>late-</w:t>
      </w:r>
      <w:r w:rsidRPr="00036FAC">
        <w:t>1980s</w:t>
      </w:r>
      <w:r w:rsidR="00907D8C">
        <w:t xml:space="preserve"> </w:t>
      </w:r>
      <w:r w:rsidRPr="00036FAC">
        <w:t>to</w:t>
      </w:r>
      <w:r w:rsidR="00907D8C">
        <w:t xml:space="preserve"> </w:t>
      </w:r>
      <w:r w:rsidRPr="00036FAC">
        <w:t>the</w:t>
      </w:r>
      <w:r w:rsidR="00907D8C">
        <w:t xml:space="preserve"> </w:t>
      </w:r>
      <w:r w:rsidRPr="00036FAC">
        <w:t>lowest</w:t>
      </w:r>
      <w:r w:rsidR="00907D8C">
        <w:t xml:space="preserve"> </w:t>
      </w:r>
      <w:r w:rsidRPr="00036FAC">
        <w:t>over</w:t>
      </w:r>
      <w:r w:rsidR="00907D8C">
        <w:t xml:space="preserve"> </w:t>
      </w:r>
      <w:r w:rsidRPr="00036FAC">
        <w:t>the</w:t>
      </w:r>
      <w:r w:rsidR="00907D8C">
        <w:t xml:space="preserve"> </w:t>
      </w:r>
      <w:r w:rsidRPr="00036FAC">
        <w:t>decade</w:t>
      </w:r>
      <w:r w:rsidR="00907D8C">
        <w:t xml:space="preserve"> </w:t>
      </w:r>
      <w:r w:rsidRPr="00036FAC">
        <w:t>to</w:t>
      </w:r>
      <w:r w:rsidR="00907D8C">
        <w:t xml:space="preserve"> </w:t>
      </w:r>
      <w:r w:rsidRPr="00036FAC">
        <w:t>2006.</w:t>
      </w:r>
      <w:r w:rsidR="00907D8C">
        <w:t xml:space="preserve"> </w:t>
      </w:r>
      <w:r w:rsidRPr="00036FAC">
        <w:t>Faster</w:t>
      </w:r>
      <w:r w:rsidR="00907D8C">
        <w:t xml:space="preserve"> </w:t>
      </w:r>
      <w:r w:rsidRPr="00036FAC">
        <w:t>growth</w:t>
      </w:r>
      <w:r w:rsidR="00907D8C">
        <w:t xml:space="preserve"> </w:t>
      </w:r>
      <w:r w:rsidRPr="00036FAC">
        <w:t>in</w:t>
      </w:r>
      <w:r w:rsidR="00907D8C">
        <w:t xml:space="preserve"> </w:t>
      </w:r>
      <w:r w:rsidRPr="00036FAC">
        <w:t>employment</w:t>
      </w:r>
      <w:r w:rsidR="00907D8C">
        <w:t xml:space="preserve"> </w:t>
      </w:r>
      <w:r w:rsidRPr="00036FAC">
        <w:t>from</w:t>
      </w:r>
      <w:r w:rsidR="00907D8C">
        <w:t xml:space="preserve"> </w:t>
      </w:r>
      <w:r w:rsidRPr="00036FAC">
        <w:t>2003</w:t>
      </w:r>
      <w:r w:rsidR="00907D8C">
        <w:t xml:space="preserve"> </w:t>
      </w:r>
      <w:r w:rsidRPr="00036FAC">
        <w:t>to</w:t>
      </w:r>
      <w:r w:rsidR="00907D8C">
        <w:t xml:space="preserve"> </w:t>
      </w:r>
      <w:r w:rsidRPr="00036FAC">
        <w:t>2007</w:t>
      </w:r>
      <w:r w:rsidR="00907D8C">
        <w:t xml:space="preserve"> </w:t>
      </w:r>
      <w:r w:rsidRPr="00036FAC">
        <w:t>saw</w:t>
      </w:r>
      <w:r w:rsidR="00907D8C">
        <w:t xml:space="preserve"> </w:t>
      </w:r>
      <w:r w:rsidRPr="00036FAC">
        <w:t>this</w:t>
      </w:r>
      <w:r w:rsidR="00907D8C">
        <w:t xml:space="preserve"> </w:t>
      </w:r>
      <w:r w:rsidRPr="00036FAC">
        <w:t>group</w:t>
      </w:r>
      <w:r w:rsidR="00907D8C">
        <w:t xml:space="preserve"> </w:t>
      </w:r>
      <w:r w:rsidRPr="00036FAC">
        <w:t>exceed</w:t>
      </w:r>
      <w:r w:rsidR="00907D8C">
        <w:t xml:space="preserve"> </w:t>
      </w:r>
      <w:r w:rsidRPr="00036FAC">
        <w:t>the</w:t>
      </w:r>
      <w:r w:rsidR="00907D8C">
        <w:t xml:space="preserve"> </w:t>
      </w:r>
      <w:r w:rsidRPr="00036FAC">
        <w:t>employment</w:t>
      </w:r>
      <w:r w:rsidR="00907D8C">
        <w:t xml:space="preserve"> </w:t>
      </w:r>
      <w:r w:rsidRPr="00036FAC">
        <w:t>rate</w:t>
      </w:r>
      <w:r w:rsidR="00907D8C">
        <w:t xml:space="preserve"> </w:t>
      </w:r>
      <w:r w:rsidRPr="00036FAC">
        <w:t>of</w:t>
      </w:r>
      <w:r w:rsidR="00907D8C">
        <w:t xml:space="preserve"> </w:t>
      </w:r>
      <w:r w:rsidRPr="00036FAC">
        <w:t>Pacific</w:t>
      </w:r>
      <w:r w:rsidR="00907D8C">
        <w:t xml:space="preserve"> </w:t>
      </w:r>
      <w:r w:rsidRPr="00036FAC">
        <w:t>peoples.</w:t>
      </w:r>
      <w:r w:rsidR="00907D8C">
        <w:t xml:space="preserve"> </w:t>
      </w:r>
      <w:r w:rsidRPr="00036FAC">
        <w:t>The</w:t>
      </w:r>
      <w:r w:rsidR="00907D8C">
        <w:t xml:space="preserve"> </w:t>
      </w:r>
      <w:r w:rsidRPr="00036FAC">
        <w:t>Other</w:t>
      </w:r>
      <w:r w:rsidR="00907D8C">
        <w:t xml:space="preserve"> </w:t>
      </w:r>
      <w:r w:rsidRPr="00036FAC">
        <w:t>employment</w:t>
      </w:r>
      <w:r w:rsidR="00907D8C">
        <w:t xml:space="preserve"> </w:t>
      </w:r>
      <w:r w:rsidRPr="00036FAC">
        <w:t>rate,</w:t>
      </w:r>
      <w:r w:rsidR="00907D8C">
        <w:t xml:space="preserve"> </w:t>
      </w:r>
      <w:r w:rsidRPr="00036FAC">
        <w:t>like</w:t>
      </w:r>
      <w:r w:rsidR="00907D8C">
        <w:t xml:space="preserve"> </w:t>
      </w:r>
      <w:r w:rsidRPr="00036FAC">
        <w:t>that</w:t>
      </w:r>
      <w:r w:rsidR="00907D8C">
        <w:t xml:space="preserve"> </w:t>
      </w:r>
      <w:r w:rsidRPr="00036FAC">
        <w:t>of</w:t>
      </w:r>
      <w:r w:rsidR="00907D8C">
        <w:t xml:space="preserve"> </w:t>
      </w:r>
      <w:r w:rsidRPr="00036FAC">
        <w:t>Māori,</w:t>
      </w:r>
      <w:r w:rsidR="00907D8C">
        <w:t xml:space="preserve"> </w:t>
      </w:r>
      <w:r w:rsidRPr="00036FAC">
        <w:t>has</w:t>
      </w:r>
      <w:r w:rsidR="00907D8C">
        <w:t xml:space="preserve"> </w:t>
      </w:r>
      <w:r w:rsidRPr="00036FAC">
        <w:t>continued</w:t>
      </w:r>
      <w:r w:rsidR="00907D8C">
        <w:t xml:space="preserve"> </w:t>
      </w:r>
      <w:r w:rsidRPr="00036FAC">
        <w:t>to</w:t>
      </w:r>
      <w:r w:rsidR="00907D8C">
        <w:t xml:space="preserve"> </w:t>
      </w:r>
      <w:r w:rsidRPr="00036FAC">
        <w:t>increase,</w:t>
      </w:r>
      <w:r w:rsidR="00907D8C">
        <w:t xml:space="preserve"> </w:t>
      </w:r>
      <w:r w:rsidRPr="00036FAC">
        <w:t>from</w:t>
      </w:r>
      <w:r w:rsidR="00907D8C">
        <w:t xml:space="preserve"> </w:t>
      </w:r>
      <w:r w:rsidRPr="00036FAC">
        <w:t>64.4</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year</w:t>
      </w:r>
      <w:r w:rsidR="00907D8C">
        <w:t xml:space="preserve"> </w:t>
      </w:r>
      <w:r w:rsidRPr="00036FAC">
        <w:t>ended</w:t>
      </w:r>
      <w:r w:rsidR="00907D8C">
        <w:t xml:space="preserve"> </w:t>
      </w:r>
      <w:r w:rsidRPr="00036FAC">
        <w:t>March</w:t>
      </w:r>
      <w:r w:rsidR="00907D8C">
        <w:t xml:space="preserve"> </w:t>
      </w:r>
      <w:r w:rsidRPr="00036FAC">
        <w:t>2008</w:t>
      </w:r>
      <w:r w:rsidR="00907D8C">
        <w:t xml:space="preserve"> </w:t>
      </w:r>
      <w:r w:rsidRPr="00036FAC">
        <w:t>to</w:t>
      </w:r>
      <w:r w:rsidR="00907D8C">
        <w:t xml:space="preserve"> </w:t>
      </w:r>
      <w:r w:rsidRPr="00036FAC">
        <w:t>65.0</w:t>
      </w:r>
      <w:r w:rsidR="00907D8C">
        <w:t xml:space="preserve"> </w:t>
      </w:r>
      <w:r w:rsidR="001B201B">
        <w:t>per</w:t>
      </w:r>
      <w:r w:rsidR="00907D8C">
        <w:t xml:space="preserve"> </w:t>
      </w:r>
      <w:r w:rsidR="001B201B">
        <w:t>cent</w:t>
      </w:r>
      <w:r w:rsidR="00907D8C">
        <w:t xml:space="preserve"> </w:t>
      </w:r>
      <w:r w:rsidR="002C3A48">
        <w:t>in</w:t>
      </w:r>
      <w:r w:rsidR="00907D8C">
        <w:t xml:space="preserve"> </w:t>
      </w:r>
      <w:r w:rsidR="002C3A48">
        <w:t>the</w:t>
      </w:r>
      <w:r w:rsidR="00907D8C">
        <w:t xml:space="preserve"> </w:t>
      </w:r>
      <w:r w:rsidR="002C3A48">
        <w:t>year</w:t>
      </w:r>
      <w:r w:rsidR="00907D8C">
        <w:t xml:space="preserve"> </w:t>
      </w:r>
      <w:r w:rsidR="002C3A48">
        <w:t>ended</w:t>
      </w:r>
      <w:r w:rsidR="00907D8C">
        <w:t xml:space="preserve"> </w:t>
      </w:r>
      <w:r w:rsidR="002C3A48">
        <w:t>March</w:t>
      </w:r>
      <w:r w:rsidR="00907D8C">
        <w:t xml:space="preserve"> </w:t>
      </w:r>
      <w:r w:rsidR="002C3A48">
        <w:t>2009.</w:t>
      </w:r>
    </w:p>
    <w:p w:rsidR="002C3A48" w:rsidRDefault="002C3A48" w:rsidP="002C3A48">
      <w:pPr>
        <w:pStyle w:val="Heading1"/>
      </w:pPr>
      <w:bookmarkStart w:id="42" w:name="_Toc275331916"/>
      <w:r>
        <w:t>Table</w:t>
      </w:r>
      <w:r w:rsidR="00907D8C">
        <w:t xml:space="preserve"> </w:t>
      </w:r>
      <w:r>
        <w:t>15</w:t>
      </w:r>
    </w:p>
    <w:p w:rsidR="00036FAC" w:rsidRPr="002C3A48" w:rsidRDefault="00036FAC" w:rsidP="002C3A48">
      <w:pPr>
        <w:pStyle w:val="SingleTxtG"/>
        <w:rPr>
          <w:b/>
        </w:rPr>
      </w:pPr>
      <w:r w:rsidRPr="002C3A48">
        <w:rPr>
          <w:b/>
        </w:rPr>
        <w:t>Employment</w:t>
      </w:r>
      <w:r w:rsidR="00907D8C">
        <w:rPr>
          <w:b/>
        </w:rPr>
        <w:t xml:space="preserve"> </w:t>
      </w:r>
      <w:r w:rsidRPr="002C3A48">
        <w:rPr>
          <w:b/>
        </w:rPr>
        <w:t>rate,</w:t>
      </w:r>
      <w:r w:rsidR="00907D8C">
        <w:rPr>
          <w:b/>
        </w:rPr>
        <w:t xml:space="preserve"> </w:t>
      </w:r>
      <w:r w:rsidRPr="002C3A48">
        <w:rPr>
          <w:b/>
        </w:rPr>
        <w:t>by</w:t>
      </w:r>
      <w:r w:rsidR="00907D8C">
        <w:rPr>
          <w:b/>
        </w:rPr>
        <w:t xml:space="preserve"> </w:t>
      </w:r>
      <w:r w:rsidRPr="002C3A48">
        <w:rPr>
          <w:b/>
        </w:rPr>
        <w:t>ethnic</w:t>
      </w:r>
      <w:r w:rsidR="00907D8C">
        <w:rPr>
          <w:b/>
        </w:rPr>
        <w:t xml:space="preserve"> </w:t>
      </w:r>
      <w:r w:rsidRPr="002C3A48">
        <w:rPr>
          <w:b/>
        </w:rPr>
        <w:t>group,</w:t>
      </w:r>
      <w:r w:rsidR="00907D8C">
        <w:rPr>
          <w:b/>
        </w:rPr>
        <w:t xml:space="preserve"> </w:t>
      </w:r>
      <w:r w:rsidRPr="002C3A48">
        <w:rPr>
          <w:b/>
        </w:rPr>
        <w:t>1987–2009</w:t>
      </w:r>
      <w:bookmarkEnd w:id="42"/>
    </w:p>
    <w:p w:rsidR="00036FAC" w:rsidRPr="00036FAC" w:rsidRDefault="00036FAC" w:rsidP="002C3A48">
      <w:pPr>
        <w:tabs>
          <w:tab w:val="right" w:pos="850"/>
          <w:tab w:val="left" w:pos="1134"/>
          <w:tab w:val="left" w:pos="1559"/>
          <w:tab w:val="left" w:pos="1984"/>
          <w:tab w:val="left" w:leader="dot" w:pos="7654"/>
          <w:tab w:val="right" w:pos="8929"/>
          <w:tab w:val="right" w:pos="9638"/>
        </w:tabs>
        <w:spacing w:after="120"/>
        <w:ind w:left="1100"/>
      </w:pPr>
      <w:r w:rsidRPr="00036FAC">
        <w:pict>
          <v:shape id="_x0000_i1029" type="#_x0000_t75" style="width:399.75pt;height:195.75pt">
            <v:imagedata r:id="rId11" o:title=""/>
          </v:shape>
        </w:pict>
      </w:r>
    </w:p>
    <w:p w:rsidR="00036FAC" w:rsidRPr="007C016E" w:rsidRDefault="00036FAC" w:rsidP="00B50FB5">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2C3A48" w:rsidRPr="007C016E">
        <w:rPr>
          <w:sz w:val="18"/>
          <w:szCs w:val="18"/>
        </w:rPr>
        <w:t>,</w:t>
      </w:r>
      <w:r w:rsidR="00907D8C">
        <w:rPr>
          <w:sz w:val="18"/>
          <w:szCs w:val="18"/>
        </w:rPr>
        <w:t xml:space="preserve"> </w:t>
      </w:r>
      <w:r w:rsidR="002C3A48" w:rsidRPr="007C016E">
        <w:rPr>
          <w:sz w:val="18"/>
          <w:szCs w:val="18"/>
        </w:rPr>
        <w:t>Household</w:t>
      </w:r>
      <w:r w:rsidR="00907D8C">
        <w:rPr>
          <w:sz w:val="18"/>
          <w:szCs w:val="18"/>
        </w:rPr>
        <w:t xml:space="preserve"> </w:t>
      </w:r>
      <w:r w:rsidR="002C3A48" w:rsidRPr="007C016E">
        <w:rPr>
          <w:sz w:val="18"/>
          <w:szCs w:val="18"/>
        </w:rPr>
        <w:t>Labour</w:t>
      </w:r>
      <w:r w:rsidR="00907D8C">
        <w:rPr>
          <w:sz w:val="18"/>
          <w:szCs w:val="18"/>
        </w:rPr>
        <w:t xml:space="preserve"> </w:t>
      </w:r>
      <w:r w:rsidR="002C3A48" w:rsidRPr="007C016E">
        <w:rPr>
          <w:sz w:val="18"/>
          <w:szCs w:val="18"/>
        </w:rPr>
        <w:t>Force</w:t>
      </w:r>
      <w:r w:rsidR="00907D8C">
        <w:rPr>
          <w:sz w:val="18"/>
          <w:szCs w:val="18"/>
        </w:rPr>
        <w:t xml:space="preserve"> </w:t>
      </w:r>
      <w:r w:rsidR="002C3A48" w:rsidRPr="007C016E">
        <w:rPr>
          <w:sz w:val="18"/>
          <w:szCs w:val="18"/>
        </w:rPr>
        <w:t>Survey.</w:t>
      </w:r>
    </w:p>
    <w:p w:rsidR="00036FAC" w:rsidRPr="007C016E" w:rsidRDefault="00036FAC" w:rsidP="007C016E">
      <w:pPr>
        <w:spacing w:after="240"/>
        <w:ind w:left="1134" w:right="1134" w:firstLine="170"/>
        <w:rPr>
          <w:sz w:val="18"/>
          <w:szCs w:val="18"/>
        </w:rPr>
      </w:pPr>
      <w:r w:rsidRPr="007C016E">
        <w:rPr>
          <w:i/>
          <w:sz w:val="18"/>
          <w:szCs w:val="18"/>
        </w:rPr>
        <w:t>Note</w:t>
      </w:r>
      <w:r w:rsidRPr="007C016E">
        <w:rPr>
          <w:sz w:val="18"/>
          <w:szCs w:val="18"/>
        </w:rPr>
        <w:t>:</w:t>
      </w:r>
      <w:r w:rsidR="00907D8C">
        <w:rPr>
          <w:sz w:val="18"/>
          <w:szCs w:val="18"/>
        </w:rPr>
        <w:t xml:space="preserve">  </w:t>
      </w:r>
      <w:r w:rsidRPr="007C016E">
        <w:rPr>
          <w:sz w:val="18"/>
          <w:szCs w:val="18"/>
        </w:rPr>
        <w:t>Based</w:t>
      </w:r>
      <w:r w:rsidR="00907D8C">
        <w:rPr>
          <w:sz w:val="18"/>
          <w:szCs w:val="18"/>
        </w:rPr>
        <w:t xml:space="preserve"> </w:t>
      </w:r>
      <w:r w:rsidRPr="007C016E">
        <w:rPr>
          <w:sz w:val="18"/>
          <w:szCs w:val="18"/>
        </w:rPr>
        <w:t>on</w:t>
      </w:r>
      <w:r w:rsidR="00907D8C">
        <w:rPr>
          <w:sz w:val="18"/>
          <w:szCs w:val="18"/>
        </w:rPr>
        <w:t xml:space="preserve"> </w:t>
      </w:r>
      <w:r w:rsidR="002C3A48" w:rsidRPr="007C016E">
        <w:rPr>
          <w:sz w:val="18"/>
          <w:szCs w:val="18"/>
        </w:rPr>
        <w:t>a</w:t>
      </w:r>
      <w:r w:rsidR="00907D8C">
        <w:rPr>
          <w:sz w:val="18"/>
          <w:szCs w:val="18"/>
        </w:rPr>
        <w:t xml:space="preserve"> </w:t>
      </w:r>
      <w:r w:rsidR="002C3A48" w:rsidRPr="007C016E">
        <w:rPr>
          <w:sz w:val="18"/>
          <w:szCs w:val="18"/>
        </w:rPr>
        <w:t>population</w:t>
      </w:r>
      <w:r w:rsidR="00907D8C">
        <w:rPr>
          <w:sz w:val="18"/>
          <w:szCs w:val="18"/>
        </w:rPr>
        <w:t xml:space="preserve"> </w:t>
      </w:r>
      <w:r w:rsidR="002C3A48" w:rsidRPr="007C016E">
        <w:rPr>
          <w:sz w:val="18"/>
          <w:szCs w:val="18"/>
        </w:rPr>
        <w:t>aged</w:t>
      </w:r>
      <w:r w:rsidR="00907D8C">
        <w:rPr>
          <w:sz w:val="18"/>
          <w:szCs w:val="18"/>
        </w:rPr>
        <w:t xml:space="preserve"> </w:t>
      </w:r>
      <w:r w:rsidR="002C3A48" w:rsidRPr="007C016E">
        <w:rPr>
          <w:sz w:val="18"/>
          <w:szCs w:val="18"/>
        </w:rPr>
        <w:t>15–64</w:t>
      </w:r>
      <w:r w:rsidR="00907D8C">
        <w:rPr>
          <w:sz w:val="18"/>
          <w:szCs w:val="18"/>
        </w:rPr>
        <w:t xml:space="preserve"> </w:t>
      </w:r>
      <w:r w:rsidR="002C3A48" w:rsidRPr="007C016E">
        <w:rPr>
          <w:sz w:val="18"/>
          <w:szCs w:val="18"/>
        </w:rPr>
        <w:t>years.</w:t>
      </w:r>
    </w:p>
    <w:p w:rsidR="00036FAC" w:rsidRPr="00036FAC" w:rsidRDefault="00036FAC" w:rsidP="006C436C">
      <w:pPr>
        <w:pStyle w:val="H23G"/>
      </w:pPr>
      <w:r w:rsidRPr="00036FAC">
        <w:tab/>
        <w:t>(c)</w:t>
      </w:r>
      <w:r w:rsidRPr="00036FAC">
        <w:tab/>
        <w:t>International</w:t>
      </w:r>
      <w:r w:rsidR="00907D8C">
        <w:t xml:space="preserve"> </w:t>
      </w:r>
      <w:r w:rsidRPr="00036FAC">
        <w:t>comparison</w:t>
      </w:r>
    </w:p>
    <w:p w:rsidR="00036FAC" w:rsidRPr="00036FAC" w:rsidRDefault="00036FAC" w:rsidP="002C3A48">
      <w:pPr>
        <w:pStyle w:val="SingleTxtG"/>
      </w:pPr>
      <w:r w:rsidRPr="00036FAC">
        <w:t>57.</w:t>
      </w:r>
      <w:r w:rsidRPr="00036FAC">
        <w:tab/>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December</w:t>
      </w:r>
      <w:r w:rsidR="00907D8C">
        <w:t xml:space="preserve"> </w:t>
      </w:r>
      <w:r w:rsidRPr="00036FAC">
        <w:t>2008,</w:t>
      </w:r>
      <w:r w:rsidR="00907D8C">
        <w:t xml:space="preserve"> </w:t>
      </w:r>
      <w:r w:rsidRPr="00036FAC">
        <w:t>New</w:t>
      </w:r>
      <w:r w:rsidR="00907D8C">
        <w:t xml:space="preserve"> </w:t>
      </w:r>
      <w:r w:rsidRPr="00036FAC">
        <w:t>Zealand</w:t>
      </w:r>
      <w:r w:rsidR="00907D8C">
        <w:t xml:space="preserve"> </w:t>
      </w:r>
      <w:r w:rsidRPr="00036FAC">
        <w:t>was</w:t>
      </w:r>
      <w:r w:rsidR="00907D8C">
        <w:t xml:space="preserve"> </w:t>
      </w:r>
      <w:r w:rsidRPr="00036FAC">
        <w:t>ranked</w:t>
      </w:r>
      <w:r w:rsidR="00907D8C">
        <w:t xml:space="preserve"> </w:t>
      </w:r>
      <w:r w:rsidRPr="00036FAC">
        <w:t>seventh</w:t>
      </w:r>
      <w:r w:rsidR="00907D8C">
        <w:t xml:space="preserve"> </w:t>
      </w:r>
      <w:r w:rsidRPr="00036FAC">
        <w:t>highest</w:t>
      </w:r>
      <w:r w:rsidR="00907D8C">
        <w:t xml:space="preserve"> </w:t>
      </w:r>
      <w:r w:rsidRPr="00036FAC">
        <w:t>of</w:t>
      </w:r>
      <w:r w:rsidR="00907D8C">
        <w:t xml:space="preserve"> </w:t>
      </w:r>
      <w:r w:rsidRPr="00036FAC">
        <w:t>30</w:t>
      </w:r>
      <w:r w:rsidR="00907D8C">
        <w:t xml:space="preserve"> </w:t>
      </w:r>
      <w:r w:rsidRPr="00036FAC">
        <w:t>OECD</w:t>
      </w:r>
      <w:r w:rsidR="00907D8C">
        <w:t xml:space="preserve"> </w:t>
      </w:r>
      <w:r w:rsidRPr="00036FAC">
        <w:t>countries</w:t>
      </w:r>
      <w:r w:rsidR="00907D8C">
        <w:t xml:space="preserve"> </w:t>
      </w:r>
      <w:r w:rsidRPr="00036FAC">
        <w:t>with</w:t>
      </w:r>
      <w:r w:rsidR="00907D8C">
        <w:t xml:space="preserve"> </w:t>
      </w:r>
      <w:r w:rsidRPr="00036FAC">
        <w:t>an</w:t>
      </w:r>
      <w:r w:rsidR="00907D8C">
        <w:t xml:space="preserve"> </w:t>
      </w:r>
      <w:r w:rsidRPr="00036FAC">
        <w:t>employment</w:t>
      </w:r>
      <w:r w:rsidR="00907D8C">
        <w:t xml:space="preserve"> </w:t>
      </w:r>
      <w:r w:rsidRPr="00036FAC">
        <w:t>rate</w:t>
      </w:r>
      <w:r w:rsidR="00907D8C">
        <w:t xml:space="preserve"> </w:t>
      </w:r>
      <w:r w:rsidRPr="00036FAC">
        <w:t>of</w:t>
      </w:r>
      <w:r w:rsidR="00907D8C">
        <w:t xml:space="preserve"> </w:t>
      </w:r>
      <w:r w:rsidRPr="00036FAC">
        <w:t>74.7</w:t>
      </w:r>
      <w:r w:rsidR="00907D8C">
        <w:t xml:space="preserve"> </w:t>
      </w:r>
      <w:r w:rsidR="001B201B">
        <w:t>per</w:t>
      </w:r>
      <w:r w:rsidR="00907D8C">
        <w:t xml:space="preserve"> </w:t>
      </w:r>
      <w:r w:rsidR="001B201B">
        <w:t>cent</w:t>
      </w:r>
      <w:r w:rsidR="00907D8C">
        <w:t xml:space="preserve"> </w:t>
      </w:r>
      <w:r w:rsidRPr="00036FAC">
        <w:t>for</w:t>
      </w:r>
      <w:r w:rsidR="00907D8C">
        <w:t xml:space="preserve"> </w:t>
      </w:r>
      <w:r w:rsidRPr="00036FAC">
        <w:t>people</w:t>
      </w:r>
      <w:r w:rsidR="00907D8C">
        <w:t xml:space="preserve"> </w:t>
      </w:r>
      <w:r w:rsidRPr="00036FAC">
        <w:t>aged</w:t>
      </w:r>
      <w:r w:rsidR="00907D8C">
        <w:t xml:space="preserve"> </w:t>
      </w:r>
      <w:r w:rsidRPr="00036FAC">
        <w:t>15–64</w:t>
      </w:r>
      <w:r w:rsidR="00907D8C">
        <w:t xml:space="preserve"> </w:t>
      </w:r>
      <w:r w:rsidRPr="00036FAC">
        <w:t>years.</w:t>
      </w:r>
      <w:r w:rsidR="00907D8C">
        <w:t xml:space="preserve"> </w:t>
      </w:r>
      <w:r w:rsidRPr="00036FAC">
        <w:t>This</w:t>
      </w:r>
      <w:r w:rsidR="00907D8C">
        <w:t xml:space="preserve"> </w:t>
      </w:r>
      <w:r w:rsidRPr="00036FAC">
        <w:t>was</w:t>
      </w:r>
      <w:r w:rsidR="00907D8C">
        <w:t xml:space="preserve"> </w:t>
      </w:r>
      <w:r w:rsidRPr="00036FAC">
        <w:t>well</w:t>
      </w:r>
      <w:r w:rsidR="00907D8C">
        <w:t xml:space="preserve"> </w:t>
      </w:r>
      <w:r w:rsidRPr="00036FAC">
        <w:t>above</w:t>
      </w:r>
      <w:r w:rsidR="00907D8C">
        <w:t xml:space="preserve"> </w:t>
      </w:r>
      <w:r w:rsidRPr="00036FAC">
        <w:t>the</w:t>
      </w:r>
      <w:r w:rsidR="00907D8C">
        <w:t xml:space="preserve"> </w:t>
      </w:r>
      <w:r w:rsidRPr="00036FAC">
        <w:t>OECD</w:t>
      </w:r>
      <w:r w:rsidR="00907D8C">
        <w:t xml:space="preserve"> </w:t>
      </w:r>
      <w:r w:rsidRPr="00036FAC">
        <w:t>average</w:t>
      </w:r>
      <w:r w:rsidR="00907D8C">
        <w:t xml:space="preserve"> </w:t>
      </w:r>
      <w:r w:rsidRPr="00036FAC">
        <w:t>of</w:t>
      </w:r>
      <w:r w:rsidR="00907D8C">
        <w:t xml:space="preserve"> </w:t>
      </w:r>
      <w:r w:rsidRPr="00036FAC">
        <w:t>66.6</w:t>
      </w:r>
      <w:r w:rsidR="00907D8C">
        <w:t xml:space="preserve"> </w:t>
      </w:r>
      <w:r w:rsidR="00AE58B5">
        <w:t>per</w:t>
      </w:r>
      <w:r w:rsidR="00907D8C">
        <w:t xml:space="preserve"> </w:t>
      </w:r>
      <w:r w:rsidR="00AE58B5">
        <w:t>cent</w:t>
      </w:r>
      <w:r w:rsidR="002C3A48">
        <w:t>.</w:t>
      </w:r>
    </w:p>
    <w:p w:rsidR="00036FAC" w:rsidRPr="00036FAC" w:rsidRDefault="00036FAC" w:rsidP="002C3A48">
      <w:pPr>
        <w:pStyle w:val="SingleTxtG"/>
      </w:pPr>
      <w:r w:rsidRPr="00036FAC">
        <w:t>58.</w:t>
      </w:r>
      <w:r w:rsidRPr="00036FAC">
        <w:tab/>
        <w:t>The</w:t>
      </w:r>
      <w:r w:rsidR="00907D8C">
        <w:t xml:space="preserve"> </w:t>
      </w:r>
      <w:r w:rsidRPr="00036FAC">
        <w:t>Council</w:t>
      </w:r>
      <w:r w:rsidR="00907D8C">
        <w:t xml:space="preserve"> </w:t>
      </w:r>
      <w:r w:rsidRPr="00036FAC">
        <w:t>of</w:t>
      </w:r>
      <w:r w:rsidR="00907D8C">
        <w:t xml:space="preserve"> </w:t>
      </w:r>
      <w:r w:rsidRPr="00036FAC">
        <w:t>Trade</w:t>
      </w:r>
      <w:r w:rsidR="00907D8C">
        <w:t xml:space="preserve"> </w:t>
      </w:r>
      <w:r w:rsidRPr="00036FAC">
        <w:t>Unions</w:t>
      </w:r>
      <w:r w:rsidR="00907D8C">
        <w:t xml:space="preserve"> </w:t>
      </w:r>
      <w:r w:rsidRPr="00036FAC">
        <w:t>estimates</w:t>
      </w:r>
      <w:r w:rsidR="00907D8C">
        <w:t xml:space="preserve"> </w:t>
      </w:r>
      <w:r w:rsidRPr="00036FAC">
        <w:t>that</w:t>
      </w:r>
      <w:r w:rsidR="00907D8C">
        <w:t xml:space="preserve"> </w:t>
      </w:r>
      <w:r w:rsidRPr="00036FAC">
        <w:t>approximately</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w:t>
      </w:r>
      <w:r w:rsidR="002C3A48">
        <w:t>he</w:t>
      </w:r>
      <w:r w:rsidR="00907D8C">
        <w:t xml:space="preserve"> </w:t>
      </w:r>
      <w:r w:rsidR="002C3A48">
        <w:t>workforce</w:t>
      </w:r>
      <w:r w:rsidR="00907D8C">
        <w:t xml:space="preserve"> </w:t>
      </w:r>
      <w:r w:rsidR="002C3A48">
        <w:t>are</w:t>
      </w:r>
      <w:r w:rsidR="00907D8C">
        <w:t xml:space="preserve"> </w:t>
      </w:r>
      <w:r w:rsidR="002C3A48">
        <w:t>union</w:t>
      </w:r>
      <w:r w:rsidR="00907D8C">
        <w:t xml:space="preserve"> </w:t>
      </w:r>
      <w:r w:rsidR="002C3A48">
        <w:t>members.</w:t>
      </w:r>
    </w:p>
    <w:p w:rsidR="00036FAC" w:rsidRPr="00036FAC" w:rsidRDefault="00036FAC" w:rsidP="006C436C">
      <w:pPr>
        <w:pStyle w:val="H23G"/>
      </w:pPr>
      <w:r w:rsidRPr="00036FAC">
        <w:tab/>
        <w:t>(d)</w:t>
      </w:r>
      <w:r w:rsidRPr="00036FAC">
        <w:tab/>
        <w:t>Dependency</w:t>
      </w:r>
      <w:r w:rsidR="00907D8C">
        <w:t xml:space="preserve"> </w:t>
      </w:r>
      <w:r w:rsidRPr="00036FAC">
        <w:t>ratio</w:t>
      </w:r>
    </w:p>
    <w:p w:rsidR="00036FAC" w:rsidRPr="00036FAC" w:rsidRDefault="00036FAC" w:rsidP="002C3A48">
      <w:pPr>
        <w:pStyle w:val="SingleTxtG"/>
      </w:pPr>
      <w:r w:rsidRPr="00036FAC">
        <w:t>59.</w:t>
      </w:r>
      <w:r w:rsidRPr="00036FAC">
        <w:tab/>
        <w:t>The</w:t>
      </w:r>
      <w:r w:rsidR="00907D8C">
        <w:t xml:space="preserve"> </w:t>
      </w:r>
      <w:r w:rsidRPr="00036FAC">
        <w:t>dependency</w:t>
      </w:r>
      <w:r w:rsidR="00907D8C">
        <w:t xml:space="preserve"> </w:t>
      </w:r>
      <w:r w:rsidRPr="00036FAC">
        <w:t>ratio</w:t>
      </w:r>
      <w:r w:rsidR="00907D8C">
        <w:t xml:space="preserve"> </w:t>
      </w:r>
      <w:r w:rsidRPr="00036FAC">
        <w:t>is</w:t>
      </w:r>
      <w:r w:rsidR="00907D8C">
        <w:t xml:space="preserve"> </w:t>
      </w:r>
      <w:r w:rsidRPr="00036FAC">
        <w:t>an</w:t>
      </w:r>
      <w:r w:rsidR="00907D8C">
        <w:t xml:space="preserve"> </w:t>
      </w:r>
      <w:r w:rsidRPr="00036FAC">
        <w:t>age</w:t>
      </w:r>
      <w:r w:rsidR="00907D8C">
        <w:t xml:space="preserve"> </w:t>
      </w:r>
      <w:r w:rsidRPr="00036FAC">
        <w:t>population</w:t>
      </w:r>
      <w:r w:rsidR="00907D8C">
        <w:t xml:space="preserve"> </w:t>
      </w:r>
      <w:r w:rsidRPr="00036FAC">
        <w:t>ratio</w:t>
      </w:r>
      <w:r w:rsidR="00907D8C">
        <w:t xml:space="preserve"> </w:t>
      </w:r>
      <w:r w:rsidRPr="00036FAC">
        <w:t>of</w:t>
      </w:r>
      <w:r w:rsidR="00907D8C">
        <w:t xml:space="preserve"> </w:t>
      </w:r>
      <w:r w:rsidRPr="00036FAC">
        <w:t>those</w:t>
      </w:r>
      <w:r w:rsidR="00907D8C">
        <w:t xml:space="preserve"> </w:t>
      </w:r>
      <w:r w:rsidRPr="00036FAC">
        <w:t>typically</w:t>
      </w:r>
      <w:r w:rsidR="00907D8C">
        <w:t xml:space="preserve"> </w:t>
      </w:r>
      <w:r w:rsidRPr="00036FAC">
        <w:t>not</w:t>
      </w:r>
      <w:r w:rsidR="00907D8C">
        <w:t xml:space="preserve"> </w:t>
      </w:r>
      <w:r w:rsidRPr="00036FAC">
        <w:t>in</w:t>
      </w:r>
      <w:r w:rsidR="00907D8C">
        <w:t xml:space="preserve"> </w:t>
      </w:r>
      <w:r w:rsidRPr="00036FAC">
        <w:t>the</w:t>
      </w:r>
      <w:r w:rsidR="00907D8C">
        <w:t xml:space="preserve"> </w:t>
      </w:r>
      <w:r w:rsidRPr="00036FAC">
        <w:t>labour</w:t>
      </w:r>
      <w:r w:rsidR="00907D8C">
        <w:t xml:space="preserve"> </w:t>
      </w:r>
      <w:r w:rsidRPr="00036FAC">
        <w:t>force</w:t>
      </w:r>
      <w:r w:rsidR="00907D8C">
        <w:t xml:space="preserve"> </w:t>
      </w:r>
      <w:r w:rsidRPr="00036FAC">
        <w:t>and</w:t>
      </w:r>
      <w:r w:rsidR="00907D8C">
        <w:t xml:space="preserve"> </w:t>
      </w:r>
      <w:r w:rsidRPr="00036FAC">
        <w:t>those</w:t>
      </w:r>
      <w:r w:rsidR="00907D8C">
        <w:t xml:space="preserve"> </w:t>
      </w:r>
      <w:r w:rsidRPr="00036FAC">
        <w:t>typically</w:t>
      </w:r>
      <w:r w:rsidR="00907D8C">
        <w:t xml:space="preserve"> </w:t>
      </w:r>
      <w:r w:rsidRPr="00036FAC">
        <w:t>in</w:t>
      </w:r>
      <w:r w:rsidR="00907D8C">
        <w:t xml:space="preserve"> </w:t>
      </w:r>
      <w:r w:rsidRPr="00036FAC">
        <w:t>the</w:t>
      </w:r>
      <w:r w:rsidR="00907D8C">
        <w:t xml:space="preserve"> </w:t>
      </w:r>
      <w:r w:rsidRPr="00036FAC">
        <w:t>labour</w:t>
      </w:r>
      <w:r w:rsidR="00907D8C">
        <w:t xml:space="preserve"> </w:t>
      </w:r>
      <w:r w:rsidRPr="00036FAC">
        <w:t>force.</w:t>
      </w:r>
      <w:r w:rsidR="00907D8C">
        <w:t xml:space="preserve"> </w:t>
      </w:r>
      <w:r w:rsidRPr="00036FAC">
        <w:t>In</w:t>
      </w:r>
      <w:r w:rsidR="00907D8C">
        <w:t xml:space="preserve"> </w:t>
      </w:r>
      <w:r w:rsidRPr="00036FAC">
        <w:t>international</w:t>
      </w:r>
      <w:r w:rsidR="00907D8C">
        <w:t xml:space="preserve"> </w:t>
      </w:r>
      <w:r w:rsidRPr="00036FAC">
        <w:t>statistics,</w:t>
      </w:r>
      <w:r w:rsidR="00907D8C">
        <w:t xml:space="preserve"> </w:t>
      </w:r>
      <w:r w:rsidRPr="00036FAC">
        <w:t>the</w:t>
      </w:r>
      <w:r w:rsidR="00907D8C">
        <w:t xml:space="preserve"> </w:t>
      </w:r>
      <w:r w:rsidRPr="00036FAC">
        <w:t>ratio</w:t>
      </w:r>
      <w:r w:rsidR="00907D8C">
        <w:t xml:space="preserve"> </w:t>
      </w:r>
      <w:r w:rsidRPr="00036FAC">
        <w:t>is</w:t>
      </w:r>
      <w:r w:rsidR="00907D8C">
        <w:t xml:space="preserve"> </w:t>
      </w:r>
      <w:r w:rsidRPr="00036FAC">
        <w:t>usually</w:t>
      </w:r>
      <w:r w:rsidR="00907D8C">
        <w:t xml:space="preserve"> </w:t>
      </w:r>
      <w:r w:rsidRPr="00036FAC">
        <w:t>equal</w:t>
      </w:r>
      <w:r w:rsidR="00907D8C">
        <w:t xml:space="preserve"> </w:t>
      </w:r>
      <w:r w:rsidRPr="00036FAC">
        <w:t>to</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individuals</w:t>
      </w:r>
      <w:r w:rsidR="00907D8C">
        <w:t xml:space="preserve"> </w:t>
      </w:r>
      <w:r w:rsidRPr="00036FAC">
        <w:t>aged</w:t>
      </w:r>
      <w:r w:rsidR="00907D8C">
        <w:t xml:space="preserve"> </w:t>
      </w:r>
      <w:r w:rsidRPr="00036FAC">
        <w:t>below</w:t>
      </w:r>
      <w:r w:rsidR="00907D8C">
        <w:t xml:space="preserve"> </w:t>
      </w:r>
      <w:r w:rsidRPr="00036FAC">
        <w:t>15</w:t>
      </w:r>
      <w:r w:rsidR="00907D8C">
        <w:t xml:space="preserve"> </w:t>
      </w:r>
      <w:r w:rsidRPr="00036FAC">
        <w:t>or</w:t>
      </w:r>
      <w:r w:rsidR="00907D8C">
        <w:t xml:space="preserve"> </w:t>
      </w:r>
      <w:r w:rsidRPr="00036FAC">
        <w:t>above</w:t>
      </w:r>
      <w:r w:rsidR="00907D8C">
        <w:t xml:space="preserve"> </w:t>
      </w:r>
      <w:r w:rsidRPr="00036FAC">
        <w:t>64</w:t>
      </w:r>
      <w:r w:rsidR="00907D8C">
        <w:t xml:space="preserve"> </w:t>
      </w:r>
      <w:r w:rsidRPr="00036FAC">
        <w:t>divided</w:t>
      </w:r>
      <w:r w:rsidR="00907D8C">
        <w:t xml:space="preserve"> </w:t>
      </w:r>
      <w:r w:rsidRPr="00036FAC">
        <w:t>by</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individuals</w:t>
      </w:r>
      <w:r w:rsidR="00907D8C">
        <w:t xml:space="preserve"> </w:t>
      </w:r>
      <w:r w:rsidRPr="00036FAC">
        <w:t>aged</w:t>
      </w:r>
      <w:r w:rsidR="00907D8C">
        <w:t xml:space="preserve"> </w:t>
      </w:r>
      <w:r w:rsidRPr="00036FAC">
        <w:t>15</w:t>
      </w:r>
      <w:r w:rsidR="002C3A48">
        <w:t>–</w:t>
      </w:r>
      <w:r w:rsidRPr="00036FAC">
        <w:t>64</w:t>
      </w:r>
      <w:r w:rsidR="00907D8C">
        <w:t xml:space="preserve"> </w:t>
      </w:r>
      <w:r w:rsidRPr="00036FAC">
        <w:t>expressed</w:t>
      </w:r>
      <w:r w:rsidR="00907D8C">
        <w:t xml:space="preserve"> </w:t>
      </w:r>
      <w:r w:rsidRPr="00036FAC">
        <w:t>as</w:t>
      </w:r>
      <w:r w:rsidR="00907D8C">
        <w:t xml:space="preserve"> </w:t>
      </w:r>
      <w:r w:rsidRPr="00036FAC">
        <w:t>a</w:t>
      </w:r>
      <w:r w:rsidR="00907D8C">
        <w:t xml:space="preserve"> </w:t>
      </w:r>
      <w:r w:rsidR="002C3A48">
        <w:t>perc</w:t>
      </w:r>
      <w:r w:rsidR="00AE58B5">
        <w:t>ent</w:t>
      </w:r>
      <w:r w:rsidRPr="00036FAC">
        <w:t>age.</w:t>
      </w:r>
      <w:r w:rsidR="00907D8C">
        <w:t xml:space="preserve"> </w:t>
      </w:r>
      <w:r w:rsidRPr="00036FAC">
        <w:t>An</w:t>
      </w:r>
      <w:r w:rsidR="00907D8C">
        <w:t xml:space="preserve"> </w:t>
      </w:r>
      <w:r w:rsidRPr="00036FAC">
        <w:t>increasingly</w:t>
      </w:r>
      <w:r w:rsidR="00907D8C">
        <w:t xml:space="preserve"> </w:t>
      </w:r>
      <w:r w:rsidRPr="00036FAC">
        <w:t>high</w:t>
      </w:r>
      <w:r w:rsidR="00907D8C">
        <w:t xml:space="preserve"> </w:t>
      </w:r>
      <w:r w:rsidRPr="00036FAC">
        <w:t>ratio</w:t>
      </w:r>
      <w:r w:rsidR="00907D8C">
        <w:t xml:space="preserve"> </w:t>
      </w:r>
      <w:r w:rsidRPr="00036FAC">
        <w:t>means</w:t>
      </w:r>
      <w:r w:rsidR="00907D8C">
        <w:t xml:space="preserve"> </w:t>
      </w:r>
      <w:r w:rsidRPr="00036FAC">
        <w:t>the</w:t>
      </w:r>
      <w:r w:rsidR="00907D8C">
        <w:t xml:space="preserve"> </w:t>
      </w:r>
      <w:r w:rsidRPr="00036FAC">
        <w:t>economy</w:t>
      </w:r>
      <w:r w:rsidR="00907D8C">
        <w:t xml:space="preserve"> </w:t>
      </w:r>
      <w:r w:rsidRPr="00036FAC">
        <w:t>faces</w:t>
      </w:r>
      <w:r w:rsidR="00907D8C">
        <w:t xml:space="preserve"> </w:t>
      </w:r>
      <w:r w:rsidRPr="00036FAC">
        <w:t>a</w:t>
      </w:r>
      <w:r w:rsidR="00907D8C">
        <w:t xml:space="preserve"> </w:t>
      </w:r>
      <w:r w:rsidRPr="00036FAC">
        <w:t>greater</w:t>
      </w:r>
      <w:r w:rsidR="00907D8C">
        <w:t xml:space="preserve"> </w:t>
      </w:r>
      <w:r w:rsidRPr="00036FAC">
        <w:t>burden</w:t>
      </w:r>
      <w:r w:rsidR="00907D8C">
        <w:t xml:space="preserve"> </w:t>
      </w:r>
      <w:r w:rsidRPr="00036FAC">
        <w:t>in</w:t>
      </w:r>
      <w:r w:rsidR="00907D8C">
        <w:t xml:space="preserve"> </w:t>
      </w:r>
      <w:r w:rsidRPr="00036FAC">
        <w:t>supporting</w:t>
      </w:r>
      <w:r w:rsidR="00907D8C">
        <w:t xml:space="preserve"> </w:t>
      </w:r>
      <w:r w:rsidRPr="00036FAC">
        <w:t>the</w:t>
      </w:r>
      <w:r w:rsidR="00907D8C">
        <w:t xml:space="preserve"> </w:t>
      </w:r>
      <w:r w:rsidRPr="00036FAC">
        <w:t>aging</w:t>
      </w:r>
      <w:r w:rsidR="00907D8C">
        <w:t xml:space="preserve"> </w:t>
      </w:r>
      <w:r w:rsidRPr="00036FAC">
        <w:t>population.</w:t>
      </w:r>
    </w:p>
    <w:p w:rsidR="002C3A48" w:rsidRDefault="00036FAC" w:rsidP="00B50FB5">
      <w:pPr>
        <w:pStyle w:val="Heading1"/>
        <w:keepNext/>
      </w:pPr>
      <w:bookmarkStart w:id="43" w:name="_Toc275331917"/>
      <w:r w:rsidRPr="00036FAC">
        <w:t>Table</w:t>
      </w:r>
      <w:r w:rsidR="00907D8C">
        <w:t xml:space="preserve"> </w:t>
      </w:r>
      <w:r w:rsidRPr="00036FAC">
        <w:t>16</w:t>
      </w:r>
    </w:p>
    <w:p w:rsidR="00036FAC" w:rsidRPr="002C3A48" w:rsidRDefault="00036FAC" w:rsidP="002C3A48">
      <w:pPr>
        <w:pStyle w:val="SingleTxtG"/>
        <w:rPr>
          <w:b/>
        </w:rPr>
      </w:pPr>
      <w:r w:rsidRPr="002C3A48">
        <w:rPr>
          <w:b/>
        </w:rPr>
        <w:t>Dependency</w:t>
      </w:r>
      <w:r w:rsidR="00907D8C">
        <w:rPr>
          <w:b/>
        </w:rPr>
        <w:t xml:space="preserve"> </w:t>
      </w:r>
      <w:r w:rsidRPr="002C3A48">
        <w:rPr>
          <w:b/>
        </w:rPr>
        <w:t>ratio</w:t>
      </w:r>
      <w:r w:rsidR="00907D8C">
        <w:rPr>
          <w:b/>
        </w:rPr>
        <w:t xml:space="preserve"> </w:t>
      </w:r>
      <w:r w:rsidRPr="002C3A48">
        <w:rPr>
          <w:b/>
        </w:rPr>
        <w:t>by</w:t>
      </w:r>
      <w:r w:rsidR="00907D8C">
        <w:rPr>
          <w:b/>
        </w:rPr>
        <w:t xml:space="preserve"> </w:t>
      </w:r>
      <w:r w:rsidRPr="002C3A48">
        <w:rPr>
          <w:b/>
        </w:rPr>
        <w:t>sex,</w:t>
      </w:r>
      <w:r w:rsidR="00907D8C">
        <w:rPr>
          <w:b/>
        </w:rPr>
        <w:t xml:space="preserve"> </w:t>
      </w:r>
      <w:r w:rsidRPr="002C3A48">
        <w:rPr>
          <w:b/>
        </w:rPr>
        <w:t>at</w:t>
      </w:r>
      <w:r w:rsidR="00907D8C">
        <w:rPr>
          <w:b/>
        </w:rPr>
        <w:t xml:space="preserve"> </w:t>
      </w:r>
      <w:r w:rsidRPr="002C3A48">
        <w:rPr>
          <w:b/>
        </w:rPr>
        <w:t>30</w:t>
      </w:r>
      <w:r w:rsidR="00907D8C">
        <w:rPr>
          <w:b/>
        </w:rPr>
        <w:t xml:space="preserve"> </w:t>
      </w:r>
      <w:r w:rsidRPr="002C3A48">
        <w:rPr>
          <w:b/>
        </w:rPr>
        <w:t>June</w:t>
      </w:r>
      <w:r w:rsidR="00907D8C">
        <w:rPr>
          <w:b/>
        </w:rPr>
        <w:t xml:space="preserve"> </w:t>
      </w:r>
      <w:r w:rsidRPr="002C3A48">
        <w:rPr>
          <w:b/>
        </w:rPr>
        <w:t>2005–</w:t>
      </w:r>
      <w:r w:rsidR="002C3A48">
        <w:rPr>
          <w:b/>
        </w:rPr>
        <w:t>20</w:t>
      </w:r>
      <w:r w:rsidRPr="002C3A48">
        <w:rPr>
          <w:b/>
        </w:rPr>
        <w:t>09</w:t>
      </w:r>
      <w:bookmarkEnd w:id="4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68"/>
        <w:gridCol w:w="719"/>
        <w:gridCol w:w="721"/>
        <w:gridCol w:w="719"/>
        <w:gridCol w:w="721"/>
        <w:gridCol w:w="722"/>
        <w:tblGridChange w:id="44">
          <w:tblGrid>
            <w:gridCol w:w="3768"/>
            <w:gridCol w:w="719"/>
            <w:gridCol w:w="721"/>
            <w:gridCol w:w="719"/>
            <w:gridCol w:w="721"/>
            <w:gridCol w:w="722"/>
          </w:tblGrid>
        </w:tblGridChange>
      </w:tblGrid>
      <w:tr w:rsidR="00036FAC" w:rsidRPr="00372AF0" w:rsidTr="00372AF0">
        <w:trPr>
          <w:trHeight w:val="240"/>
          <w:tblHeader/>
        </w:trPr>
        <w:tc>
          <w:tcPr>
            <w:tcW w:w="2556" w:type="pct"/>
            <w:vMerge w:val="restart"/>
            <w:tcBorders>
              <w:top w:val="single" w:sz="4" w:space="0" w:color="auto"/>
              <w:bottom w:val="single" w:sz="12" w:space="0" w:color="auto"/>
            </w:tcBorders>
            <w:shd w:val="clear" w:color="auto" w:fill="auto"/>
            <w:vAlign w:val="bottom"/>
          </w:tcPr>
          <w:p w:rsidR="00036FAC" w:rsidRPr="00372AF0" w:rsidRDefault="00036FAC" w:rsidP="00372AF0">
            <w:pPr>
              <w:suppressAutoHyphens w:val="0"/>
              <w:spacing w:before="80" w:after="80" w:line="200" w:lineRule="exact"/>
              <w:ind w:right="113"/>
              <w:rPr>
                <w:i/>
                <w:sz w:val="16"/>
              </w:rPr>
            </w:pPr>
            <w:r w:rsidRPr="00372AF0">
              <w:rPr>
                <w:i/>
                <w:sz w:val="16"/>
              </w:rPr>
              <w:t>Sex</w:t>
            </w:r>
            <w:r w:rsidR="00907D8C">
              <w:rPr>
                <w:i/>
                <w:sz w:val="16"/>
              </w:rPr>
              <w:t xml:space="preserve"> </w:t>
            </w:r>
            <w:r w:rsidRPr="00372AF0">
              <w:rPr>
                <w:i/>
                <w:sz w:val="16"/>
              </w:rPr>
              <w:t>and</w:t>
            </w:r>
            <w:r w:rsidR="00907D8C">
              <w:rPr>
                <w:i/>
                <w:sz w:val="16"/>
              </w:rPr>
              <w:t xml:space="preserve"> </w:t>
            </w:r>
            <w:r w:rsidRPr="00372AF0">
              <w:rPr>
                <w:i/>
                <w:sz w:val="16"/>
              </w:rPr>
              <w:t>age</w:t>
            </w:r>
            <w:r w:rsidR="00907D8C">
              <w:rPr>
                <w:i/>
                <w:sz w:val="16"/>
              </w:rPr>
              <w:t xml:space="preserve"> </w:t>
            </w:r>
            <w:r w:rsidRPr="00372AF0">
              <w:rPr>
                <w:i/>
                <w:sz w:val="16"/>
              </w:rPr>
              <w:t>group</w:t>
            </w:r>
            <w:r w:rsidR="00907D8C">
              <w:rPr>
                <w:i/>
                <w:sz w:val="16"/>
              </w:rPr>
              <w:t xml:space="preserve"> </w:t>
            </w:r>
            <w:r w:rsidRPr="00372AF0">
              <w:rPr>
                <w:i/>
                <w:sz w:val="16"/>
              </w:rPr>
              <w:t>(years)</w:t>
            </w:r>
          </w:p>
        </w:tc>
        <w:tc>
          <w:tcPr>
            <w:tcW w:w="2444" w:type="pct"/>
            <w:gridSpan w:val="5"/>
            <w:tcBorders>
              <w:top w:val="single" w:sz="4" w:space="0" w:color="auto"/>
              <w:bottom w:val="single" w:sz="4" w:space="0" w:color="auto"/>
            </w:tcBorders>
            <w:shd w:val="clear" w:color="auto" w:fill="auto"/>
            <w:vAlign w:val="bottom"/>
          </w:tcPr>
          <w:p w:rsidR="00036FAC" w:rsidRPr="00372AF0" w:rsidRDefault="00036FAC" w:rsidP="00372AF0">
            <w:pPr>
              <w:suppressAutoHyphens w:val="0"/>
              <w:spacing w:before="80" w:after="80" w:line="200" w:lineRule="exact"/>
              <w:ind w:right="113"/>
              <w:jc w:val="center"/>
              <w:rPr>
                <w:i/>
                <w:sz w:val="16"/>
              </w:rPr>
            </w:pPr>
            <w:r w:rsidRPr="00372AF0">
              <w:rPr>
                <w:i/>
                <w:sz w:val="16"/>
              </w:rPr>
              <w:t>Dependency</w:t>
            </w:r>
            <w:r w:rsidR="00907D8C">
              <w:rPr>
                <w:i/>
                <w:sz w:val="16"/>
              </w:rPr>
              <w:t xml:space="preserve"> </w:t>
            </w:r>
            <w:r w:rsidRPr="00372AF0">
              <w:rPr>
                <w:i/>
                <w:sz w:val="16"/>
              </w:rPr>
              <w:t>ratio</w:t>
            </w:r>
            <w:r w:rsidRPr="00372AF0">
              <w:rPr>
                <w:i/>
                <w:sz w:val="16"/>
                <w:vertAlign w:val="superscript"/>
              </w:rPr>
              <w:t>(1)</w:t>
            </w:r>
            <w:r w:rsidR="00907D8C">
              <w:rPr>
                <w:i/>
                <w:sz w:val="16"/>
              </w:rPr>
              <w:t xml:space="preserve"> </w:t>
            </w:r>
            <w:r w:rsidRPr="00372AF0">
              <w:rPr>
                <w:i/>
                <w:sz w:val="16"/>
              </w:rPr>
              <w:t>at</w:t>
            </w:r>
            <w:r w:rsidR="00907D8C">
              <w:rPr>
                <w:i/>
                <w:sz w:val="16"/>
              </w:rPr>
              <w:t xml:space="preserve"> </w:t>
            </w:r>
            <w:r w:rsidRPr="00372AF0">
              <w:rPr>
                <w:i/>
                <w:sz w:val="16"/>
              </w:rPr>
              <w:t>30</w:t>
            </w:r>
            <w:r w:rsidR="00907D8C">
              <w:rPr>
                <w:i/>
                <w:sz w:val="16"/>
              </w:rPr>
              <w:t xml:space="preserve"> </w:t>
            </w:r>
            <w:r w:rsidRPr="00372AF0">
              <w:rPr>
                <w:i/>
                <w:sz w:val="16"/>
              </w:rPr>
              <w:t>June</w:t>
            </w:r>
            <w:r w:rsidR="00907D8C">
              <w:rPr>
                <w:i/>
                <w:sz w:val="16"/>
              </w:rPr>
              <w:t xml:space="preserve"> </w:t>
            </w:r>
            <w:r w:rsidRPr="00372AF0">
              <w:rPr>
                <w:i/>
                <w:sz w:val="16"/>
              </w:rPr>
              <w:t>as</w:t>
            </w:r>
            <w:r w:rsidR="00907D8C">
              <w:rPr>
                <w:i/>
                <w:sz w:val="16"/>
              </w:rPr>
              <w:t xml:space="preserve"> </w:t>
            </w:r>
            <w:r w:rsidRPr="00372AF0">
              <w:rPr>
                <w:i/>
                <w:sz w:val="16"/>
              </w:rPr>
              <w:t>a</w:t>
            </w:r>
            <w:r w:rsidR="00907D8C">
              <w:rPr>
                <w:i/>
                <w:sz w:val="16"/>
              </w:rPr>
              <w:t xml:space="preserve"> </w:t>
            </w:r>
            <w:r w:rsidR="00372AF0" w:rsidRPr="00372AF0">
              <w:rPr>
                <w:i/>
                <w:sz w:val="16"/>
              </w:rPr>
              <w:t>per</w:t>
            </w:r>
            <w:r w:rsidR="00AE58B5" w:rsidRPr="00372AF0">
              <w:rPr>
                <w:i/>
                <w:sz w:val="16"/>
              </w:rPr>
              <w:t>cent</w:t>
            </w:r>
            <w:r w:rsidRPr="00372AF0">
              <w:rPr>
                <w:i/>
                <w:sz w:val="16"/>
              </w:rPr>
              <w:t>age</w:t>
            </w:r>
          </w:p>
        </w:tc>
      </w:tr>
      <w:tr w:rsidR="00372AF0" w:rsidRPr="00372AF0" w:rsidTr="00B71C3C">
        <w:trPr>
          <w:trHeight w:val="240"/>
          <w:tblHeader/>
        </w:trPr>
        <w:tc>
          <w:tcPr>
            <w:tcW w:w="2556" w:type="pct"/>
            <w:vMerge/>
            <w:tcBorders>
              <w:top w:val="single" w:sz="12" w:space="0" w:color="auto"/>
              <w:bottom w:val="single" w:sz="12" w:space="0" w:color="auto"/>
            </w:tcBorders>
            <w:shd w:val="clear" w:color="auto" w:fill="auto"/>
            <w:vAlign w:val="bottom"/>
          </w:tcPr>
          <w:p w:rsidR="00036FAC" w:rsidRPr="00372AF0" w:rsidRDefault="00036FAC" w:rsidP="00372AF0">
            <w:pPr>
              <w:suppressAutoHyphens w:val="0"/>
              <w:spacing w:before="40" w:after="40" w:line="220" w:lineRule="exact"/>
              <w:ind w:right="113"/>
              <w:rPr>
                <w:sz w:val="18"/>
              </w:rPr>
            </w:pPr>
          </w:p>
        </w:tc>
        <w:tc>
          <w:tcPr>
            <w:tcW w:w="488"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00" w:lineRule="exact"/>
              <w:ind w:right="113"/>
              <w:jc w:val="right"/>
              <w:rPr>
                <w:i/>
                <w:sz w:val="16"/>
              </w:rPr>
            </w:pPr>
            <w:r w:rsidRPr="00372AF0">
              <w:rPr>
                <w:i/>
                <w:sz w:val="16"/>
              </w:rPr>
              <w:t>2005</w:t>
            </w:r>
          </w:p>
        </w:tc>
        <w:tc>
          <w:tcPr>
            <w:tcW w:w="489"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00" w:lineRule="exact"/>
              <w:ind w:right="113"/>
              <w:jc w:val="right"/>
              <w:rPr>
                <w:i/>
                <w:sz w:val="16"/>
              </w:rPr>
            </w:pPr>
            <w:r w:rsidRPr="00372AF0">
              <w:rPr>
                <w:i/>
                <w:sz w:val="16"/>
              </w:rPr>
              <w:t>2006</w:t>
            </w:r>
          </w:p>
        </w:tc>
        <w:tc>
          <w:tcPr>
            <w:tcW w:w="488"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00" w:lineRule="exact"/>
              <w:ind w:right="113"/>
              <w:jc w:val="right"/>
              <w:rPr>
                <w:i/>
                <w:sz w:val="16"/>
              </w:rPr>
            </w:pPr>
            <w:r w:rsidRPr="00372AF0">
              <w:rPr>
                <w:i/>
                <w:sz w:val="16"/>
              </w:rPr>
              <w:t>2007</w:t>
            </w:r>
          </w:p>
        </w:tc>
        <w:tc>
          <w:tcPr>
            <w:tcW w:w="489"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00" w:lineRule="exact"/>
              <w:ind w:right="113"/>
              <w:jc w:val="right"/>
              <w:rPr>
                <w:i/>
                <w:sz w:val="16"/>
              </w:rPr>
            </w:pPr>
            <w:r w:rsidRPr="00372AF0">
              <w:rPr>
                <w:i/>
                <w:sz w:val="16"/>
              </w:rPr>
              <w:t>2008</w:t>
            </w:r>
          </w:p>
        </w:tc>
        <w:tc>
          <w:tcPr>
            <w:tcW w:w="490"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00" w:lineRule="exact"/>
              <w:ind w:right="113"/>
              <w:jc w:val="right"/>
              <w:rPr>
                <w:i/>
                <w:sz w:val="16"/>
              </w:rPr>
            </w:pPr>
            <w:r w:rsidRPr="00372AF0">
              <w:rPr>
                <w:i/>
                <w:sz w:val="16"/>
              </w:rPr>
              <w:t>2009</w:t>
            </w:r>
          </w:p>
        </w:tc>
      </w:tr>
      <w:tr w:rsidR="00372AF0" w:rsidRPr="00372AF0" w:rsidTr="00B71C3C">
        <w:trPr>
          <w:trHeight w:val="240"/>
        </w:trPr>
        <w:tc>
          <w:tcPr>
            <w:tcW w:w="2556" w:type="pct"/>
            <w:tcBorders>
              <w:top w:val="single" w:sz="12" w:space="0" w:color="auto"/>
            </w:tcBorders>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Male</w:t>
            </w:r>
          </w:p>
        </w:tc>
        <w:tc>
          <w:tcPr>
            <w:tcW w:w="488" w:type="pct"/>
            <w:tcBorders>
              <w:top w:val="single" w:sz="12"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9" w:type="pct"/>
            <w:tcBorders>
              <w:top w:val="single" w:sz="12"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8" w:type="pct"/>
            <w:tcBorders>
              <w:top w:val="single" w:sz="12"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9" w:type="pct"/>
            <w:tcBorders>
              <w:top w:val="single" w:sz="12"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90" w:type="pct"/>
            <w:tcBorders>
              <w:top w:val="single" w:sz="12"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r>
      <w:tr w:rsidR="00036FAC" w:rsidRPr="00372AF0" w:rsidTr="00B71C3C">
        <w:trPr>
          <w:trHeight w:val="240"/>
        </w:trPr>
        <w:tc>
          <w:tcPr>
            <w:tcW w:w="2556" w:type="pct"/>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0–14</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33.9</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33.3</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33.0</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32.7</w:t>
            </w:r>
          </w:p>
        </w:tc>
        <w:tc>
          <w:tcPr>
            <w:tcW w:w="490"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32.4</w:t>
            </w:r>
          </w:p>
        </w:tc>
      </w:tr>
      <w:tr w:rsidR="00036FAC" w:rsidRPr="00372AF0" w:rsidTr="00B71C3C">
        <w:trPr>
          <w:trHeight w:val="240"/>
        </w:trPr>
        <w:tc>
          <w:tcPr>
            <w:tcW w:w="2556" w:type="pct"/>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65+</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16.4</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16.8</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17.2</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17.4</w:t>
            </w:r>
          </w:p>
        </w:tc>
        <w:tc>
          <w:tcPr>
            <w:tcW w:w="490"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17.8</w:t>
            </w:r>
          </w:p>
        </w:tc>
      </w:tr>
      <w:tr w:rsidR="00036FAC" w:rsidRPr="00372AF0" w:rsidTr="00B71C3C">
        <w:trPr>
          <w:trHeight w:val="240"/>
        </w:trPr>
        <w:tc>
          <w:tcPr>
            <w:tcW w:w="2556" w:type="pct"/>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Female</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c>
          <w:tcPr>
            <w:tcW w:w="490"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p>
        </w:tc>
      </w:tr>
      <w:tr w:rsidR="00036FAC" w:rsidRPr="00372AF0" w:rsidTr="00B71C3C">
        <w:trPr>
          <w:trHeight w:val="240"/>
        </w:trPr>
        <w:tc>
          <w:tcPr>
            <w:tcW w:w="2556" w:type="pct"/>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0–14</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31.0</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30.5</w:t>
            </w:r>
          </w:p>
        </w:tc>
        <w:tc>
          <w:tcPr>
            <w:tcW w:w="488"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30.2</w:t>
            </w:r>
          </w:p>
        </w:tc>
        <w:tc>
          <w:tcPr>
            <w:tcW w:w="489"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29.9</w:t>
            </w:r>
          </w:p>
        </w:tc>
        <w:tc>
          <w:tcPr>
            <w:tcW w:w="490" w:type="pct"/>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29.7</w:t>
            </w:r>
          </w:p>
        </w:tc>
      </w:tr>
      <w:tr w:rsidR="00372AF0" w:rsidRPr="00372AF0" w:rsidTr="00DA1E10">
        <w:trPr>
          <w:trHeight w:val="240"/>
        </w:trPr>
        <w:tc>
          <w:tcPr>
            <w:tcW w:w="2556" w:type="pct"/>
            <w:tcBorders>
              <w:bottom w:val="single" w:sz="4" w:space="0" w:color="auto"/>
            </w:tcBorders>
            <w:shd w:val="clear" w:color="auto" w:fill="auto"/>
            <w:noWrap/>
          </w:tcPr>
          <w:p w:rsidR="00036FAC" w:rsidRPr="00372AF0" w:rsidRDefault="00036FAC" w:rsidP="00372AF0">
            <w:pPr>
              <w:suppressAutoHyphens w:val="0"/>
              <w:spacing w:before="40" w:after="40" w:line="220" w:lineRule="exact"/>
              <w:ind w:right="113"/>
              <w:rPr>
                <w:sz w:val="18"/>
              </w:rPr>
            </w:pPr>
            <w:r w:rsidRPr="00372AF0">
              <w:rPr>
                <w:sz w:val="18"/>
              </w:rPr>
              <w:t>65+</w:t>
            </w:r>
          </w:p>
        </w:tc>
        <w:tc>
          <w:tcPr>
            <w:tcW w:w="488" w:type="pct"/>
            <w:tcBorders>
              <w:bottom w:val="single" w:sz="4"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19.7</w:t>
            </w:r>
          </w:p>
        </w:tc>
        <w:tc>
          <w:tcPr>
            <w:tcW w:w="489" w:type="pct"/>
            <w:tcBorders>
              <w:bottom w:val="single" w:sz="4"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19.9</w:t>
            </w:r>
          </w:p>
        </w:tc>
        <w:tc>
          <w:tcPr>
            <w:tcW w:w="488" w:type="pct"/>
            <w:tcBorders>
              <w:bottom w:val="single" w:sz="4"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20.2</w:t>
            </w:r>
          </w:p>
        </w:tc>
        <w:tc>
          <w:tcPr>
            <w:tcW w:w="489" w:type="pct"/>
            <w:tcBorders>
              <w:bottom w:val="single" w:sz="4"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20.4</w:t>
            </w:r>
          </w:p>
        </w:tc>
        <w:tc>
          <w:tcPr>
            <w:tcW w:w="490" w:type="pct"/>
            <w:tcBorders>
              <w:bottom w:val="single" w:sz="4" w:space="0" w:color="auto"/>
            </w:tcBorders>
            <w:shd w:val="clear" w:color="auto" w:fill="auto"/>
            <w:noWrap/>
            <w:vAlign w:val="bottom"/>
          </w:tcPr>
          <w:p w:rsidR="00036FAC" w:rsidRPr="00372AF0" w:rsidRDefault="00036FAC" w:rsidP="00372AF0">
            <w:pPr>
              <w:suppressAutoHyphens w:val="0"/>
              <w:spacing w:before="40" w:after="40" w:line="220" w:lineRule="exact"/>
              <w:ind w:right="113"/>
              <w:jc w:val="right"/>
              <w:rPr>
                <w:sz w:val="18"/>
              </w:rPr>
            </w:pPr>
            <w:r w:rsidRPr="00372AF0">
              <w:rPr>
                <w:sz w:val="18"/>
              </w:rPr>
              <w:t>20.7</w:t>
            </w:r>
          </w:p>
        </w:tc>
      </w:tr>
      <w:tr w:rsidR="00372AF0" w:rsidRPr="00DA1E10" w:rsidTr="00B71C3C">
        <w:trPr>
          <w:trHeight w:val="240"/>
        </w:trPr>
        <w:tc>
          <w:tcPr>
            <w:tcW w:w="2556" w:type="pct"/>
            <w:tcBorders>
              <w:top w:val="single" w:sz="4" w:space="0" w:color="auto"/>
              <w:bottom w:val="single" w:sz="4" w:space="0" w:color="auto"/>
            </w:tcBorders>
            <w:shd w:val="clear" w:color="auto" w:fill="auto"/>
            <w:noWrap/>
          </w:tcPr>
          <w:p w:rsidR="00036FAC" w:rsidRPr="00DA1E10" w:rsidRDefault="00B71C3C" w:rsidP="00372AF0">
            <w:pPr>
              <w:suppressAutoHyphens w:val="0"/>
              <w:spacing w:before="80" w:after="80" w:line="220" w:lineRule="exact"/>
              <w:ind w:left="284" w:right="113"/>
              <w:rPr>
                <w:b/>
                <w:sz w:val="18"/>
              </w:rPr>
            </w:pPr>
            <w:r w:rsidRPr="00DA1E10">
              <w:rPr>
                <w:b/>
                <w:sz w:val="18"/>
              </w:rPr>
              <w:t xml:space="preserve">Total </w:t>
            </w:r>
            <w:r w:rsidR="00036FAC" w:rsidRPr="00DA1E10">
              <w:rPr>
                <w:b/>
                <w:sz w:val="18"/>
              </w:rPr>
              <w:t>0–14</w:t>
            </w:r>
          </w:p>
        </w:tc>
        <w:tc>
          <w:tcPr>
            <w:tcW w:w="488" w:type="pct"/>
            <w:tcBorders>
              <w:top w:val="single" w:sz="4" w:space="0" w:color="auto"/>
              <w:bottom w:val="single" w:sz="4" w:space="0" w:color="auto"/>
            </w:tcBorders>
            <w:shd w:val="clear" w:color="auto" w:fill="auto"/>
            <w:noWrap/>
            <w:vAlign w:val="bottom"/>
          </w:tcPr>
          <w:p w:rsidR="00036FAC" w:rsidRPr="00DA1E10" w:rsidRDefault="00036FAC" w:rsidP="00372AF0">
            <w:pPr>
              <w:suppressAutoHyphens w:val="0"/>
              <w:spacing w:before="80" w:after="80" w:line="220" w:lineRule="exact"/>
              <w:ind w:right="113"/>
              <w:jc w:val="right"/>
              <w:rPr>
                <w:b/>
                <w:sz w:val="18"/>
              </w:rPr>
            </w:pPr>
            <w:r w:rsidRPr="00DA1E10">
              <w:rPr>
                <w:b/>
                <w:sz w:val="18"/>
              </w:rPr>
              <w:t>32.4</w:t>
            </w:r>
          </w:p>
        </w:tc>
        <w:tc>
          <w:tcPr>
            <w:tcW w:w="489" w:type="pct"/>
            <w:tcBorders>
              <w:top w:val="single" w:sz="4" w:space="0" w:color="auto"/>
              <w:bottom w:val="single" w:sz="4" w:space="0" w:color="auto"/>
            </w:tcBorders>
            <w:shd w:val="clear" w:color="auto" w:fill="auto"/>
            <w:noWrap/>
            <w:vAlign w:val="bottom"/>
          </w:tcPr>
          <w:p w:rsidR="00036FAC" w:rsidRPr="00DA1E10" w:rsidRDefault="00036FAC" w:rsidP="00372AF0">
            <w:pPr>
              <w:suppressAutoHyphens w:val="0"/>
              <w:spacing w:before="80" w:after="80" w:line="220" w:lineRule="exact"/>
              <w:ind w:right="113"/>
              <w:jc w:val="right"/>
              <w:rPr>
                <w:b/>
                <w:sz w:val="18"/>
              </w:rPr>
            </w:pPr>
            <w:r w:rsidRPr="00DA1E10">
              <w:rPr>
                <w:b/>
                <w:sz w:val="18"/>
              </w:rPr>
              <w:t>31.9</w:t>
            </w:r>
          </w:p>
        </w:tc>
        <w:tc>
          <w:tcPr>
            <w:tcW w:w="488" w:type="pct"/>
            <w:tcBorders>
              <w:top w:val="single" w:sz="4" w:space="0" w:color="auto"/>
              <w:bottom w:val="single" w:sz="4" w:space="0" w:color="auto"/>
            </w:tcBorders>
            <w:shd w:val="clear" w:color="auto" w:fill="auto"/>
            <w:noWrap/>
            <w:vAlign w:val="bottom"/>
          </w:tcPr>
          <w:p w:rsidR="00036FAC" w:rsidRPr="00DA1E10" w:rsidRDefault="00036FAC" w:rsidP="00372AF0">
            <w:pPr>
              <w:suppressAutoHyphens w:val="0"/>
              <w:spacing w:before="80" w:after="80" w:line="220" w:lineRule="exact"/>
              <w:ind w:right="113"/>
              <w:jc w:val="right"/>
              <w:rPr>
                <w:b/>
                <w:sz w:val="18"/>
              </w:rPr>
            </w:pPr>
            <w:r w:rsidRPr="00DA1E10">
              <w:rPr>
                <w:b/>
                <w:sz w:val="18"/>
              </w:rPr>
              <w:t>31.6</w:t>
            </w:r>
          </w:p>
        </w:tc>
        <w:tc>
          <w:tcPr>
            <w:tcW w:w="489" w:type="pct"/>
            <w:tcBorders>
              <w:top w:val="single" w:sz="4" w:space="0" w:color="auto"/>
              <w:bottom w:val="single" w:sz="4" w:space="0" w:color="auto"/>
            </w:tcBorders>
            <w:shd w:val="clear" w:color="auto" w:fill="auto"/>
            <w:noWrap/>
            <w:vAlign w:val="bottom"/>
          </w:tcPr>
          <w:p w:rsidR="00036FAC" w:rsidRPr="00DA1E10" w:rsidRDefault="00036FAC" w:rsidP="00372AF0">
            <w:pPr>
              <w:suppressAutoHyphens w:val="0"/>
              <w:spacing w:before="80" w:after="80" w:line="220" w:lineRule="exact"/>
              <w:ind w:right="113"/>
              <w:jc w:val="right"/>
              <w:rPr>
                <w:b/>
                <w:sz w:val="18"/>
              </w:rPr>
            </w:pPr>
            <w:r w:rsidRPr="00DA1E10">
              <w:rPr>
                <w:b/>
                <w:sz w:val="18"/>
              </w:rPr>
              <w:t>31.3</w:t>
            </w:r>
          </w:p>
        </w:tc>
        <w:tc>
          <w:tcPr>
            <w:tcW w:w="490" w:type="pct"/>
            <w:tcBorders>
              <w:top w:val="single" w:sz="4" w:space="0" w:color="auto"/>
              <w:bottom w:val="single" w:sz="4" w:space="0" w:color="auto"/>
            </w:tcBorders>
            <w:shd w:val="clear" w:color="auto" w:fill="auto"/>
            <w:noWrap/>
            <w:vAlign w:val="bottom"/>
          </w:tcPr>
          <w:p w:rsidR="00036FAC" w:rsidRPr="00DA1E10" w:rsidRDefault="00036FAC" w:rsidP="00372AF0">
            <w:pPr>
              <w:suppressAutoHyphens w:val="0"/>
              <w:spacing w:before="80" w:after="80" w:line="220" w:lineRule="exact"/>
              <w:ind w:right="113"/>
              <w:jc w:val="right"/>
              <w:rPr>
                <w:b/>
                <w:sz w:val="18"/>
              </w:rPr>
            </w:pPr>
            <w:r w:rsidRPr="00DA1E10">
              <w:rPr>
                <w:b/>
                <w:sz w:val="18"/>
              </w:rPr>
              <w:t>31.0</w:t>
            </w:r>
          </w:p>
        </w:tc>
      </w:tr>
      <w:tr w:rsidR="00372AF0" w:rsidRPr="00372AF0" w:rsidTr="00B71C3C">
        <w:trPr>
          <w:trHeight w:val="240"/>
        </w:trPr>
        <w:tc>
          <w:tcPr>
            <w:tcW w:w="2556" w:type="pct"/>
            <w:tcBorders>
              <w:top w:val="single" w:sz="4" w:space="0" w:color="auto"/>
              <w:bottom w:val="single" w:sz="12" w:space="0" w:color="auto"/>
            </w:tcBorders>
            <w:shd w:val="clear" w:color="auto" w:fill="auto"/>
            <w:noWrap/>
          </w:tcPr>
          <w:p w:rsidR="00036FAC" w:rsidRPr="00372AF0" w:rsidRDefault="00B71C3C" w:rsidP="00372AF0">
            <w:pPr>
              <w:suppressAutoHyphens w:val="0"/>
              <w:spacing w:before="80" w:after="80" w:line="220" w:lineRule="exact"/>
              <w:ind w:left="284" w:right="113"/>
              <w:rPr>
                <w:b/>
                <w:sz w:val="18"/>
              </w:rPr>
            </w:pPr>
            <w:r>
              <w:rPr>
                <w:b/>
                <w:sz w:val="18"/>
              </w:rPr>
              <w:t xml:space="preserve">Total </w:t>
            </w:r>
            <w:r w:rsidR="00036FAC" w:rsidRPr="00372AF0">
              <w:rPr>
                <w:b/>
                <w:sz w:val="18"/>
              </w:rPr>
              <w:t>65+</w:t>
            </w:r>
          </w:p>
        </w:tc>
        <w:tc>
          <w:tcPr>
            <w:tcW w:w="488"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20" w:lineRule="exact"/>
              <w:ind w:right="113"/>
              <w:jc w:val="right"/>
              <w:rPr>
                <w:b/>
                <w:sz w:val="18"/>
              </w:rPr>
            </w:pPr>
            <w:r w:rsidRPr="00372AF0">
              <w:rPr>
                <w:b/>
                <w:sz w:val="18"/>
              </w:rPr>
              <w:t>18.1</w:t>
            </w:r>
          </w:p>
        </w:tc>
        <w:tc>
          <w:tcPr>
            <w:tcW w:w="489"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20" w:lineRule="exact"/>
              <w:ind w:right="113"/>
              <w:jc w:val="right"/>
              <w:rPr>
                <w:b/>
                <w:sz w:val="18"/>
              </w:rPr>
            </w:pPr>
            <w:r w:rsidRPr="00372AF0">
              <w:rPr>
                <w:b/>
                <w:sz w:val="18"/>
              </w:rPr>
              <w:t>18.4</w:t>
            </w:r>
          </w:p>
        </w:tc>
        <w:tc>
          <w:tcPr>
            <w:tcW w:w="488"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20" w:lineRule="exact"/>
              <w:ind w:right="113"/>
              <w:jc w:val="right"/>
              <w:rPr>
                <w:b/>
                <w:sz w:val="18"/>
              </w:rPr>
            </w:pPr>
            <w:r w:rsidRPr="00372AF0">
              <w:rPr>
                <w:b/>
                <w:sz w:val="18"/>
              </w:rPr>
              <w:t>18.7</w:t>
            </w:r>
          </w:p>
        </w:tc>
        <w:tc>
          <w:tcPr>
            <w:tcW w:w="489"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20" w:lineRule="exact"/>
              <w:ind w:right="113"/>
              <w:jc w:val="right"/>
              <w:rPr>
                <w:b/>
                <w:sz w:val="18"/>
              </w:rPr>
            </w:pPr>
            <w:r w:rsidRPr="00372AF0">
              <w:rPr>
                <w:b/>
                <w:sz w:val="18"/>
              </w:rPr>
              <w:t>18.9</w:t>
            </w:r>
          </w:p>
        </w:tc>
        <w:tc>
          <w:tcPr>
            <w:tcW w:w="490" w:type="pct"/>
            <w:tcBorders>
              <w:top w:val="single" w:sz="4" w:space="0" w:color="auto"/>
              <w:bottom w:val="single" w:sz="12" w:space="0" w:color="auto"/>
            </w:tcBorders>
            <w:shd w:val="clear" w:color="auto" w:fill="auto"/>
            <w:noWrap/>
            <w:vAlign w:val="bottom"/>
          </w:tcPr>
          <w:p w:rsidR="00036FAC" w:rsidRPr="00372AF0" w:rsidRDefault="00036FAC" w:rsidP="00372AF0">
            <w:pPr>
              <w:suppressAutoHyphens w:val="0"/>
              <w:spacing w:before="80" w:after="80" w:line="220" w:lineRule="exact"/>
              <w:ind w:right="113"/>
              <w:jc w:val="right"/>
              <w:rPr>
                <w:b/>
                <w:sz w:val="18"/>
              </w:rPr>
            </w:pPr>
            <w:r w:rsidRPr="00372AF0">
              <w:rPr>
                <w:b/>
                <w:sz w:val="18"/>
              </w:rPr>
              <w:t>19.2</w:t>
            </w:r>
          </w:p>
        </w:tc>
      </w:tr>
    </w:tbl>
    <w:p w:rsidR="00372AF0" w:rsidRPr="007C016E" w:rsidRDefault="00372AF0" w:rsidP="00B50FB5">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00036FAC" w:rsidRPr="007C016E">
        <w:rPr>
          <w:sz w:val="18"/>
          <w:szCs w:val="18"/>
        </w:rPr>
        <w:t>Zealand</w:t>
      </w:r>
      <w:r w:rsidRPr="007C016E">
        <w:rPr>
          <w:sz w:val="18"/>
          <w:szCs w:val="18"/>
        </w:rPr>
        <w:t>.</w:t>
      </w:r>
    </w:p>
    <w:p w:rsidR="00036FAC" w:rsidRPr="007C016E" w:rsidRDefault="00372AF0" w:rsidP="007C016E">
      <w:pPr>
        <w:spacing w:after="240"/>
        <w:ind w:left="1134" w:right="1134" w:firstLine="170"/>
        <w:rPr>
          <w:sz w:val="18"/>
          <w:szCs w:val="18"/>
        </w:rPr>
      </w:pPr>
      <w:r w:rsidRPr="007C016E">
        <w:rPr>
          <w:i/>
          <w:sz w:val="18"/>
          <w:szCs w:val="18"/>
        </w:rPr>
        <w:t>Note</w:t>
      </w:r>
      <w:r w:rsidRPr="007C016E">
        <w:rPr>
          <w:sz w:val="18"/>
          <w:szCs w:val="18"/>
        </w:rPr>
        <w:t>:</w:t>
      </w:r>
      <w:r w:rsidR="00907D8C">
        <w:rPr>
          <w:sz w:val="18"/>
          <w:szCs w:val="18"/>
        </w:rPr>
        <w:t xml:space="preserve">  </w:t>
      </w:r>
      <w:r w:rsidRPr="007C016E">
        <w:rPr>
          <w:sz w:val="18"/>
          <w:szCs w:val="18"/>
          <w:vertAlign w:val="superscript"/>
        </w:rPr>
        <w:t>(1)</w:t>
      </w:r>
      <w:r w:rsidR="00907D8C">
        <w:rPr>
          <w:sz w:val="18"/>
          <w:szCs w:val="18"/>
        </w:rPr>
        <w:t xml:space="preserve"> </w:t>
      </w:r>
      <w:r w:rsidRPr="007C016E">
        <w:rPr>
          <w:sz w:val="18"/>
          <w:szCs w:val="18"/>
        </w:rPr>
        <w:t>Number</w:t>
      </w:r>
      <w:r w:rsidR="00907D8C">
        <w:rPr>
          <w:sz w:val="18"/>
          <w:szCs w:val="18"/>
        </w:rPr>
        <w:t xml:space="preserve"> </w:t>
      </w:r>
      <w:r w:rsidRPr="007C016E">
        <w:rPr>
          <w:sz w:val="18"/>
          <w:szCs w:val="18"/>
        </w:rPr>
        <w:t>of</w:t>
      </w:r>
      <w:r w:rsidR="00907D8C">
        <w:rPr>
          <w:sz w:val="18"/>
          <w:szCs w:val="18"/>
        </w:rPr>
        <w:t xml:space="preserve"> </w:t>
      </w:r>
      <w:r w:rsidRPr="007C016E">
        <w:rPr>
          <w:sz w:val="18"/>
          <w:szCs w:val="18"/>
        </w:rPr>
        <w:t>people</w:t>
      </w:r>
      <w:r w:rsidR="00907D8C">
        <w:rPr>
          <w:sz w:val="18"/>
          <w:szCs w:val="18"/>
        </w:rPr>
        <w:t xml:space="preserve"> </w:t>
      </w:r>
      <w:r w:rsidRPr="007C016E">
        <w:rPr>
          <w:sz w:val="18"/>
          <w:szCs w:val="18"/>
        </w:rPr>
        <w:t>in</w:t>
      </w:r>
      <w:r w:rsidR="00907D8C">
        <w:rPr>
          <w:sz w:val="18"/>
          <w:szCs w:val="18"/>
        </w:rPr>
        <w:t xml:space="preserve"> </w:t>
      </w:r>
      <w:r w:rsidRPr="007C016E">
        <w:rPr>
          <w:sz w:val="18"/>
          <w:szCs w:val="18"/>
        </w:rPr>
        <w:t>dependent</w:t>
      </w:r>
      <w:r w:rsidR="00907D8C">
        <w:rPr>
          <w:sz w:val="18"/>
          <w:szCs w:val="18"/>
        </w:rPr>
        <w:t xml:space="preserve"> </w:t>
      </w:r>
      <w:r w:rsidRPr="007C016E">
        <w:rPr>
          <w:sz w:val="18"/>
          <w:szCs w:val="18"/>
        </w:rPr>
        <w:t>age</w:t>
      </w:r>
      <w:r w:rsidR="00907D8C">
        <w:rPr>
          <w:sz w:val="18"/>
          <w:szCs w:val="18"/>
        </w:rPr>
        <w:t xml:space="preserve"> </w:t>
      </w:r>
      <w:r w:rsidRPr="007C016E">
        <w:rPr>
          <w:sz w:val="18"/>
          <w:szCs w:val="18"/>
        </w:rPr>
        <w:t>group</w:t>
      </w:r>
      <w:r w:rsidR="00907D8C">
        <w:rPr>
          <w:sz w:val="18"/>
          <w:szCs w:val="18"/>
        </w:rPr>
        <w:t xml:space="preserve"> </w:t>
      </w:r>
      <w:r w:rsidRPr="007C016E">
        <w:rPr>
          <w:sz w:val="18"/>
          <w:szCs w:val="18"/>
        </w:rPr>
        <w:t>per</w:t>
      </w:r>
      <w:r w:rsidR="00907D8C">
        <w:rPr>
          <w:sz w:val="18"/>
          <w:szCs w:val="18"/>
        </w:rPr>
        <w:t xml:space="preserve"> </w:t>
      </w:r>
      <w:r w:rsidRPr="007C016E">
        <w:rPr>
          <w:sz w:val="18"/>
          <w:szCs w:val="18"/>
        </w:rPr>
        <w:t>100</w:t>
      </w:r>
      <w:r w:rsidR="00907D8C">
        <w:rPr>
          <w:sz w:val="18"/>
          <w:szCs w:val="18"/>
        </w:rPr>
        <w:t xml:space="preserve"> </w:t>
      </w:r>
      <w:r w:rsidRPr="007C016E">
        <w:rPr>
          <w:sz w:val="18"/>
          <w:szCs w:val="18"/>
        </w:rPr>
        <w:t>people</w:t>
      </w:r>
      <w:r w:rsidR="00907D8C">
        <w:rPr>
          <w:sz w:val="18"/>
          <w:szCs w:val="18"/>
        </w:rPr>
        <w:t xml:space="preserve"> </w:t>
      </w:r>
      <w:r w:rsidRPr="007C016E">
        <w:rPr>
          <w:sz w:val="18"/>
          <w:szCs w:val="18"/>
        </w:rPr>
        <w:t>of</w:t>
      </w:r>
      <w:r w:rsidR="00907D8C">
        <w:rPr>
          <w:sz w:val="18"/>
          <w:szCs w:val="18"/>
        </w:rPr>
        <w:t xml:space="preserve"> </w:t>
      </w:r>
      <w:r w:rsidRPr="007C016E">
        <w:rPr>
          <w:sz w:val="18"/>
          <w:szCs w:val="18"/>
        </w:rPr>
        <w:t>working</w:t>
      </w:r>
      <w:r w:rsidR="00907D8C">
        <w:rPr>
          <w:sz w:val="18"/>
          <w:szCs w:val="18"/>
        </w:rPr>
        <w:t xml:space="preserve"> </w:t>
      </w:r>
      <w:r w:rsidRPr="007C016E">
        <w:rPr>
          <w:sz w:val="18"/>
          <w:szCs w:val="18"/>
        </w:rPr>
        <w:t>age</w:t>
      </w:r>
      <w:r w:rsidR="00907D8C">
        <w:rPr>
          <w:sz w:val="18"/>
          <w:szCs w:val="18"/>
        </w:rPr>
        <w:t xml:space="preserve"> </w:t>
      </w:r>
      <w:r w:rsidRPr="007C016E">
        <w:rPr>
          <w:sz w:val="18"/>
          <w:szCs w:val="18"/>
        </w:rPr>
        <w:t>(15–64</w:t>
      </w:r>
      <w:r w:rsidR="00907D8C">
        <w:rPr>
          <w:sz w:val="18"/>
          <w:szCs w:val="18"/>
        </w:rPr>
        <w:t xml:space="preserve"> </w:t>
      </w:r>
      <w:r w:rsidRPr="007C016E">
        <w:rPr>
          <w:sz w:val="18"/>
          <w:szCs w:val="18"/>
        </w:rPr>
        <w:t>years).</w:t>
      </w:r>
    </w:p>
    <w:p w:rsidR="00036FAC" w:rsidRPr="00036FAC" w:rsidRDefault="00036FAC" w:rsidP="006C436C">
      <w:pPr>
        <w:pStyle w:val="H23G"/>
      </w:pPr>
      <w:r w:rsidRPr="00036FAC">
        <w:tab/>
        <w:t>(e)</w:t>
      </w:r>
      <w:r w:rsidRPr="00036FAC">
        <w:tab/>
        <w:t>Share</w:t>
      </w:r>
      <w:r w:rsidR="00907D8C">
        <w:t xml:space="preserve"> </w:t>
      </w:r>
      <w:r w:rsidRPr="00036FAC">
        <w:t>of</w:t>
      </w:r>
      <w:r w:rsidR="00907D8C">
        <w:t xml:space="preserve"> </w:t>
      </w:r>
      <w:r w:rsidRPr="00036FAC">
        <w:t>household</w:t>
      </w:r>
      <w:r w:rsidR="00907D8C">
        <w:t xml:space="preserve"> </w:t>
      </w:r>
      <w:r w:rsidRPr="00036FAC">
        <w:t>composition</w:t>
      </w:r>
      <w:r w:rsidR="00907D8C">
        <w:t xml:space="preserve"> </w:t>
      </w:r>
      <w:r w:rsidRPr="00036FAC">
        <w:t>on</w:t>
      </w:r>
      <w:r w:rsidR="00907D8C">
        <w:t xml:space="preserve"> </w:t>
      </w:r>
      <w:r w:rsidRPr="00036FAC">
        <w:t>food,</w:t>
      </w:r>
      <w:r w:rsidR="00907D8C">
        <w:t xml:space="preserve"> </w:t>
      </w:r>
      <w:r w:rsidRPr="00036FAC">
        <w:t>housing,</w:t>
      </w:r>
      <w:r w:rsidR="00907D8C">
        <w:t xml:space="preserve"> </w:t>
      </w:r>
      <w:r w:rsidRPr="00036FAC">
        <w:t>health,</w:t>
      </w:r>
      <w:r w:rsidR="00907D8C">
        <w:t xml:space="preserve"> </w:t>
      </w:r>
      <w:r w:rsidRPr="00036FAC">
        <w:t>and</w:t>
      </w:r>
      <w:r w:rsidR="00907D8C">
        <w:t xml:space="preserve"> </w:t>
      </w:r>
      <w:r w:rsidRPr="00036FAC">
        <w:t>education</w:t>
      </w:r>
    </w:p>
    <w:p w:rsidR="00036FAC" w:rsidRPr="00036FAC" w:rsidRDefault="00036FAC" w:rsidP="00507316">
      <w:pPr>
        <w:pStyle w:val="SingleTxtG"/>
      </w:pPr>
      <w:r w:rsidRPr="00036FAC">
        <w:t>60.</w:t>
      </w:r>
      <w:r w:rsidRPr="00036FAC">
        <w:tab/>
        <w:t>Many</w:t>
      </w:r>
      <w:r w:rsidR="00907D8C">
        <w:t xml:space="preserve"> </w:t>
      </w:r>
      <w:r w:rsidRPr="00036FAC">
        <w:t>education</w:t>
      </w:r>
      <w:r w:rsidR="00907D8C">
        <w:t xml:space="preserve"> </w:t>
      </w:r>
      <w:r w:rsidRPr="00036FAC">
        <w:t>and</w:t>
      </w:r>
      <w:r w:rsidR="00907D8C">
        <w:t xml:space="preserve"> </w:t>
      </w:r>
      <w:r w:rsidRPr="00036FAC">
        <w:t>health</w:t>
      </w:r>
      <w:r w:rsidR="00907D8C">
        <w:t xml:space="preserve"> </w:t>
      </w:r>
      <w:r w:rsidRPr="00036FAC">
        <w:t>services</w:t>
      </w:r>
      <w:r w:rsidR="00907D8C">
        <w:t xml:space="preserve"> </w:t>
      </w:r>
      <w:r w:rsidRPr="00036FAC">
        <w:t>are</w:t>
      </w:r>
      <w:r w:rsidR="00907D8C">
        <w:t xml:space="preserve"> </w:t>
      </w:r>
      <w:r w:rsidRPr="00036FAC">
        <w:t>funded</w:t>
      </w:r>
      <w:r w:rsidR="00907D8C">
        <w:t xml:space="preserve"> </w:t>
      </w:r>
      <w:r w:rsidRPr="00036FAC">
        <w:t>by</w:t>
      </w:r>
      <w:r w:rsidR="00907D8C">
        <w:t xml:space="preserve"> </w:t>
      </w:r>
      <w:r w:rsidRPr="00036FAC">
        <w:t>general</w:t>
      </w:r>
      <w:r w:rsidR="00907D8C">
        <w:t xml:space="preserve"> </w:t>
      </w:r>
      <w:r w:rsidRPr="00036FAC">
        <w:t>taxation</w:t>
      </w:r>
      <w:r w:rsidR="00907D8C">
        <w:t xml:space="preserve"> </w:t>
      </w:r>
      <w:r w:rsidRPr="00036FAC">
        <w:t>and</w:t>
      </w:r>
      <w:r w:rsidR="00907D8C">
        <w:t xml:space="preserve"> </w:t>
      </w:r>
      <w:r w:rsidRPr="00036FAC">
        <w:t>are</w:t>
      </w:r>
      <w:r w:rsidR="00907D8C">
        <w:t xml:space="preserve"> </w:t>
      </w:r>
      <w:r w:rsidRPr="00036FAC">
        <w:t>provided</w:t>
      </w:r>
      <w:r w:rsidR="00907D8C">
        <w:t xml:space="preserve"> </w:t>
      </w:r>
      <w:r w:rsidRPr="00036FAC">
        <w:t>free</w:t>
      </w:r>
      <w:r w:rsidR="00907D8C">
        <w:t xml:space="preserve"> </w:t>
      </w:r>
      <w:r w:rsidRPr="00036FAC">
        <w:t>of</w:t>
      </w:r>
      <w:r w:rsidR="00907D8C">
        <w:t xml:space="preserve"> </w:t>
      </w:r>
      <w:r w:rsidRPr="00036FAC">
        <w:t>charge</w:t>
      </w:r>
      <w:r w:rsidR="00907D8C">
        <w:t xml:space="preserve"> </w:t>
      </w:r>
      <w:r w:rsidRPr="00036FAC">
        <w:t>or</w:t>
      </w:r>
      <w:r w:rsidR="00907D8C">
        <w:t xml:space="preserve"> </w:t>
      </w:r>
      <w:r w:rsidRPr="00036FAC">
        <w:t>at</w:t>
      </w:r>
      <w:r w:rsidR="00907D8C">
        <w:t xml:space="preserve"> </w:t>
      </w:r>
      <w:r w:rsidRPr="00036FAC">
        <w:t>subsidised</w:t>
      </w:r>
      <w:r w:rsidR="00907D8C">
        <w:t xml:space="preserve"> </w:t>
      </w:r>
      <w:r w:rsidRPr="00036FAC">
        <w:t>rates.</w:t>
      </w:r>
      <w:r w:rsidR="00907D8C">
        <w:t xml:space="preserve"> </w:t>
      </w:r>
      <w:r w:rsidRPr="00036FAC">
        <w:t>This</w:t>
      </w:r>
      <w:r w:rsidR="00907D8C">
        <w:t xml:space="preserve"> </w:t>
      </w:r>
      <w:r w:rsidRPr="00036FAC">
        <w:t>limits</w:t>
      </w:r>
      <w:r w:rsidR="00907D8C">
        <w:t xml:space="preserve"> </w:t>
      </w:r>
      <w:r w:rsidRPr="00036FAC">
        <w:t>the</w:t>
      </w:r>
      <w:r w:rsidR="00907D8C">
        <w:t xml:space="preserve"> </w:t>
      </w:r>
      <w:r w:rsidRPr="00036FAC">
        <w:t>value</w:t>
      </w:r>
      <w:r w:rsidR="00907D8C">
        <w:t xml:space="preserve"> </w:t>
      </w:r>
      <w:r w:rsidRPr="00036FAC">
        <w:t>of</w:t>
      </w:r>
      <w:r w:rsidR="00907D8C">
        <w:t xml:space="preserve"> </w:t>
      </w:r>
      <w:r w:rsidRPr="00036FAC">
        <w:t>international</w:t>
      </w:r>
      <w:r w:rsidR="00907D8C">
        <w:t xml:space="preserve"> </w:t>
      </w:r>
      <w:r w:rsidRPr="00036FAC">
        <w:t>comparisons</w:t>
      </w:r>
      <w:r w:rsidR="00907D8C">
        <w:t xml:space="preserve"> </w:t>
      </w:r>
      <w:r w:rsidRPr="00036FAC">
        <w:t>of</w:t>
      </w:r>
      <w:r w:rsidR="00907D8C">
        <w:t xml:space="preserve"> </w:t>
      </w:r>
      <w:r w:rsidRPr="00036FAC">
        <w:t>direct</w:t>
      </w:r>
      <w:r w:rsidR="00907D8C">
        <w:t xml:space="preserve"> </w:t>
      </w:r>
      <w:r w:rsidRPr="00036FAC">
        <w:t>household</w:t>
      </w:r>
      <w:r w:rsidR="00907D8C">
        <w:t xml:space="preserve"> </w:t>
      </w:r>
      <w:r w:rsidRPr="00036FAC">
        <w:t>expenditure</w:t>
      </w:r>
      <w:r w:rsidR="00907D8C">
        <w:t xml:space="preserve"> </w:t>
      </w:r>
      <w:r w:rsidRPr="00036FAC">
        <w:t>in</w:t>
      </w:r>
      <w:r w:rsidR="00907D8C">
        <w:t xml:space="preserve"> </w:t>
      </w:r>
      <w:r w:rsidRPr="00036FAC">
        <w:t>these</w:t>
      </w:r>
      <w:r w:rsidR="00907D8C">
        <w:t xml:space="preserve"> </w:t>
      </w:r>
      <w:r w:rsidRPr="00036FAC">
        <w:t>areas.</w:t>
      </w:r>
    </w:p>
    <w:p w:rsidR="00507316" w:rsidRDefault="00036FAC" w:rsidP="00507316">
      <w:pPr>
        <w:pStyle w:val="Heading1"/>
      </w:pPr>
      <w:bookmarkStart w:id="45" w:name="_Toc275331918"/>
      <w:r w:rsidRPr="00036FAC">
        <w:t>Table</w:t>
      </w:r>
      <w:r w:rsidR="00907D8C">
        <w:t xml:space="preserve"> </w:t>
      </w:r>
      <w:r w:rsidRPr="00036FAC">
        <w:t>17</w:t>
      </w:r>
    </w:p>
    <w:p w:rsidR="00036FAC" w:rsidRPr="00507316" w:rsidRDefault="00036FAC" w:rsidP="00507316">
      <w:pPr>
        <w:pStyle w:val="SingleTxtG"/>
        <w:rPr>
          <w:b/>
        </w:rPr>
      </w:pPr>
      <w:r w:rsidRPr="00507316">
        <w:rPr>
          <w:b/>
        </w:rPr>
        <w:t>Household</w:t>
      </w:r>
      <w:r w:rsidR="00907D8C">
        <w:rPr>
          <w:b/>
        </w:rPr>
        <w:t xml:space="preserve"> </w:t>
      </w:r>
      <w:r w:rsidRPr="00507316">
        <w:rPr>
          <w:b/>
        </w:rPr>
        <w:t>expenditure</w:t>
      </w:r>
      <w:r w:rsidR="00907D8C">
        <w:rPr>
          <w:b/>
        </w:rPr>
        <w:t xml:space="preserve"> </w:t>
      </w:r>
      <w:r w:rsidRPr="00507316">
        <w:rPr>
          <w:b/>
        </w:rPr>
        <w:t>for</w:t>
      </w:r>
      <w:r w:rsidR="00907D8C">
        <w:rPr>
          <w:b/>
        </w:rPr>
        <w:t xml:space="preserve"> </w:t>
      </w:r>
      <w:r w:rsidRPr="00507316">
        <w:rPr>
          <w:b/>
        </w:rPr>
        <w:t>subgroup</w:t>
      </w:r>
      <w:r w:rsidR="00907D8C">
        <w:rPr>
          <w:b/>
        </w:rPr>
        <w:t xml:space="preserve"> </w:t>
      </w:r>
      <w:r w:rsidRPr="00507316">
        <w:rPr>
          <w:b/>
        </w:rPr>
        <w:t>by</w:t>
      </w:r>
      <w:r w:rsidR="00907D8C">
        <w:rPr>
          <w:b/>
        </w:rPr>
        <w:t xml:space="preserve"> </w:t>
      </w:r>
      <w:r w:rsidRPr="00507316">
        <w:rPr>
          <w:b/>
        </w:rPr>
        <w:t>household</w:t>
      </w:r>
      <w:r w:rsidR="00907D8C">
        <w:rPr>
          <w:b/>
        </w:rPr>
        <w:t xml:space="preserve"> </w:t>
      </w:r>
      <w:r w:rsidRPr="00507316">
        <w:rPr>
          <w:b/>
        </w:rPr>
        <w:t>income</w:t>
      </w:r>
      <w:r w:rsidR="00907D8C">
        <w:rPr>
          <w:b/>
        </w:rPr>
        <w:t xml:space="preserve"> </w:t>
      </w:r>
      <w:r w:rsidRPr="00507316">
        <w:rPr>
          <w:b/>
        </w:rPr>
        <w:t>group,</w:t>
      </w:r>
      <w:r w:rsidR="00907D8C">
        <w:rPr>
          <w:b/>
        </w:rPr>
        <w:t xml:space="preserve"> </w:t>
      </w:r>
      <w:r w:rsidRPr="00507316">
        <w:rPr>
          <w:b/>
        </w:rPr>
        <w:t>2006–</w:t>
      </w:r>
      <w:r w:rsidR="00507316" w:rsidRPr="00507316">
        <w:rPr>
          <w:b/>
        </w:rPr>
        <w:t>20</w:t>
      </w:r>
      <w:r w:rsidRPr="00507316">
        <w:rPr>
          <w:b/>
        </w:rPr>
        <w:t>07</w:t>
      </w:r>
      <w:bookmarkEnd w:id="45"/>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97"/>
        <w:gridCol w:w="804"/>
        <w:gridCol w:w="804"/>
        <w:gridCol w:w="804"/>
        <w:gridCol w:w="804"/>
        <w:gridCol w:w="804"/>
        <w:gridCol w:w="804"/>
        <w:gridCol w:w="804"/>
        <w:gridCol w:w="804"/>
        <w:gridCol w:w="804"/>
        <w:gridCol w:w="806"/>
      </w:tblGrid>
      <w:tr w:rsidR="00507316" w:rsidRPr="00507316" w:rsidTr="00ED51C5">
        <w:tblPrEx>
          <w:tblCellMar>
            <w:top w:w="0" w:type="dxa"/>
            <w:bottom w:w="0" w:type="dxa"/>
          </w:tblCellMar>
        </w:tblPrEx>
        <w:trPr>
          <w:trHeight w:val="240"/>
          <w:tblHeader/>
        </w:trPr>
        <w:tc>
          <w:tcPr>
            <w:tcW w:w="829"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rPr>
                <w:i/>
                <w:sz w:val="16"/>
              </w:rPr>
            </w:pPr>
            <w:r w:rsidRPr="00507316">
              <w:rPr>
                <w:i/>
                <w:sz w:val="16"/>
              </w:rPr>
              <w:t>Income</w:t>
            </w:r>
            <w:r w:rsidR="00907D8C">
              <w:rPr>
                <w:i/>
                <w:sz w:val="16"/>
              </w:rPr>
              <w:t xml:space="preserve"> </w:t>
            </w:r>
            <w:r w:rsidRPr="00507316">
              <w:rPr>
                <w:i/>
                <w:sz w:val="16"/>
              </w:rPr>
              <w:t>group</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Under</w:t>
            </w:r>
            <w:r w:rsidR="00907D8C">
              <w:rPr>
                <w:i/>
                <w:sz w:val="16"/>
              </w:rPr>
              <w:t xml:space="preserve"> </w:t>
            </w:r>
            <w:r w:rsidRPr="00507316">
              <w:rPr>
                <w:i/>
                <w:sz w:val="16"/>
              </w:rPr>
              <w:t>$17,600</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$17,600</w:t>
            </w:r>
            <w:r w:rsidR="00907D8C">
              <w:rPr>
                <w:i/>
                <w:sz w:val="16"/>
              </w:rPr>
              <w:t xml:space="preserve"> </w:t>
            </w:r>
            <w:r w:rsidRPr="00507316">
              <w:rPr>
                <w:i/>
                <w:sz w:val="16"/>
              </w:rPr>
              <w:t>to</w:t>
            </w:r>
            <w:r w:rsidR="00907D8C">
              <w:rPr>
                <w:i/>
                <w:sz w:val="16"/>
              </w:rPr>
              <w:t xml:space="preserve"> </w:t>
            </w:r>
            <w:r w:rsidRPr="00507316">
              <w:rPr>
                <w:i/>
                <w:sz w:val="16"/>
              </w:rPr>
              <w:t>$25,799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$25,800</w:t>
            </w:r>
            <w:r w:rsidR="00907D8C">
              <w:rPr>
                <w:i/>
                <w:sz w:val="16"/>
              </w:rPr>
              <w:t xml:space="preserve"> </w:t>
            </w:r>
            <w:r w:rsidRPr="00507316">
              <w:rPr>
                <w:i/>
                <w:sz w:val="16"/>
              </w:rPr>
              <w:t>to</w:t>
            </w:r>
            <w:r w:rsidR="00907D8C">
              <w:rPr>
                <w:i/>
                <w:sz w:val="16"/>
              </w:rPr>
              <w:t xml:space="preserve"> </w:t>
            </w:r>
            <w:r w:rsidRPr="00507316">
              <w:rPr>
                <w:i/>
                <w:sz w:val="16"/>
              </w:rPr>
              <w:t>$33,399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$33,400</w:t>
            </w:r>
            <w:r w:rsidR="00907D8C">
              <w:rPr>
                <w:i/>
                <w:sz w:val="16"/>
              </w:rPr>
              <w:t xml:space="preserve"> </w:t>
            </w:r>
            <w:r w:rsidRPr="00507316">
              <w:rPr>
                <w:i/>
                <w:sz w:val="16"/>
              </w:rPr>
              <w:t>to</w:t>
            </w:r>
            <w:r w:rsidR="00907D8C">
              <w:rPr>
                <w:i/>
                <w:sz w:val="16"/>
              </w:rPr>
              <w:t xml:space="preserve"> </w:t>
            </w:r>
            <w:r w:rsidRPr="00507316">
              <w:rPr>
                <w:i/>
                <w:sz w:val="16"/>
              </w:rPr>
              <w:t>$44,899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$44,900</w:t>
            </w:r>
            <w:r w:rsidR="00907D8C">
              <w:rPr>
                <w:i/>
                <w:sz w:val="16"/>
              </w:rPr>
              <w:t xml:space="preserve"> </w:t>
            </w:r>
            <w:r w:rsidRPr="00507316">
              <w:rPr>
                <w:i/>
                <w:sz w:val="16"/>
              </w:rPr>
              <w:t>to</w:t>
            </w:r>
            <w:r w:rsidR="00907D8C">
              <w:rPr>
                <w:i/>
                <w:sz w:val="16"/>
              </w:rPr>
              <w:t xml:space="preserve"> </w:t>
            </w:r>
            <w:r w:rsidRPr="00507316">
              <w:rPr>
                <w:i/>
                <w:sz w:val="16"/>
              </w:rPr>
              <w:t>$55,799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$55,800</w:t>
            </w:r>
            <w:r w:rsidR="00907D8C">
              <w:rPr>
                <w:i/>
                <w:sz w:val="16"/>
              </w:rPr>
              <w:t xml:space="preserve"> </w:t>
            </w:r>
            <w:r w:rsidRPr="00507316">
              <w:rPr>
                <w:i/>
                <w:sz w:val="16"/>
              </w:rPr>
              <w:t>to</w:t>
            </w:r>
            <w:r w:rsidR="00907D8C">
              <w:rPr>
                <w:i/>
                <w:sz w:val="16"/>
              </w:rPr>
              <w:t xml:space="preserve"> </w:t>
            </w:r>
            <w:r w:rsidRPr="00507316">
              <w:rPr>
                <w:i/>
                <w:sz w:val="16"/>
              </w:rPr>
              <w:t>$67,999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$68,000</w:t>
            </w:r>
            <w:r w:rsidR="00907D8C">
              <w:rPr>
                <w:i/>
                <w:sz w:val="16"/>
              </w:rPr>
              <w:t xml:space="preserve"> </w:t>
            </w:r>
            <w:r w:rsidRPr="00507316">
              <w:rPr>
                <w:i/>
                <w:sz w:val="16"/>
              </w:rPr>
              <w:t>to</w:t>
            </w:r>
            <w:r w:rsidR="00907D8C">
              <w:rPr>
                <w:i/>
                <w:sz w:val="16"/>
              </w:rPr>
              <w:t xml:space="preserve"> </w:t>
            </w:r>
            <w:r w:rsidRPr="00507316">
              <w:rPr>
                <w:i/>
                <w:sz w:val="16"/>
              </w:rPr>
              <w:t>$80,899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$80,900</w:t>
            </w:r>
            <w:r w:rsidR="00907D8C">
              <w:rPr>
                <w:i/>
                <w:sz w:val="16"/>
              </w:rPr>
              <w:t xml:space="preserve"> </w:t>
            </w:r>
            <w:r w:rsidRPr="00507316">
              <w:rPr>
                <w:i/>
                <w:sz w:val="16"/>
              </w:rPr>
              <w:t>to</w:t>
            </w:r>
            <w:r w:rsidR="00907D8C">
              <w:rPr>
                <w:i/>
                <w:sz w:val="16"/>
              </w:rPr>
              <w:t xml:space="preserve"> </w:t>
            </w:r>
            <w:r w:rsidRPr="00507316">
              <w:rPr>
                <w:i/>
                <w:sz w:val="16"/>
              </w:rPr>
              <w:t>$98,799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$98,800</w:t>
            </w:r>
            <w:r w:rsidR="00907D8C">
              <w:rPr>
                <w:i/>
                <w:sz w:val="16"/>
              </w:rPr>
              <w:t xml:space="preserve"> </w:t>
            </w:r>
            <w:r w:rsidRPr="00507316">
              <w:rPr>
                <w:i/>
                <w:sz w:val="16"/>
              </w:rPr>
              <w:t>to</w:t>
            </w:r>
            <w:r w:rsidR="00907D8C">
              <w:rPr>
                <w:i/>
                <w:sz w:val="16"/>
              </w:rPr>
              <w:t xml:space="preserve"> </w:t>
            </w:r>
            <w:r w:rsidRPr="00507316">
              <w:rPr>
                <w:i/>
                <w:sz w:val="16"/>
              </w:rPr>
              <w:t>$131,299</w:t>
            </w:r>
          </w:p>
        </w:tc>
        <w:tc>
          <w:tcPr>
            <w:tcW w:w="417" w:type="pct"/>
            <w:tcBorders>
              <w:top w:val="single" w:sz="4" w:space="0" w:color="auto"/>
              <w:bottom w:val="single" w:sz="4" w:space="0" w:color="auto"/>
            </w:tcBorders>
            <w:shd w:val="clear" w:color="auto" w:fill="auto"/>
            <w:vAlign w:val="bottom"/>
          </w:tcPr>
          <w:p w:rsidR="00036FAC" w:rsidRPr="00507316" w:rsidRDefault="00036FAC" w:rsidP="00507316">
            <w:pPr>
              <w:suppressAutoHyphens w:val="0"/>
              <w:spacing w:before="80" w:after="80" w:line="200" w:lineRule="exact"/>
              <w:ind w:right="113"/>
              <w:jc w:val="right"/>
              <w:rPr>
                <w:i/>
                <w:sz w:val="16"/>
              </w:rPr>
            </w:pPr>
            <w:r w:rsidRPr="00507316">
              <w:rPr>
                <w:i/>
                <w:sz w:val="16"/>
              </w:rPr>
              <w:t>$131,300</w:t>
            </w:r>
            <w:r w:rsidR="00907D8C">
              <w:rPr>
                <w:i/>
                <w:sz w:val="16"/>
              </w:rPr>
              <w:t xml:space="preserve"> </w:t>
            </w:r>
            <w:r w:rsidRPr="00507316">
              <w:rPr>
                <w:i/>
                <w:sz w:val="16"/>
              </w:rPr>
              <w:t>and</w:t>
            </w:r>
            <w:r w:rsidR="00907D8C">
              <w:rPr>
                <w:i/>
                <w:sz w:val="16"/>
              </w:rPr>
              <w:t xml:space="preserve"> </w:t>
            </w:r>
            <w:r w:rsidRPr="00507316">
              <w:rPr>
                <w:i/>
                <w:sz w:val="16"/>
              </w:rPr>
              <w:t>over</w:t>
            </w:r>
          </w:p>
        </w:tc>
      </w:tr>
      <w:tr w:rsidR="00507316" w:rsidRPr="00507316" w:rsidTr="00ED51C5">
        <w:tblPrEx>
          <w:tblCellMar>
            <w:top w:w="0" w:type="dxa"/>
            <w:bottom w:w="0" w:type="dxa"/>
          </w:tblCellMar>
        </w:tblPrEx>
        <w:trPr>
          <w:trHeight w:val="240"/>
        </w:trPr>
        <w:tc>
          <w:tcPr>
            <w:tcW w:w="829" w:type="pct"/>
            <w:tcBorders>
              <w:top w:val="single" w:sz="4" w:space="0" w:color="auto"/>
              <w:bottom w:val="single" w:sz="12" w:space="0" w:color="auto"/>
            </w:tcBorders>
            <w:shd w:val="clear" w:color="auto" w:fill="auto"/>
          </w:tcPr>
          <w:p w:rsidR="00036FAC" w:rsidRPr="00ED51C5" w:rsidRDefault="00036FAC" w:rsidP="00ED51C5">
            <w:pPr>
              <w:suppressAutoHyphens w:val="0"/>
              <w:spacing w:before="80" w:after="80" w:line="200" w:lineRule="exact"/>
              <w:ind w:right="113"/>
              <w:rPr>
                <w:i/>
                <w:sz w:val="16"/>
              </w:rPr>
            </w:pPr>
            <w:r w:rsidRPr="00ED51C5">
              <w:rPr>
                <w:i/>
                <w:sz w:val="16"/>
              </w:rPr>
              <w:t>Category</w:t>
            </w:r>
          </w:p>
        </w:tc>
        <w:tc>
          <w:tcPr>
            <w:tcW w:w="4171" w:type="pct"/>
            <w:gridSpan w:val="10"/>
            <w:tcBorders>
              <w:top w:val="single" w:sz="4" w:space="0" w:color="auto"/>
              <w:bottom w:val="single" w:sz="12" w:space="0" w:color="auto"/>
            </w:tcBorders>
            <w:shd w:val="clear" w:color="auto" w:fill="auto"/>
            <w:vAlign w:val="bottom"/>
          </w:tcPr>
          <w:p w:rsidR="00036FAC" w:rsidRPr="00ED51C5" w:rsidRDefault="00036FAC" w:rsidP="00ED51C5">
            <w:pPr>
              <w:suppressAutoHyphens w:val="0"/>
              <w:spacing w:before="80" w:after="80" w:line="200" w:lineRule="exact"/>
              <w:ind w:right="113"/>
              <w:jc w:val="center"/>
              <w:rPr>
                <w:i/>
                <w:sz w:val="16"/>
              </w:rPr>
            </w:pPr>
            <w:r w:rsidRPr="00ED51C5">
              <w:rPr>
                <w:i/>
                <w:sz w:val="16"/>
              </w:rPr>
              <w:t>Average</w:t>
            </w:r>
            <w:r w:rsidR="00907D8C">
              <w:rPr>
                <w:i/>
                <w:sz w:val="16"/>
              </w:rPr>
              <w:t xml:space="preserve"> </w:t>
            </w:r>
            <w:r w:rsidRPr="00ED51C5">
              <w:rPr>
                <w:i/>
                <w:sz w:val="16"/>
              </w:rPr>
              <w:t>weekly</w:t>
            </w:r>
            <w:r w:rsidR="00907D8C">
              <w:rPr>
                <w:i/>
                <w:sz w:val="16"/>
              </w:rPr>
              <w:t xml:space="preserve"> </w:t>
            </w:r>
            <w:r w:rsidRPr="00ED51C5">
              <w:rPr>
                <w:i/>
                <w:sz w:val="16"/>
              </w:rPr>
              <w:t>household</w:t>
            </w:r>
            <w:r w:rsidR="00907D8C">
              <w:rPr>
                <w:i/>
                <w:sz w:val="16"/>
              </w:rPr>
              <w:t xml:space="preserve"> </w:t>
            </w:r>
            <w:r w:rsidRPr="00ED51C5">
              <w:rPr>
                <w:i/>
                <w:sz w:val="16"/>
              </w:rPr>
              <w:t>expenditure</w:t>
            </w:r>
            <w:r w:rsidR="00907D8C">
              <w:rPr>
                <w:i/>
                <w:sz w:val="16"/>
              </w:rPr>
              <w:t xml:space="preserve"> </w:t>
            </w:r>
            <w:r w:rsidRPr="00ED51C5">
              <w:rPr>
                <w:i/>
                <w:sz w:val="16"/>
              </w:rPr>
              <w:t>($)</w:t>
            </w:r>
          </w:p>
        </w:tc>
      </w:tr>
      <w:tr w:rsidR="00507316" w:rsidRPr="00507316" w:rsidTr="00ED51C5">
        <w:tblPrEx>
          <w:tblCellMar>
            <w:top w:w="0" w:type="dxa"/>
            <w:bottom w:w="0" w:type="dxa"/>
          </w:tblCellMar>
        </w:tblPrEx>
        <w:trPr>
          <w:trHeight w:val="240"/>
        </w:trPr>
        <w:tc>
          <w:tcPr>
            <w:tcW w:w="829" w:type="pct"/>
            <w:tcBorders>
              <w:top w:val="single" w:sz="12" w:space="0" w:color="auto"/>
            </w:tcBorders>
            <w:shd w:val="clear" w:color="auto" w:fill="auto"/>
          </w:tcPr>
          <w:p w:rsidR="00036FAC" w:rsidRPr="00507316" w:rsidRDefault="00036FAC" w:rsidP="00507316">
            <w:pPr>
              <w:suppressAutoHyphens w:val="0"/>
              <w:spacing w:before="40" w:after="40" w:line="220" w:lineRule="exact"/>
              <w:ind w:right="113"/>
              <w:rPr>
                <w:sz w:val="18"/>
              </w:rPr>
            </w:pPr>
            <w:r w:rsidRPr="00507316">
              <w:rPr>
                <w:sz w:val="18"/>
              </w:rPr>
              <w:t>Food</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67.70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82.70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102.10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120.60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140.80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150.60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178.20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201.30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226.80</w:t>
            </w:r>
          </w:p>
        </w:tc>
        <w:tc>
          <w:tcPr>
            <w:tcW w:w="417" w:type="pct"/>
            <w:tcBorders>
              <w:top w:val="single" w:sz="12" w:space="0" w:color="auto"/>
            </w:tcBorders>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285.40</w:t>
            </w:r>
          </w:p>
        </w:tc>
      </w:tr>
      <w:tr w:rsidR="00507316" w:rsidRPr="00507316" w:rsidTr="00507316">
        <w:tblPrEx>
          <w:tblCellMar>
            <w:top w:w="0" w:type="dxa"/>
            <w:bottom w:w="0" w:type="dxa"/>
          </w:tblCellMar>
        </w:tblPrEx>
        <w:trPr>
          <w:trHeight w:val="240"/>
        </w:trPr>
        <w:tc>
          <w:tcPr>
            <w:tcW w:w="829" w:type="pct"/>
            <w:shd w:val="clear" w:color="auto" w:fill="auto"/>
          </w:tcPr>
          <w:p w:rsidR="00036FAC" w:rsidRPr="00507316" w:rsidRDefault="00036FAC" w:rsidP="00507316">
            <w:pPr>
              <w:suppressAutoHyphens w:val="0"/>
              <w:spacing w:before="40" w:after="40" w:line="220" w:lineRule="exact"/>
              <w:ind w:right="113"/>
              <w:rPr>
                <w:sz w:val="18"/>
              </w:rPr>
            </w:pPr>
            <w:r w:rsidRPr="00507316">
              <w:rPr>
                <w:sz w:val="18"/>
              </w:rPr>
              <w:t>Housing/household</w:t>
            </w:r>
            <w:r w:rsidR="00907D8C">
              <w:rPr>
                <w:sz w:val="18"/>
              </w:rPr>
              <w:t xml:space="preserve"> </w:t>
            </w:r>
            <w:r w:rsidRPr="00507316">
              <w:rPr>
                <w:sz w:val="18"/>
              </w:rPr>
              <w:t>utilities</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119.70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132.30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147.80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190.10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202.10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208.60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232.30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314.20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335.00</w:t>
            </w:r>
          </w:p>
        </w:tc>
        <w:tc>
          <w:tcPr>
            <w:tcW w:w="417" w:type="pct"/>
            <w:shd w:val="clear" w:color="auto" w:fill="auto"/>
            <w:vAlign w:val="bottom"/>
          </w:tcPr>
          <w:p w:rsidR="00036FAC" w:rsidRPr="00507316" w:rsidRDefault="00036FAC" w:rsidP="00507316">
            <w:pPr>
              <w:suppressAutoHyphens w:val="0"/>
              <w:spacing w:before="40" w:after="40" w:line="220" w:lineRule="exact"/>
              <w:ind w:right="113"/>
              <w:jc w:val="right"/>
              <w:rPr>
                <w:sz w:val="18"/>
              </w:rPr>
            </w:pPr>
            <w:r w:rsidRPr="00507316">
              <w:rPr>
                <w:sz w:val="18"/>
              </w:rPr>
              <w:t>357.30</w:t>
            </w:r>
          </w:p>
        </w:tc>
      </w:tr>
    </w:tbl>
    <w:p w:rsidR="00036FAC" w:rsidRPr="007C016E" w:rsidRDefault="00036FAC" w:rsidP="00370F9A">
      <w:pPr>
        <w:spacing w:before="120" w:after="240"/>
        <w:ind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507316" w:rsidRPr="007C016E">
        <w:rPr>
          <w:sz w:val="18"/>
          <w:szCs w:val="18"/>
        </w:rPr>
        <w:t>.</w:t>
      </w:r>
    </w:p>
    <w:p w:rsidR="00036FAC" w:rsidRPr="00036FAC" w:rsidRDefault="00507316" w:rsidP="006C436C">
      <w:pPr>
        <w:pStyle w:val="H23G"/>
      </w:pPr>
      <w:r>
        <w:tab/>
        <w:t>13.</w:t>
      </w:r>
      <w:r>
        <w:tab/>
        <w:t>Measures</w:t>
      </w:r>
      <w:r w:rsidR="00907D8C">
        <w:t xml:space="preserve"> </w:t>
      </w:r>
      <w:r>
        <w:t>of</w:t>
      </w:r>
      <w:r w:rsidR="00907D8C">
        <w:t xml:space="preserve"> </w:t>
      </w:r>
      <w:r>
        <w:t>inequality</w:t>
      </w:r>
    </w:p>
    <w:p w:rsidR="00036FAC" w:rsidRPr="00036FAC" w:rsidRDefault="00036FAC" w:rsidP="00507316">
      <w:pPr>
        <w:pStyle w:val="SingleTxtG"/>
      </w:pPr>
      <w:r w:rsidRPr="00036FAC">
        <w:t>61.</w:t>
      </w:r>
      <w:r w:rsidRPr="00036FAC">
        <w:tab/>
        <w:t>Income</w:t>
      </w:r>
      <w:r w:rsidR="00907D8C">
        <w:t xml:space="preserve"> </w:t>
      </w:r>
      <w:r w:rsidRPr="00036FAC">
        <w:t>inequality</w:t>
      </w:r>
      <w:r w:rsidR="00907D8C">
        <w:t xml:space="preserve"> </w:t>
      </w:r>
      <w:r w:rsidRPr="00036FAC">
        <w:t>rose</w:t>
      </w:r>
      <w:r w:rsidR="00907D8C">
        <w:t xml:space="preserve"> </w:t>
      </w:r>
      <w:r w:rsidRPr="00036FAC">
        <w:t>between</w:t>
      </w:r>
      <w:r w:rsidR="00907D8C">
        <w:t xml:space="preserve"> </w:t>
      </w:r>
      <w:r w:rsidRPr="00036FAC">
        <w:t>1988</w:t>
      </w:r>
      <w:r w:rsidR="00907D8C">
        <w:t xml:space="preserve"> </w:t>
      </w:r>
      <w:r w:rsidRPr="00036FAC">
        <w:t>and</w:t>
      </w:r>
      <w:r w:rsidR="00907D8C">
        <w:t xml:space="preserve"> </w:t>
      </w:r>
      <w:r w:rsidRPr="00036FAC">
        <w:t>1991,</w:t>
      </w:r>
      <w:r w:rsidR="00907D8C">
        <w:t xml:space="preserve"> </w:t>
      </w:r>
      <w:r w:rsidRPr="00036FAC">
        <w:t>briefly</w:t>
      </w:r>
      <w:r w:rsidR="00907D8C">
        <w:t xml:space="preserve"> </w:t>
      </w:r>
      <w:r w:rsidRPr="00036FAC">
        <w:t>plateaued,</w:t>
      </w:r>
      <w:r w:rsidR="00907D8C">
        <w:t xml:space="preserve"> </w:t>
      </w:r>
      <w:r w:rsidRPr="00036FAC">
        <w:t>then</w:t>
      </w:r>
      <w:r w:rsidR="00907D8C">
        <w:t xml:space="preserve"> </w:t>
      </w:r>
      <w:r w:rsidRPr="00036FAC">
        <w:t>rose</w:t>
      </w:r>
      <w:r w:rsidR="00907D8C">
        <w:t xml:space="preserve"> </w:t>
      </w:r>
      <w:r w:rsidRPr="00036FAC">
        <w:t>again</w:t>
      </w:r>
      <w:r w:rsidR="00907D8C">
        <w:t xml:space="preserve"> </w:t>
      </w:r>
      <w:r w:rsidRPr="00036FAC">
        <w:t>from</w:t>
      </w:r>
      <w:r w:rsidR="00907D8C">
        <w:t xml:space="preserve"> </w:t>
      </w:r>
      <w:r w:rsidRPr="00036FAC">
        <w:t>1994</w:t>
      </w:r>
      <w:r w:rsidR="00907D8C">
        <w:t xml:space="preserve"> </w:t>
      </w:r>
      <w:r w:rsidRPr="00036FAC">
        <w:t>to</w:t>
      </w:r>
      <w:r w:rsidR="00907D8C">
        <w:t xml:space="preserve"> </w:t>
      </w:r>
      <w:r w:rsidRPr="00036FAC">
        <w:t>2004.</w:t>
      </w:r>
      <w:r w:rsidR="00907D8C">
        <w:t xml:space="preserve"> </w:t>
      </w:r>
      <w:r w:rsidRPr="00036FAC">
        <w:t>Most</w:t>
      </w:r>
      <w:r w:rsidR="00907D8C">
        <w:t xml:space="preserve"> </w:t>
      </w:r>
      <w:r w:rsidRPr="00036FAC">
        <w:t>of</w:t>
      </w:r>
      <w:r w:rsidR="00907D8C">
        <w:t xml:space="preserve"> </w:t>
      </w:r>
      <w:r w:rsidRPr="00036FAC">
        <w:t>the</w:t>
      </w:r>
      <w:r w:rsidR="00907D8C">
        <w:t xml:space="preserve"> </w:t>
      </w:r>
      <w:r w:rsidRPr="00036FAC">
        <w:t>observed</w:t>
      </w:r>
      <w:r w:rsidR="00907D8C">
        <w:t xml:space="preserve"> </w:t>
      </w:r>
      <w:r w:rsidRPr="00036FAC">
        <w:t>increase</w:t>
      </w:r>
      <w:r w:rsidR="00907D8C">
        <w:t xml:space="preserve"> </w:t>
      </w:r>
      <w:r w:rsidRPr="00036FAC">
        <w:t>in</w:t>
      </w:r>
      <w:r w:rsidR="00907D8C">
        <w:t xml:space="preserve"> </w:t>
      </w:r>
      <w:r w:rsidRPr="00036FAC">
        <w:t>income</w:t>
      </w:r>
      <w:r w:rsidR="00907D8C">
        <w:t xml:space="preserve"> </w:t>
      </w:r>
      <w:r w:rsidRPr="00036FAC">
        <w:t>inequality</w:t>
      </w:r>
      <w:r w:rsidR="00907D8C">
        <w:t xml:space="preserve"> </w:t>
      </w:r>
      <w:r w:rsidRPr="00036FAC">
        <w:t>between</w:t>
      </w:r>
      <w:r w:rsidR="00907D8C">
        <w:t xml:space="preserve"> </w:t>
      </w:r>
      <w:r w:rsidRPr="00036FAC">
        <w:t>1988</w:t>
      </w:r>
      <w:r w:rsidR="00907D8C">
        <w:t xml:space="preserve"> </w:t>
      </w:r>
      <w:r w:rsidRPr="00036FAC">
        <w:t>and</w:t>
      </w:r>
      <w:r w:rsidR="00907D8C">
        <w:t xml:space="preserve"> </w:t>
      </w:r>
      <w:r w:rsidRPr="00036FAC">
        <w:t>2004</w:t>
      </w:r>
      <w:r w:rsidR="00907D8C">
        <w:t xml:space="preserve"> </w:t>
      </w:r>
      <w:r w:rsidRPr="00036FAC">
        <w:t>was</w:t>
      </w:r>
      <w:r w:rsidR="00907D8C">
        <w:t xml:space="preserve"> </w:t>
      </w:r>
      <w:r w:rsidRPr="00036FAC">
        <w:t>due</w:t>
      </w:r>
      <w:r w:rsidR="00907D8C">
        <w:t xml:space="preserve"> </w:t>
      </w:r>
      <w:r w:rsidRPr="00036FAC">
        <w:t>to</w:t>
      </w:r>
      <w:r w:rsidR="00907D8C">
        <w:t xml:space="preserve"> </w:t>
      </w:r>
      <w:r w:rsidRPr="00036FAC">
        <w:t>a</w:t>
      </w:r>
      <w:r w:rsidR="00907D8C">
        <w:t xml:space="preserve"> </w:t>
      </w:r>
      <w:r w:rsidRPr="00036FAC">
        <w:t>larger</w:t>
      </w:r>
      <w:r w:rsidR="00907D8C">
        <w:t xml:space="preserve"> </w:t>
      </w:r>
      <w:r w:rsidRPr="00036FAC">
        <w:t>overall</w:t>
      </w:r>
      <w:r w:rsidR="00907D8C">
        <w:t xml:space="preserve"> </w:t>
      </w:r>
      <w:r w:rsidRPr="00036FAC">
        <w:t>rise</w:t>
      </w:r>
      <w:r w:rsidR="00907D8C">
        <w:t xml:space="preserve"> </w:t>
      </w:r>
      <w:r w:rsidRPr="00036FAC">
        <w:t>in</w:t>
      </w:r>
      <w:r w:rsidR="00907D8C">
        <w:t xml:space="preserve"> </w:t>
      </w:r>
      <w:r w:rsidRPr="00036FAC">
        <w:t>incomes</w:t>
      </w:r>
      <w:r w:rsidR="00907D8C">
        <w:t xml:space="preserve"> </w:t>
      </w:r>
      <w:r w:rsidRPr="00036FAC">
        <w:t>for</w:t>
      </w:r>
      <w:r w:rsidR="00907D8C">
        <w:t xml:space="preserve"> </w:t>
      </w:r>
      <w:r w:rsidRPr="00036FAC">
        <w:t>those</w:t>
      </w:r>
      <w:r w:rsidR="00907D8C">
        <w:t xml:space="preserve"> </w:t>
      </w:r>
      <w:r w:rsidRPr="00036FAC">
        <w:t>in</w:t>
      </w:r>
      <w:r w:rsidR="00907D8C">
        <w:t xml:space="preserve"> </w:t>
      </w:r>
      <w:r w:rsidRPr="00036FAC">
        <w:t>the</w:t>
      </w:r>
      <w:r w:rsidR="00907D8C">
        <w:t xml:space="preserve"> </w:t>
      </w:r>
      <w:r w:rsidRPr="00036FAC">
        <w:t>top</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incomes</w:t>
      </w:r>
      <w:r w:rsidR="00907D8C">
        <w:t xml:space="preserve"> </w:t>
      </w:r>
      <w:r w:rsidRPr="00036FAC">
        <w:t>–</w:t>
      </w:r>
      <w:r w:rsidR="00907D8C">
        <w:t xml:space="preserve"> </w:t>
      </w:r>
      <w:r w:rsidRPr="00036FAC">
        <w:t>around</w:t>
      </w:r>
      <w:r w:rsidR="00907D8C">
        <w:t xml:space="preserve"> </w:t>
      </w:r>
      <w:r w:rsidRPr="00036FAC">
        <w:t>a</w:t>
      </w:r>
      <w:r w:rsidR="00907D8C">
        <w:t xml:space="preserve"> </w:t>
      </w:r>
      <w:r w:rsidRPr="00036FAC">
        <w:t>quarter</w:t>
      </w:r>
      <w:r w:rsidR="00907D8C">
        <w:t xml:space="preserve"> </w:t>
      </w:r>
      <w:r w:rsidRPr="00036FAC">
        <w:t>once</w:t>
      </w:r>
      <w:r w:rsidR="00907D8C">
        <w:t xml:space="preserve"> </w:t>
      </w:r>
      <w:r w:rsidRPr="00036FAC">
        <w:t>adjustments</w:t>
      </w:r>
      <w:r w:rsidR="00907D8C">
        <w:t xml:space="preserve"> </w:t>
      </w:r>
      <w:r w:rsidRPr="00036FAC">
        <w:t>for</w:t>
      </w:r>
      <w:r w:rsidR="00907D8C">
        <w:t xml:space="preserve"> </w:t>
      </w:r>
      <w:r w:rsidRPr="00036FAC">
        <w:t>inflation</w:t>
      </w:r>
      <w:r w:rsidR="00907D8C">
        <w:t xml:space="preserve"> </w:t>
      </w:r>
      <w:r w:rsidRPr="00036FAC">
        <w:t>are</w:t>
      </w:r>
      <w:r w:rsidR="00907D8C">
        <w:t xml:space="preserve"> </w:t>
      </w:r>
      <w:r w:rsidRPr="00036FAC">
        <w:t>made.</w:t>
      </w:r>
      <w:r w:rsidR="00907D8C">
        <w:t xml:space="preserve"> </w:t>
      </w:r>
      <w:r w:rsidRPr="00036FAC">
        <w:t>In</w:t>
      </w:r>
      <w:r w:rsidR="00907D8C">
        <w:t xml:space="preserve"> </w:t>
      </w:r>
      <w:r w:rsidRPr="00036FAC">
        <w:t>that</w:t>
      </w:r>
      <w:r w:rsidR="00907D8C">
        <w:t xml:space="preserve"> </w:t>
      </w:r>
      <w:r w:rsidRPr="00036FAC">
        <w:t>period,</w:t>
      </w:r>
      <w:r w:rsidR="00907D8C">
        <w:t xml:space="preserve"> </w:t>
      </w:r>
      <w:r w:rsidRPr="00036FAC">
        <w:t>incomes</w:t>
      </w:r>
      <w:r w:rsidR="00907D8C">
        <w:t xml:space="preserve"> </w:t>
      </w:r>
      <w:r w:rsidRPr="00036FAC">
        <w:t>for</w:t>
      </w:r>
      <w:r w:rsidR="00907D8C">
        <w:t xml:space="preserve"> </w:t>
      </w:r>
      <w:r w:rsidRPr="00036FAC">
        <w:t>those</w:t>
      </w:r>
      <w:r w:rsidR="00907D8C">
        <w:t xml:space="preserve"> </w:t>
      </w:r>
      <w:r w:rsidRPr="00036FAC">
        <w:t>in</w:t>
      </w:r>
      <w:r w:rsidR="00907D8C">
        <w:t xml:space="preserve"> </w:t>
      </w:r>
      <w:r w:rsidRPr="00036FAC">
        <w:t>the</w:t>
      </w:r>
      <w:r w:rsidR="00907D8C">
        <w:t xml:space="preserve"> </w:t>
      </w:r>
      <w:r w:rsidRPr="00036FAC">
        <w:t>bottom</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incomes</w:t>
      </w:r>
      <w:r w:rsidR="00907D8C">
        <w:t xml:space="preserve"> </w:t>
      </w:r>
      <w:r w:rsidRPr="00036FAC">
        <w:t>decreased</w:t>
      </w:r>
      <w:r w:rsidR="00907D8C">
        <w:t xml:space="preserve"> </w:t>
      </w:r>
      <w:r w:rsidRPr="00036FAC">
        <w:t>slightly.</w:t>
      </w:r>
      <w:r w:rsidR="00907D8C">
        <w:t xml:space="preserve"> </w:t>
      </w:r>
      <w:r w:rsidRPr="00036FAC">
        <w:t>Incomes</w:t>
      </w:r>
      <w:r w:rsidR="00907D8C">
        <w:t xml:space="preserve"> </w:t>
      </w:r>
      <w:r w:rsidRPr="00036FAC">
        <w:t>for</w:t>
      </w:r>
      <w:r w:rsidR="00907D8C">
        <w:t xml:space="preserve"> </w:t>
      </w:r>
      <w:r w:rsidRPr="00036FAC">
        <w:t>the</w:t>
      </w:r>
      <w:r w:rsidR="00907D8C">
        <w:t xml:space="preserve"> </w:t>
      </w:r>
      <w:r w:rsidRPr="00036FAC">
        <w:t>middle</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climbed</w:t>
      </w:r>
      <w:r w:rsidR="00907D8C">
        <w:t xml:space="preserve"> </w:t>
      </w:r>
      <w:r w:rsidRPr="00036FAC">
        <w:t>more</w:t>
      </w:r>
      <w:r w:rsidR="00907D8C">
        <w:t xml:space="preserve"> </w:t>
      </w:r>
      <w:r w:rsidRPr="00036FAC">
        <w:t>for</w:t>
      </w:r>
      <w:r w:rsidR="00907D8C">
        <w:t xml:space="preserve"> </w:t>
      </w:r>
      <w:r w:rsidRPr="00036FAC">
        <w:t>those</w:t>
      </w:r>
      <w:r w:rsidR="00907D8C">
        <w:t xml:space="preserve"> </w:t>
      </w:r>
      <w:r w:rsidRPr="00036FAC">
        <w:t>closer</w:t>
      </w:r>
      <w:r w:rsidR="00907D8C">
        <w:t xml:space="preserve"> </w:t>
      </w:r>
      <w:r w:rsidRPr="00036FAC">
        <w:t>to</w:t>
      </w:r>
      <w:r w:rsidR="00907D8C">
        <w:t xml:space="preserve"> </w:t>
      </w:r>
      <w:r w:rsidRPr="00036FAC">
        <w:t>the</w:t>
      </w:r>
      <w:r w:rsidR="00907D8C">
        <w:t xml:space="preserve"> </w:t>
      </w:r>
      <w:r w:rsidRPr="00036FAC">
        <w:t>top</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than</w:t>
      </w:r>
      <w:r w:rsidR="00907D8C">
        <w:t xml:space="preserve"> </w:t>
      </w:r>
      <w:r w:rsidRPr="00036FAC">
        <w:t>for</w:t>
      </w:r>
      <w:r w:rsidR="00907D8C">
        <w:t xml:space="preserve"> </w:t>
      </w:r>
      <w:r w:rsidRPr="00036FAC">
        <w:t>those</w:t>
      </w:r>
      <w:r w:rsidR="00907D8C">
        <w:t xml:space="preserve"> </w:t>
      </w:r>
      <w:r w:rsidRPr="00036FAC">
        <w:t>closer</w:t>
      </w:r>
      <w:r w:rsidR="00907D8C">
        <w:t xml:space="preserve"> </w:t>
      </w:r>
      <w:r w:rsidRPr="00036FAC">
        <w:t>to</w:t>
      </w:r>
      <w:r w:rsidR="00907D8C">
        <w:t xml:space="preserve"> </w:t>
      </w:r>
      <w:r w:rsidRPr="00036FAC">
        <w:t>the</w:t>
      </w:r>
      <w:r w:rsidR="00907D8C">
        <w:t xml:space="preserve"> </w:t>
      </w:r>
      <w:r w:rsidRPr="00036FAC">
        <w:t>bottom</w:t>
      </w:r>
      <w:r w:rsidR="00907D8C">
        <w:t xml:space="preserve"> </w:t>
      </w:r>
      <w:r w:rsidRPr="00036FAC">
        <w:t>20</w:t>
      </w:r>
      <w:r w:rsidR="00907D8C">
        <w:t xml:space="preserve"> </w:t>
      </w:r>
      <w:r w:rsidR="00AE58B5">
        <w:t>per</w:t>
      </w:r>
      <w:r w:rsidR="00907D8C">
        <w:t xml:space="preserve"> </w:t>
      </w:r>
      <w:r w:rsidR="00AE58B5">
        <w:t>cent</w:t>
      </w:r>
      <w:r w:rsidR="00507316">
        <w:t>.</w:t>
      </w:r>
    </w:p>
    <w:p w:rsidR="00036FAC" w:rsidRPr="00036FAC" w:rsidRDefault="00036FAC" w:rsidP="00006D5C">
      <w:pPr>
        <w:pStyle w:val="StyleSingleTxtGAfter3pt"/>
      </w:pPr>
      <w:r w:rsidRPr="00036FAC">
        <w:t>62.</w:t>
      </w:r>
      <w:r w:rsidRPr="00036FAC">
        <w:tab/>
        <w:t>From</w:t>
      </w:r>
      <w:r w:rsidR="00907D8C">
        <w:t xml:space="preserve"> </w:t>
      </w:r>
      <w:r w:rsidRPr="00036FAC">
        <w:t>2004</w:t>
      </w:r>
      <w:r w:rsidR="00907D8C">
        <w:t xml:space="preserve"> </w:t>
      </w:r>
      <w:r w:rsidRPr="00036FAC">
        <w:t>to</w:t>
      </w:r>
      <w:r w:rsidR="00907D8C">
        <w:t xml:space="preserve"> </w:t>
      </w:r>
      <w:r w:rsidRPr="00036FAC">
        <w:t>2008,</w:t>
      </w:r>
      <w:r w:rsidR="00907D8C">
        <w:t xml:space="preserve"> </w:t>
      </w:r>
      <w:r w:rsidRPr="00036FAC">
        <w:t>incomes</w:t>
      </w:r>
      <w:r w:rsidR="00907D8C">
        <w:t xml:space="preserve"> </w:t>
      </w:r>
      <w:r w:rsidRPr="00036FAC">
        <w:t>for</w:t>
      </w:r>
      <w:r w:rsidR="00907D8C">
        <w:t xml:space="preserve"> </w:t>
      </w:r>
      <w:r w:rsidRPr="00036FAC">
        <w:t>households</w:t>
      </w:r>
      <w:r w:rsidR="00907D8C">
        <w:t xml:space="preserve"> </w:t>
      </w:r>
      <w:r w:rsidRPr="00036FAC">
        <w:t>in</w:t>
      </w:r>
      <w:r w:rsidR="00907D8C">
        <w:t xml:space="preserve"> </w:t>
      </w:r>
      <w:r w:rsidRPr="00036FAC">
        <w:t>the</w:t>
      </w:r>
      <w:r w:rsidR="00907D8C">
        <w:t xml:space="preserve"> </w:t>
      </w:r>
      <w:r w:rsidRPr="00036FAC">
        <w:t>low-to-middle</w:t>
      </w:r>
      <w:r w:rsidR="00907D8C">
        <w:t xml:space="preserve"> </w:t>
      </w:r>
      <w:r w:rsidRPr="00036FAC">
        <w:t>income</w:t>
      </w:r>
      <w:r w:rsidR="00907D8C">
        <w:t xml:space="preserve"> </w:t>
      </w:r>
      <w:r w:rsidRPr="00036FAC">
        <w:t>range</w:t>
      </w:r>
      <w:r w:rsidR="00907D8C">
        <w:t xml:space="preserve"> </w:t>
      </w:r>
      <w:r w:rsidRPr="00036FAC">
        <w:t>rose</w:t>
      </w:r>
      <w:r w:rsidR="00907D8C">
        <w:t xml:space="preserve"> </w:t>
      </w:r>
      <w:r w:rsidRPr="00036FAC">
        <w:t>more</w:t>
      </w:r>
      <w:r w:rsidR="00907D8C">
        <w:t xml:space="preserve"> </w:t>
      </w:r>
      <w:r w:rsidRPr="00036FAC">
        <w:t>quickly</w:t>
      </w:r>
      <w:r w:rsidR="00907D8C">
        <w:t xml:space="preserve"> </w:t>
      </w:r>
      <w:r w:rsidRPr="00036FAC">
        <w:t>than</w:t>
      </w:r>
      <w:r w:rsidR="00907D8C">
        <w:t xml:space="preserve"> </w:t>
      </w:r>
      <w:r w:rsidRPr="00036FAC">
        <w:t>incomes</w:t>
      </w:r>
      <w:r w:rsidR="00907D8C">
        <w:t xml:space="preserve"> </w:t>
      </w:r>
      <w:r w:rsidRPr="00036FAC">
        <w:t>for</w:t>
      </w:r>
      <w:r w:rsidR="00907D8C">
        <w:t xml:space="preserve"> </w:t>
      </w:r>
      <w:r w:rsidRPr="00036FAC">
        <w:t>higher</w:t>
      </w:r>
      <w:r w:rsidR="00907D8C">
        <w:t xml:space="preserve"> </w:t>
      </w:r>
      <w:r w:rsidRPr="00036FAC">
        <w:t>income</w:t>
      </w:r>
      <w:r w:rsidR="00907D8C">
        <w:t xml:space="preserve"> </w:t>
      </w:r>
      <w:r w:rsidRPr="00036FAC">
        <w:t>households.</w:t>
      </w:r>
      <w:r w:rsidR="00907D8C">
        <w:t xml:space="preserve"> </w:t>
      </w:r>
      <w:r w:rsidRPr="00036FAC">
        <w:t>Incomes</w:t>
      </w:r>
      <w:r w:rsidR="00907D8C">
        <w:t xml:space="preserve"> </w:t>
      </w:r>
      <w:r w:rsidRPr="00036FAC">
        <w:t>for</w:t>
      </w:r>
      <w:r w:rsidR="00907D8C">
        <w:t xml:space="preserve"> </w:t>
      </w:r>
      <w:r w:rsidRPr="00036FAC">
        <w:t>the</w:t>
      </w:r>
      <w:r w:rsidR="00907D8C">
        <w:t xml:space="preserve"> </w:t>
      </w:r>
      <w:r w:rsidRPr="00036FAC">
        <w:t>lower</w:t>
      </w:r>
      <w:r w:rsidR="00907D8C">
        <w:t xml:space="preserve"> </w:t>
      </w:r>
      <w:r w:rsidRPr="00036FAC">
        <w:t>four</w:t>
      </w:r>
      <w:r w:rsidR="00907D8C">
        <w:t xml:space="preserve"> </w:t>
      </w:r>
      <w:r w:rsidRPr="00036FAC">
        <w:t>deciles</w:t>
      </w:r>
      <w:r w:rsidR="00907D8C">
        <w:t xml:space="preserve"> </w:t>
      </w:r>
      <w:r w:rsidRPr="00036FAC">
        <w:t>grew</w:t>
      </w:r>
      <w:r w:rsidR="00907D8C">
        <w:t xml:space="preserve"> </w:t>
      </w:r>
      <w:r w:rsidRPr="00036FAC">
        <w:t>by</w:t>
      </w:r>
      <w:r w:rsidR="00907D8C">
        <w:t xml:space="preserve"> </w:t>
      </w:r>
      <w:r w:rsidRPr="00036FAC">
        <w:t>13–17</w:t>
      </w:r>
      <w:r w:rsidR="00907D8C">
        <w:t xml:space="preserve"> </w:t>
      </w:r>
      <w:r w:rsidR="00AE58B5">
        <w:t>per</w:t>
      </w:r>
      <w:r w:rsidR="00907D8C">
        <w:t xml:space="preserve"> </w:t>
      </w:r>
      <w:r w:rsidR="00AE58B5">
        <w:t>cent</w:t>
      </w:r>
      <w:r w:rsidRPr="00036FAC">
        <w:t>,</w:t>
      </w:r>
      <w:r w:rsidR="00907D8C">
        <w:t xml:space="preserve"> </w:t>
      </w:r>
      <w:r w:rsidRPr="00036FAC">
        <w:t>while</w:t>
      </w:r>
      <w:r w:rsidR="00907D8C">
        <w:t xml:space="preserve"> </w:t>
      </w:r>
      <w:r w:rsidRPr="00036FAC">
        <w:t>those</w:t>
      </w:r>
      <w:r w:rsidR="00907D8C">
        <w:t xml:space="preserve"> </w:t>
      </w:r>
      <w:r w:rsidRPr="00036FAC">
        <w:t>above</w:t>
      </w:r>
      <w:r w:rsidR="00907D8C">
        <w:t xml:space="preserve"> </w:t>
      </w:r>
      <w:r w:rsidRPr="00036FAC">
        <w:t>the</w:t>
      </w:r>
      <w:r w:rsidR="00907D8C">
        <w:t xml:space="preserve"> </w:t>
      </w:r>
      <w:r w:rsidRPr="00036FAC">
        <w:t>median</w:t>
      </w:r>
      <w:r w:rsidR="00907D8C">
        <w:t xml:space="preserve"> </w:t>
      </w:r>
      <w:r w:rsidRPr="00036FAC">
        <w:t>typically</w:t>
      </w:r>
      <w:r w:rsidR="00907D8C">
        <w:t xml:space="preserve"> </w:t>
      </w:r>
      <w:r w:rsidRPr="00036FAC">
        <w:t>grew</w:t>
      </w:r>
      <w:r w:rsidR="00907D8C">
        <w:t xml:space="preserve"> </w:t>
      </w:r>
      <w:r w:rsidRPr="00036FAC">
        <w:t>by</w:t>
      </w:r>
      <w:r w:rsidR="00907D8C">
        <w:t xml:space="preserve"> </w:t>
      </w:r>
      <w:r w:rsidRPr="00036FAC">
        <w:t>around</w:t>
      </w:r>
      <w:r w:rsidR="00907D8C">
        <w:t xml:space="preserve"> </w:t>
      </w:r>
      <w:r w:rsidRPr="00036FAC">
        <w:t>8–9</w:t>
      </w:r>
      <w:r w:rsidR="00907D8C">
        <w:t xml:space="preserve"> </w:t>
      </w:r>
      <w:r w:rsidR="00AE58B5">
        <w:t>per</w:t>
      </w:r>
      <w:r w:rsidR="00907D8C">
        <w:t xml:space="preserve"> </w:t>
      </w:r>
      <w:r w:rsidR="00AE58B5">
        <w:t>cent</w:t>
      </w:r>
      <w:r w:rsidRPr="00036FAC">
        <w:t>.</w:t>
      </w:r>
      <w:r w:rsidR="00907D8C">
        <w:t xml:space="preserve"> </w:t>
      </w:r>
      <w:r w:rsidRPr="00036FAC">
        <w:t>This</w:t>
      </w:r>
      <w:r w:rsidR="00907D8C">
        <w:t xml:space="preserve"> </w:t>
      </w:r>
      <w:r w:rsidRPr="00036FAC">
        <w:t>was</w:t>
      </w:r>
      <w:r w:rsidR="00907D8C">
        <w:t xml:space="preserve"> </w:t>
      </w:r>
      <w:r w:rsidRPr="00036FAC">
        <w:t>the</w:t>
      </w:r>
      <w:r w:rsidR="00907D8C">
        <w:t xml:space="preserve"> </w:t>
      </w:r>
      <w:r w:rsidRPr="00036FAC">
        <w:t>only</w:t>
      </w:r>
      <w:r w:rsidR="00907D8C">
        <w:t xml:space="preserve"> </w:t>
      </w:r>
      <w:r w:rsidRPr="00036FAC">
        <w:t>period</w:t>
      </w:r>
      <w:r w:rsidR="00907D8C">
        <w:t xml:space="preserve"> </w:t>
      </w:r>
      <w:r w:rsidRPr="00036FAC">
        <w:t>in</w:t>
      </w:r>
      <w:r w:rsidR="00907D8C">
        <w:t xml:space="preserve"> </w:t>
      </w:r>
      <w:r w:rsidRPr="00036FAC">
        <w:t>the</w:t>
      </w:r>
      <w:r w:rsidR="00907D8C">
        <w:t xml:space="preserve"> </w:t>
      </w:r>
      <w:r w:rsidRPr="00036FAC">
        <w:t>last</w:t>
      </w:r>
      <w:r w:rsidR="00907D8C">
        <w:t xml:space="preserve"> </w:t>
      </w:r>
      <w:r w:rsidRPr="00036FAC">
        <w:t>25</w:t>
      </w:r>
      <w:r w:rsidR="00907D8C">
        <w:t xml:space="preserve"> </w:t>
      </w:r>
      <w:r w:rsidRPr="00036FAC">
        <w:t>years</w:t>
      </w:r>
      <w:r w:rsidR="00907D8C">
        <w:t xml:space="preserve"> </w:t>
      </w:r>
      <w:r w:rsidRPr="00036FAC">
        <w:t>when</w:t>
      </w:r>
      <w:r w:rsidR="00907D8C">
        <w:t xml:space="preserve"> </w:t>
      </w:r>
      <w:r w:rsidRPr="00036FAC">
        <w:t>the</w:t>
      </w:r>
      <w:r w:rsidR="00907D8C">
        <w:t xml:space="preserve"> </w:t>
      </w:r>
      <w:r w:rsidRPr="00036FAC">
        <w:t>incomes</w:t>
      </w:r>
      <w:r w:rsidR="00907D8C">
        <w:t xml:space="preserve"> </w:t>
      </w:r>
      <w:r w:rsidRPr="00036FAC">
        <w:t>of</w:t>
      </w:r>
      <w:r w:rsidR="00907D8C">
        <w:t xml:space="preserve"> </w:t>
      </w:r>
      <w:r w:rsidRPr="00036FAC">
        <w:t>low-to-</w:t>
      </w:r>
      <w:r w:rsidR="00907D8C">
        <w:t xml:space="preserve"> </w:t>
      </w:r>
      <w:r w:rsidRPr="00036FAC">
        <w:t>middle</w:t>
      </w:r>
      <w:r w:rsidR="00907D8C">
        <w:t xml:space="preserve"> </w:t>
      </w:r>
      <w:r w:rsidRPr="00036FAC">
        <w:t>income</w:t>
      </w:r>
      <w:r w:rsidR="00907D8C">
        <w:t xml:space="preserve"> </w:t>
      </w:r>
      <w:r w:rsidRPr="00036FAC">
        <w:t>households</w:t>
      </w:r>
      <w:r w:rsidR="00907D8C">
        <w:t xml:space="preserve"> </w:t>
      </w:r>
      <w:r w:rsidRPr="00036FAC">
        <w:t>grew</w:t>
      </w:r>
      <w:r w:rsidR="00907D8C">
        <w:t xml:space="preserve"> </w:t>
      </w:r>
      <w:r w:rsidRPr="00036FAC">
        <w:t>more</w:t>
      </w:r>
      <w:r w:rsidR="00907D8C">
        <w:t xml:space="preserve"> </w:t>
      </w:r>
      <w:r w:rsidRPr="00036FAC">
        <w:t>quickly</w:t>
      </w:r>
      <w:r w:rsidR="00907D8C">
        <w:t xml:space="preserve"> </w:t>
      </w:r>
      <w:r w:rsidRPr="00036FAC">
        <w:t>than</w:t>
      </w:r>
      <w:r w:rsidR="00907D8C">
        <w:t xml:space="preserve"> </w:t>
      </w:r>
      <w:r w:rsidRPr="00036FAC">
        <w:t>those</w:t>
      </w:r>
      <w:r w:rsidR="00907D8C">
        <w:t xml:space="preserve"> </w:t>
      </w:r>
      <w:r w:rsidRPr="00036FAC">
        <w:t>of</w:t>
      </w:r>
      <w:r w:rsidR="00907D8C">
        <w:t xml:space="preserve"> </w:t>
      </w:r>
      <w:r w:rsidRPr="00036FAC">
        <w:t>households</w:t>
      </w:r>
      <w:r w:rsidR="00907D8C">
        <w:t xml:space="preserve"> </w:t>
      </w:r>
      <w:r w:rsidR="00507316">
        <w:t>above</w:t>
      </w:r>
      <w:r w:rsidR="00907D8C">
        <w:t xml:space="preserve"> </w:t>
      </w:r>
      <w:r w:rsidR="00507316">
        <w:t>the</w:t>
      </w:r>
      <w:r w:rsidR="00907D8C">
        <w:t xml:space="preserve"> </w:t>
      </w:r>
      <w:r w:rsidR="00507316">
        <w:t>median.</w:t>
      </w:r>
    </w:p>
    <w:p w:rsidR="00036FAC" w:rsidRPr="00036FAC" w:rsidRDefault="00036FAC" w:rsidP="00B50FB5">
      <w:pPr>
        <w:pStyle w:val="SingleTxtG"/>
      </w:pPr>
      <w:r w:rsidRPr="00036FAC">
        <w:t>63.</w:t>
      </w:r>
      <w:r w:rsidRPr="00036FAC">
        <w:tab/>
        <w:t>Comparisons</w:t>
      </w:r>
      <w:r w:rsidR="00907D8C">
        <w:t xml:space="preserve"> </w:t>
      </w:r>
      <w:r w:rsidRPr="00036FAC">
        <w:t>with</w:t>
      </w:r>
      <w:r w:rsidR="00907D8C">
        <w:t xml:space="preserve"> </w:t>
      </w:r>
      <w:r w:rsidRPr="00036FAC">
        <w:t>other</w:t>
      </w:r>
      <w:r w:rsidR="00907D8C">
        <w:t xml:space="preserve"> </w:t>
      </w:r>
      <w:r w:rsidRPr="00036FAC">
        <w:t>OECD</w:t>
      </w:r>
      <w:r w:rsidR="00907D8C">
        <w:t xml:space="preserve"> </w:t>
      </w:r>
      <w:r w:rsidRPr="00036FAC">
        <w:t>countries</w:t>
      </w:r>
      <w:r w:rsidR="00907D8C">
        <w:t xml:space="preserve"> </w:t>
      </w:r>
      <w:r w:rsidRPr="00036FAC">
        <w:t>are</w:t>
      </w:r>
      <w:r w:rsidR="00907D8C">
        <w:t xml:space="preserve"> </w:t>
      </w:r>
      <w:r w:rsidRPr="00036FAC">
        <w:t>available</w:t>
      </w:r>
      <w:r w:rsidR="00907D8C">
        <w:t xml:space="preserve"> </w:t>
      </w:r>
      <w:r w:rsidRPr="00036FAC">
        <w:t>using</w:t>
      </w:r>
      <w:r w:rsidR="00907D8C">
        <w:t xml:space="preserve"> </w:t>
      </w:r>
      <w:r w:rsidRPr="00036FAC">
        <w:t>a</w:t>
      </w:r>
      <w:r w:rsidR="00907D8C">
        <w:t xml:space="preserve"> </w:t>
      </w:r>
      <w:r w:rsidRPr="00036FAC">
        <w:t>different</w:t>
      </w:r>
      <w:r w:rsidR="00907D8C">
        <w:t xml:space="preserve"> </w:t>
      </w:r>
      <w:r w:rsidRPr="00036FAC">
        <w:t>measure,</w:t>
      </w:r>
      <w:r w:rsidR="00907D8C">
        <w:t xml:space="preserve"> </w:t>
      </w:r>
      <w:r w:rsidRPr="00036FAC">
        <w:t>the</w:t>
      </w:r>
      <w:r w:rsidR="00907D8C">
        <w:t xml:space="preserve"> </w:t>
      </w:r>
      <w:r w:rsidRPr="00036FAC">
        <w:t>Gini</w:t>
      </w:r>
      <w:r w:rsidR="00907D8C">
        <w:t xml:space="preserve"> </w:t>
      </w:r>
      <w:r w:rsidRPr="00036FAC">
        <w:t>coefficient.</w:t>
      </w:r>
      <w:r w:rsidR="00907D8C">
        <w:t xml:space="preserve"> </w:t>
      </w:r>
      <w:r w:rsidRPr="00036FAC">
        <w:t>Gini</w:t>
      </w:r>
      <w:r w:rsidR="00907D8C">
        <w:t xml:space="preserve"> </w:t>
      </w:r>
      <w:r w:rsidRPr="00036FAC">
        <w:t>coefficients</w:t>
      </w:r>
      <w:r w:rsidR="00907D8C">
        <w:t xml:space="preserve"> </w:t>
      </w:r>
      <w:r w:rsidRPr="00036FAC">
        <w:t>measure</w:t>
      </w:r>
      <w:r w:rsidR="00907D8C">
        <w:t xml:space="preserve"> </w:t>
      </w:r>
      <w:r w:rsidRPr="00036FAC">
        <w:t>income</w:t>
      </w:r>
      <w:r w:rsidR="00907D8C">
        <w:t xml:space="preserve"> </w:t>
      </w:r>
      <w:r w:rsidRPr="00036FAC">
        <w:t>inequality,</w:t>
      </w:r>
      <w:r w:rsidR="00907D8C">
        <w:t xml:space="preserve"> </w:t>
      </w:r>
      <w:r w:rsidRPr="00036FAC">
        <w:t>with</w:t>
      </w:r>
      <w:r w:rsidR="00907D8C">
        <w:t xml:space="preserve"> </w:t>
      </w:r>
      <w:r w:rsidRPr="00036FAC">
        <w:t>a</w:t>
      </w:r>
      <w:r w:rsidR="00907D8C">
        <w:t xml:space="preserve"> </w:t>
      </w:r>
      <w:r w:rsidRPr="00036FAC">
        <w:t>score</w:t>
      </w:r>
      <w:r w:rsidR="00907D8C">
        <w:t xml:space="preserve"> </w:t>
      </w:r>
      <w:r w:rsidRPr="00036FAC">
        <w:t>of</w:t>
      </w:r>
      <w:r w:rsidR="00907D8C">
        <w:t xml:space="preserve"> </w:t>
      </w:r>
      <w:r w:rsidRPr="00036FAC">
        <w:t>100</w:t>
      </w:r>
      <w:r w:rsidR="00907D8C">
        <w:t xml:space="preserve"> </w:t>
      </w:r>
      <w:r w:rsidRPr="00036FAC">
        <w:t>indicating</w:t>
      </w:r>
      <w:r w:rsidR="00907D8C">
        <w:t xml:space="preserve"> </w:t>
      </w:r>
      <w:r w:rsidRPr="00036FAC">
        <w:t>perfect</w:t>
      </w:r>
      <w:r w:rsidR="00907D8C">
        <w:t xml:space="preserve"> </w:t>
      </w:r>
      <w:r w:rsidRPr="00036FAC">
        <w:t>inequality</w:t>
      </w:r>
      <w:r w:rsidR="00907D8C">
        <w:t xml:space="preserve"> </w:t>
      </w:r>
      <w:r w:rsidRPr="00036FAC">
        <w:t>and</w:t>
      </w:r>
      <w:r w:rsidR="00907D8C">
        <w:t xml:space="preserve"> </w:t>
      </w:r>
      <w:r w:rsidRPr="00036FAC">
        <w:t>a</w:t>
      </w:r>
      <w:r w:rsidR="00907D8C">
        <w:t xml:space="preserve"> </w:t>
      </w:r>
      <w:r w:rsidRPr="00036FAC">
        <w:t>score</w:t>
      </w:r>
      <w:r w:rsidR="00907D8C">
        <w:t xml:space="preserve"> </w:t>
      </w:r>
      <w:r w:rsidRPr="00036FAC">
        <w:t>of</w:t>
      </w:r>
      <w:r w:rsidR="00907D8C">
        <w:t xml:space="preserve"> </w:t>
      </w:r>
      <w:r w:rsidRPr="00036FAC">
        <w:t>0</w:t>
      </w:r>
      <w:r w:rsidR="00907D8C">
        <w:t xml:space="preserve"> </w:t>
      </w:r>
      <w:r w:rsidRPr="00036FAC">
        <w:t>indicating</w:t>
      </w:r>
      <w:r w:rsidR="00907D8C">
        <w:t xml:space="preserve"> </w:t>
      </w:r>
      <w:r w:rsidRPr="00036FAC">
        <w:t>perfect</w:t>
      </w:r>
      <w:r w:rsidR="00907D8C">
        <w:t xml:space="preserve"> </w:t>
      </w:r>
      <w:r w:rsidRPr="00036FAC">
        <w:t>equality.</w:t>
      </w:r>
      <w:r w:rsidR="00907D8C">
        <w:t xml:space="preserve"> </w:t>
      </w:r>
      <w:r w:rsidRPr="00036FAC">
        <w:t>The</w:t>
      </w:r>
      <w:r w:rsidR="00907D8C">
        <w:t xml:space="preserve"> </w:t>
      </w:r>
      <w:r w:rsidRPr="00036FAC">
        <w:t>most</w:t>
      </w:r>
      <w:r w:rsidR="00907D8C">
        <w:t xml:space="preserve"> </w:t>
      </w:r>
      <w:r w:rsidRPr="00036FAC">
        <w:t>recent</w:t>
      </w:r>
      <w:r w:rsidR="00907D8C">
        <w:t xml:space="preserve"> </w:t>
      </w:r>
      <w:r w:rsidRPr="00036FAC">
        <w:t>OECD</w:t>
      </w:r>
      <w:r w:rsidR="00907D8C">
        <w:t xml:space="preserve"> </w:t>
      </w:r>
      <w:r w:rsidRPr="00036FAC">
        <w:t>comparison</w:t>
      </w:r>
      <w:r w:rsidR="00907D8C">
        <w:t xml:space="preserve"> </w:t>
      </w:r>
      <w:r w:rsidRPr="00036FAC">
        <w:t>(from</w:t>
      </w:r>
      <w:r w:rsidR="00907D8C">
        <w:t xml:space="preserve"> </w:t>
      </w:r>
      <w:r w:rsidRPr="00036FAC">
        <w:t>2004)</w:t>
      </w:r>
      <w:r w:rsidR="00907D8C">
        <w:t xml:space="preserve"> </w:t>
      </w:r>
      <w:r w:rsidRPr="00036FAC">
        <w:t>gives</w:t>
      </w:r>
      <w:r w:rsidR="00907D8C">
        <w:t xml:space="preserve"> </w:t>
      </w:r>
      <w:r w:rsidRPr="00036FAC">
        <w:t>New</w:t>
      </w:r>
      <w:r w:rsidR="00907D8C">
        <w:t xml:space="preserve"> </w:t>
      </w:r>
      <w:r w:rsidRPr="00036FAC">
        <w:t>Zealand</w:t>
      </w:r>
      <w:r w:rsidR="00907D8C">
        <w:t xml:space="preserve"> </w:t>
      </w:r>
      <w:r w:rsidRPr="00036FAC">
        <w:t>a</w:t>
      </w:r>
      <w:r w:rsidR="00907D8C">
        <w:t xml:space="preserve"> </w:t>
      </w:r>
      <w:r w:rsidRPr="00036FAC">
        <w:t>score</w:t>
      </w:r>
      <w:r w:rsidR="00907D8C">
        <w:t xml:space="preserve"> </w:t>
      </w:r>
      <w:r w:rsidRPr="00036FAC">
        <w:t>of</w:t>
      </w:r>
      <w:r w:rsidR="00907D8C">
        <w:t xml:space="preserve"> </w:t>
      </w:r>
      <w:r w:rsidRPr="00036FAC">
        <w:t>34,</w:t>
      </w:r>
      <w:r w:rsidR="00907D8C">
        <w:t xml:space="preserve"> </w:t>
      </w:r>
      <w:r w:rsidRPr="00036FAC">
        <w:t>indicating</w:t>
      </w:r>
      <w:r w:rsidR="00907D8C">
        <w:t xml:space="preserve"> </w:t>
      </w:r>
      <w:r w:rsidRPr="00036FAC">
        <w:t>higher</w:t>
      </w:r>
      <w:r w:rsidR="00907D8C">
        <w:t xml:space="preserve"> </w:t>
      </w:r>
      <w:r w:rsidRPr="00036FAC">
        <w:t>inequality</w:t>
      </w:r>
      <w:r w:rsidR="00907D8C">
        <w:t xml:space="preserve"> </w:t>
      </w:r>
      <w:r w:rsidRPr="00036FAC">
        <w:t>than</w:t>
      </w:r>
      <w:r w:rsidR="00907D8C">
        <w:t xml:space="preserve"> </w:t>
      </w:r>
      <w:r w:rsidRPr="00036FAC">
        <w:t>the</w:t>
      </w:r>
      <w:r w:rsidR="00907D8C">
        <w:t xml:space="preserve"> </w:t>
      </w:r>
      <w:r w:rsidRPr="00036FAC">
        <w:t>OECD</w:t>
      </w:r>
      <w:r w:rsidR="00907D8C">
        <w:t xml:space="preserve"> </w:t>
      </w:r>
      <w:r w:rsidRPr="00036FAC">
        <w:t>median</w:t>
      </w:r>
      <w:r w:rsidR="00907D8C">
        <w:t xml:space="preserve"> </w:t>
      </w:r>
      <w:r w:rsidRPr="00036FAC">
        <w:t>of</w:t>
      </w:r>
      <w:r w:rsidR="00907D8C">
        <w:t xml:space="preserve"> </w:t>
      </w:r>
      <w:r w:rsidRPr="00036FAC">
        <w:t>31</w:t>
      </w:r>
      <w:r w:rsidR="00907D8C">
        <w:t xml:space="preserve"> </w:t>
      </w:r>
      <w:r w:rsidRPr="00036FAC">
        <w:t>and</w:t>
      </w:r>
      <w:r w:rsidR="00907D8C">
        <w:t xml:space="preserve"> </w:t>
      </w:r>
      <w:r w:rsidRPr="00036FAC">
        <w:t>a</w:t>
      </w:r>
      <w:r w:rsidR="00907D8C">
        <w:t xml:space="preserve"> </w:t>
      </w:r>
      <w:r w:rsidRPr="00036FAC">
        <w:t>ranking</w:t>
      </w:r>
      <w:r w:rsidR="00907D8C">
        <w:t xml:space="preserve"> </w:t>
      </w:r>
      <w:r w:rsidRPr="00036FAC">
        <w:t>of</w:t>
      </w:r>
      <w:r w:rsidR="00907D8C">
        <w:t xml:space="preserve"> </w:t>
      </w:r>
      <w:r w:rsidRPr="00036FAC">
        <w:t>23rd</w:t>
      </w:r>
      <w:r w:rsidR="00907D8C">
        <w:t xml:space="preserve"> </w:t>
      </w:r>
      <w:r w:rsidRPr="00036FAC">
        <w:t>equal</w:t>
      </w:r>
      <w:r w:rsidR="00907D8C">
        <w:t xml:space="preserve"> </w:t>
      </w:r>
      <w:r w:rsidRPr="00036FAC">
        <w:t>out</w:t>
      </w:r>
      <w:r w:rsidR="00907D8C">
        <w:t xml:space="preserve"> </w:t>
      </w:r>
      <w:r w:rsidRPr="00036FAC">
        <w:t>of</w:t>
      </w:r>
      <w:r w:rsidR="00907D8C">
        <w:t xml:space="preserve"> </w:t>
      </w:r>
      <w:r w:rsidRPr="00036FAC">
        <w:t>30</w:t>
      </w:r>
      <w:r w:rsidR="00907D8C">
        <w:t xml:space="preserve"> </w:t>
      </w:r>
      <w:r w:rsidRPr="00036FAC">
        <w:t>countries.</w:t>
      </w:r>
      <w:r w:rsidR="00907D8C">
        <w:t xml:space="preserve"> </w:t>
      </w:r>
      <w:r w:rsidRPr="00036FAC">
        <w:t>The</w:t>
      </w:r>
      <w:r w:rsidR="00907D8C">
        <w:t xml:space="preserve"> </w:t>
      </w:r>
      <w:r w:rsidRPr="00036FAC">
        <w:t>2008</w:t>
      </w:r>
      <w:r w:rsidR="00907D8C">
        <w:t xml:space="preserve"> </w:t>
      </w:r>
      <w:r w:rsidRPr="00036FAC">
        <w:t>Gini</w:t>
      </w:r>
      <w:r w:rsidR="00907D8C">
        <w:t xml:space="preserve"> </w:t>
      </w:r>
      <w:r w:rsidRPr="00036FAC">
        <w:t>score</w:t>
      </w:r>
      <w:r w:rsidR="00907D8C">
        <w:t xml:space="preserve"> </w:t>
      </w:r>
      <w:r w:rsidRPr="00036FAC">
        <w:t>for</w:t>
      </w:r>
      <w:r w:rsidR="00907D8C">
        <w:t xml:space="preserve"> </w:t>
      </w:r>
      <w:r w:rsidRPr="00036FAC">
        <w:t>N</w:t>
      </w:r>
      <w:r w:rsidR="00507316">
        <w:t>ew</w:t>
      </w:r>
      <w:r w:rsidR="00907D8C">
        <w:t xml:space="preserve"> </w:t>
      </w:r>
      <w:r w:rsidR="00507316">
        <w:t>Zealand</w:t>
      </w:r>
      <w:r w:rsidR="00907D8C">
        <w:t xml:space="preserve"> </w:t>
      </w:r>
      <w:r w:rsidR="00507316">
        <w:t>was</w:t>
      </w:r>
      <w:r w:rsidR="00907D8C">
        <w:t xml:space="preserve"> </w:t>
      </w:r>
      <w:r w:rsidR="00507316">
        <w:t>34</w:t>
      </w:r>
      <w:r w:rsidR="00907D8C">
        <w:t xml:space="preserve"> </w:t>
      </w:r>
      <w:r w:rsidR="00507316">
        <w:t>(33</w:t>
      </w:r>
      <w:r w:rsidR="00907D8C">
        <w:t xml:space="preserve"> </w:t>
      </w:r>
      <w:r w:rsidR="00507316">
        <w:t>in</w:t>
      </w:r>
      <w:r w:rsidR="00907D8C">
        <w:t xml:space="preserve"> </w:t>
      </w:r>
      <w:r w:rsidR="00507316">
        <w:t>2007).</w:t>
      </w:r>
    </w:p>
    <w:p w:rsidR="00036FAC" w:rsidRPr="00036FAC" w:rsidRDefault="00036FAC" w:rsidP="006C436C">
      <w:pPr>
        <w:pStyle w:val="H23G"/>
      </w:pPr>
      <w:r w:rsidRPr="00036FAC">
        <w:tab/>
        <w:t>(a)</w:t>
      </w:r>
      <w:r w:rsidRPr="00036FAC">
        <w:tab/>
        <w:t>Proportion</w:t>
      </w:r>
      <w:r w:rsidR="00907D8C">
        <w:t xml:space="preserve"> </w:t>
      </w:r>
      <w:r w:rsidRPr="00036FAC">
        <w:t>of</w:t>
      </w:r>
      <w:r w:rsidR="00907D8C">
        <w:t xml:space="preserve"> </w:t>
      </w:r>
      <w:r w:rsidRPr="00036FAC">
        <w:t>population</w:t>
      </w:r>
      <w:r w:rsidR="00907D8C">
        <w:t xml:space="preserve"> </w:t>
      </w:r>
      <w:r w:rsidRPr="00036FAC">
        <w:t>under</w:t>
      </w:r>
      <w:r w:rsidR="00907D8C">
        <w:t xml:space="preserve"> </w:t>
      </w:r>
      <w:r w:rsidRPr="00036FAC">
        <w:t>the</w:t>
      </w:r>
      <w:r w:rsidR="00907D8C">
        <w:t xml:space="preserve"> </w:t>
      </w:r>
      <w:r w:rsidRPr="00036FAC">
        <w:t>poverty</w:t>
      </w:r>
      <w:r w:rsidR="00907D8C">
        <w:t xml:space="preserve"> </w:t>
      </w:r>
      <w:r w:rsidRPr="00036FAC">
        <w:t>line</w:t>
      </w:r>
    </w:p>
    <w:p w:rsidR="00036FAC" w:rsidRPr="00036FAC" w:rsidRDefault="00036FAC" w:rsidP="00B50FB5">
      <w:pPr>
        <w:pStyle w:val="SingleTxtG"/>
      </w:pPr>
      <w:r w:rsidRPr="00036FAC">
        <w:t>64.</w:t>
      </w:r>
      <w:r w:rsidRPr="00036FAC">
        <w:tab/>
        <w:t>New</w:t>
      </w:r>
      <w:r w:rsidR="00907D8C">
        <w:t xml:space="preserve"> </w:t>
      </w:r>
      <w:r w:rsidRPr="00036FAC">
        <w:t>Zealand</w:t>
      </w:r>
      <w:r w:rsidR="00907D8C">
        <w:t xml:space="preserve"> </w:t>
      </w:r>
      <w:r w:rsidRPr="00036FAC">
        <w:t>does</w:t>
      </w:r>
      <w:r w:rsidR="00907D8C">
        <w:t xml:space="preserve"> </w:t>
      </w:r>
      <w:r w:rsidRPr="00036FAC">
        <w:t>not</w:t>
      </w:r>
      <w:r w:rsidR="00907D8C">
        <w:t xml:space="preserve"> </w:t>
      </w:r>
      <w:r w:rsidRPr="00036FAC">
        <w:t>have</w:t>
      </w:r>
      <w:r w:rsidR="00907D8C">
        <w:t xml:space="preserve"> </w:t>
      </w:r>
      <w:r w:rsidRPr="00036FAC">
        <w:t>a</w:t>
      </w:r>
      <w:r w:rsidR="00907D8C">
        <w:t xml:space="preserve"> </w:t>
      </w:r>
      <w:r w:rsidRPr="00036FAC">
        <w:t>poverty</w:t>
      </w:r>
      <w:r w:rsidR="00907D8C">
        <w:t xml:space="preserve"> </w:t>
      </w:r>
      <w:r w:rsidRPr="00036FAC">
        <w:t>line</w:t>
      </w:r>
      <w:r w:rsidR="00907D8C">
        <w:t xml:space="preserve"> </w:t>
      </w:r>
      <w:r w:rsidRPr="00036FAC">
        <w:t>as</w:t>
      </w:r>
      <w:r w:rsidR="00907D8C">
        <w:t xml:space="preserve"> </w:t>
      </w:r>
      <w:r w:rsidRPr="00036FAC">
        <w:t>such.</w:t>
      </w:r>
      <w:r w:rsidR="00907D8C">
        <w:t xml:space="preserve"> </w:t>
      </w:r>
      <w:r w:rsidRPr="00036FAC">
        <w:t>When</w:t>
      </w:r>
      <w:r w:rsidR="00907D8C">
        <w:t xml:space="preserve"> </w:t>
      </w:r>
      <w:r w:rsidRPr="00036FAC">
        <w:t>talking</w:t>
      </w:r>
      <w:r w:rsidR="00907D8C">
        <w:t xml:space="preserve"> </w:t>
      </w:r>
      <w:r w:rsidRPr="00036FAC">
        <w:t>about</w:t>
      </w:r>
      <w:r w:rsidR="00907D8C">
        <w:t xml:space="preserve"> </w:t>
      </w:r>
      <w:r w:rsidRPr="00036FAC">
        <w:t>poverty</w:t>
      </w:r>
      <w:r w:rsidR="00907D8C">
        <w:t xml:space="preserve"> </w:t>
      </w:r>
      <w:r w:rsidRPr="00036FAC">
        <w:t>or</w:t>
      </w:r>
      <w:r w:rsidR="00907D8C">
        <w:t xml:space="preserve"> </w:t>
      </w:r>
      <w:r w:rsidRPr="00036FAC">
        <w:t>material</w:t>
      </w:r>
      <w:r w:rsidR="00907D8C">
        <w:t xml:space="preserve"> </w:t>
      </w:r>
      <w:r w:rsidRPr="00036FAC">
        <w:t>hardship</w:t>
      </w:r>
      <w:r w:rsidR="00907D8C">
        <w:t xml:space="preserve"> </w:t>
      </w:r>
      <w:r w:rsidRPr="00036FAC">
        <w:t>in</w:t>
      </w:r>
      <w:r w:rsidR="00907D8C">
        <w:t xml:space="preserve"> </w:t>
      </w:r>
      <w:r w:rsidRPr="00036FAC">
        <w:t>the</w:t>
      </w:r>
      <w:r w:rsidR="00907D8C">
        <w:t xml:space="preserve"> </w:t>
      </w:r>
      <w:r w:rsidRPr="00036FAC">
        <w:t>context</w:t>
      </w:r>
      <w:r w:rsidR="00907D8C">
        <w:t xml:space="preserve"> </w:t>
      </w:r>
      <w:r w:rsidRPr="00036FAC">
        <w:t>of</w:t>
      </w:r>
      <w:r w:rsidR="00907D8C">
        <w:t xml:space="preserve"> </w:t>
      </w:r>
      <w:r w:rsidRPr="00036FAC">
        <w:t>the</w:t>
      </w:r>
      <w:r w:rsidR="00907D8C">
        <w:t xml:space="preserve"> </w:t>
      </w:r>
      <w:r w:rsidRPr="00036FAC">
        <w:t>richer</w:t>
      </w:r>
      <w:r w:rsidR="00907D8C">
        <w:t xml:space="preserve"> </w:t>
      </w:r>
      <w:r w:rsidRPr="00036FAC">
        <w:t>nations</w:t>
      </w:r>
      <w:r w:rsidR="00907D8C">
        <w:t xml:space="preserve"> </w:t>
      </w:r>
      <w:r w:rsidRPr="00036FAC">
        <w:t>such</w:t>
      </w:r>
      <w:r w:rsidR="00907D8C">
        <w:t xml:space="preserve"> </w:t>
      </w:r>
      <w:r w:rsidRPr="00036FAC">
        <w:t>as</w:t>
      </w:r>
      <w:r w:rsidR="00907D8C">
        <w:t xml:space="preserve"> </w:t>
      </w:r>
      <w:r w:rsidRPr="00036FAC">
        <w:t>New</w:t>
      </w:r>
      <w:r w:rsidR="00907D8C">
        <w:t xml:space="preserve"> </w:t>
      </w:r>
      <w:r w:rsidRPr="00036FAC">
        <w:t>Zealand,</w:t>
      </w:r>
      <w:r w:rsidR="00907D8C">
        <w:t xml:space="preserve"> </w:t>
      </w:r>
      <w:r w:rsidRPr="00036FAC">
        <w:t>people</w:t>
      </w:r>
      <w:r w:rsidR="00907D8C">
        <w:t xml:space="preserve"> </w:t>
      </w:r>
      <w:r w:rsidRPr="00036FAC">
        <w:t>are</w:t>
      </w:r>
      <w:r w:rsidR="00907D8C">
        <w:t xml:space="preserve"> </w:t>
      </w:r>
      <w:r w:rsidRPr="00036FAC">
        <w:t>usually</w:t>
      </w:r>
      <w:r w:rsidR="00907D8C">
        <w:t xml:space="preserve"> </w:t>
      </w:r>
      <w:r w:rsidRPr="00036FAC">
        <w:t>referring</w:t>
      </w:r>
      <w:r w:rsidR="00907D8C">
        <w:t xml:space="preserve"> </w:t>
      </w:r>
      <w:r w:rsidRPr="00036FAC">
        <w:t>to</w:t>
      </w:r>
      <w:r w:rsidR="00907D8C">
        <w:t xml:space="preserve"> </w:t>
      </w:r>
      <w:r w:rsidRPr="00036FAC">
        <w:t>relative</w:t>
      </w:r>
      <w:r w:rsidR="00907D8C">
        <w:t xml:space="preserve"> </w:t>
      </w:r>
      <w:r w:rsidRPr="00036FAC">
        <w:t>disadvantage.</w:t>
      </w:r>
      <w:r w:rsidR="00907D8C">
        <w:t xml:space="preserve"> </w:t>
      </w:r>
      <w:r w:rsidRPr="00036FAC">
        <w:t>Income</w:t>
      </w:r>
      <w:r w:rsidR="00907D8C">
        <w:t xml:space="preserve"> </w:t>
      </w:r>
      <w:r w:rsidRPr="00036FAC">
        <w:t>maintenance</w:t>
      </w:r>
      <w:r w:rsidR="00907D8C">
        <w:t xml:space="preserve"> </w:t>
      </w:r>
      <w:r w:rsidRPr="00036FAC">
        <w:t>policies</w:t>
      </w:r>
      <w:r w:rsidR="00907D8C">
        <w:t xml:space="preserve"> </w:t>
      </w:r>
      <w:r w:rsidRPr="00036FAC">
        <w:t>provide</w:t>
      </w:r>
      <w:r w:rsidR="00907D8C">
        <w:t xml:space="preserve"> </w:t>
      </w:r>
      <w:r w:rsidRPr="00036FAC">
        <w:t>all</w:t>
      </w:r>
      <w:r w:rsidR="00907D8C">
        <w:t xml:space="preserve"> </w:t>
      </w:r>
      <w:r w:rsidRPr="00036FAC">
        <w:t>citizens</w:t>
      </w:r>
      <w:r w:rsidR="00907D8C">
        <w:t xml:space="preserve"> </w:t>
      </w:r>
      <w:r w:rsidRPr="00036FAC">
        <w:t>with</w:t>
      </w:r>
      <w:r w:rsidR="00907D8C">
        <w:t xml:space="preserve"> </w:t>
      </w:r>
      <w:r w:rsidRPr="00036FAC">
        <w:t>a</w:t>
      </w:r>
      <w:r w:rsidR="00907D8C">
        <w:t xml:space="preserve"> </w:t>
      </w:r>
      <w:r w:rsidRPr="00036FAC">
        <w:t>basic</w:t>
      </w:r>
      <w:r w:rsidR="00907D8C">
        <w:t xml:space="preserve"> </w:t>
      </w:r>
      <w:r w:rsidRPr="00036FAC">
        <w:t>income</w:t>
      </w:r>
      <w:r w:rsidR="00907D8C">
        <w:t xml:space="preserve"> </w:t>
      </w:r>
      <w:r w:rsidRPr="00036FAC">
        <w:t>should</w:t>
      </w:r>
      <w:r w:rsidR="00907D8C">
        <w:t xml:space="preserve"> </w:t>
      </w:r>
      <w:r w:rsidRPr="00036FAC">
        <w:t>they</w:t>
      </w:r>
      <w:r w:rsidR="00907D8C">
        <w:t xml:space="preserve"> </w:t>
      </w:r>
      <w:r w:rsidRPr="00036FAC">
        <w:t>become</w:t>
      </w:r>
      <w:r w:rsidR="00907D8C">
        <w:t xml:space="preserve"> </w:t>
      </w:r>
      <w:r w:rsidRPr="00036FAC">
        <w:t>unemployed,</w:t>
      </w:r>
      <w:r w:rsidR="00907D8C">
        <w:t xml:space="preserve"> </w:t>
      </w:r>
      <w:r w:rsidRPr="00036FAC">
        <w:t>incapacitated</w:t>
      </w:r>
      <w:r w:rsidR="00907D8C">
        <w:t xml:space="preserve"> </w:t>
      </w:r>
      <w:r w:rsidRPr="00036FAC">
        <w:t>by</w:t>
      </w:r>
      <w:r w:rsidR="00907D8C">
        <w:t xml:space="preserve"> </w:t>
      </w:r>
      <w:r w:rsidRPr="00036FAC">
        <w:t>sickness</w:t>
      </w:r>
      <w:r w:rsidR="00907D8C">
        <w:t xml:space="preserve"> </w:t>
      </w:r>
      <w:r w:rsidRPr="00036FAC">
        <w:t>or</w:t>
      </w:r>
      <w:r w:rsidR="00907D8C">
        <w:t xml:space="preserve"> </w:t>
      </w:r>
      <w:r w:rsidRPr="00036FAC">
        <w:t>disability,</w:t>
      </w:r>
      <w:r w:rsidR="00907D8C">
        <w:t xml:space="preserve"> </w:t>
      </w:r>
      <w:r w:rsidRPr="00036FAC">
        <w:t>or</w:t>
      </w:r>
      <w:r w:rsidR="00907D8C">
        <w:t xml:space="preserve"> </w:t>
      </w:r>
      <w:r w:rsidRPr="00036FAC">
        <w:t>if</w:t>
      </w:r>
      <w:r w:rsidR="00907D8C">
        <w:t xml:space="preserve"> </w:t>
      </w:r>
      <w:r w:rsidRPr="00036FAC">
        <w:t>they</w:t>
      </w:r>
      <w:r w:rsidR="00907D8C">
        <w:t xml:space="preserve"> </w:t>
      </w:r>
      <w:r w:rsidRPr="00036FAC">
        <w:t>are</w:t>
      </w:r>
      <w:r w:rsidR="00907D8C">
        <w:t xml:space="preserve"> </w:t>
      </w:r>
      <w:r w:rsidRPr="00036FAC">
        <w:t>providing</w:t>
      </w:r>
      <w:r w:rsidR="00907D8C">
        <w:t xml:space="preserve"> </w:t>
      </w:r>
      <w:r w:rsidRPr="00036FAC">
        <w:t>care</w:t>
      </w:r>
      <w:r w:rsidR="00907D8C">
        <w:t xml:space="preserve"> </w:t>
      </w:r>
      <w:r w:rsidRPr="00036FAC">
        <w:t>for</w:t>
      </w:r>
      <w:r w:rsidR="00907D8C">
        <w:t xml:space="preserve"> </w:t>
      </w:r>
      <w:r w:rsidRPr="00036FAC">
        <w:t>dependants,</w:t>
      </w:r>
      <w:r w:rsidR="00907D8C">
        <w:t xml:space="preserve"> </w:t>
      </w:r>
      <w:r w:rsidRPr="00036FAC">
        <w:t>are</w:t>
      </w:r>
      <w:r w:rsidR="00907D8C">
        <w:t xml:space="preserve"> </w:t>
      </w:r>
      <w:r w:rsidRPr="00036FAC">
        <w:t>reti</w:t>
      </w:r>
      <w:r w:rsidR="00507316">
        <w:t>red,</w:t>
      </w:r>
      <w:r w:rsidR="00907D8C">
        <w:t xml:space="preserve"> </w:t>
      </w:r>
      <w:r w:rsidR="00507316">
        <w:t>or</w:t>
      </w:r>
      <w:r w:rsidR="00907D8C">
        <w:t xml:space="preserve"> </w:t>
      </w:r>
      <w:r w:rsidR="00507316">
        <w:t>face</w:t>
      </w:r>
      <w:r w:rsidR="00907D8C">
        <w:t xml:space="preserve"> </w:t>
      </w:r>
      <w:r w:rsidR="00507316">
        <w:t>other</w:t>
      </w:r>
      <w:r w:rsidR="00907D8C">
        <w:t xml:space="preserve"> </w:t>
      </w:r>
      <w:r w:rsidR="00507316">
        <w:t>emergencies.</w:t>
      </w:r>
    </w:p>
    <w:p w:rsidR="00036FAC" w:rsidRPr="00036FAC" w:rsidRDefault="00036FAC" w:rsidP="00B50FB5">
      <w:pPr>
        <w:pStyle w:val="SingleTxtG"/>
      </w:pPr>
      <w:r w:rsidRPr="00036FAC">
        <w:t>65.</w:t>
      </w:r>
      <w:r w:rsidRPr="00036FAC">
        <w:tab/>
        <w:t>The</w:t>
      </w:r>
      <w:r w:rsidR="00907D8C">
        <w:t xml:space="preserve"> </w:t>
      </w:r>
      <w:r w:rsidRPr="00036FAC">
        <w:t>measure</w:t>
      </w:r>
      <w:r w:rsidR="00907D8C">
        <w:t xml:space="preserve"> </w:t>
      </w:r>
      <w:r w:rsidRPr="00036FAC">
        <w:t>most</w:t>
      </w:r>
      <w:r w:rsidR="00907D8C">
        <w:t xml:space="preserve"> </w:t>
      </w:r>
      <w:r w:rsidRPr="00036FAC">
        <w:t>often</w:t>
      </w:r>
      <w:r w:rsidR="00907D8C">
        <w:t xml:space="preserve"> </w:t>
      </w:r>
      <w:r w:rsidRPr="00036FAC">
        <w:t>used</w:t>
      </w:r>
      <w:r w:rsidR="00907D8C">
        <w:t xml:space="preserve"> </w:t>
      </w:r>
      <w:r w:rsidRPr="00036FAC">
        <w:t>as</w:t>
      </w:r>
      <w:r w:rsidR="00907D8C">
        <w:t xml:space="preserve"> </w:t>
      </w:r>
      <w:r w:rsidRPr="00036FAC">
        <w:t>an</w:t>
      </w:r>
      <w:r w:rsidR="00907D8C">
        <w:t xml:space="preserve"> </w:t>
      </w:r>
      <w:r w:rsidRPr="00036FAC">
        <w:t>equivalent</w:t>
      </w:r>
      <w:r w:rsidR="00907D8C">
        <w:t xml:space="preserve"> </w:t>
      </w:r>
      <w:r w:rsidRPr="00036FAC">
        <w:t>to</w:t>
      </w:r>
      <w:r w:rsidR="00907D8C">
        <w:t xml:space="preserve"> </w:t>
      </w:r>
      <w:r w:rsidRPr="00036FAC">
        <w:t>a</w:t>
      </w:r>
      <w:r w:rsidR="00907D8C">
        <w:t xml:space="preserve"> </w:t>
      </w:r>
      <w:r w:rsidRPr="00036FAC">
        <w:t>poverty</w:t>
      </w:r>
      <w:r w:rsidR="00907D8C">
        <w:t xml:space="preserve"> </w:t>
      </w:r>
      <w:r w:rsidRPr="00036FAC">
        <w:t>line</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the</w:t>
      </w:r>
      <w:r w:rsidR="00907D8C">
        <w:t xml:space="preserve"> </w:t>
      </w:r>
      <w:r w:rsidRPr="00036FAC">
        <w:t>proportion</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in</w:t>
      </w:r>
      <w:r w:rsidR="00907D8C">
        <w:t xml:space="preserve"> </w:t>
      </w:r>
      <w:r w:rsidRPr="00036FAC">
        <w:t>households</w:t>
      </w:r>
      <w:r w:rsidR="00907D8C">
        <w:t xml:space="preserve"> </w:t>
      </w:r>
      <w:r w:rsidRPr="00036FAC">
        <w:t>with</w:t>
      </w:r>
      <w:r w:rsidR="00907D8C">
        <w:t xml:space="preserve"> </w:t>
      </w:r>
      <w:r w:rsidRPr="00036FAC">
        <w:t>equivali</w:t>
      </w:r>
      <w:r w:rsidR="00507316">
        <w:t>s</w:t>
      </w:r>
      <w:r w:rsidRPr="00036FAC">
        <w:t>ed</w:t>
      </w:r>
      <w:r w:rsidR="00907D8C">
        <w:t xml:space="preserve"> </w:t>
      </w:r>
      <w:r w:rsidRPr="00036FAC">
        <w:t>disposable</w:t>
      </w:r>
      <w:r w:rsidR="00907D8C">
        <w:t xml:space="preserve"> </w:t>
      </w:r>
      <w:r w:rsidRPr="00036FAC">
        <w:t>income</w:t>
      </w:r>
      <w:r w:rsidR="00907D8C">
        <w:t xml:space="preserve"> </w:t>
      </w:r>
      <w:r w:rsidRPr="00036FAC">
        <w:t>net-of-housing-cost</w:t>
      </w:r>
      <w:r w:rsidR="00907D8C">
        <w:t xml:space="preserve"> </w:t>
      </w:r>
      <w:r w:rsidRPr="00036FAC">
        <w:t>below</w:t>
      </w:r>
      <w:r w:rsidR="00907D8C">
        <w:t xml:space="preserve"> </w:t>
      </w:r>
      <w:r w:rsidRPr="00036FAC">
        <w:t>two</w:t>
      </w:r>
      <w:r w:rsidR="00907D8C">
        <w:t xml:space="preserve"> </w:t>
      </w:r>
      <w:r w:rsidRPr="00036FAC">
        <w:t>thresholds.</w:t>
      </w:r>
      <w:r w:rsidR="00907D8C">
        <w:t xml:space="preserve"> </w:t>
      </w:r>
      <w:r w:rsidRPr="00036FAC">
        <w:t>Incomes</w:t>
      </w:r>
      <w:r w:rsidR="00907D8C">
        <w:t xml:space="preserve"> </w:t>
      </w:r>
      <w:r w:rsidRPr="00036FAC">
        <w:t>are</w:t>
      </w:r>
      <w:r w:rsidR="00907D8C">
        <w:t xml:space="preserve"> </w:t>
      </w:r>
      <w:r w:rsidRPr="00036FAC">
        <w:t>after</w:t>
      </w:r>
      <w:r w:rsidR="00907D8C">
        <w:t xml:space="preserve"> </w:t>
      </w:r>
      <w:r w:rsidRPr="00036FAC">
        <w:t>deducting</w:t>
      </w:r>
      <w:r w:rsidR="00907D8C">
        <w:t xml:space="preserve"> </w:t>
      </w:r>
      <w:r w:rsidRPr="00036FAC">
        <w:t>tax</w:t>
      </w:r>
      <w:r w:rsidR="00907D8C">
        <w:t xml:space="preserve"> </w:t>
      </w:r>
      <w:r w:rsidRPr="00036FAC">
        <w:t>and</w:t>
      </w:r>
      <w:r w:rsidR="00907D8C">
        <w:t xml:space="preserve"> </w:t>
      </w:r>
      <w:r w:rsidRPr="00036FAC">
        <w:t>housing</w:t>
      </w:r>
      <w:r w:rsidR="00907D8C">
        <w:t xml:space="preserve"> </w:t>
      </w:r>
      <w:r w:rsidRPr="00036FAC">
        <w:t>costs</w:t>
      </w:r>
      <w:r w:rsidR="00907D8C">
        <w:t xml:space="preserve"> </w:t>
      </w:r>
      <w:r w:rsidRPr="00036FAC">
        <w:t>and</w:t>
      </w:r>
      <w:r w:rsidR="00907D8C">
        <w:t xml:space="preserve"> </w:t>
      </w:r>
      <w:r w:rsidRPr="00036FAC">
        <w:t>adjusting</w:t>
      </w:r>
      <w:r w:rsidR="00907D8C">
        <w:t xml:space="preserve"> </w:t>
      </w:r>
      <w:r w:rsidRPr="00036FAC">
        <w:t>for</w:t>
      </w:r>
      <w:r w:rsidR="00907D8C">
        <w:t xml:space="preserve"> </w:t>
      </w:r>
      <w:r w:rsidRPr="00036FAC">
        <w:t>household</w:t>
      </w:r>
      <w:r w:rsidR="00907D8C">
        <w:t xml:space="preserve"> </w:t>
      </w:r>
      <w:r w:rsidRPr="00036FAC">
        <w:t>size</w:t>
      </w:r>
      <w:r w:rsidR="00907D8C">
        <w:t xml:space="preserve"> </w:t>
      </w:r>
      <w:r w:rsidRPr="00036FAC">
        <w:t>and</w:t>
      </w:r>
      <w:r w:rsidR="00907D8C">
        <w:t xml:space="preserve"> </w:t>
      </w:r>
      <w:r w:rsidRPr="00036FAC">
        <w:t>composition.</w:t>
      </w:r>
    </w:p>
    <w:p w:rsidR="00036FAC" w:rsidRPr="00036FAC" w:rsidRDefault="00036FAC" w:rsidP="00B50FB5">
      <w:pPr>
        <w:pStyle w:val="SingleTxtG"/>
      </w:pPr>
      <w:r w:rsidRPr="00036FAC">
        <w:t>66.</w:t>
      </w:r>
      <w:r w:rsidRPr="00036FAC">
        <w:tab/>
        <w:t>The</w:t>
      </w:r>
      <w:r w:rsidR="00907D8C">
        <w:t xml:space="preserve"> </w:t>
      </w:r>
      <w:r w:rsidRPr="00036FAC">
        <w:t>thresholds</w:t>
      </w:r>
      <w:r w:rsidR="00907D8C">
        <w:t xml:space="preserve"> </w:t>
      </w:r>
      <w:r w:rsidRPr="00036FAC">
        <w:t>are</w:t>
      </w:r>
      <w:r w:rsidR="00907D8C">
        <w:t xml:space="preserve"> </w:t>
      </w:r>
      <w:r w:rsidRPr="00036FAC">
        <w:t>50</w:t>
      </w:r>
      <w:r w:rsidR="00907D8C">
        <w:t xml:space="preserve"> </w:t>
      </w:r>
      <w:r w:rsidR="001B201B">
        <w:t>per</w:t>
      </w:r>
      <w:r w:rsidR="00907D8C">
        <w:t xml:space="preserve"> </w:t>
      </w:r>
      <w:r w:rsidR="001B201B">
        <w:t>cent</w:t>
      </w:r>
      <w:r w:rsidR="00907D8C">
        <w:t xml:space="preserve"> </w:t>
      </w:r>
      <w:r w:rsidRPr="00036FAC">
        <w:t>and</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1998</w:t>
      </w:r>
      <w:r w:rsidR="00907D8C">
        <w:t xml:space="preserve"> </w:t>
      </w:r>
      <w:r w:rsidRPr="00036FAC">
        <w:t>household</w:t>
      </w:r>
      <w:r w:rsidR="00907D8C">
        <w:t xml:space="preserve"> </w:t>
      </w:r>
      <w:r w:rsidRPr="00036FAC">
        <w:t>disposable</w:t>
      </w:r>
      <w:r w:rsidR="00907D8C">
        <w:t xml:space="preserve"> </w:t>
      </w:r>
      <w:r w:rsidRPr="00036FAC">
        <w:t>income</w:t>
      </w:r>
      <w:r w:rsidR="00907D8C">
        <w:t xml:space="preserve"> </w:t>
      </w:r>
      <w:r w:rsidRPr="00036FAC">
        <w:t>median,</w:t>
      </w:r>
      <w:r w:rsidR="00907D8C">
        <w:t xml:space="preserve"> </w:t>
      </w:r>
      <w:r w:rsidRPr="00036FAC">
        <w:t>with</w:t>
      </w:r>
      <w:r w:rsidR="00907D8C">
        <w:t xml:space="preserve"> </w:t>
      </w:r>
      <w:r w:rsidRPr="00036FAC">
        <w:t>25</w:t>
      </w:r>
      <w:r w:rsidR="00907D8C">
        <w:t xml:space="preserve"> </w:t>
      </w:r>
      <w:r w:rsidR="001B201B">
        <w:t>per</w:t>
      </w:r>
      <w:r w:rsidR="00907D8C">
        <w:t xml:space="preserve"> </w:t>
      </w:r>
      <w:r w:rsidR="001B201B">
        <w:t>cent</w:t>
      </w:r>
      <w:r w:rsidR="00907D8C">
        <w:t xml:space="preserve"> </w:t>
      </w:r>
      <w:r w:rsidRPr="00036FAC">
        <w:t>deducted</w:t>
      </w:r>
      <w:r w:rsidR="00907D8C">
        <w:t xml:space="preserve"> </w:t>
      </w:r>
      <w:r w:rsidRPr="00036FAC">
        <w:t>to</w:t>
      </w:r>
      <w:r w:rsidR="00907D8C">
        <w:t xml:space="preserve"> </w:t>
      </w:r>
      <w:r w:rsidRPr="00036FAC">
        <w:t>allow</w:t>
      </w:r>
      <w:r w:rsidR="00907D8C">
        <w:t xml:space="preserve"> </w:t>
      </w:r>
      <w:r w:rsidRPr="00036FAC">
        <w:t>for</w:t>
      </w:r>
      <w:r w:rsidR="00907D8C">
        <w:t xml:space="preserve"> </w:t>
      </w:r>
      <w:r w:rsidRPr="00036FAC">
        <w:t>average</w:t>
      </w:r>
      <w:r w:rsidR="00907D8C">
        <w:t xml:space="preserve"> </w:t>
      </w:r>
      <w:r w:rsidRPr="00036FAC">
        <w:t>housing</w:t>
      </w:r>
      <w:r w:rsidR="00907D8C">
        <w:t xml:space="preserve"> </w:t>
      </w:r>
      <w:r w:rsidRPr="00036FAC">
        <w:t>costs.</w:t>
      </w:r>
      <w:r w:rsidR="00907D8C">
        <w:t xml:space="preserve"> </w:t>
      </w:r>
      <w:r w:rsidRPr="00036FAC">
        <w:t>The</w:t>
      </w:r>
      <w:r w:rsidR="00907D8C">
        <w:t xml:space="preserve"> </w:t>
      </w:r>
      <w:r w:rsidRPr="00036FAC">
        <w:t>thresholds</w:t>
      </w:r>
      <w:r w:rsidR="00907D8C">
        <w:t xml:space="preserve"> </w:t>
      </w:r>
      <w:r w:rsidRPr="00036FAC">
        <w:t>are</w:t>
      </w:r>
      <w:r w:rsidR="00907D8C">
        <w:t xml:space="preserve"> </w:t>
      </w:r>
      <w:r w:rsidRPr="00036FAC">
        <w:t>adjusted</w:t>
      </w:r>
      <w:r w:rsidR="00907D8C">
        <w:t xml:space="preserve"> </w:t>
      </w:r>
      <w:r w:rsidRPr="00036FAC">
        <w:t>for</w:t>
      </w:r>
      <w:r w:rsidR="00907D8C">
        <w:t xml:space="preserve"> </w:t>
      </w:r>
      <w:r w:rsidRPr="00036FAC">
        <w:t>inflation</w:t>
      </w:r>
      <w:r w:rsidR="00907D8C">
        <w:t xml:space="preserve"> </w:t>
      </w:r>
      <w:r w:rsidRPr="00036FAC">
        <w:t>to</w:t>
      </w:r>
      <w:r w:rsidR="00907D8C">
        <w:t xml:space="preserve"> </w:t>
      </w:r>
      <w:r w:rsidRPr="00036FAC">
        <w:t>keep</w:t>
      </w:r>
      <w:r w:rsidR="00907D8C">
        <w:t xml:space="preserve"> </w:t>
      </w:r>
      <w:r w:rsidRPr="00036FAC">
        <w:t>them</w:t>
      </w:r>
      <w:r w:rsidR="00907D8C">
        <w:t xml:space="preserve"> </w:t>
      </w:r>
      <w:r w:rsidRPr="00036FAC">
        <w:t>fixed</w:t>
      </w:r>
      <w:r w:rsidR="00907D8C">
        <w:t xml:space="preserve"> </w:t>
      </w:r>
      <w:r w:rsidRPr="00036FAC">
        <w:t>in</w:t>
      </w:r>
      <w:r w:rsidR="00907D8C">
        <w:t xml:space="preserve"> </w:t>
      </w:r>
      <w:r w:rsidR="00507316">
        <w:t>real</w:t>
      </w:r>
      <w:r w:rsidR="00907D8C">
        <w:t xml:space="preserve"> </w:t>
      </w:r>
      <w:r w:rsidR="00507316">
        <w:t>terms.</w:t>
      </w:r>
    </w:p>
    <w:p w:rsidR="00036FAC" w:rsidRPr="00036FAC" w:rsidRDefault="00036FAC" w:rsidP="00B50FB5">
      <w:pPr>
        <w:pStyle w:val="SingleTxtG"/>
      </w:pPr>
      <w:r w:rsidRPr="00036FAC">
        <w:t>67.</w:t>
      </w:r>
      <w:r w:rsidRPr="00036FAC">
        <w:tab/>
        <w:t>In</w:t>
      </w:r>
      <w:r w:rsidR="00907D8C">
        <w:t xml:space="preserve"> </w:t>
      </w:r>
      <w:r w:rsidRPr="00036FAC">
        <w:t>the</w:t>
      </w:r>
      <w:r w:rsidR="00907D8C">
        <w:t xml:space="preserve"> </w:t>
      </w:r>
      <w:r w:rsidRPr="00036FAC">
        <w:t>year</w:t>
      </w:r>
      <w:r w:rsidR="00907D8C">
        <w:t xml:space="preserve"> </w:t>
      </w:r>
      <w:r w:rsidRPr="00036FAC">
        <w:t>to</w:t>
      </w:r>
      <w:r w:rsidR="00907D8C">
        <w:t xml:space="preserve"> </w:t>
      </w:r>
      <w:r w:rsidRPr="00036FAC">
        <w:t>June</w:t>
      </w:r>
      <w:r w:rsidR="00907D8C">
        <w:t xml:space="preserve"> </w:t>
      </w:r>
      <w:r w:rsidRPr="00036FAC">
        <w:t>2008,</w:t>
      </w:r>
      <w:r w:rsidR="00907D8C">
        <w:t xml:space="preserve"> </w:t>
      </w:r>
      <w:r w:rsidRPr="00036FAC">
        <w:t>14</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was</w:t>
      </w:r>
      <w:r w:rsidR="00907D8C">
        <w:t xml:space="preserve"> </w:t>
      </w:r>
      <w:r w:rsidRPr="00036FAC">
        <w:t>living</w:t>
      </w:r>
      <w:r w:rsidR="00907D8C">
        <w:t xml:space="preserve"> </w:t>
      </w:r>
      <w:r w:rsidRPr="00036FAC">
        <w:t>below</w:t>
      </w:r>
      <w:r w:rsidR="00907D8C">
        <w:t xml:space="preserve"> </w:t>
      </w:r>
      <w:r w:rsidRPr="00036FAC">
        <w:t>the</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threshold.</w:t>
      </w:r>
      <w:r w:rsidR="00907D8C">
        <w:t xml:space="preserve"> </w:t>
      </w:r>
      <w:r w:rsidRPr="00036FAC">
        <w:t>This</w:t>
      </w:r>
      <w:r w:rsidR="00907D8C">
        <w:t xml:space="preserve"> </w:t>
      </w:r>
      <w:r w:rsidRPr="00036FAC">
        <w:t>was</w:t>
      </w:r>
      <w:r w:rsidR="00907D8C">
        <w:t xml:space="preserve"> </w:t>
      </w:r>
      <w:r w:rsidRPr="00036FAC">
        <w:t>similar</w:t>
      </w:r>
      <w:r w:rsidR="00907D8C">
        <w:t xml:space="preserve"> </w:t>
      </w:r>
      <w:r w:rsidRPr="00036FAC">
        <w:t>to</w:t>
      </w:r>
      <w:r w:rsidR="00907D8C">
        <w:t xml:space="preserve"> </w:t>
      </w:r>
      <w:r w:rsidRPr="00036FAC">
        <w:t>the</w:t>
      </w:r>
      <w:r w:rsidR="00907D8C">
        <w:t xml:space="preserve"> </w:t>
      </w:r>
      <w:r w:rsidRPr="00036FAC">
        <w:t>13</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the</w:t>
      </w:r>
      <w:r w:rsidR="00907D8C">
        <w:t xml:space="preserve"> </w:t>
      </w:r>
      <w:r w:rsidRPr="00036FAC">
        <w:t>previous</w:t>
      </w:r>
      <w:r w:rsidR="00907D8C">
        <w:t xml:space="preserve"> </w:t>
      </w:r>
      <w:r w:rsidRPr="00036FAC">
        <w:t>survey</w:t>
      </w:r>
      <w:r w:rsidR="00907D8C">
        <w:t xml:space="preserve"> </w:t>
      </w:r>
      <w:r w:rsidRPr="00036FAC">
        <w:t>year</w:t>
      </w:r>
      <w:r w:rsidR="00907D8C">
        <w:t xml:space="preserve"> </w:t>
      </w:r>
      <w:r w:rsidRPr="00036FAC">
        <w:t>to</w:t>
      </w:r>
      <w:r w:rsidR="00907D8C">
        <w:t xml:space="preserve"> </w:t>
      </w:r>
      <w:r w:rsidRPr="00036FAC">
        <w:t>June</w:t>
      </w:r>
      <w:r w:rsidR="00907D8C">
        <w:t xml:space="preserve"> </w:t>
      </w:r>
      <w:r w:rsidRPr="00036FAC">
        <w:t>2007.</w:t>
      </w:r>
      <w:r w:rsidR="00907D8C">
        <w:t xml:space="preserve"> </w:t>
      </w:r>
      <w:r w:rsidRPr="00036FAC">
        <w:t>The</w:t>
      </w:r>
      <w:r w:rsidR="00907D8C">
        <w:t xml:space="preserve"> </w:t>
      </w:r>
      <w:r w:rsidRPr="00036FAC">
        <w:t>proportion</w:t>
      </w:r>
      <w:r w:rsidR="00907D8C">
        <w:t xml:space="preserve"> </w:t>
      </w:r>
      <w:r w:rsidRPr="00036FAC">
        <w:t>of</w:t>
      </w:r>
      <w:r w:rsidR="00907D8C">
        <w:t xml:space="preserve"> </w:t>
      </w:r>
      <w:r w:rsidRPr="00036FAC">
        <w:t>the</w:t>
      </w:r>
      <w:r w:rsidR="00907D8C">
        <w:t xml:space="preserve"> </w:t>
      </w:r>
      <w:r w:rsidRPr="00036FAC">
        <w:t>population</w:t>
      </w:r>
      <w:r w:rsidR="00907D8C">
        <w:t xml:space="preserve"> </w:t>
      </w:r>
      <w:r w:rsidRPr="00036FAC">
        <w:t>with</w:t>
      </w:r>
      <w:r w:rsidR="00907D8C">
        <w:t xml:space="preserve"> </w:t>
      </w:r>
      <w:r w:rsidRPr="00036FAC">
        <w:t>low</w:t>
      </w:r>
      <w:r w:rsidR="00907D8C">
        <w:t xml:space="preserve"> </w:t>
      </w:r>
      <w:r w:rsidRPr="00036FAC">
        <w:t>incomes</w:t>
      </w:r>
      <w:r w:rsidR="00907D8C">
        <w:t xml:space="preserve"> </w:t>
      </w:r>
      <w:r w:rsidRPr="00036FAC">
        <w:t>rose</w:t>
      </w:r>
      <w:r w:rsidR="00907D8C">
        <w:t xml:space="preserve"> </w:t>
      </w:r>
      <w:r w:rsidRPr="00036FAC">
        <w:t>sharply</w:t>
      </w:r>
      <w:r w:rsidR="00907D8C">
        <w:t xml:space="preserve"> </w:t>
      </w:r>
      <w:r w:rsidRPr="00036FAC">
        <w:t>from</w:t>
      </w:r>
      <w:r w:rsidR="00907D8C">
        <w:t xml:space="preserve"> </w:t>
      </w:r>
      <w:r w:rsidRPr="00036FAC">
        <w:t>1990,</w:t>
      </w:r>
      <w:r w:rsidR="00907D8C">
        <w:t xml:space="preserve"> </w:t>
      </w:r>
      <w:r w:rsidRPr="00036FAC">
        <w:t>reached</w:t>
      </w:r>
      <w:r w:rsidR="00907D8C">
        <w:t xml:space="preserve"> </w:t>
      </w:r>
      <w:r w:rsidRPr="00036FAC">
        <w:t>a</w:t>
      </w:r>
      <w:r w:rsidR="00907D8C">
        <w:t xml:space="preserve"> </w:t>
      </w:r>
      <w:r w:rsidRPr="00036FAC">
        <w:t>peak</w:t>
      </w:r>
      <w:r w:rsidR="00907D8C">
        <w:t xml:space="preserve"> </w:t>
      </w:r>
      <w:r w:rsidRPr="00036FAC">
        <w:t>in</w:t>
      </w:r>
      <w:r w:rsidR="00907D8C">
        <w:t xml:space="preserve"> </w:t>
      </w:r>
      <w:r w:rsidRPr="00036FAC">
        <w:t>the</w:t>
      </w:r>
      <w:r w:rsidR="00907D8C">
        <w:t xml:space="preserve"> </w:t>
      </w:r>
      <w:r w:rsidRPr="00036FAC">
        <w:t>mid-1990s</w:t>
      </w:r>
      <w:r w:rsidR="00907D8C">
        <w:t xml:space="preserve"> </w:t>
      </w:r>
      <w:r w:rsidRPr="00036FAC">
        <w:t>and</w:t>
      </w:r>
      <w:r w:rsidR="00907D8C">
        <w:t xml:space="preserve"> </w:t>
      </w:r>
      <w:r w:rsidRPr="00036FAC">
        <w:t>has</w:t>
      </w:r>
      <w:r w:rsidR="00907D8C">
        <w:t xml:space="preserve"> </w:t>
      </w:r>
      <w:r w:rsidRPr="00036FAC">
        <w:t>generally</w:t>
      </w:r>
      <w:r w:rsidR="00907D8C">
        <w:t xml:space="preserve"> </w:t>
      </w:r>
      <w:r w:rsidRPr="00036FAC">
        <w:t>declined</w:t>
      </w:r>
      <w:r w:rsidR="00907D8C">
        <w:t xml:space="preserve"> </w:t>
      </w:r>
      <w:r w:rsidRPr="00036FAC">
        <w:t>since</w:t>
      </w:r>
      <w:r w:rsidR="00907D8C">
        <w:t xml:space="preserve"> </w:t>
      </w:r>
      <w:r w:rsidRPr="00036FAC">
        <w:t>then.</w:t>
      </w:r>
      <w:r w:rsidR="00907D8C">
        <w:t xml:space="preserve"> </w:t>
      </w:r>
      <w:r w:rsidRPr="00036FAC">
        <w:t>However,</w:t>
      </w:r>
      <w:r w:rsidR="00907D8C">
        <w:t xml:space="preserve"> </w:t>
      </w:r>
      <w:r w:rsidRPr="00036FAC">
        <w:t>in</w:t>
      </w:r>
      <w:r w:rsidR="00907D8C">
        <w:t xml:space="preserve"> </w:t>
      </w:r>
      <w:r w:rsidRPr="00036FAC">
        <w:t>2008,</w:t>
      </w:r>
      <w:r w:rsidR="00907D8C">
        <w:t xml:space="preserve"> </w:t>
      </w:r>
      <w:r w:rsidRPr="00036FAC">
        <w:t>the</w:t>
      </w:r>
      <w:r w:rsidR="00907D8C">
        <w:t xml:space="preserve"> </w:t>
      </w:r>
      <w:r w:rsidRPr="00036FAC">
        <w:t>proportion</w:t>
      </w:r>
      <w:r w:rsidR="00907D8C">
        <w:t xml:space="preserve"> </w:t>
      </w:r>
      <w:r w:rsidRPr="00036FAC">
        <w:t>was</w:t>
      </w:r>
      <w:r w:rsidR="00907D8C">
        <w:t xml:space="preserve"> </w:t>
      </w:r>
      <w:r w:rsidRPr="00036FAC">
        <w:t>still</w:t>
      </w:r>
      <w:r w:rsidR="00907D8C">
        <w:t xml:space="preserve"> </w:t>
      </w:r>
      <w:r w:rsidRPr="00036FAC">
        <w:t>above</w:t>
      </w:r>
      <w:r w:rsidR="00907D8C">
        <w:t xml:space="preserve"> </w:t>
      </w:r>
      <w:r w:rsidR="00507316">
        <w:t>what</w:t>
      </w:r>
      <w:r w:rsidR="00907D8C">
        <w:t xml:space="preserve"> </w:t>
      </w:r>
      <w:r w:rsidR="00507316">
        <w:t>it</w:t>
      </w:r>
      <w:r w:rsidR="00907D8C">
        <w:t xml:space="preserve"> </w:t>
      </w:r>
      <w:r w:rsidR="00507316">
        <w:t>had</w:t>
      </w:r>
      <w:r w:rsidR="00907D8C">
        <w:t xml:space="preserve"> </w:t>
      </w:r>
      <w:r w:rsidR="00507316">
        <w:t>been</w:t>
      </w:r>
      <w:r w:rsidR="00907D8C">
        <w:t xml:space="preserve"> </w:t>
      </w:r>
      <w:r w:rsidR="00507316">
        <w:t>in</w:t>
      </w:r>
      <w:r w:rsidR="00907D8C">
        <w:t xml:space="preserve"> </w:t>
      </w:r>
      <w:r w:rsidR="00507316">
        <w:t>the</w:t>
      </w:r>
      <w:r w:rsidR="00907D8C">
        <w:t xml:space="preserve"> </w:t>
      </w:r>
      <w:r w:rsidR="00507316">
        <w:t>1980s.</w:t>
      </w:r>
    </w:p>
    <w:p w:rsidR="00507316" w:rsidRDefault="00507316" w:rsidP="00507316">
      <w:pPr>
        <w:pStyle w:val="Heading1"/>
      </w:pPr>
      <w:bookmarkStart w:id="46" w:name="_Toc275331919"/>
      <w:r>
        <w:t>Table</w:t>
      </w:r>
      <w:r w:rsidR="00907D8C">
        <w:t xml:space="preserve"> </w:t>
      </w:r>
      <w:r>
        <w:t>18</w:t>
      </w:r>
    </w:p>
    <w:p w:rsidR="00036FAC" w:rsidRPr="00507316" w:rsidRDefault="00036FAC" w:rsidP="00507316">
      <w:pPr>
        <w:pStyle w:val="SingleTxtG"/>
        <w:rPr>
          <w:b/>
        </w:rPr>
      </w:pPr>
      <w:r w:rsidRPr="00507316">
        <w:rPr>
          <w:b/>
        </w:rPr>
        <w:t>Proportion</w:t>
      </w:r>
      <w:r w:rsidR="00907D8C">
        <w:rPr>
          <w:b/>
        </w:rPr>
        <w:t xml:space="preserve"> </w:t>
      </w:r>
      <w:r w:rsidRPr="00507316">
        <w:rPr>
          <w:b/>
        </w:rPr>
        <w:t>of</w:t>
      </w:r>
      <w:r w:rsidR="00907D8C">
        <w:rPr>
          <w:b/>
        </w:rPr>
        <w:t xml:space="preserve"> </w:t>
      </w:r>
      <w:r w:rsidRPr="00507316">
        <w:rPr>
          <w:b/>
        </w:rPr>
        <w:t>the</w:t>
      </w:r>
      <w:r w:rsidR="00907D8C">
        <w:rPr>
          <w:b/>
        </w:rPr>
        <w:t xml:space="preserve"> </w:t>
      </w:r>
      <w:r w:rsidRPr="00507316">
        <w:rPr>
          <w:b/>
        </w:rPr>
        <w:t>population</w:t>
      </w:r>
      <w:r w:rsidR="00907D8C">
        <w:rPr>
          <w:b/>
        </w:rPr>
        <w:t xml:space="preserve"> </w:t>
      </w:r>
      <w:r w:rsidRPr="00507316">
        <w:rPr>
          <w:b/>
        </w:rPr>
        <w:t>with</w:t>
      </w:r>
      <w:r w:rsidR="00907D8C">
        <w:rPr>
          <w:b/>
        </w:rPr>
        <w:t xml:space="preserve"> </w:t>
      </w:r>
      <w:r w:rsidRPr="00507316">
        <w:rPr>
          <w:b/>
        </w:rPr>
        <w:t>net-of-housing</w:t>
      </w:r>
      <w:r w:rsidR="00B71C3C">
        <w:rPr>
          <w:b/>
        </w:rPr>
        <w:t xml:space="preserve"> </w:t>
      </w:r>
      <w:r w:rsidRPr="00507316">
        <w:rPr>
          <w:b/>
        </w:rPr>
        <w:t>cost</w:t>
      </w:r>
      <w:r w:rsidR="00907D8C">
        <w:rPr>
          <w:b/>
        </w:rPr>
        <w:t xml:space="preserve"> </w:t>
      </w:r>
      <w:r w:rsidRPr="00507316">
        <w:rPr>
          <w:b/>
        </w:rPr>
        <w:t>household</w:t>
      </w:r>
      <w:r w:rsidR="00907D8C">
        <w:rPr>
          <w:b/>
        </w:rPr>
        <w:t xml:space="preserve"> </w:t>
      </w:r>
      <w:r w:rsidRPr="00507316">
        <w:rPr>
          <w:b/>
        </w:rPr>
        <w:t>incomes</w:t>
      </w:r>
      <w:r w:rsidR="00907D8C">
        <w:rPr>
          <w:b/>
        </w:rPr>
        <w:t xml:space="preserve"> </w:t>
      </w:r>
      <w:r w:rsidRPr="00507316">
        <w:rPr>
          <w:b/>
        </w:rPr>
        <w:t>below</w:t>
      </w:r>
      <w:r w:rsidR="00907D8C">
        <w:rPr>
          <w:b/>
        </w:rPr>
        <w:t xml:space="preserve"> </w:t>
      </w:r>
      <w:r w:rsidRPr="00507316">
        <w:rPr>
          <w:b/>
        </w:rPr>
        <w:t>selected</w:t>
      </w:r>
      <w:r w:rsidR="00907D8C">
        <w:rPr>
          <w:b/>
        </w:rPr>
        <w:t xml:space="preserve"> </w:t>
      </w:r>
      <w:r w:rsidRPr="00507316">
        <w:rPr>
          <w:b/>
        </w:rPr>
        <w:t>thresholds,</w:t>
      </w:r>
      <w:r w:rsidR="00907D8C">
        <w:rPr>
          <w:b/>
        </w:rPr>
        <w:t xml:space="preserve"> </w:t>
      </w:r>
      <w:r w:rsidRPr="00507316">
        <w:rPr>
          <w:b/>
        </w:rPr>
        <w:t>1982–2008</w:t>
      </w:r>
      <w:bookmarkEnd w:id="46"/>
    </w:p>
    <w:p w:rsidR="00036FAC" w:rsidRPr="00036FAC" w:rsidRDefault="00036FAC" w:rsidP="00ED51C5">
      <w:pPr>
        <w:tabs>
          <w:tab w:val="right" w:pos="850"/>
          <w:tab w:val="left" w:pos="1134"/>
          <w:tab w:val="left" w:pos="1559"/>
          <w:tab w:val="left" w:pos="1984"/>
          <w:tab w:val="left" w:leader="dot" w:pos="7654"/>
          <w:tab w:val="right" w:pos="8929"/>
          <w:tab w:val="right" w:pos="9638"/>
        </w:tabs>
        <w:spacing w:after="120"/>
        <w:ind w:left="1200"/>
      </w:pPr>
      <w:r w:rsidRPr="00036FAC">
        <w:pict>
          <v:shape id="_x0000_i1030" type="#_x0000_t75" style="width:362.25pt;height:150pt">
            <v:imagedata r:id="rId12" o:title=""/>
          </v:shape>
        </w:pict>
      </w:r>
    </w:p>
    <w:p w:rsidR="00036FAC" w:rsidRPr="007C016E" w:rsidRDefault="00036FAC" w:rsidP="00B50FB5">
      <w:pPr>
        <w:spacing w:before="120"/>
        <w:ind w:left="1134" w:right="1134" w:firstLine="170"/>
        <w:rPr>
          <w:sz w:val="18"/>
          <w:szCs w:val="18"/>
        </w:rPr>
      </w:pPr>
      <w:r w:rsidRPr="007C016E">
        <w:rPr>
          <w:i/>
          <w:sz w:val="18"/>
          <w:szCs w:val="18"/>
        </w:rPr>
        <w:t>Source</w:t>
      </w:r>
      <w:r w:rsidRPr="007C016E">
        <w:rPr>
          <w:sz w:val="18"/>
          <w:szCs w:val="18"/>
        </w:rPr>
        <w:t>:</w:t>
      </w:r>
      <w:r w:rsidR="00907D8C">
        <w:rPr>
          <w:sz w:val="18"/>
          <w:szCs w:val="18"/>
        </w:rPr>
        <w:t xml:space="preserve">  </w:t>
      </w:r>
      <w:r w:rsidRPr="007C016E">
        <w:rPr>
          <w:sz w:val="18"/>
          <w:szCs w:val="18"/>
        </w:rPr>
        <w:t>Derived</w:t>
      </w:r>
      <w:r w:rsidR="00907D8C">
        <w:rPr>
          <w:sz w:val="18"/>
          <w:szCs w:val="18"/>
        </w:rPr>
        <w:t xml:space="preserve"> </w:t>
      </w:r>
      <w:r w:rsidRPr="007C016E">
        <w:rPr>
          <w:sz w:val="18"/>
          <w:szCs w:val="18"/>
        </w:rPr>
        <w:t>from</w:t>
      </w:r>
      <w:r w:rsidR="00907D8C">
        <w:rPr>
          <w:sz w:val="18"/>
          <w:szCs w:val="18"/>
        </w:rPr>
        <w:t xml:space="preserve"> </w:t>
      </w:r>
      <w:r w:rsidRPr="007C016E">
        <w:rPr>
          <w:sz w:val="18"/>
          <w:szCs w:val="18"/>
        </w:rPr>
        <w:t>Statistics</w:t>
      </w:r>
      <w:r w:rsidR="00907D8C">
        <w:rPr>
          <w:sz w:val="18"/>
          <w:szCs w:val="18"/>
        </w:rPr>
        <w:t xml:space="preserve"> </w:t>
      </w:r>
      <w:r w:rsidRPr="007C016E">
        <w:rPr>
          <w:sz w:val="18"/>
          <w:szCs w:val="18"/>
        </w:rPr>
        <w:t>New</w:t>
      </w:r>
      <w:r w:rsidR="00907D8C">
        <w:rPr>
          <w:sz w:val="18"/>
          <w:szCs w:val="18"/>
        </w:rPr>
        <w:t xml:space="preserve"> </w:t>
      </w:r>
      <w:r w:rsidRPr="007C016E">
        <w:rPr>
          <w:sz w:val="18"/>
          <w:szCs w:val="18"/>
        </w:rPr>
        <w:t>Zealand</w:t>
      </w:r>
      <w:r w:rsidR="003E4D94">
        <w:rPr>
          <w:sz w:val="18"/>
          <w:szCs w:val="18"/>
        </w:rPr>
        <w:t>’</w:t>
      </w:r>
      <w:r w:rsidRPr="007C016E">
        <w:rPr>
          <w:sz w:val="18"/>
          <w:szCs w:val="18"/>
        </w:rPr>
        <w:t>s</w:t>
      </w:r>
      <w:r w:rsidR="00907D8C">
        <w:rPr>
          <w:sz w:val="18"/>
          <w:szCs w:val="18"/>
        </w:rPr>
        <w:t xml:space="preserve"> </w:t>
      </w:r>
      <w:r w:rsidRPr="007C016E">
        <w:rPr>
          <w:sz w:val="18"/>
          <w:szCs w:val="18"/>
        </w:rPr>
        <w:t>Household</w:t>
      </w:r>
      <w:r w:rsidR="00907D8C">
        <w:rPr>
          <w:sz w:val="18"/>
          <w:szCs w:val="18"/>
        </w:rPr>
        <w:t xml:space="preserve"> </w:t>
      </w:r>
      <w:r w:rsidRPr="007C016E">
        <w:rPr>
          <w:sz w:val="18"/>
          <w:szCs w:val="18"/>
        </w:rPr>
        <w:t>Economic</w:t>
      </w:r>
      <w:r w:rsidR="00907D8C">
        <w:rPr>
          <w:sz w:val="18"/>
          <w:szCs w:val="18"/>
        </w:rPr>
        <w:t xml:space="preserve"> </w:t>
      </w:r>
      <w:r w:rsidRPr="007C016E">
        <w:rPr>
          <w:sz w:val="18"/>
          <w:szCs w:val="18"/>
        </w:rPr>
        <w:t>Survey</w:t>
      </w:r>
      <w:r w:rsidR="00907D8C">
        <w:rPr>
          <w:sz w:val="18"/>
          <w:szCs w:val="18"/>
        </w:rPr>
        <w:t xml:space="preserve"> </w:t>
      </w:r>
      <w:r w:rsidRPr="007C016E">
        <w:rPr>
          <w:sz w:val="18"/>
          <w:szCs w:val="18"/>
        </w:rPr>
        <w:t>(1982–2008)</w:t>
      </w:r>
      <w:r w:rsidR="00907D8C">
        <w:rPr>
          <w:sz w:val="18"/>
          <w:szCs w:val="18"/>
        </w:rPr>
        <w:t xml:space="preserve"> </w:t>
      </w:r>
      <w:r w:rsidRPr="007C016E">
        <w:rPr>
          <w:sz w:val="18"/>
          <w:szCs w:val="18"/>
        </w:rPr>
        <w:t>by</w:t>
      </w:r>
      <w:r w:rsidR="00907D8C">
        <w:rPr>
          <w:sz w:val="18"/>
          <w:szCs w:val="18"/>
        </w:rPr>
        <w:t xml:space="preserve"> </w:t>
      </w:r>
      <w:r w:rsidRPr="007C016E">
        <w:rPr>
          <w:sz w:val="18"/>
          <w:szCs w:val="18"/>
        </w:rPr>
        <w:t>the</w:t>
      </w:r>
      <w:r w:rsidR="00907D8C">
        <w:rPr>
          <w:sz w:val="18"/>
          <w:szCs w:val="18"/>
        </w:rPr>
        <w:t xml:space="preserve"> </w:t>
      </w:r>
      <w:r w:rsidRPr="007C016E">
        <w:rPr>
          <w:sz w:val="18"/>
          <w:szCs w:val="18"/>
        </w:rPr>
        <w:t>Ministry</w:t>
      </w:r>
      <w:r w:rsidR="00907D8C">
        <w:rPr>
          <w:sz w:val="18"/>
          <w:szCs w:val="18"/>
        </w:rPr>
        <w:t xml:space="preserve"> </w:t>
      </w:r>
      <w:r w:rsidR="00ED51C5" w:rsidRPr="007C016E">
        <w:rPr>
          <w:sz w:val="18"/>
          <w:szCs w:val="18"/>
        </w:rPr>
        <w:t>of</w:t>
      </w:r>
      <w:r w:rsidR="00907D8C">
        <w:rPr>
          <w:sz w:val="18"/>
          <w:szCs w:val="18"/>
        </w:rPr>
        <w:t xml:space="preserve"> </w:t>
      </w:r>
      <w:r w:rsidR="00ED51C5" w:rsidRPr="007C016E">
        <w:rPr>
          <w:sz w:val="18"/>
          <w:szCs w:val="18"/>
        </w:rPr>
        <w:t>Social</w:t>
      </w:r>
      <w:r w:rsidR="00907D8C">
        <w:rPr>
          <w:sz w:val="18"/>
          <w:szCs w:val="18"/>
        </w:rPr>
        <w:t xml:space="preserve"> </w:t>
      </w:r>
      <w:r w:rsidR="00ED51C5" w:rsidRPr="007C016E">
        <w:rPr>
          <w:sz w:val="18"/>
          <w:szCs w:val="18"/>
        </w:rPr>
        <w:t>Development.</w:t>
      </w:r>
    </w:p>
    <w:p w:rsidR="00036FAC" w:rsidRPr="007C016E" w:rsidRDefault="00036FAC" w:rsidP="00B50FB5">
      <w:pPr>
        <w:spacing w:after="240"/>
        <w:ind w:left="1134" w:right="1134" w:firstLine="170"/>
        <w:rPr>
          <w:sz w:val="18"/>
          <w:szCs w:val="18"/>
        </w:rPr>
      </w:pPr>
      <w:r w:rsidRPr="007C016E">
        <w:rPr>
          <w:i/>
          <w:sz w:val="18"/>
          <w:szCs w:val="18"/>
        </w:rPr>
        <w:t>Note</w:t>
      </w:r>
      <w:r w:rsidRPr="007C016E">
        <w:rPr>
          <w:sz w:val="18"/>
          <w:szCs w:val="18"/>
        </w:rPr>
        <w:t>:</w:t>
      </w:r>
      <w:r w:rsidR="00907D8C">
        <w:rPr>
          <w:sz w:val="18"/>
          <w:szCs w:val="18"/>
        </w:rPr>
        <w:t xml:space="preserve">  </w:t>
      </w:r>
      <w:r w:rsidRPr="007C016E">
        <w:rPr>
          <w:sz w:val="18"/>
          <w:szCs w:val="18"/>
        </w:rPr>
        <w:t>Between</w:t>
      </w:r>
      <w:r w:rsidR="00907D8C">
        <w:rPr>
          <w:sz w:val="18"/>
          <w:szCs w:val="18"/>
        </w:rPr>
        <w:t xml:space="preserve"> </w:t>
      </w:r>
      <w:r w:rsidRPr="007C016E">
        <w:rPr>
          <w:sz w:val="18"/>
          <w:szCs w:val="18"/>
        </w:rPr>
        <w:t>1998</w:t>
      </w:r>
      <w:r w:rsidR="00907D8C">
        <w:rPr>
          <w:sz w:val="18"/>
          <w:szCs w:val="18"/>
        </w:rPr>
        <w:t xml:space="preserve"> </w:t>
      </w:r>
      <w:r w:rsidRPr="007C016E">
        <w:rPr>
          <w:sz w:val="18"/>
          <w:szCs w:val="18"/>
        </w:rPr>
        <w:t>and</w:t>
      </w:r>
      <w:r w:rsidR="00907D8C">
        <w:rPr>
          <w:sz w:val="18"/>
          <w:szCs w:val="18"/>
        </w:rPr>
        <w:t xml:space="preserve"> </w:t>
      </w:r>
      <w:r w:rsidRPr="007C016E">
        <w:rPr>
          <w:sz w:val="18"/>
          <w:szCs w:val="18"/>
        </w:rPr>
        <w:t>2004,</w:t>
      </w:r>
      <w:r w:rsidR="00907D8C">
        <w:rPr>
          <w:sz w:val="18"/>
          <w:szCs w:val="18"/>
        </w:rPr>
        <w:t xml:space="preserve"> </w:t>
      </w:r>
      <w:r w:rsidRPr="007C016E">
        <w:rPr>
          <w:sz w:val="18"/>
          <w:szCs w:val="18"/>
        </w:rPr>
        <w:t>the</w:t>
      </w:r>
      <w:r w:rsidR="00907D8C">
        <w:rPr>
          <w:sz w:val="18"/>
          <w:szCs w:val="18"/>
        </w:rPr>
        <w:t xml:space="preserve"> </w:t>
      </w:r>
      <w:r w:rsidRPr="007C016E">
        <w:rPr>
          <w:sz w:val="18"/>
          <w:szCs w:val="18"/>
        </w:rPr>
        <w:t>Household</w:t>
      </w:r>
      <w:r w:rsidR="00907D8C">
        <w:rPr>
          <w:sz w:val="18"/>
          <w:szCs w:val="18"/>
        </w:rPr>
        <w:t xml:space="preserve"> </w:t>
      </w:r>
      <w:r w:rsidRPr="007C016E">
        <w:rPr>
          <w:sz w:val="18"/>
          <w:szCs w:val="18"/>
        </w:rPr>
        <w:t>Economic</w:t>
      </w:r>
      <w:r w:rsidR="00907D8C">
        <w:rPr>
          <w:sz w:val="18"/>
          <w:szCs w:val="18"/>
        </w:rPr>
        <w:t xml:space="preserve"> </w:t>
      </w:r>
      <w:r w:rsidRPr="007C016E">
        <w:rPr>
          <w:sz w:val="18"/>
          <w:szCs w:val="18"/>
        </w:rPr>
        <w:t>Survey</w:t>
      </w:r>
      <w:r w:rsidR="00907D8C">
        <w:rPr>
          <w:sz w:val="18"/>
          <w:szCs w:val="18"/>
        </w:rPr>
        <w:t xml:space="preserve"> </w:t>
      </w:r>
      <w:r w:rsidRPr="007C016E">
        <w:rPr>
          <w:sz w:val="18"/>
          <w:szCs w:val="18"/>
        </w:rPr>
        <w:t>was</w:t>
      </w:r>
      <w:r w:rsidR="00907D8C">
        <w:rPr>
          <w:sz w:val="18"/>
          <w:szCs w:val="18"/>
        </w:rPr>
        <w:t xml:space="preserve"> </w:t>
      </w:r>
      <w:r w:rsidRPr="007C016E">
        <w:rPr>
          <w:sz w:val="18"/>
          <w:szCs w:val="18"/>
        </w:rPr>
        <w:t>conducted</w:t>
      </w:r>
      <w:r w:rsidR="00907D8C">
        <w:rPr>
          <w:sz w:val="18"/>
          <w:szCs w:val="18"/>
        </w:rPr>
        <w:t xml:space="preserve"> </w:t>
      </w:r>
      <w:r w:rsidRPr="007C016E">
        <w:rPr>
          <w:sz w:val="18"/>
          <w:szCs w:val="18"/>
        </w:rPr>
        <w:t>on</w:t>
      </w:r>
      <w:r w:rsidR="00907D8C">
        <w:rPr>
          <w:sz w:val="18"/>
          <w:szCs w:val="18"/>
        </w:rPr>
        <w:t xml:space="preserve"> </w:t>
      </w:r>
      <w:r w:rsidRPr="007C016E">
        <w:rPr>
          <w:sz w:val="18"/>
          <w:szCs w:val="18"/>
        </w:rPr>
        <w:t>a</w:t>
      </w:r>
      <w:r w:rsidR="00907D8C">
        <w:rPr>
          <w:sz w:val="18"/>
          <w:szCs w:val="18"/>
        </w:rPr>
        <w:t xml:space="preserve"> </w:t>
      </w:r>
      <w:r w:rsidRPr="007C016E">
        <w:rPr>
          <w:sz w:val="18"/>
          <w:szCs w:val="18"/>
        </w:rPr>
        <w:t>three-yearly</w:t>
      </w:r>
      <w:r w:rsidR="00907D8C">
        <w:rPr>
          <w:sz w:val="18"/>
          <w:szCs w:val="18"/>
        </w:rPr>
        <w:t xml:space="preserve"> </w:t>
      </w:r>
      <w:r w:rsidRPr="007C016E">
        <w:rPr>
          <w:sz w:val="18"/>
          <w:szCs w:val="18"/>
        </w:rPr>
        <w:t>basi</w:t>
      </w:r>
      <w:r w:rsidR="00ED51C5" w:rsidRPr="007C016E">
        <w:rPr>
          <w:sz w:val="18"/>
          <w:szCs w:val="18"/>
        </w:rPr>
        <w:t>s,</w:t>
      </w:r>
      <w:r w:rsidR="00907D8C">
        <w:rPr>
          <w:sz w:val="18"/>
          <w:szCs w:val="18"/>
        </w:rPr>
        <w:t xml:space="preserve"> </w:t>
      </w:r>
      <w:r w:rsidR="00ED51C5" w:rsidRPr="007C016E">
        <w:rPr>
          <w:sz w:val="18"/>
          <w:szCs w:val="18"/>
        </w:rPr>
        <w:t>rather</w:t>
      </w:r>
      <w:r w:rsidR="00907D8C">
        <w:rPr>
          <w:sz w:val="18"/>
          <w:szCs w:val="18"/>
        </w:rPr>
        <w:t xml:space="preserve"> </w:t>
      </w:r>
      <w:r w:rsidR="00ED51C5" w:rsidRPr="007C016E">
        <w:rPr>
          <w:sz w:val="18"/>
          <w:szCs w:val="18"/>
        </w:rPr>
        <w:t>than</w:t>
      </w:r>
      <w:r w:rsidR="00907D8C">
        <w:rPr>
          <w:sz w:val="18"/>
          <w:szCs w:val="18"/>
        </w:rPr>
        <w:t xml:space="preserve"> </w:t>
      </w:r>
      <w:r w:rsidR="00ED51C5" w:rsidRPr="007C016E">
        <w:rPr>
          <w:sz w:val="18"/>
          <w:szCs w:val="18"/>
        </w:rPr>
        <w:t>annually.</w:t>
      </w:r>
    </w:p>
    <w:p w:rsidR="00036FAC" w:rsidRPr="00036FAC" w:rsidRDefault="00036FAC" w:rsidP="006C436C">
      <w:pPr>
        <w:pStyle w:val="H23G"/>
      </w:pPr>
      <w:r w:rsidRPr="00036FAC">
        <w:tab/>
        <w:t>(b)</w:t>
      </w:r>
      <w:r w:rsidRPr="00036FAC">
        <w:tab/>
        <w:t>Age</w:t>
      </w:r>
      <w:r w:rsidR="00907D8C">
        <w:t xml:space="preserve"> </w:t>
      </w:r>
      <w:r w:rsidRPr="00036FAC">
        <w:t>and</w:t>
      </w:r>
      <w:r w:rsidR="00907D8C">
        <w:t xml:space="preserve"> </w:t>
      </w:r>
      <w:r w:rsidRPr="00036FAC">
        <w:t>sex</w:t>
      </w:r>
      <w:r w:rsidR="00907D8C">
        <w:t xml:space="preserve"> </w:t>
      </w:r>
      <w:r w:rsidRPr="00036FAC">
        <w:t>differences</w:t>
      </w:r>
    </w:p>
    <w:p w:rsidR="00036FAC" w:rsidRPr="00036FAC" w:rsidRDefault="00036FAC" w:rsidP="00B50FB5">
      <w:pPr>
        <w:pStyle w:val="SingleTxtG"/>
      </w:pPr>
      <w:r w:rsidRPr="00036FAC">
        <w:t>68.</w:t>
      </w:r>
      <w:r w:rsidRPr="00036FAC">
        <w:tab/>
        <w:t>A</w:t>
      </w:r>
      <w:r w:rsidR="00907D8C">
        <w:t xml:space="preserve"> </w:t>
      </w:r>
      <w:r w:rsidRPr="00036FAC">
        <w:t>lower</w:t>
      </w:r>
      <w:r w:rsidR="00907D8C">
        <w:t xml:space="preserve"> </w:t>
      </w:r>
      <w:r w:rsidRPr="00036FAC">
        <w:t>proportion</w:t>
      </w:r>
      <w:r w:rsidR="00907D8C">
        <w:t xml:space="preserve"> </w:t>
      </w:r>
      <w:r w:rsidRPr="00036FAC">
        <w:t>of</w:t>
      </w:r>
      <w:r w:rsidR="00907D8C">
        <w:t xml:space="preserve"> </w:t>
      </w:r>
      <w:r w:rsidRPr="00036FAC">
        <w:t>older</w:t>
      </w:r>
      <w:r w:rsidR="00907D8C">
        <w:t xml:space="preserve"> </w:t>
      </w:r>
      <w:r w:rsidRPr="00036FAC">
        <w:t>people</w:t>
      </w:r>
      <w:r w:rsidR="00907D8C">
        <w:t xml:space="preserve"> </w:t>
      </w:r>
      <w:r w:rsidRPr="00036FAC">
        <w:t>than</w:t>
      </w:r>
      <w:r w:rsidR="00907D8C">
        <w:t xml:space="preserve"> </w:t>
      </w:r>
      <w:r w:rsidRPr="00036FAC">
        <w:t>younger</w:t>
      </w:r>
      <w:r w:rsidR="00907D8C">
        <w:t xml:space="preserve"> </w:t>
      </w:r>
      <w:r w:rsidRPr="00036FAC">
        <w:t>people</w:t>
      </w:r>
      <w:r w:rsidR="00907D8C">
        <w:t xml:space="preserve"> </w:t>
      </w:r>
      <w:r w:rsidRPr="00036FAC">
        <w:t>are</w:t>
      </w:r>
      <w:r w:rsidR="00907D8C">
        <w:t xml:space="preserve"> </w:t>
      </w:r>
      <w:r w:rsidRPr="00036FAC">
        <w:t>below</w:t>
      </w:r>
      <w:r w:rsidR="00907D8C">
        <w:t xml:space="preserve"> </w:t>
      </w:r>
      <w:r w:rsidRPr="00036FAC">
        <w:t>the</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threshold,</w:t>
      </w:r>
      <w:r w:rsidR="00907D8C">
        <w:t xml:space="preserve"> </w:t>
      </w:r>
      <w:r w:rsidRPr="00036FAC">
        <w:t>although</w:t>
      </w:r>
      <w:r w:rsidR="00907D8C">
        <w:t xml:space="preserve"> </w:t>
      </w:r>
      <w:r w:rsidRPr="00036FAC">
        <w:t>the</w:t>
      </w:r>
      <w:r w:rsidR="00907D8C">
        <w:t xml:space="preserve"> </w:t>
      </w:r>
      <w:r w:rsidRPr="00036FAC">
        <w:t>difference</w:t>
      </w:r>
      <w:r w:rsidR="00907D8C">
        <w:t xml:space="preserve"> </w:t>
      </w:r>
      <w:r w:rsidRPr="00036FAC">
        <w:t>between</w:t>
      </w:r>
      <w:r w:rsidR="00907D8C">
        <w:t xml:space="preserve"> </w:t>
      </w:r>
      <w:r w:rsidRPr="00036FAC">
        <w:t>younger</w:t>
      </w:r>
      <w:r w:rsidR="00907D8C">
        <w:t xml:space="preserve"> </w:t>
      </w:r>
      <w:r w:rsidRPr="00036FAC">
        <w:t>and</w:t>
      </w:r>
      <w:r w:rsidR="00907D8C">
        <w:t xml:space="preserve"> </w:t>
      </w:r>
      <w:r w:rsidRPr="00036FAC">
        <w:t>older</w:t>
      </w:r>
      <w:r w:rsidR="00907D8C">
        <w:t xml:space="preserve"> </w:t>
      </w:r>
      <w:r w:rsidRPr="00036FAC">
        <w:t>people</w:t>
      </w:r>
      <w:r w:rsidR="00907D8C">
        <w:t xml:space="preserve"> </w:t>
      </w:r>
      <w:r w:rsidRPr="00036FAC">
        <w:t>was</w:t>
      </w:r>
      <w:r w:rsidR="00907D8C">
        <w:t xml:space="preserve"> </w:t>
      </w:r>
      <w:r w:rsidRPr="00036FAC">
        <w:t>much</w:t>
      </w:r>
      <w:r w:rsidR="00907D8C">
        <w:t xml:space="preserve"> </w:t>
      </w:r>
      <w:r w:rsidRPr="00036FAC">
        <w:t>smaller</w:t>
      </w:r>
      <w:r w:rsidR="00907D8C">
        <w:t xml:space="preserve"> </w:t>
      </w:r>
      <w:r w:rsidRPr="00036FAC">
        <w:t>in</w:t>
      </w:r>
      <w:r w:rsidR="00907D8C">
        <w:t xml:space="preserve"> </w:t>
      </w:r>
      <w:r w:rsidRPr="00036FAC">
        <w:t>2008</w:t>
      </w:r>
      <w:r w:rsidR="00907D8C">
        <w:t xml:space="preserve"> </w:t>
      </w:r>
      <w:r w:rsidRPr="00036FAC">
        <w:t>than</w:t>
      </w:r>
      <w:r w:rsidR="00907D8C">
        <w:t xml:space="preserve"> </w:t>
      </w:r>
      <w:r w:rsidRPr="00036FAC">
        <w:t>it</w:t>
      </w:r>
      <w:r w:rsidR="00907D8C">
        <w:t xml:space="preserve"> </w:t>
      </w:r>
      <w:r w:rsidRPr="00036FAC">
        <w:t>was</w:t>
      </w:r>
      <w:r w:rsidR="00907D8C">
        <w:t xml:space="preserve"> </w:t>
      </w:r>
      <w:r w:rsidRPr="00036FAC">
        <w:t>a</w:t>
      </w:r>
      <w:r w:rsidR="00907D8C">
        <w:t xml:space="preserve"> </w:t>
      </w:r>
      <w:r w:rsidRPr="00036FAC">
        <w:t>decade</w:t>
      </w:r>
      <w:r w:rsidR="00907D8C">
        <w:t xml:space="preserve"> </w:t>
      </w:r>
      <w:r w:rsidRPr="00036FAC">
        <w:t>earlier.</w:t>
      </w:r>
      <w:r w:rsidR="00907D8C">
        <w:t xml:space="preserve"> </w:t>
      </w:r>
      <w:r w:rsidRPr="00036FAC">
        <w:t>The</w:t>
      </w:r>
      <w:r w:rsidR="00907D8C">
        <w:t xml:space="preserve"> </w:t>
      </w:r>
      <w:r w:rsidRPr="00036FAC">
        <w:t>relatively</w:t>
      </w:r>
      <w:r w:rsidR="00907D8C">
        <w:t xml:space="preserve"> </w:t>
      </w:r>
      <w:r w:rsidRPr="00036FAC">
        <w:t>low</w:t>
      </w:r>
      <w:r w:rsidR="00907D8C">
        <w:t xml:space="preserve"> </w:t>
      </w:r>
      <w:r w:rsidRPr="00036FAC">
        <w:t>rates</w:t>
      </w:r>
      <w:r w:rsidR="00907D8C">
        <w:t xml:space="preserve"> </w:t>
      </w:r>
      <w:r w:rsidRPr="00036FAC">
        <w:t>for</w:t>
      </w:r>
      <w:r w:rsidR="00907D8C">
        <w:t xml:space="preserve"> </w:t>
      </w:r>
      <w:r w:rsidRPr="00036FAC">
        <w:t>New</w:t>
      </w:r>
      <w:r w:rsidR="00907D8C">
        <w:t xml:space="preserve"> </w:t>
      </w:r>
      <w:r w:rsidRPr="00036FAC">
        <w:t>Zealanders</w:t>
      </w:r>
      <w:r w:rsidR="00907D8C">
        <w:t xml:space="preserve"> </w:t>
      </w:r>
      <w:r w:rsidRPr="00036FAC">
        <w:t>aged</w:t>
      </w:r>
      <w:r w:rsidR="00907D8C">
        <w:t xml:space="preserve"> </w:t>
      </w:r>
      <w:r w:rsidRPr="00036FAC">
        <w:t>65</w:t>
      </w:r>
      <w:r w:rsidR="00907D8C">
        <w:t xml:space="preserve"> </w:t>
      </w:r>
      <w:r w:rsidRPr="00036FAC">
        <w:t>years</w:t>
      </w:r>
      <w:r w:rsidR="00907D8C">
        <w:t xml:space="preserve"> </w:t>
      </w:r>
      <w:r w:rsidRPr="00036FAC">
        <w:t>and</w:t>
      </w:r>
      <w:r w:rsidR="00907D8C">
        <w:t xml:space="preserve"> </w:t>
      </w:r>
      <w:r w:rsidRPr="00036FAC">
        <w:t>over</w:t>
      </w:r>
      <w:r w:rsidR="00907D8C">
        <w:t xml:space="preserve"> </w:t>
      </w:r>
      <w:r w:rsidRPr="00036FAC">
        <w:t>reflect</w:t>
      </w:r>
      <w:r w:rsidR="00907D8C">
        <w:t xml:space="preserve"> </w:t>
      </w:r>
      <w:r w:rsidRPr="00036FAC">
        <w:t>their</w:t>
      </w:r>
      <w:r w:rsidR="00907D8C">
        <w:t xml:space="preserve"> </w:t>
      </w:r>
      <w:r w:rsidRPr="00036FAC">
        <w:t>high</w:t>
      </w:r>
      <w:r w:rsidR="00907D8C">
        <w:t xml:space="preserve"> </w:t>
      </w:r>
      <w:r w:rsidRPr="00036FAC">
        <w:t>rate</w:t>
      </w:r>
      <w:r w:rsidR="00907D8C">
        <w:t xml:space="preserve"> </w:t>
      </w:r>
      <w:r w:rsidRPr="00036FAC">
        <w:t>o</w:t>
      </w:r>
      <w:r w:rsidR="007C016E">
        <w:t>f</w:t>
      </w:r>
      <w:r w:rsidR="00907D8C">
        <w:t xml:space="preserve"> </w:t>
      </w:r>
      <w:r w:rsidR="007C016E">
        <w:t>mortgage-free</w:t>
      </w:r>
      <w:r w:rsidR="00907D8C">
        <w:t xml:space="preserve"> </w:t>
      </w:r>
      <w:r w:rsidR="007C016E">
        <w:t>home</w:t>
      </w:r>
      <w:r w:rsidR="00907D8C">
        <w:t xml:space="preserve"> </w:t>
      </w:r>
      <w:r w:rsidR="007C016E">
        <w:t>ownership.</w:t>
      </w:r>
    </w:p>
    <w:p w:rsidR="00036FAC" w:rsidRPr="00036FAC" w:rsidRDefault="00036FAC" w:rsidP="00B50FB5">
      <w:pPr>
        <w:pStyle w:val="SingleTxtG"/>
      </w:pPr>
      <w:r w:rsidRPr="00036FAC">
        <w:t>69.</w:t>
      </w:r>
      <w:r w:rsidRPr="00036FAC">
        <w:tab/>
        <w:t>In</w:t>
      </w:r>
      <w:r w:rsidR="00907D8C">
        <w:t xml:space="preserve"> </w:t>
      </w:r>
      <w:r w:rsidRPr="00036FAC">
        <w:t>2008,</w:t>
      </w:r>
      <w:r w:rsidR="00907D8C">
        <w:t xml:space="preserve"> </w:t>
      </w:r>
      <w:r w:rsidRPr="00036FAC">
        <w:t>20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dependent</w:t>
      </w:r>
      <w:r w:rsidR="00907D8C">
        <w:t xml:space="preserve"> </w:t>
      </w:r>
      <w:r w:rsidRPr="00036FAC">
        <w:t>children</w:t>
      </w:r>
      <w:r w:rsidR="00907D8C">
        <w:t xml:space="preserve"> </w:t>
      </w:r>
      <w:r w:rsidRPr="00036FAC">
        <w:t>were</w:t>
      </w:r>
      <w:r w:rsidR="00907D8C">
        <w:t xml:space="preserve"> </w:t>
      </w:r>
      <w:r w:rsidRPr="00036FAC">
        <w:t>in</w:t>
      </w:r>
      <w:r w:rsidR="00907D8C">
        <w:t xml:space="preserve"> </w:t>
      </w:r>
      <w:r w:rsidRPr="00036FAC">
        <w:t>households</w:t>
      </w:r>
      <w:r w:rsidR="00907D8C">
        <w:t xml:space="preserve"> </w:t>
      </w:r>
      <w:r w:rsidRPr="00036FAC">
        <w:t>with</w:t>
      </w:r>
      <w:r w:rsidR="00907D8C">
        <w:t xml:space="preserve"> </w:t>
      </w:r>
      <w:r w:rsidRPr="00036FAC">
        <w:t>incomes</w:t>
      </w:r>
      <w:r w:rsidR="00907D8C">
        <w:t xml:space="preserve"> </w:t>
      </w:r>
      <w:r w:rsidRPr="00036FAC">
        <w:t>below</w:t>
      </w:r>
      <w:r w:rsidR="00907D8C">
        <w:t xml:space="preserve"> </w:t>
      </w:r>
      <w:r w:rsidRPr="00036FAC">
        <w:t>the</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threshold.</w:t>
      </w:r>
      <w:r w:rsidR="00907D8C">
        <w:t xml:space="preserve"> </w:t>
      </w:r>
      <w:r w:rsidRPr="00036FAC">
        <w:t>This</w:t>
      </w:r>
      <w:r w:rsidR="00907D8C">
        <w:t xml:space="preserve"> </w:t>
      </w:r>
      <w:r w:rsidRPr="00036FAC">
        <w:t>was</w:t>
      </w:r>
      <w:r w:rsidR="00907D8C">
        <w:t xml:space="preserve"> </w:t>
      </w:r>
      <w:r w:rsidRPr="00036FAC">
        <w:t>an</w:t>
      </w:r>
      <w:r w:rsidR="00907D8C">
        <w:t xml:space="preserve"> </w:t>
      </w:r>
      <w:r w:rsidRPr="00036FAC">
        <w:t>increase</w:t>
      </w:r>
      <w:r w:rsidR="00907D8C">
        <w:t xml:space="preserve"> </w:t>
      </w:r>
      <w:r w:rsidRPr="00036FAC">
        <w:t>from</w:t>
      </w:r>
      <w:r w:rsidR="00907D8C">
        <w:t xml:space="preserve"> </w:t>
      </w:r>
      <w:r w:rsidRPr="00036FAC">
        <w:t>16</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2007</w:t>
      </w:r>
      <w:r w:rsidR="00907D8C">
        <w:t xml:space="preserve"> </w:t>
      </w:r>
      <w:r w:rsidRPr="00036FAC">
        <w:t>and</w:t>
      </w:r>
      <w:r w:rsidR="00907D8C">
        <w:t xml:space="preserve"> </w:t>
      </w:r>
      <w:r w:rsidRPr="00036FAC">
        <w:t>reflects</w:t>
      </w:r>
      <w:r w:rsidR="00907D8C">
        <w:t xml:space="preserve"> </w:t>
      </w:r>
      <w:r w:rsidRPr="00036FAC">
        <w:t>the</w:t>
      </w:r>
      <w:r w:rsidR="00907D8C">
        <w:t xml:space="preserve"> </w:t>
      </w:r>
      <w:r w:rsidRPr="00036FAC">
        <w:t>rise</w:t>
      </w:r>
      <w:r w:rsidR="00907D8C">
        <w:t xml:space="preserve"> </w:t>
      </w:r>
      <w:r w:rsidRPr="00036FAC">
        <w:t>in</w:t>
      </w:r>
      <w:r w:rsidR="00907D8C">
        <w:t xml:space="preserve"> </w:t>
      </w:r>
      <w:r w:rsidRPr="00036FAC">
        <w:t>housing</w:t>
      </w:r>
      <w:r w:rsidR="00907D8C">
        <w:t xml:space="preserve"> </w:t>
      </w:r>
      <w:r w:rsidRPr="00036FAC">
        <w:t>costs</w:t>
      </w:r>
      <w:r w:rsidR="00907D8C">
        <w:t xml:space="preserve"> </w:t>
      </w:r>
      <w:r w:rsidRPr="00036FAC">
        <w:t>for</w:t>
      </w:r>
      <w:r w:rsidR="00907D8C">
        <w:t xml:space="preserve"> </w:t>
      </w:r>
      <w:r w:rsidRPr="00036FAC">
        <w:t>households</w:t>
      </w:r>
      <w:r w:rsidR="00907D8C">
        <w:t xml:space="preserve"> </w:t>
      </w:r>
      <w:r w:rsidRPr="00036FAC">
        <w:t>with</w:t>
      </w:r>
      <w:r w:rsidR="00907D8C">
        <w:t xml:space="preserve"> </w:t>
      </w:r>
      <w:r w:rsidRPr="00036FAC">
        <w:t>children.</w:t>
      </w:r>
      <w:r w:rsidR="00907D8C">
        <w:t xml:space="preserve"> </w:t>
      </w:r>
      <w:r w:rsidRPr="00036FAC">
        <w:t>The</w:t>
      </w:r>
      <w:r w:rsidR="00907D8C">
        <w:t xml:space="preserve"> </w:t>
      </w:r>
      <w:r w:rsidRPr="00036FAC">
        <w:t>2008</w:t>
      </w:r>
      <w:r w:rsidR="00907D8C">
        <w:t xml:space="preserve"> </w:t>
      </w:r>
      <w:r w:rsidRPr="00036FAC">
        <w:t>rate</w:t>
      </w:r>
      <w:r w:rsidR="00907D8C">
        <w:t xml:space="preserve"> </w:t>
      </w:r>
      <w:r w:rsidRPr="00036FAC">
        <w:t>was</w:t>
      </w:r>
      <w:r w:rsidR="00907D8C">
        <w:t xml:space="preserve"> </w:t>
      </w:r>
      <w:r w:rsidRPr="00036FAC">
        <w:t>considerably</w:t>
      </w:r>
      <w:r w:rsidR="00907D8C">
        <w:t xml:space="preserve"> </w:t>
      </w:r>
      <w:r w:rsidRPr="00036FAC">
        <w:t>lower</w:t>
      </w:r>
      <w:r w:rsidR="00907D8C">
        <w:t xml:space="preserve"> </w:t>
      </w:r>
      <w:r w:rsidRPr="00036FAC">
        <w:t>than</w:t>
      </w:r>
      <w:r w:rsidR="00907D8C">
        <w:t xml:space="preserve"> </w:t>
      </w:r>
      <w:r w:rsidRPr="00036FAC">
        <w:t>the</w:t>
      </w:r>
      <w:r w:rsidR="00907D8C">
        <w:t xml:space="preserve"> </w:t>
      </w:r>
      <w:r w:rsidRPr="00036FAC">
        <w:t>peak</w:t>
      </w:r>
      <w:r w:rsidR="00907D8C">
        <w:t xml:space="preserve"> </w:t>
      </w:r>
      <w:r w:rsidRPr="00036FAC">
        <w:t>rate</w:t>
      </w:r>
      <w:r w:rsidR="00907D8C">
        <w:t xml:space="preserve"> </w:t>
      </w:r>
      <w:r w:rsidRPr="00036FAC">
        <w:t>of</w:t>
      </w:r>
      <w:r w:rsidR="00907D8C">
        <w:t xml:space="preserve"> </w:t>
      </w:r>
      <w:r w:rsidRPr="00036FAC">
        <w:t>35</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1994,</w:t>
      </w:r>
      <w:r w:rsidR="00907D8C">
        <w:t xml:space="preserve"> </w:t>
      </w:r>
      <w:r w:rsidRPr="00036FAC">
        <w:t>but</w:t>
      </w:r>
      <w:r w:rsidR="00907D8C">
        <w:t xml:space="preserve"> </w:t>
      </w:r>
      <w:r w:rsidRPr="00036FAC">
        <w:t>was</w:t>
      </w:r>
      <w:r w:rsidR="00907D8C">
        <w:t xml:space="preserve"> </w:t>
      </w:r>
      <w:r w:rsidRPr="00036FAC">
        <w:t>still</w:t>
      </w:r>
      <w:r w:rsidR="00907D8C">
        <w:t xml:space="preserve"> </w:t>
      </w:r>
      <w:r w:rsidRPr="00036FAC">
        <w:t>above</w:t>
      </w:r>
      <w:r w:rsidR="00907D8C">
        <w:t xml:space="preserve"> </w:t>
      </w:r>
      <w:r w:rsidRPr="00036FAC">
        <w:t>the</w:t>
      </w:r>
      <w:r w:rsidR="00907D8C">
        <w:t xml:space="preserve"> </w:t>
      </w:r>
      <w:r w:rsidRPr="00036FAC">
        <w:t>levels</w:t>
      </w:r>
      <w:r w:rsidR="00907D8C">
        <w:t xml:space="preserve"> </w:t>
      </w:r>
      <w:r w:rsidRPr="00036FAC">
        <w:t>of</w:t>
      </w:r>
      <w:r w:rsidR="00907D8C">
        <w:t xml:space="preserve"> </w:t>
      </w:r>
      <w:r w:rsidRPr="00036FAC">
        <w:t>the</w:t>
      </w:r>
      <w:r w:rsidR="00907D8C">
        <w:t xml:space="preserve"> </w:t>
      </w:r>
      <w:r w:rsidR="003E4D94">
        <w:t>mid-</w:t>
      </w:r>
      <w:r w:rsidRPr="00036FAC">
        <w:t>1980s</w:t>
      </w:r>
      <w:r w:rsidR="00907D8C">
        <w:t xml:space="preserve"> </w:t>
      </w:r>
      <w:r w:rsidRPr="00036FAC">
        <w:t>(11</w:t>
      </w:r>
      <w:r w:rsidR="00907D8C">
        <w:t xml:space="preserve"> </w:t>
      </w:r>
      <w:r w:rsidR="00AE58B5">
        <w:t>per</w:t>
      </w:r>
      <w:r w:rsidR="00907D8C">
        <w:t xml:space="preserve"> </w:t>
      </w:r>
      <w:r w:rsidR="00AE58B5">
        <w:t>cent</w:t>
      </w:r>
      <w:r w:rsidRPr="00036FAC">
        <w:t>).</w:t>
      </w:r>
      <w:r w:rsidR="00907D8C">
        <w:t xml:space="preserve"> </w:t>
      </w:r>
      <w:r w:rsidRPr="00036FAC">
        <w:t>Since</w:t>
      </w:r>
      <w:r w:rsidR="00907D8C">
        <w:t xml:space="preserve"> </w:t>
      </w:r>
      <w:r w:rsidRPr="00036FAC">
        <w:t>1986,</w:t>
      </w:r>
      <w:r w:rsidR="00907D8C">
        <w:t xml:space="preserve"> </w:t>
      </w:r>
      <w:r w:rsidRPr="00036FAC">
        <w:t>rates</w:t>
      </w:r>
      <w:r w:rsidR="00907D8C">
        <w:t xml:space="preserve"> </w:t>
      </w:r>
      <w:r w:rsidRPr="00036FAC">
        <w:t>for</w:t>
      </w:r>
      <w:r w:rsidR="00907D8C">
        <w:t xml:space="preserve"> </w:t>
      </w:r>
      <w:r w:rsidRPr="00036FAC">
        <w:t>females</w:t>
      </w:r>
      <w:r w:rsidR="00907D8C">
        <w:t xml:space="preserve"> </w:t>
      </w:r>
      <w:r w:rsidRPr="00036FAC">
        <w:t>aged</w:t>
      </w:r>
      <w:r w:rsidR="00907D8C">
        <w:t xml:space="preserve"> </w:t>
      </w:r>
      <w:r w:rsidRPr="00036FAC">
        <w:t>15</w:t>
      </w:r>
      <w:r w:rsidR="00907D8C">
        <w:t xml:space="preserve"> </w:t>
      </w:r>
      <w:r w:rsidRPr="00036FAC">
        <w:t>years</w:t>
      </w:r>
      <w:r w:rsidR="00907D8C">
        <w:t xml:space="preserve"> </w:t>
      </w:r>
      <w:r w:rsidRPr="00036FAC">
        <w:t>and</w:t>
      </w:r>
      <w:r w:rsidR="00907D8C">
        <w:t xml:space="preserve"> </w:t>
      </w:r>
      <w:r w:rsidRPr="00036FAC">
        <w:t>over</w:t>
      </w:r>
      <w:r w:rsidR="00907D8C">
        <w:t xml:space="preserve"> </w:t>
      </w:r>
      <w:r w:rsidRPr="00036FAC">
        <w:t>have</w:t>
      </w:r>
      <w:r w:rsidR="00907D8C">
        <w:t xml:space="preserve"> </w:t>
      </w:r>
      <w:r w:rsidRPr="00036FAC">
        <w:t>generally</w:t>
      </w:r>
      <w:r w:rsidR="00907D8C">
        <w:t xml:space="preserve"> </w:t>
      </w:r>
      <w:r w:rsidRPr="00036FAC">
        <w:t>been</w:t>
      </w:r>
      <w:r w:rsidR="00907D8C">
        <w:t xml:space="preserve"> </w:t>
      </w:r>
      <w:r w:rsidRPr="00036FAC">
        <w:t>a</w:t>
      </w:r>
      <w:r w:rsidR="00907D8C">
        <w:t xml:space="preserve"> </w:t>
      </w:r>
      <w:r w:rsidRPr="00036FAC">
        <w:t>little</w:t>
      </w:r>
      <w:r w:rsidR="00907D8C">
        <w:t xml:space="preserve"> </w:t>
      </w:r>
      <w:r w:rsidRPr="00036FAC">
        <w:t>higher</w:t>
      </w:r>
      <w:r w:rsidR="00907D8C">
        <w:t xml:space="preserve"> </w:t>
      </w:r>
      <w:r w:rsidRPr="00036FAC">
        <w:t>than</w:t>
      </w:r>
      <w:r w:rsidR="00907D8C">
        <w:t xml:space="preserve"> </w:t>
      </w:r>
      <w:r w:rsidRPr="00036FAC">
        <w:t>those</w:t>
      </w:r>
      <w:r w:rsidR="00907D8C">
        <w:t xml:space="preserve"> </w:t>
      </w:r>
      <w:r w:rsidRPr="00036FAC">
        <w:t>for</w:t>
      </w:r>
      <w:r w:rsidR="00907D8C">
        <w:t xml:space="preserve"> </w:t>
      </w:r>
      <w:r w:rsidRPr="00036FAC">
        <w:t>males</w:t>
      </w:r>
      <w:r w:rsidR="00907D8C">
        <w:t xml:space="preserve"> </w:t>
      </w:r>
      <w:r w:rsidRPr="00036FAC">
        <w:t>of</w:t>
      </w:r>
      <w:r w:rsidR="00907D8C">
        <w:t xml:space="preserve"> </w:t>
      </w:r>
      <w:r w:rsidRPr="00036FAC">
        <w:t>that</w:t>
      </w:r>
      <w:r w:rsidR="00907D8C">
        <w:t xml:space="preserve"> </w:t>
      </w:r>
      <w:r w:rsidRPr="00036FAC">
        <w:t>age.</w:t>
      </w:r>
    </w:p>
    <w:p w:rsidR="007C016E" w:rsidRDefault="00036FAC" w:rsidP="007C016E">
      <w:pPr>
        <w:pStyle w:val="Heading1"/>
      </w:pPr>
      <w:bookmarkStart w:id="47" w:name="_Toc275331920"/>
      <w:r w:rsidRPr="00036FAC">
        <w:t>Table</w:t>
      </w:r>
      <w:r w:rsidR="00907D8C">
        <w:t xml:space="preserve"> </w:t>
      </w:r>
      <w:r w:rsidRPr="00036FAC">
        <w:t>19</w:t>
      </w:r>
    </w:p>
    <w:p w:rsidR="00036FAC" w:rsidRDefault="00036FAC" w:rsidP="007C016E">
      <w:pPr>
        <w:pStyle w:val="SingleTxtG"/>
        <w:rPr>
          <w:b/>
        </w:rPr>
      </w:pPr>
      <w:r w:rsidRPr="007C016E">
        <w:rPr>
          <w:b/>
        </w:rPr>
        <w:t>Proportion</w:t>
      </w:r>
      <w:r w:rsidR="00907D8C">
        <w:rPr>
          <w:b/>
        </w:rPr>
        <w:t xml:space="preserve"> </w:t>
      </w:r>
      <w:r w:rsidRPr="007C016E">
        <w:rPr>
          <w:b/>
        </w:rPr>
        <w:t>(%)</w:t>
      </w:r>
      <w:r w:rsidR="00907D8C">
        <w:rPr>
          <w:b/>
        </w:rPr>
        <w:t xml:space="preserve"> </w:t>
      </w:r>
      <w:r w:rsidRPr="007C016E">
        <w:rPr>
          <w:b/>
        </w:rPr>
        <w:t>of</w:t>
      </w:r>
      <w:r w:rsidR="00907D8C">
        <w:rPr>
          <w:b/>
        </w:rPr>
        <w:t xml:space="preserve"> </w:t>
      </w:r>
      <w:r w:rsidRPr="007C016E">
        <w:rPr>
          <w:b/>
        </w:rPr>
        <w:t>the</w:t>
      </w:r>
      <w:r w:rsidR="00907D8C">
        <w:rPr>
          <w:b/>
        </w:rPr>
        <w:t xml:space="preserve"> </w:t>
      </w:r>
      <w:r w:rsidRPr="007C016E">
        <w:rPr>
          <w:b/>
        </w:rPr>
        <w:t>population</w:t>
      </w:r>
      <w:r w:rsidR="00907D8C">
        <w:rPr>
          <w:b/>
        </w:rPr>
        <w:t xml:space="preserve"> </w:t>
      </w:r>
      <w:r w:rsidRPr="007C016E">
        <w:rPr>
          <w:b/>
        </w:rPr>
        <w:t>in</w:t>
      </w:r>
      <w:r w:rsidR="00907D8C">
        <w:rPr>
          <w:b/>
        </w:rPr>
        <w:t xml:space="preserve"> </w:t>
      </w:r>
      <w:r w:rsidRPr="007C016E">
        <w:rPr>
          <w:b/>
        </w:rPr>
        <w:t>low-income</w:t>
      </w:r>
      <w:r w:rsidR="00907D8C">
        <w:rPr>
          <w:b/>
        </w:rPr>
        <w:t xml:space="preserve"> </w:t>
      </w:r>
      <w:r w:rsidRPr="007C016E">
        <w:rPr>
          <w:b/>
        </w:rPr>
        <w:t>households</w:t>
      </w:r>
      <w:r w:rsidR="00907D8C">
        <w:rPr>
          <w:b/>
        </w:rPr>
        <w:t xml:space="preserve"> </w:t>
      </w:r>
      <w:r w:rsidRPr="007C016E">
        <w:rPr>
          <w:b/>
        </w:rPr>
        <w:t>(60</w:t>
      </w:r>
      <w:r w:rsidR="00907D8C">
        <w:rPr>
          <w:b/>
        </w:rPr>
        <w:t xml:space="preserve"> </w:t>
      </w:r>
      <w:r w:rsidR="001B201B" w:rsidRPr="007C016E">
        <w:rPr>
          <w:b/>
        </w:rPr>
        <w:t>per</w:t>
      </w:r>
      <w:r w:rsidR="00907D8C">
        <w:rPr>
          <w:b/>
        </w:rPr>
        <w:t xml:space="preserve"> </w:t>
      </w:r>
      <w:r w:rsidR="001B201B" w:rsidRPr="007C016E">
        <w:rPr>
          <w:b/>
        </w:rPr>
        <w:t>cent</w:t>
      </w:r>
      <w:r w:rsidR="00907D8C">
        <w:rPr>
          <w:b/>
        </w:rPr>
        <w:t xml:space="preserve"> </w:t>
      </w:r>
      <w:r w:rsidR="007C016E" w:rsidRPr="007C016E">
        <w:rPr>
          <w:b/>
        </w:rPr>
        <w:t>threshold),</w:t>
      </w:r>
      <w:r w:rsidR="00907D8C">
        <w:rPr>
          <w:b/>
        </w:rPr>
        <w:t xml:space="preserve"> </w:t>
      </w:r>
      <w:r w:rsidRPr="007C016E">
        <w:rPr>
          <w:b/>
        </w:rPr>
        <w:t>by</w:t>
      </w:r>
      <w:r w:rsidR="00907D8C">
        <w:rPr>
          <w:b/>
        </w:rPr>
        <w:t xml:space="preserve"> </w:t>
      </w:r>
      <w:r w:rsidRPr="007C016E">
        <w:rPr>
          <w:b/>
        </w:rPr>
        <w:t>age</w:t>
      </w:r>
      <w:r w:rsidR="00907D8C">
        <w:rPr>
          <w:b/>
        </w:rPr>
        <w:t xml:space="preserve"> </w:t>
      </w:r>
      <w:r w:rsidRPr="007C016E">
        <w:rPr>
          <w:b/>
        </w:rPr>
        <w:t>and</w:t>
      </w:r>
      <w:r w:rsidR="00907D8C">
        <w:rPr>
          <w:b/>
        </w:rPr>
        <w:t xml:space="preserve"> </w:t>
      </w:r>
      <w:r w:rsidRPr="007C016E">
        <w:rPr>
          <w:b/>
        </w:rPr>
        <w:t>sex,</w:t>
      </w:r>
      <w:r w:rsidR="00907D8C">
        <w:rPr>
          <w:b/>
        </w:rPr>
        <w:t xml:space="preserve"> </w:t>
      </w:r>
      <w:r w:rsidRPr="007C016E">
        <w:rPr>
          <w:b/>
        </w:rPr>
        <w:t>selected</w:t>
      </w:r>
      <w:r w:rsidR="00907D8C">
        <w:rPr>
          <w:b/>
        </w:rPr>
        <w:t xml:space="preserve"> </w:t>
      </w:r>
      <w:r w:rsidRPr="007C016E">
        <w:rPr>
          <w:b/>
        </w:rPr>
        <w:t>years,</w:t>
      </w:r>
      <w:r w:rsidR="00907D8C">
        <w:rPr>
          <w:b/>
        </w:rPr>
        <w:t xml:space="preserve"> </w:t>
      </w:r>
      <w:r w:rsidRPr="007C016E">
        <w:rPr>
          <w:b/>
        </w:rPr>
        <w:t>1986–2008</w:t>
      </w:r>
      <w:bookmarkEnd w:id="47"/>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9"/>
        <w:gridCol w:w="847"/>
        <w:gridCol w:w="847"/>
        <w:gridCol w:w="847"/>
        <w:gridCol w:w="848"/>
        <w:gridCol w:w="848"/>
        <w:gridCol w:w="848"/>
        <w:gridCol w:w="848"/>
        <w:gridCol w:w="848"/>
      </w:tblGrid>
      <w:tr w:rsidR="00D906CE" w:rsidRPr="001F2C6F" w:rsidTr="00D005CF">
        <w:tblPrEx>
          <w:tblCellMar>
            <w:top w:w="0" w:type="dxa"/>
            <w:bottom w:w="0" w:type="dxa"/>
          </w:tblCellMar>
        </w:tblPrEx>
        <w:trPr>
          <w:trHeight w:val="240"/>
          <w:tblHeader/>
        </w:trPr>
        <w:tc>
          <w:tcPr>
            <w:tcW w:w="400"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rPr>
                <w:i/>
                <w:sz w:val="16"/>
              </w:rPr>
            </w:pP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center"/>
              <w:rPr>
                <w:i/>
                <w:sz w:val="16"/>
              </w:rPr>
            </w:pPr>
            <w:r w:rsidRPr="001F2C6F">
              <w:rPr>
                <w:i/>
                <w:sz w:val="16"/>
              </w:rPr>
              <w:t>Children</w:t>
            </w: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right"/>
              <w:rPr>
                <w:i/>
                <w:sz w:val="16"/>
              </w:rPr>
            </w:pP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right"/>
              <w:rPr>
                <w:i/>
                <w:sz w:val="16"/>
              </w:rPr>
            </w:pP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right"/>
              <w:rPr>
                <w:i/>
                <w:sz w:val="16"/>
              </w:rPr>
            </w:pP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right"/>
              <w:rPr>
                <w:i/>
                <w:sz w:val="16"/>
              </w:rPr>
            </w:pPr>
          </w:p>
        </w:tc>
        <w:tc>
          <w:tcPr>
            <w:tcW w:w="574" w:type="pct"/>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center"/>
              <w:rPr>
                <w:i/>
                <w:sz w:val="16"/>
              </w:rPr>
            </w:pPr>
            <w:r w:rsidRPr="001F2C6F">
              <w:rPr>
                <w:i/>
                <w:sz w:val="16"/>
              </w:rPr>
              <w:t>Male</w:t>
            </w:r>
            <w:r>
              <w:rPr>
                <w:i/>
                <w:sz w:val="16"/>
              </w:rPr>
              <w:t>s</w:t>
            </w:r>
          </w:p>
        </w:tc>
        <w:tc>
          <w:tcPr>
            <w:tcW w:w="1157" w:type="pct"/>
            <w:gridSpan w:val="2"/>
            <w:tcBorders>
              <w:top w:val="single" w:sz="4" w:space="0" w:color="auto"/>
              <w:bottom w:val="single" w:sz="12" w:space="0" w:color="auto"/>
            </w:tcBorders>
            <w:shd w:val="clear" w:color="auto" w:fill="auto"/>
            <w:vAlign w:val="bottom"/>
          </w:tcPr>
          <w:p w:rsidR="00D906CE" w:rsidRPr="001F2C6F" w:rsidRDefault="00D906CE" w:rsidP="00D005CF">
            <w:pPr>
              <w:suppressAutoHyphens w:val="0"/>
              <w:spacing w:before="80" w:after="80" w:line="200" w:lineRule="exact"/>
              <w:ind w:right="113"/>
              <w:jc w:val="center"/>
              <w:rPr>
                <w:i/>
                <w:sz w:val="16"/>
              </w:rPr>
            </w:pPr>
            <w:r w:rsidRPr="001F2C6F">
              <w:rPr>
                <w:i/>
                <w:sz w:val="16"/>
              </w:rPr>
              <w:t>Females</w:t>
            </w:r>
          </w:p>
        </w:tc>
      </w:tr>
      <w:tr w:rsidR="00D906CE" w:rsidRPr="001F2C6F" w:rsidTr="00D005CF">
        <w:tblPrEx>
          <w:tblCellMar>
            <w:top w:w="0" w:type="dxa"/>
            <w:bottom w:w="0" w:type="dxa"/>
          </w:tblCellMar>
        </w:tblPrEx>
        <w:trPr>
          <w:trHeight w:val="240"/>
        </w:trPr>
        <w:tc>
          <w:tcPr>
            <w:tcW w:w="400" w:type="pct"/>
            <w:tcBorders>
              <w:top w:val="single" w:sz="12" w:space="0" w:color="auto"/>
              <w:bottom w:val="nil"/>
            </w:tcBorders>
            <w:shd w:val="clear" w:color="auto" w:fill="auto"/>
          </w:tcPr>
          <w:p w:rsidR="00D906CE" w:rsidRPr="001F2C6F" w:rsidRDefault="00D906CE" w:rsidP="00D005CF">
            <w:pPr>
              <w:suppressAutoHyphens w:val="0"/>
              <w:spacing w:before="40" w:after="40" w:line="220" w:lineRule="exact"/>
              <w:ind w:right="113"/>
              <w:rPr>
                <w:i/>
                <w:sz w:val="16"/>
              </w:rPr>
            </w:pPr>
            <w:r w:rsidRPr="000C255C">
              <w:rPr>
                <w:sz w:val="18"/>
              </w:rPr>
              <w:t>Year</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0–17</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18–24</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25–44</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45–64</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65+</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15+</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40" w:after="40" w:line="220" w:lineRule="exact"/>
              <w:ind w:right="113"/>
              <w:jc w:val="right"/>
              <w:rPr>
                <w:sz w:val="18"/>
              </w:rPr>
            </w:pPr>
            <w:r w:rsidRPr="000C255C">
              <w:rPr>
                <w:sz w:val="18"/>
              </w:rPr>
              <w:t>15+</w:t>
            </w:r>
          </w:p>
        </w:tc>
        <w:tc>
          <w:tcPr>
            <w:tcW w:w="575" w:type="pct"/>
            <w:tcBorders>
              <w:top w:val="single" w:sz="12" w:space="0" w:color="auto"/>
              <w:bottom w:val="nil"/>
            </w:tcBorders>
            <w:shd w:val="clear" w:color="auto" w:fill="auto"/>
            <w:vAlign w:val="bottom"/>
          </w:tcPr>
          <w:p w:rsidR="00D906CE" w:rsidRPr="000C255C" w:rsidRDefault="00D906CE" w:rsidP="00D005CF">
            <w:pPr>
              <w:suppressAutoHyphens w:val="0"/>
              <w:spacing w:before="80" w:after="80" w:line="200" w:lineRule="exact"/>
              <w:ind w:right="113"/>
              <w:jc w:val="right"/>
              <w:rPr>
                <w:b/>
                <w:sz w:val="18"/>
                <w:szCs w:val="18"/>
              </w:rPr>
            </w:pPr>
            <w:r w:rsidRPr="000C255C">
              <w:rPr>
                <w:b/>
                <w:sz w:val="18"/>
                <w:szCs w:val="18"/>
              </w:rPr>
              <w:t>Total</w:t>
            </w:r>
          </w:p>
        </w:tc>
      </w:tr>
      <w:tr w:rsidR="00D906CE" w:rsidRPr="001F2C6F" w:rsidTr="00D005CF">
        <w:tblPrEx>
          <w:tblCellMar>
            <w:top w:w="0" w:type="dxa"/>
            <w:bottom w:w="0" w:type="dxa"/>
          </w:tblCellMar>
        </w:tblPrEx>
        <w:trPr>
          <w:trHeight w:val="240"/>
        </w:trPr>
        <w:tc>
          <w:tcPr>
            <w:tcW w:w="400" w:type="pct"/>
            <w:tcBorders>
              <w:top w:val="nil"/>
            </w:tcBorders>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1986</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11</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5</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8</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5</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4</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5</w:t>
            </w:r>
          </w:p>
        </w:tc>
        <w:tc>
          <w:tcPr>
            <w:tcW w:w="575" w:type="pct"/>
            <w:tcBorders>
              <w:top w:val="nil"/>
            </w:tcBorders>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 xml:space="preserve">7 </w:t>
            </w:r>
          </w:p>
        </w:tc>
        <w:tc>
          <w:tcPr>
            <w:tcW w:w="575" w:type="pct"/>
            <w:tcBorders>
              <w:top w:val="nil"/>
            </w:tcBorders>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8</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1990</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16</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12</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6</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6</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9</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11</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1994</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35</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20</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15</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20</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23</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1998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16</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12</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9</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16</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18</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2001</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29</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21</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14</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14</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17</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19</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2004</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22</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15</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15</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17</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2007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16</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17</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11</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11</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13</w:t>
            </w:r>
          </w:p>
        </w:tc>
      </w:tr>
      <w:tr w:rsidR="00D906CE" w:rsidRPr="001F2C6F" w:rsidTr="00D005CF">
        <w:tblPrEx>
          <w:tblCellMar>
            <w:top w:w="0" w:type="dxa"/>
            <w:bottom w:w="0" w:type="dxa"/>
          </w:tblCellMar>
        </w:tblPrEx>
        <w:trPr>
          <w:trHeight w:val="240"/>
        </w:trPr>
        <w:tc>
          <w:tcPr>
            <w:tcW w:w="400" w:type="pct"/>
            <w:shd w:val="clear" w:color="auto" w:fill="auto"/>
          </w:tcPr>
          <w:p w:rsidR="00D906CE" w:rsidRPr="001F2C6F" w:rsidRDefault="00D906CE" w:rsidP="00D005CF">
            <w:pPr>
              <w:suppressAutoHyphens w:val="0"/>
              <w:spacing w:before="40" w:after="40" w:line="220" w:lineRule="exact"/>
              <w:ind w:right="113"/>
              <w:rPr>
                <w:sz w:val="18"/>
              </w:rPr>
            </w:pPr>
            <w:r w:rsidRPr="001F2C6F">
              <w:rPr>
                <w:sz w:val="18"/>
              </w:rPr>
              <w:t>2008</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20</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12</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12</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9</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11</w:t>
            </w:r>
          </w:p>
        </w:tc>
        <w:tc>
          <w:tcPr>
            <w:tcW w:w="575" w:type="pct"/>
            <w:shd w:val="clear" w:color="auto" w:fill="auto"/>
            <w:vAlign w:val="bottom"/>
          </w:tcPr>
          <w:p w:rsidR="00D906CE" w:rsidRPr="001F2C6F" w:rsidRDefault="00D906CE" w:rsidP="00D005CF">
            <w:pPr>
              <w:suppressAutoHyphens w:val="0"/>
              <w:spacing w:before="40" w:after="40" w:line="220" w:lineRule="exact"/>
              <w:ind w:right="113"/>
              <w:jc w:val="right"/>
              <w:rPr>
                <w:sz w:val="18"/>
              </w:rPr>
            </w:pPr>
            <w:r w:rsidRPr="001F2C6F">
              <w:rPr>
                <w:sz w:val="18"/>
              </w:rPr>
              <w:t>13</w:t>
            </w:r>
          </w:p>
        </w:tc>
        <w:tc>
          <w:tcPr>
            <w:tcW w:w="575" w:type="pct"/>
            <w:shd w:val="clear" w:color="auto" w:fill="auto"/>
            <w:vAlign w:val="bottom"/>
          </w:tcPr>
          <w:p w:rsidR="00D906CE" w:rsidRPr="00B71C3C" w:rsidRDefault="00D906CE" w:rsidP="00D005CF">
            <w:pPr>
              <w:suppressAutoHyphens w:val="0"/>
              <w:spacing w:before="40" w:after="40" w:line="220" w:lineRule="exact"/>
              <w:ind w:right="113"/>
              <w:jc w:val="right"/>
              <w:rPr>
                <w:b/>
                <w:sz w:val="18"/>
              </w:rPr>
            </w:pPr>
            <w:r w:rsidRPr="00B71C3C">
              <w:rPr>
                <w:b/>
                <w:sz w:val="18"/>
              </w:rPr>
              <w:t>14</w:t>
            </w:r>
          </w:p>
        </w:tc>
      </w:tr>
    </w:tbl>
    <w:p w:rsidR="00036FAC" w:rsidRPr="002B37D0" w:rsidRDefault="00036FAC" w:rsidP="00B50FB5">
      <w:pPr>
        <w:spacing w:before="120" w:after="240"/>
        <w:ind w:left="1134" w:right="1134" w:firstLine="170"/>
        <w:rPr>
          <w:sz w:val="18"/>
          <w:szCs w:val="18"/>
        </w:rPr>
      </w:pPr>
      <w:r w:rsidRPr="002B37D0">
        <w:rPr>
          <w:i/>
          <w:sz w:val="18"/>
          <w:szCs w:val="18"/>
        </w:rPr>
        <w:t>Source</w:t>
      </w:r>
      <w:r w:rsidRPr="002B37D0">
        <w:rPr>
          <w:sz w:val="18"/>
          <w:szCs w:val="18"/>
        </w:rPr>
        <w:t>:</w:t>
      </w:r>
      <w:r w:rsidR="00907D8C">
        <w:rPr>
          <w:sz w:val="18"/>
          <w:szCs w:val="18"/>
        </w:rPr>
        <w:t xml:space="preserve">  </w:t>
      </w:r>
      <w:r w:rsidRPr="002B37D0">
        <w:rPr>
          <w:sz w:val="18"/>
          <w:szCs w:val="18"/>
        </w:rPr>
        <w:t>Derived</w:t>
      </w:r>
      <w:r w:rsidR="00907D8C">
        <w:rPr>
          <w:sz w:val="18"/>
          <w:szCs w:val="18"/>
        </w:rPr>
        <w:t xml:space="preserve"> </w:t>
      </w:r>
      <w:r w:rsidRPr="002B37D0">
        <w:rPr>
          <w:sz w:val="18"/>
          <w:szCs w:val="18"/>
        </w:rPr>
        <w:t>from</w:t>
      </w:r>
      <w:r w:rsidR="00907D8C">
        <w:rPr>
          <w:sz w:val="18"/>
          <w:szCs w:val="18"/>
        </w:rPr>
        <w:t xml:space="preserve"> </w:t>
      </w:r>
      <w:r w:rsidRPr="002B37D0">
        <w:rPr>
          <w:sz w:val="18"/>
          <w:szCs w:val="18"/>
        </w:rPr>
        <w:t>Statistics</w:t>
      </w:r>
      <w:r w:rsidR="00907D8C">
        <w:rPr>
          <w:sz w:val="18"/>
          <w:szCs w:val="18"/>
        </w:rPr>
        <w:t xml:space="preserve"> </w:t>
      </w:r>
      <w:r w:rsidRPr="002B37D0">
        <w:rPr>
          <w:sz w:val="18"/>
          <w:szCs w:val="18"/>
        </w:rPr>
        <w:t>New</w:t>
      </w:r>
      <w:r w:rsidR="00907D8C">
        <w:rPr>
          <w:sz w:val="18"/>
          <w:szCs w:val="18"/>
        </w:rPr>
        <w:t xml:space="preserve"> </w:t>
      </w:r>
      <w:r w:rsidRPr="002B37D0">
        <w:rPr>
          <w:sz w:val="18"/>
          <w:szCs w:val="18"/>
        </w:rPr>
        <w:t>Zealand</w:t>
      </w:r>
      <w:r w:rsidR="003E4D94">
        <w:rPr>
          <w:sz w:val="18"/>
          <w:szCs w:val="18"/>
        </w:rPr>
        <w:t>’</w:t>
      </w:r>
      <w:r w:rsidRPr="002B37D0">
        <w:rPr>
          <w:sz w:val="18"/>
          <w:szCs w:val="18"/>
        </w:rPr>
        <w:t>s</w:t>
      </w:r>
      <w:r w:rsidR="00907D8C">
        <w:rPr>
          <w:sz w:val="18"/>
          <w:szCs w:val="18"/>
        </w:rPr>
        <w:t xml:space="preserve"> </w:t>
      </w:r>
      <w:r w:rsidRPr="002B37D0">
        <w:rPr>
          <w:sz w:val="18"/>
          <w:szCs w:val="18"/>
        </w:rPr>
        <w:t>Household</w:t>
      </w:r>
      <w:r w:rsidR="00907D8C">
        <w:rPr>
          <w:sz w:val="18"/>
          <w:szCs w:val="18"/>
        </w:rPr>
        <w:t xml:space="preserve"> </w:t>
      </w:r>
      <w:r w:rsidRPr="002B37D0">
        <w:rPr>
          <w:sz w:val="18"/>
          <w:szCs w:val="18"/>
        </w:rPr>
        <w:t>Economic</w:t>
      </w:r>
      <w:r w:rsidR="00907D8C">
        <w:rPr>
          <w:sz w:val="18"/>
          <w:szCs w:val="18"/>
        </w:rPr>
        <w:t xml:space="preserve"> </w:t>
      </w:r>
      <w:r w:rsidRPr="002B37D0">
        <w:rPr>
          <w:sz w:val="18"/>
          <w:szCs w:val="18"/>
        </w:rPr>
        <w:t>Surve</w:t>
      </w:r>
      <w:r w:rsidR="002B37D0" w:rsidRPr="002B37D0">
        <w:rPr>
          <w:sz w:val="18"/>
          <w:szCs w:val="18"/>
        </w:rPr>
        <w:t>y</w:t>
      </w:r>
      <w:r w:rsidR="00907D8C">
        <w:rPr>
          <w:sz w:val="18"/>
          <w:szCs w:val="18"/>
        </w:rPr>
        <w:t xml:space="preserve"> </w:t>
      </w:r>
      <w:r w:rsidR="002B37D0" w:rsidRPr="002B37D0">
        <w:rPr>
          <w:sz w:val="18"/>
          <w:szCs w:val="18"/>
        </w:rPr>
        <w:t>(1986–2008)</w:t>
      </w:r>
      <w:r w:rsidR="00907D8C">
        <w:rPr>
          <w:sz w:val="18"/>
          <w:szCs w:val="18"/>
        </w:rPr>
        <w:t xml:space="preserve"> </w:t>
      </w:r>
      <w:r w:rsidR="002B37D0" w:rsidRPr="002B37D0">
        <w:rPr>
          <w:sz w:val="18"/>
          <w:szCs w:val="18"/>
        </w:rPr>
        <w:t>by</w:t>
      </w:r>
      <w:r w:rsidR="00907D8C">
        <w:rPr>
          <w:sz w:val="18"/>
          <w:szCs w:val="18"/>
        </w:rPr>
        <w:t xml:space="preserve"> </w:t>
      </w:r>
      <w:r w:rsidR="002B37D0" w:rsidRPr="002B37D0">
        <w:rPr>
          <w:sz w:val="18"/>
          <w:szCs w:val="18"/>
        </w:rPr>
        <w:t>the</w:t>
      </w:r>
      <w:r w:rsidR="00907D8C">
        <w:rPr>
          <w:sz w:val="18"/>
          <w:szCs w:val="18"/>
        </w:rPr>
        <w:t xml:space="preserve"> </w:t>
      </w:r>
      <w:r w:rsidR="002B37D0" w:rsidRPr="002B37D0">
        <w:rPr>
          <w:sz w:val="18"/>
          <w:szCs w:val="18"/>
        </w:rPr>
        <w:t>Ministry</w:t>
      </w:r>
      <w:r w:rsidR="00907D8C">
        <w:rPr>
          <w:sz w:val="18"/>
          <w:szCs w:val="18"/>
        </w:rPr>
        <w:t xml:space="preserve"> </w:t>
      </w:r>
      <w:r w:rsidR="002B37D0" w:rsidRPr="002B37D0">
        <w:rPr>
          <w:sz w:val="18"/>
          <w:szCs w:val="18"/>
        </w:rPr>
        <w:t>o</w:t>
      </w:r>
      <w:r w:rsidRPr="002B37D0">
        <w:rPr>
          <w:sz w:val="18"/>
          <w:szCs w:val="18"/>
        </w:rPr>
        <w:t>f</w:t>
      </w:r>
      <w:r w:rsidR="00907D8C">
        <w:rPr>
          <w:sz w:val="18"/>
          <w:szCs w:val="18"/>
        </w:rPr>
        <w:t xml:space="preserve"> </w:t>
      </w:r>
      <w:r w:rsidRPr="002B37D0">
        <w:rPr>
          <w:sz w:val="18"/>
          <w:szCs w:val="18"/>
        </w:rPr>
        <w:t>Social</w:t>
      </w:r>
      <w:r w:rsidR="00907D8C">
        <w:rPr>
          <w:sz w:val="18"/>
          <w:szCs w:val="18"/>
        </w:rPr>
        <w:t xml:space="preserve"> </w:t>
      </w:r>
      <w:r w:rsidRPr="002B37D0">
        <w:rPr>
          <w:sz w:val="18"/>
          <w:szCs w:val="18"/>
        </w:rPr>
        <w:t>Development</w:t>
      </w:r>
      <w:r w:rsidR="002B37D0" w:rsidRPr="002B37D0">
        <w:rPr>
          <w:sz w:val="18"/>
          <w:szCs w:val="18"/>
        </w:rPr>
        <w:t>.</w:t>
      </w:r>
    </w:p>
    <w:p w:rsidR="00036FAC" w:rsidRPr="00036FAC" w:rsidRDefault="00036FAC" w:rsidP="006C436C">
      <w:pPr>
        <w:pStyle w:val="H23G"/>
      </w:pPr>
      <w:r w:rsidRPr="00036FAC">
        <w:tab/>
        <w:t>(c)</w:t>
      </w:r>
      <w:r w:rsidRPr="00036FAC">
        <w:tab/>
        <w:t>Ethnic</w:t>
      </w:r>
      <w:r w:rsidR="00907D8C">
        <w:t xml:space="preserve"> </w:t>
      </w:r>
      <w:r w:rsidRPr="00036FAC">
        <w:t>differences</w:t>
      </w:r>
    </w:p>
    <w:p w:rsidR="00036FAC" w:rsidRPr="00036FAC" w:rsidRDefault="00036FAC" w:rsidP="00E62BDF">
      <w:pPr>
        <w:pStyle w:val="SingleTxtG"/>
      </w:pPr>
      <w:r w:rsidRPr="00036FAC">
        <w:t>70.</w:t>
      </w:r>
      <w:r w:rsidRPr="00036FAC">
        <w:tab/>
        <w:t>Sample</w:t>
      </w:r>
      <w:r w:rsidR="00907D8C">
        <w:t xml:space="preserve"> </w:t>
      </w:r>
      <w:r w:rsidRPr="00036FAC">
        <w:t>sizes</w:t>
      </w:r>
      <w:r w:rsidR="00907D8C">
        <w:t xml:space="preserve"> </w:t>
      </w:r>
      <w:r w:rsidRPr="00036FAC">
        <w:t>in</w:t>
      </w:r>
      <w:r w:rsidR="00907D8C">
        <w:t xml:space="preserve"> </w:t>
      </w:r>
      <w:r w:rsidRPr="00036FAC">
        <w:t>the</w:t>
      </w:r>
      <w:r w:rsidR="00907D8C">
        <w:t xml:space="preserve"> </w:t>
      </w:r>
      <w:r w:rsidRPr="00036FAC">
        <w:t>source</w:t>
      </w:r>
      <w:r w:rsidR="00907D8C">
        <w:t xml:space="preserve"> </w:t>
      </w:r>
      <w:r w:rsidRPr="00036FAC">
        <w:t>data</w:t>
      </w:r>
      <w:r w:rsidR="00907D8C">
        <w:t xml:space="preserve"> </w:t>
      </w:r>
      <w:r w:rsidRPr="00036FAC">
        <w:t>are</w:t>
      </w:r>
      <w:r w:rsidR="00907D8C">
        <w:t xml:space="preserve"> </w:t>
      </w:r>
      <w:r w:rsidRPr="00036FAC">
        <w:t>not</w:t>
      </w:r>
      <w:r w:rsidR="00907D8C">
        <w:t xml:space="preserve"> </w:t>
      </w:r>
      <w:r w:rsidRPr="00036FAC">
        <w:t>large</w:t>
      </w:r>
      <w:r w:rsidR="00907D8C">
        <w:t xml:space="preserve"> </w:t>
      </w:r>
      <w:r w:rsidRPr="00036FAC">
        <w:t>enough</w:t>
      </w:r>
      <w:r w:rsidR="00907D8C">
        <w:t xml:space="preserve"> </w:t>
      </w:r>
      <w:r w:rsidRPr="00036FAC">
        <w:t>to</w:t>
      </w:r>
      <w:r w:rsidR="00907D8C">
        <w:t xml:space="preserve"> </w:t>
      </w:r>
      <w:r w:rsidRPr="00036FAC">
        <w:t>support</w:t>
      </w:r>
      <w:r w:rsidR="00907D8C">
        <w:t xml:space="preserve"> </w:t>
      </w:r>
      <w:r w:rsidRPr="00036FAC">
        <w:t>a</w:t>
      </w:r>
      <w:r w:rsidR="00907D8C">
        <w:t xml:space="preserve"> </w:t>
      </w:r>
      <w:r w:rsidRPr="00036FAC">
        <w:t>reliable</w:t>
      </w:r>
      <w:r w:rsidR="00907D8C">
        <w:t xml:space="preserve"> </w:t>
      </w:r>
      <w:r w:rsidRPr="00036FAC">
        <w:t>time</w:t>
      </w:r>
      <w:r w:rsidR="00907D8C">
        <w:t xml:space="preserve"> </w:t>
      </w:r>
      <w:r w:rsidRPr="00036FAC">
        <w:t>series</w:t>
      </w:r>
      <w:r w:rsidR="00907D8C">
        <w:t xml:space="preserve"> </w:t>
      </w:r>
      <w:r w:rsidRPr="00036FAC">
        <w:t>for</w:t>
      </w:r>
      <w:r w:rsidR="00907D8C">
        <w:t xml:space="preserve"> </w:t>
      </w:r>
      <w:r w:rsidRPr="00036FAC">
        <w:t>proportions</w:t>
      </w:r>
      <w:r w:rsidR="00907D8C">
        <w:t xml:space="preserve"> </w:t>
      </w:r>
      <w:r w:rsidRPr="00036FAC">
        <w:t>below</w:t>
      </w:r>
      <w:r w:rsidR="00907D8C">
        <w:t xml:space="preserve"> </w:t>
      </w:r>
      <w:r w:rsidRPr="00036FAC">
        <w:t>the</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threshold</w:t>
      </w:r>
      <w:r w:rsidR="00907D8C">
        <w:t xml:space="preserve"> </w:t>
      </w:r>
      <w:r w:rsidRPr="00036FAC">
        <w:t>by</w:t>
      </w:r>
      <w:r w:rsidR="00907D8C">
        <w:t xml:space="preserve"> </w:t>
      </w:r>
      <w:r w:rsidRPr="00036FAC">
        <w:t>ethnic</w:t>
      </w:r>
      <w:r w:rsidR="00907D8C">
        <w:t xml:space="preserve"> </w:t>
      </w:r>
      <w:r w:rsidRPr="00036FAC">
        <w:t>group.</w:t>
      </w:r>
      <w:r w:rsidR="00907D8C">
        <w:t xml:space="preserve"> </w:t>
      </w:r>
      <w:r w:rsidRPr="00036FAC">
        <w:t>Trends</w:t>
      </w:r>
      <w:r w:rsidR="00907D8C">
        <w:t xml:space="preserve"> </w:t>
      </w:r>
      <w:r w:rsidRPr="00036FAC">
        <w:t>in</w:t>
      </w:r>
      <w:r w:rsidR="00907D8C">
        <w:t xml:space="preserve"> </w:t>
      </w:r>
      <w:r w:rsidRPr="00036FAC">
        <w:t>real</w:t>
      </w:r>
      <w:r w:rsidR="00907D8C">
        <w:t xml:space="preserve"> </w:t>
      </w:r>
      <w:r w:rsidRPr="00036FAC">
        <w:t>equivalised</w:t>
      </w:r>
      <w:r w:rsidR="00907D8C">
        <w:t xml:space="preserve"> </w:t>
      </w:r>
      <w:r w:rsidRPr="00036FAC">
        <w:t>median</w:t>
      </w:r>
      <w:r w:rsidR="00907D8C">
        <w:t xml:space="preserve"> </w:t>
      </w:r>
      <w:r w:rsidRPr="00036FAC">
        <w:t>household</w:t>
      </w:r>
      <w:r w:rsidR="00907D8C">
        <w:t xml:space="preserve"> </w:t>
      </w:r>
      <w:r w:rsidRPr="00036FAC">
        <w:t>incomes</w:t>
      </w:r>
      <w:r w:rsidR="00907D8C">
        <w:t xml:space="preserve"> </w:t>
      </w:r>
      <w:r w:rsidRPr="00036FAC">
        <w:t>are</w:t>
      </w:r>
      <w:r w:rsidR="00907D8C">
        <w:t xml:space="preserve"> </w:t>
      </w:r>
      <w:r w:rsidRPr="00036FAC">
        <w:t>less</w:t>
      </w:r>
      <w:r w:rsidR="00907D8C">
        <w:t xml:space="preserve"> </w:t>
      </w:r>
      <w:r w:rsidRPr="00036FAC">
        <w:t>volatile</w:t>
      </w:r>
      <w:r w:rsidR="00907D8C">
        <w:t xml:space="preserve"> </w:t>
      </w:r>
      <w:r w:rsidRPr="00036FAC">
        <w:t>and</w:t>
      </w:r>
      <w:r w:rsidR="00907D8C">
        <w:t xml:space="preserve"> </w:t>
      </w:r>
      <w:r w:rsidRPr="00036FAC">
        <w:t>are</w:t>
      </w:r>
      <w:r w:rsidR="00907D8C">
        <w:t xml:space="preserve"> </w:t>
      </w:r>
      <w:r w:rsidRPr="00036FAC">
        <w:t>used</w:t>
      </w:r>
      <w:r w:rsidR="00907D8C">
        <w:t xml:space="preserve"> </w:t>
      </w:r>
      <w:r w:rsidRPr="00036FAC">
        <w:t>to</w:t>
      </w:r>
      <w:r w:rsidR="00907D8C">
        <w:t xml:space="preserve"> </w:t>
      </w:r>
      <w:r w:rsidRPr="00036FAC">
        <w:t>give</w:t>
      </w:r>
      <w:r w:rsidR="00907D8C">
        <w:t xml:space="preserve"> </w:t>
      </w:r>
      <w:r w:rsidRPr="00036FAC">
        <w:t>an</w:t>
      </w:r>
      <w:r w:rsidR="00907D8C">
        <w:t xml:space="preserve"> </w:t>
      </w:r>
      <w:r w:rsidRPr="00036FAC">
        <w:t>idea</w:t>
      </w:r>
      <w:r w:rsidR="00907D8C">
        <w:t xml:space="preserve"> </w:t>
      </w:r>
      <w:r w:rsidRPr="00036FAC">
        <w:t>of</w:t>
      </w:r>
      <w:r w:rsidR="00907D8C">
        <w:t xml:space="preserve"> </w:t>
      </w:r>
      <w:r w:rsidRPr="00036FAC">
        <w:t>the</w:t>
      </w:r>
      <w:r w:rsidR="00907D8C">
        <w:t xml:space="preserve"> </w:t>
      </w:r>
      <w:r w:rsidRPr="00036FAC">
        <w:t>relativities</w:t>
      </w:r>
      <w:r w:rsidR="00907D8C">
        <w:t xml:space="preserve"> </w:t>
      </w:r>
      <w:r w:rsidRPr="00036FAC">
        <w:t>between</w:t>
      </w:r>
      <w:r w:rsidR="00907D8C">
        <w:t xml:space="preserve"> </w:t>
      </w:r>
      <w:r w:rsidRPr="00036FAC">
        <w:t>ethnic</w:t>
      </w:r>
      <w:r w:rsidR="00907D8C">
        <w:t xml:space="preserve"> </w:t>
      </w:r>
      <w:r w:rsidRPr="00036FAC">
        <w:t>groups.</w:t>
      </w:r>
      <w:r w:rsidR="00907D8C">
        <w:t xml:space="preserve"> </w:t>
      </w:r>
      <w:r w:rsidRPr="00036FAC">
        <w:t>For</w:t>
      </w:r>
      <w:r w:rsidR="00907D8C">
        <w:t xml:space="preserve"> </w:t>
      </w:r>
      <w:r w:rsidRPr="00036FAC">
        <w:t>all</w:t>
      </w:r>
      <w:r w:rsidR="00907D8C">
        <w:t xml:space="preserve"> </w:t>
      </w:r>
      <w:r w:rsidRPr="00036FAC">
        <w:t>ethnic</w:t>
      </w:r>
      <w:r w:rsidR="00907D8C">
        <w:t xml:space="preserve"> </w:t>
      </w:r>
      <w:r w:rsidRPr="00036FAC">
        <w:t>groups,</w:t>
      </w:r>
      <w:r w:rsidR="00907D8C">
        <w:t xml:space="preserve"> </w:t>
      </w:r>
      <w:r w:rsidRPr="00036FAC">
        <w:t>median</w:t>
      </w:r>
      <w:r w:rsidR="00907D8C">
        <w:t xml:space="preserve"> </w:t>
      </w:r>
      <w:r w:rsidRPr="00036FAC">
        <w:t>incomes</w:t>
      </w:r>
      <w:r w:rsidR="00907D8C">
        <w:t xml:space="preserve"> </w:t>
      </w:r>
      <w:r w:rsidRPr="00036FAC">
        <w:t>rose</w:t>
      </w:r>
      <w:r w:rsidR="00907D8C">
        <w:t xml:space="preserve"> </w:t>
      </w:r>
      <w:r w:rsidRPr="00036FAC">
        <w:t>from</w:t>
      </w:r>
      <w:r w:rsidR="00907D8C">
        <w:t xml:space="preserve"> </w:t>
      </w:r>
      <w:r w:rsidRPr="00036FAC">
        <w:t>the</w:t>
      </w:r>
      <w:r w:rsidR="00907D8C">
        <w:t xml:space="preserve"> </w:t>
      </w:r>
      <w:r w:rsidRPr="00036FAC">
        <w:t>low</w:t>
      </w:r>
      <w:r w:rsidR="00907D8C">
        <w:t xml:space="preserve"> </w:t>
      </w:r>
      <w:r w:rsidRPr="00036FAC">
        <w:t>point</w:t>
      </w:r>
      <w:r w:rsidR="00907D8C">
        <w:t xml:space="preserve"> </w:t>
      </w:r>
      <w:r w:rsidRPr="00036FAC">
        <w:t>in</w:t>
      </w:r>
      <w:r w:rsidR="00907D8C">
        <w:t xml:space="preserve"> </w:t>
      </w:r>
      <w:r w:rsidRPr="00036FAC">
        <w:t>1994</w:t>
      </w:r>
      <w:r w:rsidR="00907D8C">
        <w:t xml:space="preserve"> </w:t>
      </w:r>
      <w:r w:rsidRPr="00036FAC">
        <w:t>through</w:t>
      </w:r>
      <w:r w:rsidR="00907D8C">
        <w:t xml:space="preserve"> </w:t>
      </w:r>
      <w:r w:rsidRPr="00036FAC">
        <w:t>to</w:t>
      </w:r>
      <w:r w:rsidR="00907D8C">
        <w:t xml:space="preserve"> </w:t>
      </w:r>
      <w:r w:rsidRPr="00036FAC">
        <w:t>2008,</w:t>
      </w:r>
      <w:r w:rsidR="00907D8C">
        <w:t xml:space="preserve"> </w:t>
      </w:r>
      <w:r w:rsidRPr="00036FAC">
        <w:t>with</w:t>
      </w:r>
      <w:r w:rsidR="00907D8C">
        <w:t xml:space="preserve"> </w:t>
      </w:r>
      <w:r w:rsidRPr="00036FAC">
        <w:t>some</w:t>
      </w:r>
      <w:r w:rsidR="00907D8C">
        <w:t xml:space="preserve"> </w:t>
      </w:r>
      <w:r w:rsidRPr="00036FAC">
        <w:t>volatility</w:t>
      </w:r>
      <w:r w:rsidR="00907D8C">
        <w:t xml:space="preserve"> </w:t>
      </w:r>
      <w:r w:rsidRPr="00036FAC">
        <w:t>evident</w:t>
      </w:r>
      <w:r w:rsidR="00907D8C">
        <w:t xml:space="preserve"> </w:t>
      </w:r>
      <w:r w:rsidRPr="00036FAC">
        <w:t>for</w:t>
      </w:r>
      <w:r w:rsidR="00907D8C">
        <w:t xml:space="preserve"> </w:t>
      </w:r>
      <w:r w:rsidRPr="00036FAC">
        <w:t>smaller</w:t>
      </w:r>
      <w:r w:rsidR="00907D8C">
        <w:t xml:space="preserve"> </w:t>
      </w:r>
      <w:r w:rsidRPr="00036FAC">
        <w:t>ethnic</w:t>
      </w:r>
      <w:r w:rsidR="00907D8C">
        <w:t xml:space="preserve"> </w:t>
      </w:r>
      <w:r w:rsidRPr="00036FAC">
        <w:t>groups.</w:t>
      </w:r>
      <w:r w:rsidR="00907D8C">
        <w:t xml:space="preserve"> </w:t>
      </w:r>
    </w:p>
    <w:p w:rsidR="00E62BDF" w:rsidRDefault="00E62BDF" w:rsidP="004F27F1">
      <w:pPr>
        <w:pStyle w:val="Heading1"/>
        <w:keepNext/>
      </w:pPr>
      <w:bookmarkStart w:id="48" w:name="_Toc275331921"/>
      <w:r>
        <w:t>Table</w:t>
      </w:r>
      <w:r w:rsidR="00907D8C">
        <w:t xml:space="preserve"> </w:t>
      </w:r>
      <w:r>
        <w:t>20</w:t>
      </w:r>
    </w:p>
    <w:p w:rsidR="00036FAC" w:rsidRPr="00E62BDF" w:rsidRDefault="00036FAC" w:rsidP="004F27F1">
      <w:pPr>
        <w:pStyle w:val="SingleTxtG"/>
        <w:keepNext/>
        <w:rPr>
          <w:b/>
        </w:rPr>
      </w:pPr>
      <w:r w:rsidRPr="00E62BDF">
        <w:rPr>
          <w:b/>
        </w:rPr>
        <w:t>Real</w:t>
      </w:r>
      <w:r w:rsidR="00907D8C">
        <w:rPr>
          <w:b/>
        </w:rPr>
        <w:t xml:space="preserve"> </w:t>
      </w:r>
      <w:r w:rsidRPr="00E62BDF">
        <w:rPr>
          <w:b/>
        </w:rPr>
        <w:t>equivali</w:t>
      </w:r>
      <w:r w:rsidR="00E62BDF" w:rsidRPr="00E62BDF">
        <w:rPr>
          <w:b/>
        </w:rPr>
        <w:t>z</w:t>
      </w:r>
      <w:r w:rsidRPr="00E62BDF">
        <w:rPr>
          <w:b/>
        </w:rPr>
        <w:t>ed</w:t>
      </w:r>
      <w:r w:rsidR="00907D8C">
        <w:rPr>
          <w:b/>
        </w:rPr>
        <w:t xml:space="preserve"> </w:t>
      </w:r>
      <w:r w:rsidRPr="00E62BDF">
        <w:rPr>
          <w:b/>
        </w:rPr>
        <w:t>median</w:t>
      </w:r>
      <w:r w:rsidR="00907D8C">
        <w:rPr>
          <w:b/>
        </w:rPr>
        <w:t xml:space="preserve"> </w:t>
      </w:r>
      <w:r w:rsidRPr="00E62BDF">
        <w:rPr>
          <w:b/>
        </w:rPr>
        <w:t>household</w:t>
      </w:r>
      <w:r w:rsidR="00907D8C">
        <w:rPr>
          <w:b/>
        </w:rPr>
        <w:t xml:space="preserve"> </w:t>
      </w:r>
      <w:r w:rsidRPr="00E62BDF">
        <w:rPr>
          <w:b/>
        </w:rPr>
        <w:t>incomes,</w:t>
      </w:r>
      <w:r w:rsidR="00907D8C">
        <w:rPr>
          <w:b/>
        </w:rPr>
        <w:t xml:space="preserve"> </w:t>
      </w:r>
      <w:r w:rsidRPr="00E62BDF">
        <w:rPr>
          <w:b/>
        </w:rPr>
        <w:t>by</w:t>
      </w:r>
      <w:r w:rsidR="00907D8C">
        <w:rPr>
          <w:b/>
        </w:rPr>
        <w:t xml:space="preserve"> </w:t>
      </w:r>
      <w:r w:rsidRPr="00E62BDF">
        <w:rPr>
          <w:b/>
        </w:rPr>
        <w:t>ethnic</w:t>
      </w:r>
      <w:r w:rsidR="00907D8C">
        <w:rPr>
          <w:b/>
        </w:rPr>
        <w:t xml:space="preserve"> </w:t>
      </w:r>
      <w:r w:rsidRPr="00E62BDF">
        <w:rPr>
          <w:b/>
        </w:rPr>
        <w:t>group,</w:t>
      </w:r>
      <w:r w:rsidR="00907D8C">
        <w:rPr>
          <w:b/>
        </w:rPr>
        <w:t xml:space="preserve"> </w:t>
      </w:r>
      <w:r w:rsidRPr="00E62BDF">
        <w:rPr>
          <w:b/>
        </w:rPr>
        <w:t>1988–2008</w:t>
      </w:r>
      <w:bookmarkEnd w:id="48"/>
    </w:p>
    <w:p w:rsidR="00036FAC" w:rsidRPr="00036FAC" w:rsidRDefault="00036FAC" w:rsidP="00E62BDF">
      <w:pPr>
        <w:tabs>
          <w:tab w:val="right" w:pos="850"/>
          <w:tab w:val="left" w:pos="1559"/>
          <w:tab w:val="left" w:pos="1984"/>
          <w:tab w:val="left" w:leader="dot" w:pos="7654"/>
          <w:tab w:val="right" w:pos="8929"/>
          <w:tab w:val="right" w:pos="9638"/>
        </w:tabs>
        <w:spacing w:after="120"/>
        <w:ind w:left="1134"/>
      </w:pPr>
      <w:r w:rsidRPr="00036FAC">
        <w:pict>
          <v:shape id="_x0000_i1031" type="#_x0000_t75" style="width:399.75pt;height:153pt">
            <v:imagedata r:id="rId13" o:title=""/>
          </v:shape>
        </w:pict>
      </w:r>
    </w:p>
    <w:p w:rsidR="00036FAC" w:rsidRPr="00BC778F" w:rsidRDefault="00036FAC" w:rsidP="00A6400B">
      <w:pPr>
        <w:spacing w:before="12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Derived</w:t>
      </w:r>
      <w:r w:rsidR="00907D8C">
        <w:rPr>
          <w:sz w:val="18"/>
          <w:szCs w:val="18"/>
        </w:rPr>
        <w:t xml:space="preserve"> </w:t>
      </w:r>
      <w:r w:rsidRPr="00BC778F">
        <w:rPr>
          <w:sz w:val="18"/>
          <w:szCs w:val="18"/>
        </w:rPr>
        <w:t>from</w:t>
      </w:r>
      <w:r w:rsidR="00907D8C">
        <w:rPr>
          <w:sz w:val="18"/>
          <w:szCs w:val="18"/>
        </w:rPr>
        <w:t xml:space="preserve"> </w:t>
      </w:r>
      <w:r w:rsidRPr="00BC778F">
        <w:rPr>
          <w:sz w:val="18"/>
          <w:szCs w:val="18"/>
        </w:rPr>
        <w:t>Statistics</w:t>
      </w:r>
      <w:r w:rsidR="00907D8C">
        <w:rPr>
          <w:sz w:val="18"/>
          <w:szCs w:val="18"/>
        </w:rPr>
        <w:t xml:space="preserve"> </w:t>
      </w:r>
      <w:r w:rsidRPr="00BC778F">
        <w:rPr>
          <w:sz w:val="18"/>
          <w:szCs w:val="18"/>
        </w:rPr>
        <w:t>New</w:t>
      </w:r>
      <w:r w:rsidR="00907D8C">
        <w:rPr>
          <w:sz w:val="18"/>
          <w:szCs w:val="18"/>
        </w:rPr>
        <w:t xml:space="preserve"> </w:t>
      </w:r>
      <w:r w:rsidRPr="00BC778F">
        <w:rPr>
          <w:sz w:val="18"/>
          <w:szCs w:val="18"/>
        </w:rPr>
        <w:t>Zealand</w:t>
      </w:r>
      <w:r w:rsidR="003E4D94">
        <w:rPr>
          <w:sz w:val="18"/>
          <w:szCs w:val="18"/>
        </w:rPr>
        <w:t>’</w:t>
      </w:r>
      <w:r w:rsidRPr="00BC778F">
        <w:rPr>
          <w:sz w:val="18"/>
          <w:szCs w:val="18"/>
        </w:rPr>
        <w:t>s</w:t>
      </w:r>
      <w:r w:rsidR="00907D8C">
        <w:rPr>
          <w:sz w:val="18"/>
          <w:szCs w:val="18"/>
        </w:rPr>
        <w:t xml:space="preserve"> </w:t>
      </w:r>
      <w:r w:rsidRPr="00BC778F">
        <w:rPr>
          <w:sz w:val="18"/>
          <w:szCs w:val="18"/>
        </w:rPr>
        <w:t>Household</w:t>
      </w:r>
      <w:r w:rsidR="00907D8C">
        <w:rPr>
          <w:sz w:val="18"/>
          <w:szCs w:val="18"/>
        </w:rPr>
        <w:t xml:space="preserve"> </w:t>
      </w:r>
      <w:r w:rsidRPr="00BC778F">
        <w:rPr>
          <w:sz w:val="18"/>
          <w:szCs w:val="18"/>
        </w:rPr>
        <w:t>Economic</w:t>
      </w:r>
      <w:r w:rsidR="00907D8C">
        <w:rPr>
          <w:sz w:val="18"/>
          <w:szCs w:val="18"/>
        </w:rPr>
        <w:t xml:space="preserve"> </w:t>
      </w:r>
      <w:r w:rsidRPr="00BC778F">
        <w:rPr>
          <w:sz w:val="18"/>
          <w:szCs w:val="18"/>
        </w:rPr>
        <w:t>Survey</w:t>
      </w:r>
      <w:r w:rsidR="00907D8C">
        <w:rPr>
          <w:sz w:val="18"/>
          <w:szCs w:val="18"/>
        </w:rPr>
        <w:t xml:space="preserve"> </w:t>
      </w:r>
      <w:r w:rsidRPr="00BC778F">
        <w:rPr>
          <w:sz w:val="18"/>
          <w:szCs w:val="18"/>
        </w:rPr>
        <w:t>(1988–2008)</w:t>
      </w:r>
      <w:r w:rsidR="00907D8C">
        <w:rPr>
          <w:sz w:val="18"/>
          <w:szCs w:val="18"/>
        </w:rPr>
        <w:t xml:space="preserve"> </w:t>
      </w:r>
      <w:r w:rsidRPr="00BC778F">
        <w:rPr>
          <w:sz w:val="18"/>
          <w:szCs w:val="18"/>
        </w:rPr>
        <w:t>by</w:t>
      </w:r>
      <w:r w:rsidR="00907D8C">
        <w:rPr>
          <w:sz w:val="18"/>
          <w:szCs w:val="18"/>
        </w:rPr>
        <w:t xml:space="preserve"> </w:t>
      </w:r>
      <w:r w:rsidRPr="00BC778F">
        <w:rPr>
          <w:sz w:val="18"/>
          <w:szCs w:val="18"/>
        </w:rPr>
        <w:t>the</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Social</w:t>
      </w:r>
      <w:r w:rsidR="00907D8C">
        <w:rPr>
          <w:sz w:val="18"/>
          <w:szCs w:val="18"/>
        </w:rPr>
        <w:t xml:space="preserve"> </w:t>
      </w:r>
      <w:r w:rsidRPr="00BC778F">
        <w:rPr>
          <w:sz w:val="18"/>
          <w:szCs w:val="18"/>
        </w:rPr>
        <w:t>Development</w:t>
      </w:r>
      <w:r w:rsidR="00E62BDF" w:rsidRPr="00BC778F">
        <w:rPr>
          <w:sz w:val="18"/>
          <w:szCs w:val="18"/>
        </w:rPr>
        <w:t>.</w:t>
      </w:r>
    </w:p>
    <w:p w:rsidR="00E62BDF" w:rsidRPr="00BC778F" w:rsidRDefault="00036FAC" w:rsidP="00B71C3C">
      <w:pPr>
        <w:tabs>
          <w:tab w:val="left" w:pos="1900"/>
        </w:tabs>
        <w:ind w:left="1134" w:right="1134" w:firstLine="204"/>
        <w:rPr>
          <w:sz w:val="18"/>
          <w:szCs w:val="18"/>
        </w:rPr>
      </w:pPr>
      <w:r w:rsidRPr="00BC778F">
        <w:rPr>
          <w:i/>
          <w:sz w:val="18"/>
          <w:szCs w:val="18"/>
        </w:rPr>
        <w:t>Notes</w:t>
      </w:r>
      <w:r w:rsidR="00E62BDF" w:rsidRPr="00BC778F">
        <w:rPr>
          <w:sz w:val="18"/>
          <w:szCs w:val="18"/>
        </w:rPr>
        <w:t>:</w:t>
      </w:r>
      <w:r w:rsidR="00E62BDF" w:rsidRPr="00BC778F">
        <w:rPr>
          <w:sz w:val="18"/>
          <w:szCs w:val="18"/>
        </w:rPr>
        <w:tab/>
      </w:r>
      <w:r w:rsidRPr="00BC778F">
        <w:rPr>
          <w:sz w:val="18"/>
          <w:szCs w:val="18"/>
          <w:vertAlign w:val="superscript"/>
        </w:rPr>
        <w:t>(1)</w:t>
      </w:r>
      <w:r w:rsidR="00907D8C">
        <w:rPr>
          <w:sz w:val="18"/>
          <w:szCs w:val="18"/>
          <w:vertAlign w:val="superscript"/>
        </w:rPr>
        <w:t xml:space="preserve"> </w:t>
      </w:r>
      <w:r w:rsidRPr="00BC778F">
        <w:rPr>
          <w:sz w:val="18"/>
          <w:szCs w:val="18"/>
        </w:rPr>
        <w:t>Household</w:t>
      </w:r>
      <w:r w:rsidR="00907D8C">
        <w:rPr>
          <w:sz w:val="18"/>
          <w:szCs w:val="18"/>
        </w:rPr>
        <w:t xml:space="preserve"> </w:t>
      </w:r>
      <w:r w:rsidRPr="00BC778F">
        <w:rPr>
          <w:sz w:val="18"/>
          <w:szCs w:val="18"/>
        </w:rPr>
        <w:t>ethnicity</w:t>
      </w:r>
      <w:r w:rsidR="00907D8C">
        <w:rPr>
          <w:sz w:val="18"/>
          <w:szCs w:val="18"/>
        </w:rPr>
        <w:t xml:space="preserve"> </w:t>
      </w:r>
      <w:r w:rsidRPr="00BC778F">
        <w:rPr>
          <w:sz w:val="18"/>
          <w:szCs w:val="18"/>
        </w:rPr>
        <w:t>is</w:t>
      </w:r>
      <w:r w:rsidR="00907D8C">
        <w:rPr>
          <w:sz w:val="18"/>
          <w:szCs w:val="18"/>
        </w:rPr>
        <w:t xml:space="preserve"> </w:t>
      </w:r>
      <w:r w:rsidRPr="00BC778F">
        <w:rPr>
          <w:sz w:val="18"/>
          <w:szCs w:val="18"/>
        </w:rPr>
        <w:t>defined</w:t>
      </w:r>
      <w:r w:rsidR="00907D8C">
        <w:rPr>
          <w:sz w:val="18"/>
          <w:szCs w:val="18"/>
        </w:rPr>
        <w:t xml:space="preserve"> </w:t>
      </w:r>
      <w:r w:rsidRPr="00BC778F">
        <w:rPr>
          <w:sz w:val="18"/>
          <w:szCs w:val="18"/>
        </w:rPr>
        <w:t>by</w:t>
      </w:r>
      <w:r w:rsidR="00907D8C">
        <w:rPr>
          <w:sz w:val="18"/>
          <w:szCs w:val="18"/>
        </w:rPr>
        <w:t xml:space="preserve"> </w:t>
      </w:r>
      <w:r w:rsidRPr="00BC778F">
        <w:rPr>
          <w:sz w:val="18"/>
          <w:szCs w:val="18"/>
        </w:rPr>
        <w:t>the</w:t>
      </w:r>
      <w:r w:rsidR="00907D8C">
        <w:rPr>
          <w:sz w:val="18"/>
          <w:szCs w:val="18"/>
        </w:rPr>
        <w:t xml:space="preserve"> </w:t>
      </w:r>
      <w:r w:rsidRPr="00BC778F">
        <w:rPr>
          <w:sz w:val="18"/>
          <w:szCs w:val="18"/>
        </w:rPr>
        <w:t>presence,</w:t>
      </w:r>
      <w:r w:rsidR="00907D8C">
        <w:rPr>
          <w:sz w:val="18"/>
          <w:szCs w:val="18"/>
        </w:rPr>
        <w:t xml:space="preserve"> </w:t>
      </w:r>
      <w:r w:rsidRPr="00BC778F">
        <w:rPr>
          <w:sz w:val="18"/>
          <w:szCs w:val="18"/>
        </w:rPr>
        <w:t>within</w:t>
      </w:r>
      <w:r w:rsidR="00907D8C">
        <w:rPr>
          <w:sz w:val="18"/>
          <w:szCs w:val="18"/>
        </w:rPr>
        <w:t xml:space="preserve"> </w:t>
      </w:r>
      <w:r w:rsidRPr="00BC778F">
        <w:rPr>
          <w:sz w:val="18"/>
          <w:szCs w:val="18"/>
        </w:rPr>
        <w:t>the</w:t>
      </w:r>
      <w:r w:rsidR="00907D8C">
        <w:rPr>
          <w:sz w:val="18"/>
          <w:szCs w:val="18"/>
        </w:rPr>
        <w:t xml:space="preserve"> </w:t>
      </w:r>
      <w:r w:rsidRPr="00BC778F">
        <w:rPr>
          <w:sz w:val="18"/>
          <w:szCs w:val="18"/>
        </w:rPr>
        <w:t>household,</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an</w:t>
      </w:r>
      <w:r w:rsidR="00907D8C">
        <w:rPr>
          <w:sz w:val="18"/>
          <w:szCs w:val="18"/>
        </w:rPr>
        <w:t xml:space="preserve"> </w:t>
      </w:r>
      <w:r w:rsidRPr="00BC778F">
        <w:rPr>
          <w:sz w:val="18"/>
          <w:szCs w:val="18"/>
        </w:rPr>
        <w:t>adul</w:t>
      </w:r>
      <w:r w:rsidR="00E62BDF" w:rsidRPr="00BC778F">
        <w:rPr>
          <w:sz w:val="18"/>
          <w:szCs w:val="18"/>
        </w:rPr>
        <w:t>t</w:t>
      </w:r>
      <w:r w:rsidR="00907D8C">
        <w:rPr>
          <w:sz w:val="18"/>
          <w:szCs w:val="18"/>
        </w:rPr>
        <w:t xml:space="preserve"> </w:t>
      </w:r>
      <w:r w:rsidR="00E62BDF" w:rsidRPr="00BC778F">
        <w:rPr>
          <w:sz w:val="18"/>
          <w:szCs w:val="18"/>
        </w:rPr>
        <w:t>of</w:t>
      </w:r>
      <w:r w:rsidR="00907D8C">
        <w:rPr>
          <w:sz w:val="18"/>
          <w:szCs w:val="18"/>
        </w:rPr>
        <w:t xml:space="preserve"> </w:t>
      </w:r>
      <w:r w:rsidR="00E62BDF" w:rsidRPr="00BC778F">
        <w:rPr>
          <w:sz w:val="18"/>
          <w:szCs w:val="18"/>
        </w:rPr>
        <w:t>a</w:t>
      </w:r>
      <w:r w:rsidR="00907D8C">
        <w:rPr>
          <w:sz w:val="18"/>
          <w:szCs w:val="18"/>
        </w:rPr>
        <w:t xml:space="preserve"> </w:t>
      </w:r>
      <w:r w:rsidR="00E62BDF" w:rsidRPr="00BC778F">
        <w:rPr>
          <w:sz w:val="18"/>
          <w:szCs w:val="18"/>
        </w:rPr>
        <w:t>particular</w:t>
      </w:r>
      <w:r w:rsidR="00907D8C">
        <w:rPr>
          <w:sz w:val="18"/>
          <w:szCs w:val="18"/>
        </w:rPr>
        <w:t xml:space="preserve"> </w:t>
      </w:r>
      <w:r w:rsidR="00E62BDF" w:rsidRPr="00BC778F">
        <w:rPr>
          <w:sz w:val="18"/>
          <w:szCs w:val="18"/>
        </w:rPr>
        <w:t>ethnic</w:t>
      </w:r>
      <w:r w:rsidR="00907D8C">
        <w:rPr>
          <w:sz w:val="18"/>
          <w:szCs w:val="18"/>
        </w:rPr>
        <w:t xml:space="preserve"> </w:t>
      </w:r>
      <w:r w:rsidR="00E62BDF" w:rsidRPr="00BC778F">
        <w:rPr>
          <w:sz w:val="18"/>
          <w:szCs w:val="18"/>
        </w:rPr>
        <w:t>group.</w:t>
      </w:r>
    </w:p>
    <w:p w:rsidR="00036FAC" w:rsidRPr="00BC778F" w:rsidRDefault="00E62BDF" w:rsidP="00B50FB5">
      <w:pPr>
        <w:tabs>
          <w:tab w:val="left" w:pos="1900"/>
        </w:tabs>
        <w:spacing w:after="240"/>
        <w:ind w:left="1134" w:right="1134" w:firstLine="204"/>
        <w:rPr>
          <w:sz w:val="18"/>
          <w:szCs w:val="18"/>
        </w:rPr>
      </w:pPr>
      <w:r w:rsidRPr="00BC778F">
        <w:rPr>
          <w:sz w:val="18"/>
          <w:szCs w:val="18"/>
        </w:rPr>
        <w:tab/>
      </w:r>
      <w:r w:rsidR="00036FAC" w:rsidRPr="00BC778F">
        <w:rPr>
          <w:sz w:val="18"/>
          <w:szCs w:val="18"/>
          <w:vertAlign w:val="superscript"/>
        </w:rPr>
        <w:t>(2)</w:t>
      </w:r>
      <w:r w:rsidR="00907D8C">
        <w:rPr>
          <w:sz w:val="18"/>
          <w:szCs w:val="18"/>
        </w:rPr>
        <w:t xml:space="preserve"> </w:t>
      </w:r>
      <w:r w:rsidR="00036FAC" w:rsidRPr="00BC778F">
        <w:rPr>
          <w:sz w:val="18"/>
          <w:szCs w:val="18"/>
        </w:rPr>
        <w:t>Between</w:t>
      </w:r>
      <w:r w:rsidR="00907D8C">
        <w:rPr>
          <w:sz w:val="18"/>
          <w:szCs w:val="18"/>
        </w:rPr>
        <w:t xml:space="preserve"> </w:t>
      </w:r>
      <w:r w:rsidR="00036FAC" w:rsidRPr="00BC778F">
        <w:rPr>
          <w:sz w:val="18"/>
          <w:szCs w:val="18"/>
        </w:rPr>
        <w:t>1998</w:t>
      </w:r>
      <w:r w:rsidR="00907D8C">
        <w:rPr>
          <w:sz w:val="18"/>
          <w:szCs w:val="18"/>
        </w:rPr>
        <w:t xml:space="preserve"> </w:t>
      </w:r>
      <w:r w:rsidR="00036FAC" w:rsidRPr="00BC778F">
        <w:rPr>
          <w:sz w:val="18"/>
          <w:szCs w:val="18"/>
        </w:rPr>
        <w:t>and</w:t>
      </w:r>
      <w:r w:rsidR="00907D8C">
        <w:rPr>
          <w:sz w:val="18"/>
          <w:szCs w:val="18"/>
        </w:rPr>
        <w:t xml:space="preserve"> </w:t>
      </w:r>
      <w:r w:rsidR="00036FAC" w:rsidRPr="00BC778F">
        <w:rPr>
          <w:sz w:val="18"/>
          <w:szCs w:val="18"/>
        </w:rPr>
        <w:t>2004,</w:t>
      </w:r>
      <w:r w:rsidR="00907D8C">
        <w:rPr>
          <w:sz w:val="18"/>
          <w:szCs w:val="18"/>
        </w:rPr>
        <w:t xml:space="preserve"> </w:t>
      </w:r>
      <w:r w:rsidR="00036FAC" w:rsidRPr="00BC778F">
        <w:rPr>
          <w:sz w:val="18"/>
          <w:szCs w:val="18"/>
        </w:rPr>
        <w:t>the</w:t>
      </w:r>
      <w:r w:rsidR="00907D8C">
        <w:rPr>
          <w:sz w:val="18"/>
          <w:szCs w:val="18"/>
        </w:rPr>
        <w:t xml:space="preserve"> </w:t>
      </w:r>
      <w:r w:rsidR="00036FAC" w:rsidRPr="00BC778F">
        <w:rPr>
          <w:sz w:val="18"/>
          <w:szCs w:val="18"/>
        </w:rPr>
        <w:t>Household</w:t>
      </w:r>
      <w:r w:rsidR="00907D8C">
        <w:rPr>
          <w:sz w:val="18"/>
          <w:szCs w:val="18"/>
        </w:rPr>
        <w:t xml:space="preserve"> </w:t>
      </w:r>
      <w:r w:rsidR="00036FAC" w:rsidRPr="00BC778F">
        <w:rPr>
          <w:sz w:val="18"/>
          <w:szCs w:val="18"/>
        </w:rPr>
        <w:t>Economic</w:t>
      </w:r>
      <w:r w:rsidR="00907D8C">
        <w:rPr>
          <w:sz w:val="18"/>
          <w:szCs w:val="18"/>
        </w:rPr>
        <w:t xml:space="preserve"> </w:t>
      </w:r>
      <w:r w:rsidR="00036FAC" w:rsidRPr="00BC778F">
        <w:rPr>
          <w:sz w:val="18"/>
          <w:szCs w:val="18"/>
        </w:rPr>
        <w:t>Survey</w:t>
      </w:r>
      <w:r w:rsidR="00907D8C">
        <w:rPr>
          <w:sz w:val="18"/>
          <w:szCs w:val="18"/>
        </w:rPr>
        <w:t xml:space="preserve"> </w:t>
      </w:r>
      <w:r w:rsidR="00036FAC" w:rsidRPr="00BC778F">
        <w:rPr>
          <w:sz w:val="18"/>
          <w:szCs w:val="18"/>
        </w:rPr>
        <w:t>was</w:t>
      </w:r>
      <w:r w:rsidR="00907D8C">
        <w:rPr>
          <w:sz w:val="18"/>
          <w:szCs w:val="18"/>
        </w:rPr>
        <w:t xml:space="preserve"> </w:t>
      </w:r>
      <w:r w:rsidR="00036FAC" w:rsidRPr="00BC778F">
        <w:rPr>
          <w:sz w:val="18"/>
          <w:szCs w:val="18"/>
        </w:rPr>
        <w:t>conducted</w:t>
      </w:r>
      <w:r w:rsidR="00907D8C">
        <w:rPr>
          <w:sz w:val="18"/>
          <w:szCs w:val="18"/>
        </w:rPr>
        <w:t xml:space="preserve"> </w:t>
      </w:r>
      <w:r w:rsidR="00036FAC" w:rsidRPr="00BC778F">
        <w:rPr>
          <w:sz w:val="18"/>
          <w:szCs w:val="18"/>
        </w:rPr>
        <w:t>on</w:t>
      </w:r>
      <w:r w:rsidR="00907D8C">
        <w:rPr>
          <w:sz w:val="18"/>
          <w:szCs w:val="18"/>
        </w:rPr>
        <w:t xml:space="preserve"> </w:t>
      </w:r>
      <w:r w:rsidR="00036FAC" w:rsidRPr="00BC778F">
        <w:rPr>
          <w:sz w:val="18"/>
          <w:szCs w:val="18"/>
        </w:rPr>
        <w:t>a</w:t>
      </w:r>
      <w:r w:rsidR="00907D8C">
        <w:rPr>
          <w:sz w:val="18"/>
          <w:szCs w:val="18"/>
        </w:rPr>
        <w:t xml:space="preserve"> </w:t>
      </w:r>
      <w:r w:rsidR="00036FAC" w:rsidRPr="00BC778F">
        <w:rPr>
          <w:sz w:val="18"/>
          <w:szCs w:val="18"/>
        </w:rPr>
        <w:t>three-yearly</w:t>
      </w:r>
      <w:r w:rsidR="00907D8C">
        <w:rPr>
          <w:sz w:val="18"/>
          <w:szCs w:val="18"/>
        </w:rPr>
        <w:t xml:space="preserve"> </w:t>
      </w:r>
      <w:r w:rsidR="00036FAC" w:rsidRPr="00BC778F">
        <w:rPr>
          <w:sz w:val="18"/>
          <w:szCs w:val="18"/>
        </w:rPr>
        <w:t>basis,</w:t>
      </w:r>
      <w:r w:rsidR="00907D8C">
        <w:rPr>
          <w:sz w:val="18"/>
          <w:szCs w:val="18"/>
        </w:rPr>
        <w:t xml:space="preserve"> </w:t>
      </w:r>
      <w:r w:rsidR="00036FAC" w:rsidRPr="00BC778F">
        <w:rPr>
          <w:sz w:val="18"/>
          <w:szCs w:val="18"/>
        </w:rPr>
        <w:t>rather</w:t>
      </w:r>
      <w:r w:rsidR="00907D8C">
        <w:rPr>
          <w:sz w:val="18"/>
          <w:szCs w:val="18"/>
        </w:rPr>
        <w:t xml:space="preserve"> </w:t>
      </w:r>
      <w:r w:rsidR="00036FAC" w:rsidRPr="00BC778F">
        <w:rPr>
          <w:sz w:val="18"/>
          <w:szCs w:val="18"/>
        </w:rPr>
        <w:t>than</w:t>
      </w:r>
      <w:r w:rsidR="00907D8C">
        <w:rPr>
          <w:sz w:val="18"/>
          <w:szCs w:val="18"/>
        </w:rPr>
        <w:t xml:space="preserve"> </w:t>
      </w:r>
      <w:r w:rsidR="00036FAC" w:rsidRPr="00BC778F">
        <w:rPr>
          <w:sz w:val="18"/>
          <w:szCs w:val="18"/>
        </w:rPr>
        <w:t>annually.</w:t>
      </w:r>
    </w:p>
    <w:p w:rsidR="00036FAC" w:rsidRPr="00036FAC" w:rsidRDefault="00036FAC" w:rsidP="00E62BDF">
      <w:pPr>
        <w:pStyle w:val="SingleTxtG"/>
      </w:pPr>
      <w:r w:rsidRPr="00036FAC">
        <w:t>71.</w:t>
      </w:r>
      <w:r w:rsidRPr="00036FAC">
        <w:tab/>
        <w:t>In</w:t>
      </w:r>
      <w:r w:rsidR="00907D8C">
        <w:t xml:space="preserve"> </w:t>
      </w:r>
      <w:r w:rsidRPr="00036FAC">
        <w:t>2009,</w:t>
      </w:r>
      <w:r w:rsidR="00907D8C">
        <w:t xml:space="preserve"> </w:t>
      </w:r>
      <w:r w:rsidRPr="00036FAC">
        <w:t>using</w:t>
      </w:r>
      <w:r w:rsidR="00907D8C">
        <w:t xml:space="preserve"> </w:t>
      </w:r>
      <w:r w:rsidRPr="00036FAC">
        <w:t>the</w:t>
      </w:r>
      <w:r w:rsidR="00907D8C">
        <w:t xml:space="preserve"> </w:t>
      </w:r>
      <w:r w:rsidRPr="00036FAC">
        <w:t>net-of-housing-costs</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fixed-line</w:t>
      </w:r>
      <w:r w:rsidR="00907D8C">
        <w:t xml:space="preserve"> </w:t>
      </w:r>
      <w:r w:rsidRPr="00036FAC">
        <w:t>measure,</w:t>
      </w:r>
      <w:r w:rsidR="00907D8C">
        <w:t xml:space="preserve"> </w:t>
      </w:r>
      <w:r w:rsidRPr="00036FAC">
        <w:t>around</w:t>
      </w:r>
      <w:r w:rsidR="00907D8C">
        <w:t xml:space="preserve"> </w:t>
      </w:r>
      <w:r w:rsidRPr="00036FAC">
        <w:t>one</w:t>
      </w:r>
      <w:r w:rsidR="00907D8C">
        <w:t xml:space="preserve"> </w:t>
      </w:r>
      <w:r w:rsidRPr="00036FAC">
        <w:t>in</w:t>
      </w:r>
      <w:r w:rsidR="00907D8C">
        <w:t xml:space="preserve"> </w:t>
      </w:r>
      <w:r w:rsidRPr="00036FAC">
        <w:t>six</w:t>
      </w:r>
      <w:r w:rsidR="00907D8C">
        <w:t xml:space="preserve"> </w:t>
      </w:r>
      <w:r w:rsidRPr="00036FAC">
        <w:t>European</w:t>
      </w:r>
      <w:r w:rsidR="00907D8C">
        <w:t xml:space="preserve"> </w:t>
      </w:r>
      <w:r w:rsidRPr="00036FAC">
        <w:t>children,</w:t>
      </w:r>
      <w:r w:rsidR="00907D8C">
        <w:t xml:space="preserve"> </w:t>
      </w:r>
      <w:r w:rsidRPr="00036FAC">
        <w:t>one</w:t>
      </w:r>
      <w:r w:rsidR="00907D8C">
        <w:t xml:space="preserve"> </w:t>
      </w:r>
      <w:r w:rsidRPr="00036FAC">
        <w:t>in</w:t>
      </w:r>
      <w:r w:rsidR="00907D8C">
        <w:t xml:space="preserve"> </w:t>
      </w:r>
      <w:r w:rsidRPr="00036FAC">
        <w:t>four</w:t>
      </w:r>
      <w:r w:rsidR="00907D8C">
        <w:t xml:space="preserve"> </w:t>
      </w:r>
      <w:r w:rsidRPr="00036FAC">
        <w:t>Pacific</w:t>
      </w:r>
      <w:r w:rsidR="00907D8C">
        <w:t xml:space="preserve"> </w:t>
      </w:r>
      <w:r w:rsidRPr="00036FAC">
        <w:t>children,</w:t>
      </w:r>
      <w:r w:rsidR="00907D8C">
        <w:t xml:space="preserve"> </w:t>
      </w:r>
      <w:r w:rsidRPr="00036FAC">
        <w:t>and</w:t>
      </w:r>
      <w:r w:rsidR="00907D8C">
        <w:t xml:space="preserve"> </w:t>
      </w:r>
      <w:r w:rsidRPr="00036FAC">
        <w:t>one</w:t>
      </w:r>
      <w:r w:rsidR="00907D8C">
        <w:t xml:space="preserve"> </w:t>
      </w:r>
      <w:r w:rsidRPr="00036FAC">
        <w:t>in</w:t>
      </w:r>
      <w:r w:rsidR="00907D8C">
        <w:t xml:space="preserve"> </w:t>
      </w:r>
      <w:r w:rsidRPr="00036FAC">
        <w:t>three</w:t>
      </w:r>
      <w:r w:rsidR="00907D8C">
        <w:t xml:space="preserve"> </w:t>
      </w:r>
      <w:r w:rsidRPr="00036FAC">
        <w:t>Māori</w:t>
      </w:r>
      <w:r w:rsidR="00907D8C">
        <w:t xml:space="preserve"> </w:t>
      </w:r>
      <w:r w:rsidRPr="00036FAC">
        <w:t>children</w:t>
      </w:r>
      <w:r w:rsidR="00907D8C">
        <w:t xml:space="preserve"> </w:t>
      </w:r>
      <w:r w:rsidRPr="00036FAC">
        <w:t>(double</w:t>
      </w:r>
      <w:r w:rsidR="00907D8C">
        <w:t xml:space="preserve"> </w:t>
      </w:r>
      <w:r w:rsidRPr="00036FAC">
        <w:t>the</w:t>
      </w:r>
      <w:r w:rsidR="00907D8C">
        <w:t xml:space="preserve"> </w:t>
      </w:r>
      <w:r w:rsidRPr="00036FAC">
        <w:t>rate</w:t>
      </w:r>
      <w:r w:rsidR="00907D8C">
        <w:t xml:space="preserve"> </w:t>
      </w:r>
      <w:r w:rsidRPr="00036FAC">
        <w:t>for</w:t>
      </w:r>
      <w:r w:rsidR="00907D8C">
        <w:t xml:space="preserve"> </w:t>
      </w:r>
      <w:r w:rsidRPr="00036FAC">
        <w:t>European</w:t>
      </w:r>
      <w:r w:rsidR="00907D8C">
        <w:t xml:space="preserve"> </w:t>
      </w:r>
      <w:r w:rsidRPr="00036FAC">
        <w:t>children)</w:t>
      </w:r>
      <w:r w:rsidR="00907D8C">
        <w:t xml:space="preserve"> </w:t>
      </w:r>
      <w:r w:rsidRPr="00036FAC">
        <w:t>lived</w:t>
      </w:r>
      <w:r w:rsidR="00907D8C">
        <w:t xml:space="preserve"> </w:t>
      </w:r>
      <w:r w:rsidRPr="00036FAC">
        <w:t>in</w:t>
      </w:r>
      <w:r w:rsidR="00907D8C">
        <w:t xml:space="preserve"> </w:t>
      </w:r>
      <w:r w:rsidRPr="00036FAC">
        <w:t>lower</w:t>
      </w:r>
      <w:r w:rsidR="00907D8C">
        <w:t xml:space="preserve"> </w:t>
      </w:r>
      <w:r w:rsidRPr="00036FAC">
        <w:t>income</w:t>
      </w:r>
      <w:r w:rsidR="00907D8C">
        <w:t xml:space="preserve"> </w:t>
      </w:r>
      <w:r w:rsidRPr="00036FAC">
        <w:t>households.</w:t>
      </w:r>
      <w:r w:rsidR="00907D8C">
        <w:t xml:space="preserve"> </w:t>
      </w:r>
    </w:p>
    <w:p w:rsidR="00036FAC" w:rsidRPr="00036FAC" w:rsidRDefault="00036FAC" w:rsidP="00E62BDF">
      <w:pPr>
        <w:pStyle w:val="SingleTxtG"/>
      </w:pPr>
      <w:r w:rsidRPr="00036FAC">
        <w:t>72.</w:t>
      </w:r>
      <w:r w:rsidRPr="00036FAC">
        <w:tab/>
        <w:t>The</w:t>
      </w:r>
      <w:r w:rsidR="00907D8C">
        <w:t xml:space="preserve"> </w:t>
      </w:r>
      <w:r w:rsidRPr="00036FAC">
        <w:t>higher</w:t>
      </w:r>
      <w:r w:rsidR="00907D8C">
        <w:t xml:space="preserve"> </w:t>
      </w:r>
      <w:r w:rsidRPr="00036FAC">
        <w:t>rate</w:t>
      </w:r>
      <w:r w:rsidR="00907D8C">
        <w:t xml:space="preserve"> </w:t>
      </w:r>
      <w:r w:rsidRPr="00036FAC">
        <w:t>for</w:t>
      </w:r>
      <w:r w:rsidR="00907D8C">
        <w:t xml:space="preserve"> </w:t>
      </w:r>
      <w:r w:rsidRPr="00036FAC">
        <w:t>Māori</w:t>
      </w:r>
      <w:r w:rsidR="00907D8C">
        <w:t xml:space="preserve"> </w:t>
      </w:r>
      <w:r w:rsidRPr="00036FAC">
        <w:t>children</w:t>
      </w:r>
      <w:r w:rsidR="00907D8C">
        <w:t xml:space="preserve"> </w:t>
      </w:r>
      <w:r w:rsidRPr="00036FAC">
        <w:t>reflects</w:t>
      </w:r>
      <w:r w:rsidR="00907D8C">
        <w:t xml:space="preserve"> </w:t>
      </w:r>
      <w:r w:rsidRPr="00036FAC">
        <w:t>the</w:t>
      </w:r>
      <w:r w:rsidR="00907D8C">
        <w:t xml:space="preserve"> </w:t>
      </w:r>
      <w:r w:rsidRPr="00036FAC">
        <w:t>relatively</w:t>
      </w:r>
      <w:r w:rsidR="00907D8C">
        <w:t xml:space="preserve"> </w:t>
      </w:r>
      <w:r w:rsidRPr="00036FAC">
        <w:t>high</w:t>
      </w:r>
      <w:r w:rsidR="00907D8C">
        <w:t xml:space="preserve"> </w:t>
      </w:r>
      <w:r w:rsidRPr="00036FAC">
        <w:t>proportion</w:t>
      </w:r>
      <w:r w:rsidR="00907D8C">
        <w:t xml:space="preserve"> </w:t>
      </w:r>
      <w:r w:rsidRPr="00036FAC">
        <w:t>of</w:t>
      </w:r>
      <w:r w:rsidR="00907D8C">
        <w:t xml:space="preserve"> </w:t>
      </w:r>
      <w:r w:rsidRPr="00036FAC">
        <w:t>Māori</w:t>
      </w:r>
      <w:r w:rsidR="00907D8C">
        <w:t xml:space="preserve"> </w:t>
      </w:r>
      <w:r w:rsidRPr="00036FAC">
        <w:t>children</w:t>
      </w:r>
      <w:r w:rsidR="00907D8C">
        <w:t xml:space="preserve"> </w:t>
      </w:r>
      <w:r w:rsidRPr="00036FAC">
        <w:t>living</w:t>
      </w:r>
      <w:r w:rsidR="00907D8C">
        <w:t xml:space="preserve"> </w:t>
      </w:r>
      <w:r w:rsidRPr="00036FAC">
        <w:t>in</w:t>
      </w:r>
      <w:r w:rsidR="00907D8C">
        <w:t xml:space="preserve"> </w:t>
      </w:r>
      <w:r w:rsidRPr="00036FAC">
        <w:t>sole</w:t>
      </w:r>
      <w:r w:rsidR="00907D8C">
        <w:t xml:space="preserve"> </w:t>
      </w:r>
      <w:r w:rsidRPr="00036FAC">
        <w:t>parent</w:t>
      </w:r>
      <w:r w:rsidR="00907D8C">
        <w:t xml:space="preserve"> </w:t>
      </w:r>
      <w:r w:rsidRPr="00036FAC">
        <w:t>beneficiary</w:t>
      </w:r>
      <w:r w:rsidR="00907D8C">
        <w:t xml:space="preserve"> </w:t>
      </w:r>
      <w:r w:rsidRPr="00036FAC">
        <w:t>families</w:t>
      </w:r>
      <w:r w:rsidR="00907D8C">
        <w:t xml:space="preserve"> </w:t>
      </w:r>
      <w:r w:rsidRPr="00036FAC">
        <w:t>and</w:t>
      </w:r>
      <w:r w:rsidR="00907D8C">
        <w:t xml:space="preserve"> </w:t>
      </w:r>
      <w:r w:rsidRPr="00036FAC">
        <w:t>households</w:t>
      </w:r>
      <w:r w:rsidR="00907D8C">
        <w:t xml:space="preserve"> </w:t>
      </w:r>
      <w:r w:rsidRPr="00036FAC">
        <w:t>(for</w:t>
      </w:r>
      <w:r w:rsidR="00907D8C">
        <w:t xml:space="preserve"> </w:t>
      </w:r>
      <w:r w:rsidRPr="00036FAC">
        <w:t>example,</w:t>
      </w:r>
      <w:r w:rsidR="00907D8C">
        <w:t xml:space="preserve"> </w:t>
      </w:r>
      <w:r w:rsidRPr="00036FAC">
        <w:t>in</w:t>
      </w:r>
      <w:r w:rsidR="00907D8C">
        <w:t xml:space="preserve"> </w:t>
      </w:r>
      <w:r w:rsidRPr="00036FAC">
        <w:t>June</w:t>
      </w:r>
      <w:r w:rsidR="00907D8C">
        <w:t xml:space="preserve"> </w:t>
      </w:r>
      <w:r w:rsidRPr="00036FAC">
        <w:t>2009,</w:t>
      </w:r>
      <w:r w:rsidR="00907D8C">
        <w:t xml:space="preserve"> </w:t>
      </w:r>
      <w:r w:rsidRPr="00036FAC">
        <w:t>43</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Domestic</w:t>
      </w:r>
      <w:r w:rsidR="00907D8C">
        <w:t xml:space="preserve"> </w:t>
      </w:r>
      <w:r w:rsidRPr="00036FAC">
        <w:t>Purposes</w:t>
      </w:r>
      <w:r w:rsidR="00907D8C">
        <w:t xml:space="preserve"> </w:t>
      </w:r>
      <w:r w:rsidRPr="00036FAC">
        <w:t>Benefit</w:t>
      </w:r>
      <w:r w:rsidRPr="00E62BDF">
        <w:rPr>
          <w:rStyle w:val="FootnoteReference"/>
        </w:rPr>
        <w:footnoteReference w:id="5"/>
      </w:r>
      <w:r w:rsidR="00907D8C">
        <w:t xml:space="preserve"> </w:t>
      </w:r>
      <w:r w:rsidRPr="00036FAC">
        <w:t>recipients</w:t>
      </w:r>
      <w:r w:rsidR="00907D8C">
        <w:t xml:space="preserve"> </w:t>
      </w:r>
      <w:r w:rsidRPr="00036FAC">
        <w:t>were</w:t>
      </w:r>
      <w:r w:rsidR="00907D8C">
        <w:t xml:space="preserve"> </w:t>
      </w:r>
      <w:r w:rsidRPr="00036FAC">
        <w:t>Māori).</w:t>
      </w:r>
      <w:r w:rsidRPr="00E62BDF">
        <w:rPr>
          <w:rStyle w:val="FootnoteReference"/>
        </w:rPr>
        <w:footnoteReference w:id="6"/>
      </w:r>
    </w:p>
    <w:p w:rsidR="00036FAC" w:rsidRPr="00036FAC" w:rsidRDefault="00036FAC" w:rsidP="006C436C">
      <w:pPr>
        <w:pStyle w:val="H23G"/>
      </w:pPr>
      <w:r w:rsidRPr="00036FAC">
        <w:tab/>
        <w:t>14.</w:t>
      </w:r>
      <w:r w:rsidRPr="00036FAC">
        <w:tab/>
        <w:t>Health</w:t>
      </w:r>
    </w:p>
    <w:p w:rsidR="00036FAC" w:rsidRPr="00036FAC" w:rsidRDefault="00036FAC" w:rsidP="00E62BDF">
      <w:pPr>
        <w:pStyle w:val="SingleTxtG"/>
      </w:pPr>
      <w:r w:rsidRPr="00036FAC">
        <w:t>73.</w:t>
      </w:r>
      <w:r w:rsidRPr="00036FAC">
        <w:tab/>
        <w:t>Overall</w:t>
      </w:r>
      <w:r w:rsidR="00907D8C">
        <w:t xml:space="preserve"> </w:t>
      </w:r>
      <w:r w:rsidRPr="00036FAC">
        <w:t>health</w:t>
      </w:r>
      <w:r w:rsidR="00907D8C">
        <w:t xml:space="preserve"> </w:t>
      </w:r>
      <w:r w:rsidRPr="00036FAC">
        <w:t>status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good.</w:t>
      </w:r>
      <w:r w:rsidR="00907D8C">
        <w:t xml:space="preserve"> </w:t>
      </w:r>
      <w:r w:rsidRPr="00036FAC">
        <w:t>Life</w:t>
      </w:r>
      <w:r w:rsidR="00907D8C">
        <w:t xml:space="preserve"> </w:t>
      </w:r>
      <w:r w:rsidRPr="00036FAC">
        <w:t>expectancy</w:t>
      </w:r>
      <w:r w:rsidR="00907D8C">
        <w:t xml:space="preserve"> </w:t>
      </w:r>
      <w:r w:rsidRPr="00036FAC">
        <w:t>at</w:t>
      </w:r>
      <w:r w:rsidR="00907D8C">
        <w:t xml:space="preserve"> </w:t>
      </w:r>
      <w:r w:rsidRPr="00036FAC">
        <w:t>birth</w:t>
      </w:r>
      <w:r w:rsidR="00907D8C">
        <w:t xml:space="preserve"> </w:t>
      </w:r>
      <w:r w:rsidRPr="00036FAC">
        <w:t>has</w:t>
      </w:r>
      <w:r w:rsidR="00907D8C">
        <w:t xml:space="preserve"> </w:t>
      </w:r>
      <w:r w:rsidRPr="00036FAC">
        <w:t>increased</w:t>
      </w:r>
      <w:r w:rsidR="00907D8C">
        <w:t xml:space="preserve"> </w:t>
      </w:r>
      <w:r w:rsidRPr="00036FAC">
        <w:t>rapidly</w:t>
      </w:r>
      <w:r w:rsidR="00907D8C">
        <w:t xml:space="preserve"> </w:t>
      </w:r>
      <w:r w:rsidRPr="00036FAC">
        <w:t>over</w:t>
      </w:r>
      <w:r w:rsidR="00907D8C">
        <w:t xml:space="preserve"> </w:t>
      </w:r>
      <w:r w:rsidRPr="00036FAC">
        <w:t>the</w:t>
      </w:r>
      <w:r w:rsidR="00907D8C">
        <w:t xml:space="preserve"> </w:t>
      </w:r>
      <w:r w:rsidRPr="00036FAC">
        <w:t>past</w:t>
      </w:r>
      <w:r w:rsidR="00907D8C">
        <w:t xml:space="preserve"> </w:t>
      </w:r>
      <w:r w:rsidRPr="00036FAC">
        <w:t>decade,</w:t>
      </w:r>
      <w:r w:rsidR="00907D8C">
        <w:t xml:space="preserve"> </w:t>
      </w:r>
      <w:r w:rsidRPr="00036FAC">
        <w:t>both</w:t>
      </w:r>
      <w:r w:rsidR="00907D8C">
        <w:t xml:space="preserve"> </w:t>
      </w:r>
      <w:r w:rsidRPr="00036FAC">
        <w:t>for</w:t>
      </w:r>
      <w:r w:rsidR="00907D8C">
        <w:t xml:space="preserve"> </w:t>
      </w:r>
      <w:r w:rsidRPr="00036FAC">
        <w:t>males</w:t>
      </w:r>
      <w:r w:rsidR="00907D8C">
        <w:t xml:space="preserve"> </w:t>
      </w:r>
      <w:r w:rsidRPr="00036FAC">
        <w:t>and</w:t>
      </w:r>
      <w:r w:rsidR="00907D8C">
        <w:t xml:space="preserve"> </w:t>
      </w:r>
      <w:r w:rsidRPr="00036FAC">
        <w:t>females,</w:t>
      </w:r>
      <w:r w:rsidR="00907D8C">
        <w:t xml:space="preserve"> </w:t>
      </w:r>
      <w:r w:rsidRPr="00036FAC">
        <w:t>and</w:t>
      </w:r>
      <w:r w:rsidR="00907D8C">
        <w:t xml:space="preserve"> </w:t>
      </w:r>
      <w:r w:rsidRPr="00036FAC">
        <w:t>for</w:t>
      </w:r>
      <w:r w:rsidR="00907D8C">
        <w:t xml:space="preserve"> </w:t>
      </w:r>
      <w:r w:rsidRPr="00036FAC">
        <w:t>the</w:t>
      </w:r>
      <w:r w:rsidR="00907D8C">
        <w:t xml:space="preserve"> </w:t>
      </w:r>
      <w:r w:rsidRPr="00036FAC">
        <w:t>Māori</w:t>
      </w:r>
      <w:r w:rsidR="00907D8C">
        <w:t xml:space="preserve"> </w:t>
      </w:r>
      <w:r w:rsidRPr="00036FAC">
        <w:t>and</w:t>
      </w:r>
      <w:r w:rsidR="00907D8C">
        <w:t xml:space="preserve"> </w:t>
      </w:r>
      <w:r w:rsidR="003E4D94">
        <w:t>non-</w:t>
      </w:r>
      <w:r w:rsidRPr="00036FAC">
        <w:t>Māori</w:t>
      </w:r>
      <w:r w:rsidR="00907D8C">
        <w:t xml:space="preserve"> </w:t>
      </w:r>
      <w:r w:rsidRPr="00036FAC">
        <w:t>ethnic</w:t>
      </w:r>
      <w:r w:rsidR="00907D8C">
        <w:t xml:space="preserve"> </w:t>
      </w:r>
      <w:r w:rsidRPr="00036FAC">
        <w:t>groups.</w:t>
      </w:r>
      <w:r w:rsidR="00907D8C">
        <w:t xml:space="preserve"> </w:t>
      </w:r>
      <w:r w:rsidRPr="00036FAC">
        <w:t>The</w:t>
      </w:r>
      <w:r w:rsidR="00907D8C">
        <w:t xml:space="preserve"> </w:t>
      </w:r>
      <w:r w:rsidRPr="00036FAC">
        <w:t>gender</w:t>
      </w:r>
      <w:r w:rsidR="00907D8C">
        <w:t xml:space="preserve"> </w:t>
      </w:r>
      <w:r w:rsidRPr="00036FAC">
        <w:t>gap</w:t>
      </w:r>
      <w:r w:rsidR="00907D8C">
        <w:t xml:space="preserve"> </w:t>
      </w:r>
      <w:r w:rsidRPr="00036FAC">
        <w:t>in</w:t>
      </w:r>
      <w:r w:rsidR="00907D8C">
        <w:t xml:space="preserve"> </w:t>
      </w:r>
      <w:r w:rsidRPr="00036FAC">
        <w:t>life</w:t>
      </w:r>
      <w:r w:rsidR="00907D8C">
        <w:t xml:space="preserve"> </w:t>
      </w:r>
      <w:r w:rsidRPr="00036FAC">
        <w:t>expectancy</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decreased</w:t>
      </w:r>
      <w:r w:rsidR="00907D8C">
        <w:t xml:space="preserve"> </w:t>
      </w:r>
      <w:r w:rsidRPr="00036FAC">
        <w:t>from</w:t>
      </w:r>
      <w:r w:rsidR="00907D8C">
        <w:t xml:space="preserve"> </w:t>
      </w:r>
      <w:r w:rsidRPr="00036FAC">
        <w:t>5.3</w:t>
      </w:r>
      <w:r w:rsidR="00907D8C">
        <w:t xml:space="preserve"> </w:t>
      </w:r>
      <w:r w:rsidRPr="00036FAC">
        <w:t>years</w:t>
      </w:r>
      <w:r w:rsidR="00907D8C">
        <w:t xml:space="preserve"> </w:t>
      </w:r>
      <w:r w:rsidRPr="00036FAC">
        <w:t>in</w:t>
      </w:r>
      <w:r w:rsidR="00907D8C">
        <w:t xml:space="preserve"> </w:t>
      </w:r>
      <w:r w:rsidRPr="00036FAC">
        <w:t>1996</w:t>
      </w:r>
      <w:r w:rsidR="00907D8C">
        <w:t xml:space="preserve"> </w:t>
      </w:r>
      <w:r w:rsidRPr="00036FAC">
        <w:t>to</w:t>
      </w:r>
      <w:r w:rsidR="00907D8C">
        <w:t xml:space="preserve"> </w:t>
      </w:r>
      <w:r w:rsidRPr="00036FAC">
        <w:t>4.2</w:t>
      </w:r>
      <w:r w:rsidR="00907D8C">
        <w:t xml:space="preserve"> </w:t>
      </w:r>
      <w:r w:rsidRPr="00036FAC">
        <w:t>years</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gap</w:t>
      </w:r>
      <w:r w:rsidR="00907D8C">
        <w:t xml:space="preserve"> </w:t>
      </w:r>
      <w:r w:rsidRPr="00036FAC">
        <w:t>between</w:t>
      </w:r>
      <w:r w:rsidR="00907D8C">
        <w:t xml:space="preserve"> </w:t>
      </w:r>
      <w:r w:rsidRPr="00036FAC">
        <w:t>Māori</w:t>
      </w:r>
      <w:r w:rsidR="00907D8C">
        <w:t xml:space="preserve"> </w:t>
      </w:r>
      <w:r w:rsidRPr="00036FAC">
        <w:t>and</w:t>
      </w:r>
      <w:r w:rsidR="00907D8C">
        <w:t xml:space="preserve"> </w:t>
      </w:r>
      <w:r w:rsidRPr="00036FAC">
        <w:t>non-Māori</w:t>
      </w:r>
      <w:r w:rsidR="00907D8C">
        <w:t xml:space="preserve"> </w:t>
      </w:r>
      <w:r w:rsidRPr="00036FAC">
        <w:t>has</w:t>
      </w:r>
      <w:r w:rsidR="00907D8C">
        <w:t xml:space="preserve"> </w:t>
      </w:r>
      <w:r w:rsidRPr="00036FAC">
        <w:t>decreased</w:t>
      </w:r>
      <w:r w:rsidR="00907D8C">
        <w:t xml:space="preserve"> </w:t>
      </w:r>
      <w:r w:rsidRPr="00036FAC">
        <w:t>by</w:t>
      </w:r>
      <w:r w:rsidR="00907D8C">
        <w:t xml:space="preserve"> </w:t>
      </w:r>
      <w:r w:rsidRPr="00036FAC">
        <w:t>approximately</w:t>
      </w:r>
      <w:r w:rsidR="00907D8C">
        <w:t xml:space="preserve"> </w:t>
      </w:r>
      <w:r w:rsidRPr="00036FAC">
        <w:t>1.2</w:t>
      </w:r>
      <w:r w:rsidR="00907D8C">
        <w:t xml:space="preserve"> </w:t>
      </w:r>
      <w:r w:rsidRPr="00036FAC">
        <w:t>years</w:t>
      </w:r>
      <w:r w:rsidR="00907D8C">
        <w:t xml:space="preserve"> </w:t>
      </w:r>
      <w:r w:rsidRPr="00036FAC">
        <w:t>for</w:t>
      </w:r>
      <w:r w:rsidR="00907D8C">
        <w:t xml:space="preserve"> </w:t>
      </w:r>
      <w:r w:rsidRPr="00036FAC">
        <w:t>males</w:t>
      </w:r>
      <w:r w:rsidR="00907D8C">
        <w:t xml:space="preserve"> </w:t>
      </w:r>
      <w:r w:rsidRPr="00036FAC">
        <w:t>and</w:t>
      </w:r>
      <w:r w:rsidR="00907D8C">
        <w:t xml:space="preserve"> </w:t>
      </w:r>
      <w:r w:rsidRPr="00036FAC">
        <w:t>2.0</w:t>
      </w:r>
      <w:r w:rsidR="00907D8C">
        <w:t xml:space="preserve"> </w:t>
      </w:r>
      <w:r w:rsidRPr="00036FAC">
        <w:t>years</w:t>
      </w:r>
      <w:r w:rsidR="00907D8C">
        <w:t xml:space="preserve"> </w:t>
      </w:r>
      <w:r w:rsidRPr="00036FAC">
        <w:t>for</w:t>
      </w:r>
      <w:r w:rsidR="00907D8C">
        <w:t xml:space="preserve"> </w:t>
      </w:r>
      <w:r w:rsidRPr="00036FAC">
        <w:t>females</w:t>
      </w:r>
      <w:r w:rsidR="00907D8C">
        <w:t xml:space="preserve"> </w:t>
      </w:r>
      <w:r w:rsidRPr="00036FAC">
        <w:t>over</w:t>
      </w:r>
      <w:r w:rsidR="00907D8C">
        <w:t xml:space="preserve"> </w:t>
      </w:r>
      <w:r w:rsidRPr="00036FAC">
        <w:t>the</w:t>
      </w:r>
      <w:r w:rsidR="00907D8C">
        <w:t xml:space="preserve"> </w:t>
      </w:r>
      <w:r w:rsidRPr="00036FAC">
        <w:t>decade.</w:t>
      </w:r>
    </w:p>
    <w:p w:rsidR="00036FAC" w:rsidRPr="00036FAC" w:rsidRDefault="00E62BDF" w:rsidP="00A2341C">
      <w:pPr>
        <w:pStyle w:val="H23G"/>
      </w:pPr>
      <w:r>
        <w:tab/>
        <w:t>(a)</w:t>
      </w:r>
      <w:r>
        <w:tab/>
        <w:t>Life</w:t>
      </w:r>
      <w:r w:rsidR="00907D8C">
        <w:t xml:space="preserve"> </w:t>
      </w:r>
      <w:r>
        <w:t>expectancy</w:t>
      </w:r>
    </w:p>
    <w:p w:rsidR="00E62BDF" w:rsidRDefault="00E62BDF" w:rsidP="00E62BDF">
      <w:pPr>
        <w:pStyle w:val="Heading1"/>
      </w:pPr>
      <w:bookmarkStart w:id="49" w:name="_Toc275331922"/>
      <w:r>
        <w:t>Table</w:t>
      </w:r>
      <w:r w:rsidR="00907D8C">
        <w:t xml:space="preserve"> </w:t>
      </w:r>
      <w:r>
        <w:t>21</w:t>
      </w:r>
    </w:p>
    <w:p w:rsidR="00036FAC" w:rsidRPr="00E62BDF" w:rsidRDefault="00036FAC" w:rsidP="00E62BDF">
      <w:pPr>
        <w:pStyle w:val="SingleTxtG"/>
        <w:rPr>
          <w:b/>
        </w:rPr>
      </w:pPr>
      <w:r w:rsidRPr="00E62BDF">
        <w:rPr>
          <w:b/>
        </w:rPr>
        <w:t>Life</w:t>
      </w:r>
      <w:r w:rsidR="00907D8C">
        <w:rPr>
          <w:b/>
        </w:rPr>
        <w:t xml:space="preserve"> </w:t>
      </w:r>
      <w:r w:rsidRPr="00E62BDF">
        <w:rPr>
          <w:b/>
        </w:rPr>
        <w:t>expectancy</w:t>
      </w:r>
      <w:r w:rsidR="00907D8C">
        <w:rPr>
          <w:b/>
        </w:rPr>
        <w:t xml:space="preserve"> </w:t>
      </w:r>
      <w:r w:rsidRPr="00E62BDF">
        <w:rPr>
          <w:b/>
        </w:rPr>
        <w:t>at</w:t>
      </w:r>
      <w:r w:rsidR="00907D8C">
        <w:rPr>
          <w:b/>
        </w:rPr>
        <w:t xml:space="preserve"> </w:t>
      </w:r>
      <w:r w:rsidRPr="00E62BDF">
        <w:rPr>
          <w:b/>
        </w:rPr>
        <w:t>birth</w:t>
      </w:r>
      <w:bookmarkEnd w:id="4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67"/>
        <w:gridCol w:w="1400"/>
        <w:gridCol w:w="1400"/>
        <w:gridCol w:w="2503"/>
      </w:tblGrid>
      <w:tr w:rsidR="00E62BDF" w:rsidRPr="00E62BDF" w:rsidTr="00BC778F">
        <w:tblPrEx>
          <w:tblCellMar>
            <w:top w:w="0" w:type="dxa"/>
            <w:bottom w:w="0" w:type="dxa"/>
          </w:tblCellMar>
        </w:tblPrEx>
        <w:trPr>
          <w:trHeight w:val="240"/>
          <w:tblHeader/>
        </w:trPr>
        <w:tc>
          <w:tcPr>
            <w:tcW w:w="1402" w:type="pct"/>
            <w:tcBorders>
              <w:top w:val="single" w:sz="4" w:space="0" w:color="auto"/>
              <w:bottom w:val="single" w:sz="12" w:space="0" w:color="auto"/>
            </w:tcBorders>
            <w:shd w:val="clear" w:color="auto" w:fill="auto"/>
            <w:vAlign w:val="bottom"/>
          </w:tcPr>
          <w:p w:rsidR="00036FAC" w:rsidRPr="00E62BDF" w:rsidRDefault="00036FAC" w:rsidP="00E62BDF">
            <w:pPr>
              <w:suppressAutoHyphens w:val="0"/>
              <w:spacing w:before="80" w:after="80" w:line="200" w:lineRule="exact"/>
              <w:ind w:right="113"/>
              <w:rPr>
                <w:i/>
                <w:sz w:val="16"/>
              </w:rPr>
            </w:pPr>
          </w:p>
        </w:tc>
        <w:tc>
          <w:tcPr>
            <w:tcW w:w="950" w:type="pct"/>
            <w:tcBorders>
              <w:top w:val="single" w:sz="4" w:space="0" w:color="auto"/>
              <w:bottom w:val="single" w:sz="12" w:space="0" w:color="auto"/>
            </w:tcBorders>
            <w:shd w:val="clear" w:color="auto" w:fill="auto"/>
            <w:vAlign w:val="bottom"/>
          </w:tcPr>
          <w:p w:rsidR="00036FAC" w:rsidRPr="00E62BDF" w:rsidRDefault="00036FAC" w:rsidP="00E62BDF">
            <w:pPr>
              <w:suppressAutoHyphens w:val="0"/>
              <w:spacing w:before="80" w:after="80" w:line="200" w:lineRule="exact"/>
              <w:ind w:right="113"/>
              <w:jc w:val="right"/>
              <w:rPr>
                <w:i/>
                <w:sz w:val="16"/>
              </w:rPr>
            </w:pPr>
            <w:r w:rsidRPr="00E62BDF">
              <w:rPr>
                <w:i/>
                <w:sz w:val="16"/>
              </w:rPr>
              <w:t>1996</w:t>
            </w:r>
          </w:p>
        </w:tc>
        <w:tc>
          <w:tcPr>
            <w:tcW w:w="950" w:type="pct"/>
            <w:tcBorders>
              <w:top w:val="single" w:sz="4" w:space="0" w:color="auto"/>
              <w:bottom w:val="single" w:sz="12" w:space="0" w:color="auto"/>
            </w:tcBorders>
            <w:shd w:val="clear" w:color="auto" w:fill="auto"/>
            <w:vAlign w:val="bottom"/>
          </w:tcPr>
          <w:p w:rsidR="00036FAC" w:rsidRPr="00E62BDF" w:rsidRDefault="00036FAC" w:rsidP="00E62BDF">
            <w:pPr>
              <w:suppressAutoHyphens w:val="0"/>
              <w:spacing w:before="80" w:after="80" w:line="200" w:lineRule="exact"/>
              <w:ind w:right="113"/>
              <w:jc w:val="right"/>
              <w:rPr>
                <w:i/>
                <w:sz w:val="16"/>
              </w:rPr>
            </w:pPr>
            <w:r w:rsidRPr="00E62BDF">
              <w:rPr>
                <w:i/>
                <w:sz w:val="16"/>
              </w:rPr>
              <w:t>2006</w:t>
            </w:r>
          </w:p>
        </w:tc>
        <w:tc>
          <w:tcPr>
            <w:tcW w:w="1698" w:type="pct"/>
            <w:tcBorders>
              <w:top w:val="single" w:sz="4" w:space="0" w:color="auto"/>
              <w:bottom w:val="single" w:sz="12" w:space="0" w:color="auto"/>
            </w:tcBorders>
            <w:shd w:val="clear" w:color="auto" w:fill="auto"/>
            <w:vAlign w:val="bottom"/>
          </w:tcPr>
          <w:p w:rsidR="00036FAC" w:rsidRPr="00E62BDF" w:rsidRDefault="00036FAC" w:rsidP="00E62BDF">
            <w:pPr>
              <w:suppressAutoHyphens w:val="0"/>
              <w:spacing w:before="80" w:after="80" w:line="200" w:lineRule="exact"/>
              <w:ind w:right="113"/>
              <w:jc w:val="right"/>
              <w:rPr>
                <w:i/>
                <w:sz w:val="16"/>
              </w:rPr>
            </w:pPr>
            <w:r w:rsidRPr="00E62BDF">
              <w:rPr>
                <w:i/>
                <w:sz w:val="16"/>
              </w:rPr>
              <w:t>Improvement</w:t>
            </w:r>
          </w:p>
        </w:tc>
      </w:tr>
      <w:tr w:rsidR="00E62BDF" w:rsidRPr="00E62BDF" w:rsidTr="00BC778F">
        <w:tblPrEx>
          <w:tblCellMar>
            <w:top w:w="0" w:type="dxa"/>
            <w:bottom w:w="0" w:type="dxa"/>
          </w:tblCellMar>
        </w:tblPrEx>
        <w:trPr>
          <w:trHeight w:val="240"/>
        </w:trPr>
        <w:tc>
          <w:tcPr>
            <w:tcW w:w="1402" w:type="pct"/>
            <w:tcBorders>
              <w:top w:val="single" w:sz="12" w:space="0" w:color="auto"/>
            </w:tcBorders>
            <w:shd w:val="clear" w:color="auto" w:fill="auto"/>
          </w:tcPr>
          <w:p w:rsidR="00036FAC" w:rsidRPr="00E62BDF" w:rsidRDefault="00036FAC" w:rsidP="00E62BDF">
            <w:pPr>
              <w:suppressAutoHyphens w:val="0"/>
              <w:spacing w:before="40" w:after="40" w:line="220" w:lineRule="exact"/>
              <w:ind w:right="113"/>
              <w:rPr>
                <w:sz w:val="18"/>
              </w:rPr>
            </w:pPr>
            <w:r w:rsidRPr="00E62BDF">
              <w:rPr>
                <w:sz w:val="18"/>
              </w:rPr>
              <w:t>Males</w:t>
            </w:r>
            <w:r w:rsidR="00907D8C">
              <w:rPr>
                <w:sz w:val="18"/>
              </w:rPr>
              <w:t xml:space="preserve"> </w:t>
            </w:r>
            <w:r w:rsidRPr="00E62BDF">
              <w:rPr>
                <w:sz w:val="18"/>
              </w:rPr>
              <w:t>(all</w:t>
            </w:r>
            <w:r w:rsidR="00907D8C">
              <w:rPr>
                <w:sz w:val="18"/>
              </w:rPr>
              <w:t xml:space="preserve"> </w:t>
            </w:r>
            <w:r w:rsidRPr="00E62BDF">
              <w:rPr>
                <w:sz w:val="18"/>
              </w:rPr>
              <w:t>ethnicities)</w:t>
            </w:r>
          </w:p>
        </w:tc>
        <w:tc>
          <w:tcPr>
            <w:tcW w:w="950" w:type="pct"/>
            <w:tcBorders>
              <w:top w:val="single" w:sz="12" w:space="0" w:color="auto"/>
            </w:tcBorders>
            <w:shd w:val="clear" w:color="auto" w:fill="auto"/>
            <w:vAlign w:val="bottom"/>
          </w:tcPr>
          <w:p w:rsidR="00036FAC" w:rsidRPr="00E62BDF" w:rsidRDefault="00036FAC" w:rsidP="00E62BDF">
            <w:pPr>
              <w:suppressAutoHyphens w:val="0"/>
              <w:spacing w:before="40" w:after="40" w:line="220" w:lineRule="exact"/>
              <w:ind w:right="113"/>
              <w:jc w:val="right"/>
              <w:rPr>
                <w:sz w:val="18"/>
              </w:rPr>
            </w:pPr>
            <w:r w:rsidRPr="00E62BDF">
              <w:rPr>
                <w:sz w:val="18"/>
              </w:rPr>
              <w:t>74.4</w:t>
            </w:r>
            <w:r w:rsidR="00907D8C">
              <w:rPr>
                <w:sz w:val="18"/>
              </w:rPr>
              <w:t xml:space="preserve"> </w:t>
            </w:r>
            <w:r w:rsidRPr="00E62BDF">
              <w:rPr>
                <w:sz w:val="18"/>
              </w:rPr>
              <w:t>years</w:t>
            </w:r>
          </w:p>
        </w:tc>
        <w:tc>
          <w:tcPr>
            <w:tcW w:w="950" w:type="pct"/>
            <w:tcBorders>
              <w:top w:val="single" w:sz="12" w:space="0" w:color="auto"/>
            </w:tcBorders>
            <w:shd w:val="clear" w:color="auto" w:fill="auto"/>
            <w:vAlign w:val="bottom"/>
          </w:tcPr>
          <w:p w:rsidR="00036FAC" w:rsidRPr="00E62BDF" w:rsidRDefault="00036FAC" w:rsidP="00E62BDF">
            <w:pPr>
              <w:suppressAutoHyphens w:val="0"/>
              <w:spacing w:before="40" w:after="40" w:line="220" w:lineRule="exact"/>
              <w:ind w:right="113"/>
              <w:jc w:val="right"/>
              <w:rPr>
                <w:sz w:val="18"/>
              </w:rPr>
            </w:pPr>
            <w:r w:rsidRPr="00E62BDF">
              <w:rPr>
                <w:sz w:val="18"/>
              </w:rPr>
              <w:t>78.0</w:t>
            </w:r>
            <w:r w:rsidR="00907D8C">
              <w:rPr>
                <w:sz w:val="18"/>
              </w:rPr>
              <w:t xml:space="preserve"> </w:t>
            </w:r>
            <w:r w:rsidRPr="00E62BDF">
              <w:rPr>
                <w:sz w:val="18"/>
              </w:rPr>
              <w:t>years</w:t>
            </w:r>
          </w:p>
        </w:tc>
        <w:tc>
          <w:tcPr>
            <w:tcW w:w="1698" w:type="pct"/>
            <w:tcBorders>
              <w:top w:val="single" w:sz="12" w:space="0" w:color="auto"/>
            </w:tcBorders>
            <w:shd w:val="clear" w:color="auto" w:fill="auto"/>
            <w:vAlign w:val="bottom"/>
          </w:tcPr>
          <w:p w:rsidR="00036FAC" w:rsidRPr="00E62BDF" w:rsidRDefault="00E62BDF" w:rsidP="00E62BDF">
            <w:pPr>
              <w:suppressAutoHyphens w:val="0"/>
              <w:spacing w:before="40" w:after="40" w:line="220" w:lineRule="exact"/>
              <w:ind w:right="113"/>
              <w:jc w:val="right"/>
              <w:rPr>
                <w:sz w:val="18"/>
              </w:rPr>
            </w:pPr>
            <w:r>
              <w:rPr>
                <w:sz w:val="18"/>
              </w:rPr>
              <w:t>A</w:t>
            </w:r>
            <w:r w:rsidR="00907D8C">
              <w:rPr>
                <w:sz w:val="18"/>
              </w:rPr>
              <w:t xml:space="preserve"> </w:t>
            </w:r>
            <w:r w:rsidR="00036FAC" w:rsidRPr="00E62BDF">
              <w:rPr>
                <w:sz w:val="18"/>
              </w:rPr>
              <w:t>gain</w:t>
            </w:r>
            <w:r w:rsidR="00907D8C">
              <w:rPr>
                <w:sz w:val="18"/>
              </w:rPr>
              <w:t xml:space="preserve"> </w:t>
            </w:r>
            <w:r w:rsidR="00036FAC" w:rsidRPr="00E62BDF">
              <w:rPr>
                <w:sz w:val="18"/>
              </w:rPr>
              <w:t>of</w:t>
            </w:r>
            <w:r w:rsidR="00907D8C">
              <w:rPr>
                <w:sz w:val="18"/>
              </w:rPr>
              <w:t xml:space="preserve"> </w:t>
            </w:r>
            <w:r w:rsidR="00036FAC" w:rsidRPr="00E62BDF">
              <w:rPr>
                <w:sz w:val="18"/>
              </w:rPr>
              <w:t>3.6</w:t>
            </w:r>
            <w:r w:rsidR="00907D8C">
              <w:rPr>
                <w:sz w:val="18"/>
              </w:rPr>
              <w:t xml:space="preserve"> </w:t>
            </w:r>
            <w:r w:rsidR="00036FAC" w:rsidRPr="00E62BDF">
              <w:rPr>
                <w:sz w:val="18"/>
              </w:rPr>
              <w:t>years</w:t>
            </w:r>
          </w:p>
        </w:tc>
      </w:tr>
      <w:tr w:rsidR="00036FAC" w:rsidRPr="00E62BDF" w:rsidTr="00BC778F">
        <w:tblPrEx>
          <w:tblCellMar>
            <w:top w:w="0" w:type="dxa"/>
            <w:bottom w:w="0" w:type="dxa"/>
          </w:tblCellMar>
        </w:tblPrEx>
        <w:trPr>
          <w:trHeight w:val="240"/>
        </w:trPr>
        <w:tc>
          <w:tcPr>
            <w:tcW w:w="1402" w:type="pct"/>
            <w:shd w:val="clear" w:color="auto" w:fill="auto"/>
          </w:tcPr>
          <w:p w:rsidR="00036FAC" w:rsidRPr="00E62BDF" w:rsidRDefault="00036FAC" w:rsidP="00E62BDF">
            <w:pPr>
              <w:suppressAutoHyphens w:val="0"/>
              <w:spacing w:before="40" w:after="40" w:line="220" w:lineRule="exact"/>
              <w:ind w:right="113"/>
              <w:rPr>
                <w:sz w:val="18"/>
              </w:rPr>
            </w:pPr>
            <w:r w:rsidRPr="00E62BDF">
              <w:rPr>
                <w:sz w:val="18"/>
              </w:rPr>
              <w:t>Females</w:t>
            </w:r>
            <w:r w:rsidR="00907D8C">
              <w:rPr>
                <w:sz w:val="18"/>
              </w:rPr>
              <w:t xml:space="preserve"> </w:t>
            </w:r>
            <w:r w:rsidRPr="00E62BDF">
              <w:rPr>
                <w:sz w:val="18"/>
              </w:rPr>
              <w:t>(all</w:t>
            </w:r>
            <w:r w:rsidR="00907D8C">
              <w:rPr>
                <w:sz w:val="18"/>
              </w:rPr>
              <w:t xml:space="preserve"> </w:t>
            </w:r>
            <w:r w:rsidRPr="00E62BDF">
              <w:rPr>
                <w:sz w:val="18"/>
              </w:rPr>
              <w:t>ethnicities)</w:t>
            </w:r>
          </w:p>
        </w:tc>
        <w:tc>
          <w:tcPr>
            <w:tcW w:w="950" w:type="pct"/>
            <w:shd w:val="clear" w:color="auto" w:fill="auto"/>
            <w:vAlign w:val="bottom"/>
          </w:tcPr>
          <w:p w:rsidR="00036FAC" w:rsidRPr="00E62BDF" w:rsidRDefault="00036FAC" w:rsidP="00E62BDF">
            <w:pPr>
              <w:suppressAutoHyphens w:val="0"/>
              <w:spacing w:before="40" w:after="40" w:line="220" w:lineRule="exact"/>
              <w:ind w:right="113"/>
              <w:jc w:val="right"/>
              <w:rPr>
                <w:sz w:val="18"/>
              </w:rPr>
            </w:pPr>
            <w:r w:rsidRPr="00E62BDF">
              <w:rPr>
                <w:sz w:val="18"/>
              </w:rPr>
              <w:t>79.7</w:t>
            </w:r>
            <w:r w:rsidR="00907D8C">
              <w:rPr>
                <w:sz w:val="18"/>
              </w:rPr>
              <w:t xml:space="preserve"> </w:t>
            </w:r>
            <w:r w:rsidRPr="00E62BDF">
              <w:rPr>
                <w:sz w:val="18"/>
              </w:rPr>
              <w:t>years</w:t>
            </w:r>
          </w:p>
        </w:tc>
        <w:tc>
          <w:tcPr>
            <w:tcW w:w="950" w:type="pct"/>
            <w:shd w:val="clear" w:color="auto" w:fill="auto"/>
            <w:vAlign w:val="bottom"/>
          </w:tcPr>
          <w:p w:rsidR="00036FAC" w:rsidRPr="00E62BDF" w:rsidRDefault="00036FAC" w:rsidP="00E62BDF">
            <w:pPr>
              <w:suppressAutoHyphens w:val="0"/>
              <w:spacing w:before="40" w:after="40" w:line="220" w:lineRule="exact"/>
              <w:ind w:right="113"/>
              <w:jc w:val="right"/>
              <w:rPr>
                <w:sz w:val="18"/>
              </w:rPr>
            </w:pPr>
            <w:r w:rsidRPr="00E62BDF">
              <w:rPr>
                <w:sz w:val="18"/>
              </w:rPr>
              <w:t>82.2</w:t>
            </w:r>
            <w:r w:rsidR="00907D8C">
              <w:rPr>
                <w:sz w:val="18"/>
              </w:rPr>
              <w:t xml:space="preserve"> </w:t>
            </w:r>
            <w:r w:rsidRPr="00E62BDF">
              <w:rPr>
                <w:sz w:val="18"/>
              </w:rPr>
              <w:t>years</w:t>
            </w:r>
          </w:p>
        </w:tc>
        <w:tc>
          <w:tcPr>
            <w:tcW w:w="1698" w:type="pct"/>
            <w:shd w:val="clear" w:color="auto" w:fill="auto"/>
            <w:vAlign w:val="bottom"/>
          </w:tcPr>
          <w:p w:rsidR="00036FAC" w:rsidRPr="00E62BDF" w:rsidRDefault="00E62BDF" w:rsidP="00E62BDF">
            <w:pPr>
              <w:suppressAutoHyphens w:val="0"/>
              <w:spacing w:before="40" w:after="40" w:line="220" w:lineRule="exact"/>
              <w:ind w:right="113"/>
              <w:jc w:val="right"/>
              <w:rPr>
                <w:sz w:val="18"/>
              </w:rPr>
            </w:pPr>
            <w:r>
              <w:rPr>
                <w:sz w:val="18"/>
              </w:rPr>
              <w:t>A</w:t>
            </w:r>
            <w:r w:rsidR="00907D8C">
              <w:rPr>
                <w:sz w:val="18"/>
              </w:rPr>
              <w:t xml:space="preserve"> </w:t>
            </w:r>
            <w:r w:rsidR="00036FAC" w:rsidRPr="00E62BDF">
              <w:rPr>
                <w:sz w:val="18"/>
              </w:rPr>
              <w:t>smaller</w:t>
            </w:r>
            <w:r w:rsidR="00907D8C">
              <w:rPr>
                <w:sz w:val="18"/>
              </w:rPr>
              <w:t xml:space="preserve"> </w:t>
            </w:r>
            <w:r w:rsidR="00036FAC" w:rsidRPr="00E62BDF">
              <w:rPr>
                <w:sz w:val="18"/>
              </w:rPr>
              <w:t>gain</w:t>
            </w:r>
            <w:r w:rsidR="00907D8C">
              <w:rPr>
                <w:sz w:val="18"/>
              </w:rPr>
              <w:t xml:space="preserve"> </w:t>
            </w:r>
            <w:r w:rsidR="00036FAC" w:rsidRPr="00E62BDF">
              <w:rPr>
                <w:sz w:val="18"/>
              </w:rPr>
              <w:t>of</w:t>
            </w:r>
            <w:r w:rsidR="00907D8C">
              <w:rPr>
                <w:sz w:val="18"/>
              </w:rPr>
              <w:t xml:space="preserve"> </w:t>
            </w:r>
            <w:r w:rsidR="00036FAC" w:rsidRPr="00E62BDF">
              <w:rPr>
                <w:sz w:val="18"/>
              </w:rPr>
              <w:t>2.5</w:t>
            </w:r>
            <w:r w:rsidR="00907D8C">
              <w:rPr>
                <w:sz w:val="18"/>
              </w:rPr>
              <w:t xml:space="preserve"> </w:t>
            </w:r>
            <w:r w:rsidR="00036FAC" w:rsidRPr="00E62BDF">
              <w:rPr>
                <w:sz w:val="18"/>
              </w:rPr>
              <w:t>years</w:t>
            </w:r>
          </w:p>
        </w:tc>
      </w:tr>
      <w:tr w:rsidR="00036FAC" w:rsidRPr="00E62BDF" w:rsidTr="00BC778F">
        <w:tblPrEx>
          <w:tblCellMar>
            <w:top w:w="0" w:type="dxa"/>
            <w:bottom w:w="0" w:type="dxa"/>
          </w:tblCellMar>
        </w:tblPrEx>
        <w:trPr>
          <w:trHeight w:val="240"/>
        </w:trPr>
        <w:tc>
          <w:tcPr>
            <w:tcW w:w="1402" w:type="pct"/>
            <w:shd w:val="clear" w:color="auto" w:fill="auto"/>
          </w:tcPr>
          <w:p w:rsidR="00036FAC" w:rsidRPr="00E62BDF" w:rsidRDefault="00036FAC" w:rsidP="00A6400B">
            <w:pPr>
              <w:keepNext/>
              <w:suppressAutoHyphens w:val="0"/>
              <w:spacing w:before="40" w:after="40" w:line="220" w:lineRule="exact"/>
              <w:ind w:right="113"/>
              <w:rPr>
                <w:sz w:val="18"/>
              </w:rPr>
            </w:pPr>
            <w:r w:rsidRPr="00E62BDF">
              <w:rPr>
                <w:sz w:val="18"/>
              </w:rPr>
              <w:t>Māori</w:t>
            </w:r>
            <w:r w:rsidR="00907D8C">
              <w:rPr>
                <w:sz w:val="18"/>
              </w:rPr>
              <w:t xml:space="preserve"> </w:t>
            </w:r>
            <w:r w:rsidR="005F59A5">
              <w:rPr>
                <w:sz w:val="18"/>
              </w:rPr>
              <w:t>m</w:t>
            </w:r>
            <w:r w:rsidRPr="00E62BDF">
              <w:rPr>
                <w:sz w:val="18"/>
              </w:rPr>
              <w:t>ales</w:t>
            </w:r>
          </w:p>
        </w:tc>
        <w:tc>
          <w:tcPr>
            <w:tcW w:w="950" w:type="pct"/>
            <w:shd w:val="clear" w:color="auto" w:fill="auto"/>
            <w:vAlign w:val="bottom"/>
          </w:tcPr>
          <w:p w:rsidR="00036FAC" w:rsidRPr="00E62BDF" w:rsidRDefault="00036FAC" w:rsidP="00A6400B">
            <w:pPr>
              <w:keepNext/>
              <w:suppressAutoHyphens w:val="0"/>
              <w:spacing w:before="40" w:after="40" w:line="220" w:lineRule="exact"/>
              <w:ind w:right="113"/>
              <w:jc w:val="right"/>
              <w:rPr>
                <w:sz w:val="18"/>
              </w:rPr>
            </w:pPr>
            <w:r w:rsidRPr="00E62BDF">
              <w:rPr>
                <w:sz w:val="18"/>
              </w:rPr>
              <w:t>65.6</w:t>
            </w:r>
            <w:r w:rsidR="00907D8C">
              <w:rPr>
                <w:sz w:val="18"/>
              </w:rPr>
              <w:t xml:space="preserve"> </w:t>
            </w:r>
            <w:r w:rsidRPr="00E62BDF">
              <w:rPr>
                <w:sz w:val="18"/>
              </w:rPr>
              <w:t>years</w:t>
            </w:r>
          </w:p>
        </w:tc>
        <w:tc>
          <w:tcPr>
            <w:tcW w:w="950" w:type="pct"/>
            <w:shd w:val="clear" w:color="auto" w:fill="auto"/>
            <w:vAlign w:val="bottom"/>
          </w:tcPr>
          <w:p w:rsidR="00036FAC" w:rsidRPr="00E62BDF" w:rsidRDefault="00036FAC" w:rsidP="00A6400B">
            <w:pPr>
              <w:keepNext/>
              <w:suppressAutoHyphens w:val="0"/>
              <w:spacing w:before="40" w:after="40" w:line="220" w:lineRule="exact"/>
              <w:ind w:right="113"/>
              <w:jc w:val="right"/>
              <w:rPr>
                <w:sz w:val="18"/>
              </w:rPr>
            </w:pPr>
            <w:r w:rsidRPr="00E62BDF">
              <w:rPr>
                <w:sz w:val="18"/>
              </w:rPr>
              <w:t>70.4</w:t>
            </w:r>
            <w:r w:rsidR="00907D8C">
              <w:rPr>
                <w:sz w:val="18"/>
              </w:rPr>
              <w:t xml:space="preserve"> </w:t>
            </w:r>
            <w:r w:rsidRPr="00E62BDF">
              <w:rPr>
                <w:sz w:val="18"/>
              </w:rPr>
              <w:t>years</w:t>
            </w:r>
          </w:p>
        </w:tc>
        <w:tc>
          <w:tcPr>
            <w:tcW w:w="1698" w:type="pct"/>
            <w:shd w:val="clear" w:color="auto" w:fill="auto"/>
            <w:vAlign w:val="bottom"/>
          </w:tcPr>
          <w:p w:rsidR="00036FAC" w:rsidRPr="00E62BDF" w:rsidRDefault="00E62BDF" w:rsidP="00A6400B">
            <w:pPr>
              <w:keepNext/>
              <w:suppressAutoHyphens w:val="0"/>
              <w:spacing w:before="40" w:after="40" w:line="220" w:lineRule="exact"/>
              <w:ind w:right="113"/>
              <w:jc w:val="right"/>
              <w:rPr>
                <w:sz w:val="18"/>
              </w:rPr>
            </w:pPr>
            <w:r>
              <w:rPr>
                <w:sz w:val="18"/>
              </w:rPr>
              <w:t>A</w:t>
            </w:r>
            <w:r w:rsidR="00907D8C">
              <w:rPr>
                <w:sz w:val="18"/>
              </w:rPr>
              <w:t xml:space="preserve"> </w:t>
            </w:r>
            <w:r w:rsidR="00036FAC" w:rsidRPr="00E62BDF">
              <w:rPr>
                <w:sz w:val="18"/>
              </w:rPr>
              <w:t>gain</w:t>
            </w:r>
            <w:r w:rsidR="00907D8C">
              <w:rPr>
                <w:sz w:val="18"/>
              </w:rPr>
              <w:t xml:space="preserve"> </w:t>
            </w:r>
            <w:r w:rsidR="00036FAC" w:rsidRPr="00E62BDF">
              <w:rPr>
                <w:sz w:val="18"/>
              </w:rPr>
              <w:t>of</w:t>
            </w:r>
            <w:r w:rsidR="00907D8C">
              <w:rPr>
                <w:sz w:val="18"/>
              </w:rPr>
              <w:t xml:space="preserve"> </w:t>
            </w:r>
            <w:r w:rsidR="00036FAC" w:rsidRPr="00E62BDF">
              <w:rPr>
                <w:sz w:val="18"/>
              </w:rPr>
              <w:t>4.8</w:t>
            </w:r>
            <w:r w:rsidR="00907D8C">
              <w:rPr>
                <w:sz w:val="18"/>
              </w:rPr>
              <w:t xml:space="preserve"> </w:t>
            </w:r>
            <w:r w:rsidR="00036FAC" w:rsidRPr="00E62BDF">
              <w:rPr>
                <w:sz w:val="18"/>
              </w:rPr>
              <w:t>years</w:t>
            </w:r>
          </w:p>
        </w:tc>
      </w:tr>
      <w:tr w:rsidR="00E62BDF" w:rsidRPr="00E62BDF" w:rsidTr="00BC778F">
        <w:tblPrEx>
          <w:tblCellMar>
            <w:top w:w="0" w:type="dxa"/>
            <w:bottom w:w="0" w:type="dxa"/>
          </w:tblCellMar>
        </w:tblPrEx>
        <w:trPr>
          <w:trHeight w:val="240"/>
        </w:trPr>
        <w:tc>
          <w:tcPr>
            <w:tcW w:w="1402" w:type="pct"/>
            <w:shd w:val="clear" w:color="auto" w:fill="auto"/>
          </w:tcPr>
          <w:p w:rsidR="00036FAC" w:rsidRPr="00E62BDF" w:rsidRDefault="00036FAC" w:rsidP="00E62BDF">
            <w:pPr>
              <w:suppressAutoHyphens w:val="0"/>
              <w:spacing w:before="40" w:after="40" w:line="220" w:lineRule="exact"/>
              <w:ind w:right="113"/>
              <w:rPr>
                <w:sz w:val="18"/>
              </w:rPr>
            </w:pPr>
            <w:r w:rsidRPr="00E62BDF">
              <w:rPr>
                <w:sz w:val="18"/>
              </w:rPr>
              <w:t>Māori</w:t>
            </w:r>
            <w:r w:rsidR="00907D8C">
              <w:rPr>
                <w:sz w:val="18"/>
              </w:rPr>
              <w:t xml:space="preserve"> </w:t>
            </w:r>
            <w:r w:rsidR="005F59A5">
              <w:rPr>
                <w:sz w:val="18"/>
              </w:rPr>
              <w:t>f</w:t>
            </w:r>
            <w:r w:rsidRPr="00E62BDF">
              <w:rPr>
                <w:sz w:val="18"/>
              </w:rPr>
              <w:t>emales</w:t>
            </w:r>
          </w:p>
        </w:tc>
        <w:tc>
          <w:tcPr>
            <w:tcW w:w="950" w:type="pct"/>
            <w:shd w:val="clear" w:color="auto" w:fill="auto"/>
            <w:vAlign w:val="bottom"/>
          </w:tcPr>
          <w:p w:rsidR="00036FAC" w:rsidRPr="00E62BDF" w:rsidRDefault="00036FAC" w:rsidP="00E62BDF">
            <w:pPr>
              <w:suppressAutoHyphens w:val="0"/>
              <w:spacing w:before="40" w:after="40" w:line="220" w:lineRule="exact"/>
              <w:ind w:right="113"/>
              <w:jc w:val="right"/>
              <w:rPr>
                <w:sz w:val="18"/>
              </w:rPr>
            </w:pPr>
            <w:r w:rsidRPr="00E62BDF">
              <w:rPr>
                <w:sz w:val="18"/>
              </w:rPr>
              <w:t>70.8</w:t>
            </w:r>
            <w:r w:rsidR="00907D8C">
              <w:rPr>
                <w:sz w:val="18"/>
              </w:rPr>
              <w:t xml:space="preserve"> </w:t>
            </w:r>
            <w:r w:rsidRPr="00E62BDF">
              <w:rPr>
                <w:sz w:val="18"/>
              </w:rPr>
              <w:t>years</w:t>
            </w:r>
          </w:p>
        </w:tc>
        <w:tc>
          <w:tcPr>
            <w:tcW w:w="950" w:type="pct"/>
            <w:shd w:val="clear" w:color="auto" w:fill="auto"/>
            <w:vAlign w:val="bottom"/>
          </w:tcPr>
          <w:p w:rsidR="00036FAC" w:rsidRPr="00E62BDF" w:rsidRDefault="005F59A5" w:rsidP="00E62BDF">
            <w:pPr>
              <w:suppressAutoHyphens w:val="0"/>
              <w:spacing w:before="40" w:after="40" w:line="220" w:lineRule="exact"/>
              <w:ind w:right="113"/>
              <w:jc w:val="right"/>
              <w:rPr>
                <w:sz w:val="18"/>
              </w:rPr>
            </w:pPr>
            <w:r>
              <w:rPr>
                <w:sz w:val="18"/>
              </w:rPr>
              <w:t>75.1</w:t>
            </w:r>
            <w:r w:rsidR="00907D8C">
              <w:rPr>
                <w:sz w:val="18"/>
              </w:rPr>
              <w:t xml:space="preserve"> </w:t>
            </w:r>
            <w:r>
              <w:rPr>
                <w:sz w:val="18"/>
              </w:rPr>
              <w:t>years</w:t>
            </w:r>
          </w:p>
        </w:tc>
        <w:tc>
          <w:tcPr>
            <w:tcW w:w="1698" w:type="pct"/>
            <w:shd w:val="clear" w:color="auto" w:fill="auto"/>
            <w:vAlign w:val="bottom"/>
          </w:tcPr>
          <w:p w:rsidR="00036FAC" w:rsidRPr="00E62BDF" w:rsidRDefault="00E62BDF" w:rsidP="00E62BDF">
            <w:pPr>
              <w:suppressAutoHyphens w:val="0"/>
              <w:spacing w:before="40" w:after="40" w:line="220" w:lineRule="exact"/>
              <w:ind w:right="113"/>
              <w:jc w:val="right"/>
              <w:rPr>
                <w:sz w:val="18"/>
              </w:rPr>
            </w:pPr>
            <w:r>
              <w:rPr>
                <w:sz w:val="18"/>
              </w:rPr>
              <w:t>A</w:t>
            </w:r>
            <w:r w:rsidR="00907D8C">
              <w:rPr>
                <w:sz w:val="18"/>
              </w:rPr>
              <w:t xml:space="preserve"> </w:t>
            </w:r>
            <w:r w:rsidR="00036FAC" w:rsidRPr="00E62BDF">
              <w:rPr>
                <w:sz w:val="18"/>
              </w:rPr>
              <w:t>gain</w:t>
            </w:r>
            <w:r w:rsidR="00907D8C">
              <w:rPr>
                <w:sz w:val="18"/>
              </w:rPr>
              <w:t xml:space="preserve"> </w:t>
            </w:r>
            <w:r w:rsidR="00036FAC" w:rsidRPr="00E62BDF">
              <w:rPr>
                <w:sz w:val="18"/>
              </w:rPr>
              <w:t>of</w:t>
            </w:r>
            <w:r w:rsidR="00907D8C">
              <w:rPr>
                <w:sz w:val="18"/>
              </w:rPr>
              <w:t xml:space="preserve"> </w:t>
            </w:r>
            <w:r w:rsidR="00036FAC" w:rsidRPr="00E62BDF">
              <w:rPr>
                <w:sz w:val="18"/>
              </w:rPr>
              <w:t>4.3</w:t>
            </w:r>
            <w:r w:rsidR="00907D8C">
              <w:rPr>
                <w:sz w:val="18"/>
              </w:rPr>
              <w:t xml:space="preserve"> </w:t>
            </w:r>
            <w:r w:rsidR="00036FAC" w:rsidRPr="00E62BDF">
              <w:rPr>
                <w:sz w:val="18"/>
              </w:rPr>
              <w:t>years</w:t>
            </w:r>
          </w:p>
        </w:tc>
      </w:tr>
    </w:tbl>
    <w:p w:rsidR="00BC778F" w:rsidRPr="00BC778F" w:rsidRDefault="00BC778F" w:rsidP="00B50FB5">
      <w:pPr>
        <w:spacing w:before="120" w:after="24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Health.</w:t>
      </w:r>
    </w:p>
    <w:p w:rsidR="00036FAC" w:rsidRPr="00036FAC" w:rsidRDefault="00036FAC" w:rsidP="005F59A5">
      <w:pPr>
        <w:pStyle w:val="SingleTxtG"/>
      </w:pPr>
      <w:r w:rsidRPr="00036FAC">
        <w:t>74.</w:t>
      </w:r>
      <w:r w:rsidRPr="00036FAC">
        <w:tab/>
        <w:t>Statistics</w:t>
      </w:r>
      <w:r w:rsidR="00907D8C">
        <w:t xml:space="preserve"> </w:t>
      </w:r>
      <w:r w:rsidRPr="00036FAC">
        <w:t>New</w:t>
      </w:r>
      <w:r w:rsidR="00907D8C">
        <w:t xml:space="preserve"> </w:t>
      </w:r>
      <w:r w:rsidRPr="00036FAC">
        <w:t>Zealand</w:t>
      </w:r>
      <w:r w:rsidR="00907D8C">
        <w:t xml:space="preserve"> </w:t>
      </w:r>
      <w:r w:rsidRPr="00036FAC">
        <w:t>does</w:t>
      </w:r>
      <w:r w:rsidR="00907D8C">
        <w:t xml:space="preserve"> </w:t>
      </w:r>
      <w:r w:rsidRPr="00036FAC">
        <w:t>not</w:t>
      </w:r>
      <w:r w:rsidR="00907D8C">
        <w:t xml:space="preserve"> </w:t>
      </w:r>
      <w:r w:rsidRPr="00036FAC">
        <w:t>produce</w:t>
      </w:r>
      <w:r w:rsidR="00907D8C">
        <w:t xml:space="preserve"> </w:t>
      </w:r>
      <w:r w:rsidRPr="00036FAC">
        <w:t>official</w:t>
      </w:r>
      <w:r w:rsidR="00907D8C">
        <w:t xml:space="preserve"> </w:t>
      </w:r>
      <w:r w:rsidRPr="00036FAC">
        <w:t>statistics</w:t>
      </w:r>
      <w:r w:rsidR="00907D8C">
        <w:t xml:space="preserve"> </w:t>
      </w:r>
      <w:r w:rsidRPr="00036FAC">
        <w:t>for</w:t>
      </w:r>
      <w:r w:rsidR="00907D8C">
        <w:t xml:space="preserve"> </w:t>
      </w:r>
      <w:r w:rsidRPr="00036FAC">
        <w:t>Pacific</w:t>
      </w:r>
      <w:r w:rsidR="00907D8C">
        <w:t xml:space="preserve"> </w:t>
      </w:r>
      <w:r w:rsidRPr="00036FAC">
        <w:t>and</w:t>
      </w:r>
      <w:r w:rsidR="00907D8C">
        <w:t xml:space="preserve"> </w:t>
      </w:r>
      <w:r w:rsidRPr="00036FAC">
        <w:t>Asian</w:t>
      </w:r>
      <w:r w:rsidR="00907D8C">
        <w:t xml:space="preserve"> </w:t>
      </w:r>
      <w:r w:rsidRPr="00036FAC">
        <w:t>peoples</w:t>
      </w:r>
      <w:r w:rsidR="00907D8C">
        <w:t xml:space="preserve"> </w:t>
      </w:r>
      <w:r w:rsidRPr="00036FAC">
        <w:t>because</w:t>
      </w:r>
      <w:r w:rsidR="00907D8C">
        <w:t xml:space="preserve"> </w:t>
      </w:r>
      <w:r w:rsidRPr="00036FAC">
        <w:t>of</w:t>
      </w:r>
      <w:r w:rsidR="00907D8C">
        <w:t xml:space="preserve"> </w:t>
      </w:r>
      <w:r w:rsidRPr="00036FAC">
        <w:t>the</w:t>
      </w:r>
      <w:r w:rsidR="00907D8C">
        <w:t xml:space="preserve"> </w:t>
      </w:r>
      <w:r w:rsidRPr="00036FAC">
        <w:t>small</w:t>
      </w:r>
      <w:r w:rsidR="00907D8C">
        <w:t xml:space="preserve"> </w:t>
      </w:r>
      <w:r w:rsidRPr="00036FAC">
        <w:t>size</w:t>
      </w:r>
      <w:r w:rsidR="00907D8C">
        <w:t xml:space="preserve"> </w:t>
      </w:r>
      <w:r w:rsidRPr="00036FAC">
        <w:t>of</w:t>
      </w:r>
      <w:r w:rsidR="00907D8C">
        <w:t xml:space="preserve"> </w:t>
      </w:r>
      <w:r w:rsidRPr="00036FAC">
        <w:t>these</w:t>
      </w:r>
      <w:r w:rsidR="00907D8C">
        <w:t xml:space="preserve"> </w:t>
      </w:r>
      <w:r w:rsidRPr="00036FAC">
        <w:t>populations.</w:t>
      </w:r>
      <w:r w:rsidR="00907D8C">
        <w:t xml:space="preserve"> </w:t>
      </w:r>
      <w:r w:rsidRPr="00036FAC">
        <w:t>The</w:t>
      </w:r>
      <w:r w:rsidR="00907D8C">
        <w:t xml:space="preserve"> </w:t>
      </w:r>
      <w:r w:rsidRPr="00036FAC">
        <w:t>crude</w:t>
      </w:r>
      <w:r w:rsidR="00907D8C">
        <w:t xml:space="preserve"> </w:t>
      </w:r>
      <w:r w:rsidRPr="00036FAC">
        <w:t>death</w:t>
      </w:r>
      <w:r w:rsidR="00907D8C">
        <w:t xml:space="preserve"> </w:t>
      </w:r>
      <w:r w:rsidRPr="00036FAC">
        <w:t>rate</w:t>
      </w:r>
      <w:r w:rsidR="00907D8C">
        <w:t xml:space="preserve"> </w:t>
      </w:r>
      <w:r w:rsidRPr="00036FAC">
        <w:t>for</w:t>
      </w:r>
      <w:r w:rsidR="00907D8C">
        <w:t xml:space="preserve"> </w:t>
      </w:r>
      <w:r w:rsidRPr="00036FAC">
        <w:t>New</w:t>
      </w:r>
      <w:r w:rsidR="00907D8C">
        <w:t xml:space="preserve"> </w:t>
      </w:r>
      <w:r w:rsidRPr="00036FAC">
        <w:t>Zealand</w:t>
      </w:r>
      <w:r w:rsidR="00907D8C">
        <w:t xml:space="preserve"> </w:t>
      </w:r>
      <w:r w:rsidRPr="00036FAC">
        <w:t>was</w:t>
      </w:r>
      <w:r w:rsidR="00907D8C">
        <w:t xml:space="preserve"> </w:t>
      </w:r>
      <w:r w:rsidRPr="00036FAC">
        <w:t>6.8</w:t>
      </w:r>
      <w:r w:rsidR="00907D8C">
        <w:t xml:space="preserve"> </w:t>
      </w:r>
      <w:r w:rsidRPr="00036FAC">
        <w:t>deaths</w:t>
      </w:r>
      <w:r w:rsidR="00907D8C">
        <w:t xml:space="preserve"> </w:t>
      </w:r>
      <w:r w:rsidRPr="00036FAC">
        <w:t>per</w:t>
      </w:r>
      <w:r w:rsidR="00907D8C">
        <w:t xml:space="preserve"> </w:t>
      </w:r>
      <w:r w:rsidRPr="00036FAC">
        <w:t>1,000</w:t>
      </w:r>
      <w:r w:rsidR="00907D8C">
        <w:t xml:space="preserve"> </w:t>
      </w:r>
      <w:r w:rsidRPr="00036FAC">
        <w:t>estimated</w:t>
      </w:r>
      <w:r w:rsidR="00907D8C">
        <w:t xml:space="preserve"> </w:t>
      </w:r>
      <w:r w:rsidRPr="00036FAC">
        <w:t>resident</w:t>
      </w:r>
      <w:r w:rsidR="00907D8C">
        <w:t xml:space="preserve"> </w:t>
      </w:r>
      <w:r w:rsidRPr="00036FAC">
        <w:t>population</w:t>
      </w:r>
      <w:r w:rsidR="00907D8C">
        <w:t xml:space="preserve"> </w:t>
      </w:r>
      <w:r w:rsidRPr="00036FAC">
        <w:t>in</w:t>
      </w:r>
      <w:r w:rsidR="00907D8C">
        <w:t xml:space="preserve"> </w:t>
      </w:r>
      <w:r w:rsidRPr="00036FAC">
        <w:t>the</w:t>
      </w:r>
      <w:r w:rsidR="00907D8C">
        <w:t xml:space="preserve"> </w:t>
      </w:r>
      <w:r w:rsidRPr="00036FAC">
        <w:t>December</w:t>
      </w:r>
      <w:r w:rsidR="00907D8C">
        <w:t xml:space="preserve"> </w:t>
      </w:r>
      <w:r w:rsidRPr="00036FAC">
        <w:t>2008</w:t>
      </w:r>
      <w:r w:rsidR="00907D8C">
        <w:t xml:space="preserve"> </w:t>
      </w:r>
      <w:r w:rsidRPr="00036FAC">
        <w:t>year,</w:t>
      </w:r>
      <w:r w:rsidR="00907D8C">
        <w:t xml:space="preserve"> </w:t>
      </w:r>
      <w:r w:rsidRPr="00036FAC">
        <w:t>down</w:t>
      </w:r>
      <w:r w:rsidR="00907D8C">
        <w:t xml:space="preserve"> </w:t>
      </w:r>
      <w:r w:rsidRPr="00036FAC">
        <w:t>from</w:t>
      </w:r>
      <w:r w:rsidR="00907D8C">
        <w:t xml:space="preserve"> </w:t>
      </w:r>
      <w:r w:rsidRPr="00036FAC">
        <w:t>8.3</w:t>
      </w:r>
      <w:r w:rsidR="00907D8C">
        <w:t xml:space="preserve"> </w:t>
      </w:r>
      <w:r w:rsidRPr="00036FAC">
        <w:t>per</w:t>
      </w:r>
      <w:r w:rsidR="00907D8C">
        <w:t xml:space="preserve"> </w:t>
      </w:r>
      <w:r w:rsidRPr="00036FAC">
        <w:t>1,000</w:t>
      </w:r>
      <w:r w:rsidR="00907D8C">
        <w:t xml:space="preserve"> </w:t>
      </w:r>
      <w:r w:rsidRPr="00036FAC">
        <w:t>in</w:t>
      </w:r>
      <w:r w:rsidR="00907D8C">
        <w:t xml:space="preserve"> </w:t>
      </w:r>
      <w:r w:rsidRPr="00036FAC">
        <w:t>1988.</w:t>
      </w:r>
      <w:r w:rsidR="00907D8C">
        <w:t xml:space="preserve"> </w:t>
      </w:r>
      <w:r w:rsidRPr="00036FAC">
        <w:t>The</w:t>
      </w:r>
      <w:r w:rsidR="00907D8C">
        <w:t xml:space="preserve"> </w:t>
      </w:r>
      <w:r w:rsidRPr="00036FAC">
        <w:t>age</w:t>
      </w:r>
      <w:r w:rsidR="00907D8C">
        <w:t xml:space="preserve"> </w:t>
      </w:r>
      <w:r w:rsidRPr="00036FAC">
        <w:t>distribution</w:t>
      </w:r>
      <w:r w:rsidR="00907D8C">
        <w:t xml:space="preserve"> </w:t>
      </w:r>
      <w:r w:rsidRPr="00036FAC">
        <w:t>of</w:t>
      </w:r>
      <w:r w:rsidR="00907D8C">
        <w:t xml:space="preserve"> </w:t>
      </w:r>
      <w:r w:rsidRPr="00036FAC">
        <w:t>people</w:t>
      </w:r>
      <w:r w:rsidR="00907D8C">
        <w:t xml:space="preserve"> </w:t>
      </w:r>
      <w:r w:rsidRPr="00036FAC">
        <w:t>dying</w:t>
      </w:r>
      <w:r w:rsidR="00907D8C">
        <w:t xml:space="preserve"> </w:t>
      </w:r>
      <w:r w:rsidRPr="00036FAC">
        <w:t>has</w:t>
      </w:r>
      <w:r w:rsidR="00907D8C">
        <w:t xml:space="preserve"> </w:t>
      </w:r>
      <w:r w:rsidRPr="00036FAC">
        <w:t>changed</w:t>
      </w:r>
      <w:r w:rsidR="00907D8C">
        <w:t xml:space="preserve"> </w:t>
      </w:r>
      <w:r w:rsidRPr="00036FAC">
        <w:t>significantly</w:t>
      </w:r>
      <w:r w:rsidR="00907D8C">
        <w:t xml:space="preserve"> </w:t>
      </w:r>
      <w:r w:rsidRPr="00036FAC">
        <w:t>over</w:t>
      </w:r>
      <w:r w:rsidR="00907D8C">
        <w:t xml:space="preserve"> </w:t>
      </w:r>
      <w:r w:rsidRPr="00036FAC">
        <w:t>recent</w:t>
      </w:r>
      <w:r w:rsidR="00907D8C">
        <w:t xml:space="preserve"> </w:t>
      </w:r>
      <w:r w:rsidRPr="00036FAC">
        <w:t>decades,</w:t>
      </w:r>
      <w:r w:rsidR="00907D8C">
        <w:t xml:space="preserve"> </w:t>
      </w:r>
      <w:r w:rsidRPr="00036FAC">
        <w:t>with</w:t>
      </w:r>
      <w:r w:rsidR="00907D8C">
        <w:t xml:space="preserve"> </w:t>
      </w:r>
      <w:r w:rsidRPr="00036FAC">
        <w:t>an</w:t>
      </w:r>
      <w:r w:rsidR="00907D8C">
        <w:t xml:space="preserve"> </w:t>
      </w:r>
      <w:r w:rsidRPr="00036FAC">
        <w:t>increased</w:t>
      </w:r>
      <w:r w:rsidR="00907D8C">
        <w:t xml:space="preserve"> </w:t>
      </w:r>
      <w:r w:rsidRPr="00036FAC">
        <w:t>proportion</w:t>
      </w:r>
      <w:r w:rsidR="00907D8C">
        <w:t xml:space="preserve"> </w:t>
      </w:r>
      <w:r w:rsidRPr="00036FAC">
        <w:t>of</w:t>
      </w:r>
      <w:r w:rsidR="00907D8C">
        <w:t xml:space="preserve"> </w:t>
      </w:r>
      <w:r w:rsidRPr="00036FAC">
        <w:t>deaths</w:t>
      </w:r>
      <w:r w:rsidR="00907D8C">
        <w:t xml:space="preserve"> </w:t>
      </w:r>
      <w:r w:rsidRPr="00036FAC">
        <w:t>occurring</w:t>
      </w:r>
      <w:r w:rsidR="00907D8C">
        <w:t xml:space="preserve"> </w:t>
      </w:r>
      <w:r w:rsidRPr="00036FAC">
        <w:t>in</w:t>
      </w:r>
      <w:r w:rsidR="00907D8C">
        <w:t xml:space="preserve"> </w:t>
      </w:r>
      <w:r w:rsidRPr="00036FAC">
        <w:t>older</w:t>
      </w:r>
      <w:r w:rsidR="00907D8C">
        <w:t xml:space="preserve"> </w:t>
      </w:r>
      <w:r w:rsidRPr="00036FAC">
        <w:t>age</w:t>
      </w:r>
      <w:r w:rsidR="00907D8C">
        <w:t xml:space="preserve"> </w:t>
      </w:r>
      <w:r w:rsidRPr="00036FAC">
        <w:t>groups.</w:t>
      </w:r>
      <w:r w:rsidR="00907D8C">
        <w:t xml:space="preserve"> </w:t>
      </w:r>
      <w:r w:rsidRPr="00036FAC">
        <w:t>This</w:t>
      </w:r>
      <w:r w:rsidR="00907D8C">
        <w:t xml:space="preserve"> </w:t>
      </w:r>
      <w:r w:rsidRPr="00036FAC">
        <w:t>can</w:t>
      </w:r>
      <w:r w:rsidR="00907D8C">
        <w:t xml:space="preserve"> </w:t>
      </w:r>
      <w:r w:rsidRPr="00036FAC">
        <w:t>be</w:t>
      </w:r>
      <w:r w:rsidR="00907D8C">
        <w:t xml:space="preserve"> </w:t>
      </w:r>
      <w:r w:rsidRPr="00036FAC">
        <w:t>attributed</w:t>
      </w:r>
      <w:r w:rsidR="00907D8C">
        <w:t xml:space="preserve"> </w:t>
      </w:r>
      <w:r w:rsidRPr="00036FAC">
        <w:t>to</w:t>
      </w:r>
      <w:r w:rsidR="00907D8C">
        <w:t xml:space="preserve"> </w:t>
      </w:r>
      <w:r w:rsidRPr="00036FAC">
        <w:t>an</w:t>
      </w:r>
      <w:r w:rsidR="00907D8C">
        <w:t xml:space="preserve"> </w:t>
      </w:r>
      <w:r w:rsidRPr="00036FAC">
        <w:t>ageing</w:t>
      </w:r>
      <w:r w:rsidR="00907D8C">
        <w:t xml:space="preserve"> </w:t>
      </w:r>
      <w:r w:rsidRPr="00036FAC">
        <w:t>population,</w:t>
      </w:r>
      <w:r w:rsidR="00907D8C">
        <w:t xml:space="preserve"> </w:t>
      </w:r>
      <w:r w:rsidRPr="00036FAC">
        <w:t>increased</w:t>
      </w:r>
      <w:r w:rsidR="00907D8C">
        <w:t xml:space="preserve"> </w:t>
      </w:r>
      <w:r w:rsidRPr="00036FAC">
        <w:t>life</w:t>
      </w:r>
      <w:r w:rsidR="00907D8C">
        <w:t xml:space="preserve"> </w:t>
      </w:r>
      <w:r w:rsidRPr="00036FAC">
        <w:t>expectancy,</w:t>
      </w:r>
      <w:r w:rsidR="00907D8C">
        <w:t xml:space="preserve"> </w:t>
      </w:r>
      <w:r w:rsidRPr="00036FAC">
        <w:t>and</w:t>
      </w:r>
      <w:r w:rsidR="00907D8C">
        <w:t xml:space="preserve"> </w:t>
      </w:r>
      <w:r w:rsidRPr="00036FAC">
        <w:t>the</w:t>
      </w:r>
      <w:r w:rsidR="00907D8C">
        <w:t xml:space="preserve"> </w:t>
      </w:r>
      <w:r w:rsidRPr="00036FAC">
        <w:t>dramat</w:t>
      </w:r>
      <w:r w:rsidR="005F59A5">
        <w:t>ic</w:t>
      </w:r>
      <w:r w:rsidR="00907D8C">
        <w:t xml:space="preserve"> </w:t>
      </w:r>
      <w:r w:rsidR="005F59A5">
        <w:t>decline</w:t>
      </w:r>
      <w:r w:rsidR="00907D8C">
        <w:t xml:space="preserve"> </w:t>
      </w:r>
      <w:r w:rsidR="005F59A5">
        <w:t>in</w:t>
      </w:r>
      <w:r w:rsidR="00907D8C">
        <w:t xml:space="preserve"> </w:t>
      </w:r>
      <w:r w:rsidR="005F59A5">
        <w:t>infant</w:t>
      </w:r>
      <w:r w:rsidR="00907D8C">
        <w:t xml:space="preserve"> </w:t>
      </w:r>
      <w:r w:rsidR="005F59A5">
        <w:t>mortality.</w:t>
      </w:r>
    </w:p>
    <w:p w:rsidR="00036FAC" w:rsidRPr="00036FAC" w:rsidRDefault="00036FAC" w:rsidP="005F59A5">
      <w:pPr>
        <w:pStyle w:val="SingleTxtG"/>
      </w:pPr>
      <w:r w:rsidRPr="00036FAC">
        <w:t>75.</w:t>
      </w:r>
      <w:r w:rsidRPr="00036FAC">
        <w:tab/>
        <w:t>Communicable</w:t>
      </w:r>
      <w:r w:rsidR="00907D8C">
        <w:t xml:space="preserve"> </w:t>
      </w:r>
      <w:r w:rsidRPr="00036FAC">
        <w:t>diseases</w:t>
      </w:r>
      <w:r w:rsidR="00907D8C">
        <w:t xml:space="preserve"> </w:t>
      </w:r>
      <w:r w:rsidRPr="00036FAC">
        <w:t>associated</w:t>
      </w:r>
      <w:r w:rsidR="00907D8C">
        <w:t xml:space="preserve"> </w:t>
      </w:r>
      <w:r w:rsidRPr="00036FAC">
        <w:t>with</w:t>
      </w:r>
      <w:r w:rsidR="00907D8C">
        <w:t xml:space="preserve"> </w:t>
      </w:r>
      <w:r w:rsidRPr="00036FAC">
        <w:t>extreme</w:t>
      </w:r>
      <w:r w:rsidR="00907D8C">
        <w:t xml:space="preserve"> </w:t>
      </w:r>
      <w:r w:rsidRPr="00036FAC">
        <w:t>poverty,</w:t>
      </w:r>
      <w:r w:rsidR="00907D8C">
        <w:t xml:space="preserve"> </w:t>
      </w:r>
      <w:r w:rsidRPr="00036FAC">
        <w:t>such</w:t>
      </w:r>
      <w:r w:rsidR="00907D8C">
        <w:t xml:space="preserve"> </w:t>
      </w:r>
      <w:r w:rsidRPr="00036FAC">
        <w:t>as</w:t>
      </w:r>
      <w:r w:rsidR="00907D8C">
        <w:t xml:space="preserve"> </w:t>
      </w:r>
      <w:r w:rsidRPr="00036FAC">
        <w:t>typhoid,</w:t>
      </w:r>
      <w:r w:rsidR="00907D8C">
        <w:t xml:space="preserve"> </w:t>
      </w:r>
      <w:r w:rsidRPr="00036FAC">
        <w:t>cholera,</w:t>
      </w:r>
      <w:r w:rsidR="00907D8C">
        <w:t xml:space="preserve"> </w:t>
      </w:r>
      <w:r w:rsidRPr="00036FAC">
        <w:t>and</w:t>
      </w:r>
      <w:r w:rsidR="00907D8C">
        <w:t xml:space="preserve"> </w:t>
      </w:r>
      <w:r w:rsidRPr="00036FAC">
        <w:t>leprosy,</w:t>
      </w:r>
      <w:r w:rsidR="00907D8C">
        <w:t xml:space="preserve"> </w:t>
      </w:r>
      <w:r w:rsidRPr="00036FAC">
        <w:t>are</w:t>
      </w:r>
      <w:r w:rsidR="00907D8C">
        <w:t xml:space="preserve"> </w:t>
      </w:r>
      <w:r w:rsidRPr="00036FAC">
        <w:t>rare</w:t>
      </w:r>
      <w:r w:rsidR="00907D8C">
        <w:t xml:space="preserve"> </w:t>
      </w:r>
      <w:r w:rsidRPr="00036FAC">
        <w:t>in</w:t>
      </w:r>
      <w:r w:rsidR="00907D8C">
        <w:t xml:space="preserve"> </w:t>
      </w:r>
      <w:r w:rsidRPr="00036FAC">
        <w:t>New</w:t>
      </w:r>
      <w:r w:rsidR="00907D8C">
        <w:t xml:space="preserve"> </w:t>
      </w:r>
      <w:r w:rsidRPr="00036FAC">
        <w:t>Zealand.</w:t>
      </w:r>
    </w:p>
    <w:p w:rsidR="00036FAC" w:rsidRPr="00036FAC" w:rsidRDefault="00036FAC" w:rsidP="006C436C">
      <w:pPr>
        <w:pStyle w:val="H23G"/>
      </w:pPr>
      <w:r w:rsidRPr="00036FAC">
        <w:tab/>
        <w:t>(b)</w:t>
      </w:r>
      <w:r w:rsidRPr="00036FAC">
        <w:tab/>
        <w:t>Major</w:t>
      </w:r>
      <w:r w:rsidR="00907D8C">
        <w:t xml:space="preserve"> </w:t>
      </w:r>
      <w:r w:rsidRPr="00036FAC">
        <w:t>causes</w:t>
      </w:r>
      <w:r w:rsidR="00907D8C">
        <w:t xml:space="preserve"> </w:t>
      </w:r>
      <w:r w:rsidRPr="00036FAC">
        <w:t>of</w:t>
      </w:r>
      <w:r w:rsidR="00907D8C">
        <w:t xml:space="preserve"> </w:t>
      </w:r>
      <w:r w:rsidRPr="00036FAC">
        <w:t>death</w:t>
      </w:r>
      <w:r w:rsidR="00907D8C">
        <w:t xml:space="preserve"> </w:t>
      </w:r>
      <w:r w:rsidRPr="00036FAC">
        <w:t>in</w:t>
      </w:r>
      <w:r w:rsidR="00907D8C">
        <w:t xml:space="preserve"> </w:t>
      </w:r>
      <w:r w:rsidRPr="00036FAC">
        <w:t>New</w:t>
      </w:r>
      <w:r w:rsidR="00907D8C">
        <w:t xml:space="preserve"> </w:t>
      </w:r>
      <w:r w:rsidRPr="00036FAC">
        <w:t>Zealand</w:t>
      </w:r>
    </w:p>
    <w:p w:rsidR="00036FAC" w:rsidRPr="00036FAC" w:rsidRDefault="00036FAC" w:rsidP="005F59A5">
      <w:pPr>
        <w:pStyle w:val="SingleTxtG"/>
      </w:pPr>
      <w:r w:rsidRPr="00036FAC">
        <w:t>76.</w:t>
      </w:r>
      <w:r w:rsidRPr="00036FAC">
        <w:tab/>
        <w:t>There</w:t>
      </w:r>
      <w:r w:rsidR="00907D8C">
        <w:t xml:space="preserve"> </w:t>
      </w:r>
      <w:r w:rsidRPr="00036FAC">
        <w:t>were</w:t>
      </w:r>
      <w:r w:rsidR="00907D8C">
        <w:t xml:space="preserve"> </w:t>
      </w:r>
      <w:r w:rsidRPr="00036FAC">
        <w:t>approximately</w:t>
      </w:r>
      <w:r w:rsidR="00907D8C">
        <w:t xml:space="preserve"> </w:t>
      </w:r>
      <w:r w:rsidRPr="00036FAC">
        <w:t>28,000</w:t>
      </w:r>
      <w:r w:rsidR="00907D8C">
        <w:t xml:space="preserve"> </w:t>
      </w:r>
      <w:r w:rsidRPr="00036FAC">
        <w:t>deaths</w:t>
      </w:r>
      <w:r w:rsidR="00907D8C">
        <w:t xml:space="preserve"> </w:t>
      </w:r>
      <w:r w:rsidRPr="00036FAC">
        <w:t>per</w:t>
      </w:r>
      <w:r w:rsidR="00907D8C">
        <w:t xml:space="preserve"> </w:t>
      </w:r>
      <w:r w:rsidRPr="00036FAC">
        <w:t>year</w:t>
      </w:r>
      <w:r w:rsidR="00907D8C">
        <w:t xml:space="preserve"> </w:t>
      </w:r>
      <w:r w:rsidRPr="00036FAC">
        <w:t>during</w:t>
      </w:r>
      <w:r w:rsidR="00907D8C">
        <w:t xml:space="preserve"> </w:t>
      </w:r>
      <w:r w:rsidRPr="00036FAC">
        <w:t>the</w:t>
      </w:r>
      <w:r w:rsidR="00907D8C">
        <w:t xml:space="preserve"> </w:t>
      </w:r>
      <w:r w:rsidRPr="00036FAC">
        <w:t>period</w:t>
      </w:r>
      <w:r w:rsidR="00907D8C">
        <w:t xml:space="preserve"> </w:t>
      </w:r>
      <w:r w:rsidRPr="00036FAC">
        <w:t>2002</w:t>
      </w:r>
      <w:r w:rsidR="00907D8C">
        <w:t xml:space="preserve"> </w:t>
      </w:r>
      <w:r w:rsidRPr="00036FAC">
        <w:t>to</w:t>
      </w:r>
      <w:r w:rsidR="00907D8C">
        <w:t xml:space="preserve"> </w:t>
      </w:r>
      <w:r w:rsidRPr="00036FAC">
        <w:t>2006.</w:t>
      </w:r>
      <w:r w:rsidR="00907D8C">
        <w:t xml:space="preserve"> </w:t>
      </w:r>
      <w:r w:rsidRPr="00036FAC">
        <w:t>The</w:t>
      </w:r>
      <w:r w:rsidR="00907D8C">
        <w:t xml:space="preserve"> </w:t>
      </w:r>
      <w:r w:rsidRPr="00036FAC">
        <w:t>10</w:t>
      </w:r>
      <w:r w:rsidR="00907D8C">
        <w:t xml:space="preserve"> </w:t>
      </w:r>
      <w:r w:rsidRPr="00036FAC">
        <w:t>major</w:t>
      </w:r>
      <w:r w:rsidR="00907D8C">
        <w:t xml:space="preserve"> </w:t>
      </w:r>
      <w:r w:rsidRPr="00036FAC">
        <w:t>causes</w:t>
      </w:r>
      <w:r w:rsidR="00907D8C">
        <w:t xml:space="preserve"> </w:t>
      </w:r>
      <w:r w:rsidRPr="00036FAC">
        <w:t>of</w:t>
      </w:r>
      <w:r w:rsidR="00907D8C">
        <w:t xml:space="preserve"> </w:t>
      </w:r>
      <w:r w:rsidRPr="00036FAC">
        <w:t>death</w:t>
      </w:r>
      <w:r w:rsidR="00907D8C">
        <w:t xml:space="preserve"> </w:t>
      </w:r>
      <w:r w:rsidRPr="00036FAC">
        <w:t>listed</w:t>
      </w:r>
      <w:r w:rsidR="00907D8C">
        <w:t xml:space="preserve"> </w:t>
      </w:r>
      <w:r w:rsidRPr="00036FAC">
        <w:t>in</w:t>
      </w:r>
      <w:r w:rsidR="00907D8C">
        <w:t xml:space="preserve"> </w:t>
      </w:r>
      <w:r w:rsidRPr="00036FAC">
        <w:t>Table</w:t>
      </w:r>
      <w:r w:rsidR="00907D8C">
        <w:t xml:space="preserve"> </w:t>
      </w:r>
      <w:r w:rsidRPr="00036FAC">
        <w:t>22</w:t>
      </w:r>
      <w:r w:rsidR="00907D8C">
        <w:t xml:space="preserve"> </w:t>
      </w:r>
      <w:r w:rsidRPr="00036FAC">
        <w:t>make</w:t>
      </w:r>
      <w:r w:rsidR="00907D8C">
        <w:t xml:space="preserve"> </w:t>
      </w:r>
      <w:r w:rsidRPr="00036FAC">
        <w:t>up</w:t>
      </w:r>
      <w:r w:rsidR="00907D8C">
        <w:t xml:space="preserve"> </w:t>
      </w:r>
      <w:r w:rsidRPr="00036FAC">
        <w:t>75–80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total</w:t>
      </w:r>
      <w:r w:rsidR="00907D8C">
        <w:t xml:space="preserve"> </w:t>
      </w:r>
      <w:r w:rsidRPr="00036FAC">
        <w:t>deaths.</w:t>
      </w:r>
      <w:r w:rsidR="00907D8C">
        <w:t xml:space="preserve"> </w:t>
      </w:r>
      <w:r w:rsidRPr="00036FAC">
        <w:t>Deaths</w:t>
      </w:r>
      <w:r w:rsidR="00907D8C">
        <w:t xml:space="preserve"> </w:t>
      </w:r>
      <w:r w:rsidRPr="00036FAC">
        <w:t>from</w:t>
      </w:r>
      <w:r w:rsidR="00907D8C">
        <w:t xml:space="preserve"> </w:t>
      </w:r>
      <w:r w:rsidRPr="00036FAC">
        <w:t>cancer</w:t>
      </w:r>
      <w:r w:rsidR="00907D8C">
        <w:t xml:space="preserve"> </w:t>
      </w:r>
      <w:r w:rsidRPr="00036FAC">
        <w:t>and</w:t>
      </w:r>
      <w:r w:rsidR="00907D8C">
        <w:t xml:space="preserve"> </w:t>
      </w:r>
      <w:r w:rsidRPr="00036FAC">
        <w:t>ischaemic</w:t>
      </w:r>
      <w:r w:rsidR="00907D8C">
        <w:t xml:space="preserve"> </w:t>
      </w:r>
      <w:r w:rsidRPr="00036FAC">
        <w:t>heart</w:t>
      </w:r>
      <w:r w:rsidR="00907D8C">
        <w:t xml:space="preserve"> </w:t>
      </w:r>
      <w:r w:rsidRPr="00036FAC">
        <w:t>disease</w:t>
      </w:r>
      <w:r w:rsidR="00907D8C">
        <w:t xml:space="preserve"> </w:t>
      </w:r>
      <w:r w:rsidRPr="00036FAC">
        <w:t>make</w:t>
      </w:r>
      <w:r w:rsidR="00907D8C">
        <w:t xml:space="preserve"> </w:t>
      </w:r>
      <w:r w:rsidRPr="00036FAC">
        <w:t>up</w:t>
      </w:r>
      <w:r w:rsidR="00907D8C">
        <w:t xml:space="preserve"> </w:t>
      </w:r>
      <w:r w:rsidRPr="00036FAC">
        <w:t>50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total</w:t>
      </w:r>
      <w:r w:rsidR="00907D8C">
        <w:t xml:space="preserve"> </w:t>
      </w:r>
      <w:r w:rsidRPr="00036FAC">
        <w:t>deaths.</w:t>
      </w:r>
    </w:p>
    <w:p w:rsidR="005F59A5" w:rsidRDefault="005F59A5" w:rsidP="005F59A5">
      <w:pPr>
        <w:pStyle w:val="Heading1"/>
      </w:pPr>
      <w:bookmarkStart w:id="50" w:name="_Toc275331923"/>
      <w:r>
        <w:t>Table</w:t>
      </w:r>
      <w:r w:rsidR="00907D8C">
        <w:t xml:space="preserve"> </w:t>
      </w:r>
      <w:r>
        <w:t>22</w:t>
      </w:r>
    </w:p>
    <w:p w:rsidR="00036FAC" w:rsidRPr="005F59A5" w:rsidRDefault="00036FAC" w:rsidP="005F59A5">
      <w:pPr>
        <w:pStyle w:val="SingleTxtG"/>
        <w:rPr>
          <w:b/>
        </w:rPr>
      </w:pPr>
      <w:r w:rsidRPr="005F59A5">
        <w:rPr>
          <w:b/>
        </w:rPr>
        <w:t>Ten</w:t>
      </w:r>
      <w:r w:rsidR="00907D8C">
        <w:rPr>
          <w:b/>
        </w:rPr>
        <w:t xml:space="preserve"> </w:t>
      </w:r>
      <w:r w:rsidRPr="005F59A5">
        <w:rPr>
          <w:b/>
        </w:rPr>
        <w:t>major</w:t>
      </w:r>
      <w:r w:rsidR="00907D8C">
        <w:rPr>
          <w:b/>
        </w:rPr>
        <w:t xml:space="preserve"> </w:t>
      </w:r>
      <w:r w:rsidRPr="005F59A5">
        <w:rPr>
          <w:b/>
        </w:rPr>
        <w:t>causes</w:t>
      </w:r>
      <w:r w:rsidR="00907D8C">
        <w:rPr>
          <w:b/>
        </w:rPr>
        <w:t xml:space="preserve"> </w:t>
      </w:r>
      <w:r w:rsidRPr="005F59A5">
        <w:rPr>
          <w:b/>
        </w:rPr>
        <w:t>of</w:t>
      </w:r>
      <w:r w:rsidR="00907D8C">
        <w:rPr>
          <w:b/>
        </w:rPr>
        <w:t xml:space="preserve"> </w:t>
      </w:r>
      <w:r w:rsidRPr="005F59A5">
        <w:rPr>
          <w:b/>
        </w:rPr>
        <w:t>death</w:t>
      </w:r>
      <w:bookmarkEnd w:id="50"/>
    </w:p>
    <w:p w:rsidR="00036FAC" w:rsidRPr="00036FAC" w:rsidRDefault="00100C2F" w:rsidP="005F59A5">
      <w:pPr>
        <w:tabs>
          <w:tab w:val="right" w:pos="850"/>
          <w:tab w:val="left" w:pos="1134"/>
          <w:tab w:val="left" w:pos="1559"/>
          <w:tab w:val="left" w:pos="1984"/>
          <w:tab w:val="left" w:leader="dot" w:pos="7654"/>
          <w:tab w:val="right" w:pos="8929"/>
          <w:tab w:val="right" w:pos="9638"/>
        </w:tabs>
        <w:spacing w:after="120"/>
        <w:ind w:left="1134"/>
      </w:pPr>
      <w:r w:rsidRPr="00036FAC">
        <w:pict>
          <v:shape id="_x0000_i1032" type="#_x0000_t75" style="width:415.5pt;height:186pt">
            <v:imagedata r:id="rId14" o:title=""/>
          </v:shape>
        </w:pict>
      </w:r>
    </w:p>
    <w:p w:rsidR="00BC778F" w:rsidRPr="00BC778F" w:rsidRDefault="00BC778F" w:rsidP="00B50FB5">
      <w:pPr>
        <w:spacing w:before="120" w:after="24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Health.</w:t>
      </w:r>
    </w:p>
    <w:p w:rsidR="00036FAC" w:rsidRPr="00036FAC" w:rsidRDefault="00036FAC" w:rsidP="005F59A5">
      <w:pPr>
        <w:pStyle w:val="SingleTxtG"/>
      </w:pPr>
      <w:r w:rsidRPr="00036FAC">
        <w:t>77.</w:t>
      </w:r>
      <w:r w:rsidRPr="00036FAC">
        <w:tab/>
        <w:t>The</w:t>
      </w:r>
      <w:r w:rsidR="00907D8C">
        <w:t xml:space="preserve"> </w:t>
      </w:r>
      <w:r w:rsidRPr="00036FAC">
        <w:t>total</w:t>
      </w:r>
      <w:r w:rsidR="00907D8C">
        <w:t xml:space="preserve"> </w:t>
      </w:r>
      <w:r w:rsidRPr="00036FAC">
        <w:t>number</w:t>
      </w:r>
      <w:r w:rsidR="00907D8C">
        <w:t xml:space="preserve"> </w:t>
      </w:r>
      <w:r w:rsidRPr="00036FAC">
        <w:t>of</w:t>
      </w:r>
      <w:r w:rsidR="00907D8C">
        <w:t xml:space="preserve"> </w:t>
      </w:r>
      <w:r w:rsidRPr="00036FAC">
        <w:t>deaths</w:t>
      </w:r>
      <w:r w:rsidR="00907D8C">
        <w:t xml:space="preserve"> </w:t>
      </w:r>
      <w:r w:rsidRPr="00036FAC">
        <w:t>for</w:t>
      </w:r>
      <w:r w:rsidR="00907D8C">
        <w:t xml:space="preserve"> </w:t>
      </w:r>
      <w:r w:rsidRPr="00036FAC">
        <w:t>each</w:t>
      </w:r>
      <w:r w:rsidR="00907D8C">
        <w:t xml:space="preserve"> </w:t>
      </w:r>
      <w:r w:rsidRPr="00036FAC">
        <w:t>major</w:t>
      </w:r>
      <w:r w:rsidR="00907D8C">
        <w:t xml:space="preserve"> </w:t>
      </w:r>
      <w:r w:rsidRPr="00036FAC">
        <w:t>cause</w:t>
      </w:r>
      <w:r w:rsidR="00907D8C">
        <w:t xml:space="preserve"> </w:t>
      </w:r>
      <w:r w:rsidRPr="00036FAC">
        <w:t>was</w:t>
      </w:r>
      <w:r w:rsidR="00907D8C">
        <w:t xml:space="preserve"> </w:t>
      </w:r>
      <w:r w:rsidRPr="00036FAC">
        <w:t>relatively</w:t>
      </w:r>
      <w:r w:rsidR="00907D8C">
        <w:t xml:space="preserve"> </w:t>
      </w:r>
      <w:r w:rsidRPr="00036FAC">
        <w:t>stable</w:t>
      </w:r>
      <w:r w:rsidR="00907D8C">
        <w:t xml:space="preserve"> </w:t>
      </w:r>
      <w:r w:rsidRPr="00036FAC">
        <w:t>over</w:t>
      </w:r>
      <w:r w:rsidR="00907D8C">
        <w:t xml:space="preserve"> </w:t>
      </w:r>
      <w:r w:rsidRPr="00036FAC">
        <w:t>the</w:t>
      </w:r>
      <w:r w:rsidR="00907D8C">
        <w:t xml:space="preserve"> </w:t>
      </w:r>
      <w:r w:rsidRPr="00036FAC">
        <w:t>five-year</w:t>
      </w:r>
      <w:r w:rsidR="00907D8C">
        <w:t xml:space="preserve"> </w:t>
      </w:r>
      <w:r w:rsidRPr="00036FAC">
        <w:t>period</w:t>
      </w:r>
      <w:r w:rsidR="00907D8C">
        <w:t xml:space="preserve"> </w:t>
      </w:r>
      <w:r w:rsidRPr="00036FAC">
        <w:t>2002</w:t>
      </w:r>
      <w:r w:rsidR="00907D8C">
        <w:t xml:space="preserve"> </w:t>
      </w:r>
      <w:r w:rsidRPr="00036FAC">
        <w:t>to</w:t>
      </w:r>
      <w:r w:rsidR="00907D8C">
        <w:t xml:space="preserve"> </w:t>
      </w:r>
      <w:r w:rsidRPr="00036FAC">
        <w:t>2006.</w:t>
      </w:r>
      <w:r w:rsidR="00907D8C">
        <w:t xml:space="preserve"> </w:t>
      </w:r>
      <w:r w:rsidRPr="00036FAC">
        <w:t>Male</w:t>
      </w:r>
      <w:r w:rsidR="00907D8C">
        <w:t xml:space="preserve"> </w:t>
      </w:r>
      <w:r w:rsidRPr="00036FAC">
        <w:t>mortality</w:t>
      </w:r>
      <w:r w:rsidR="00907D8C">
        <w:t xml:space="preserve"> </w:t>
      </w:r>
      <w:r w:rsidRPr="00036FAC">
        <w:t>was</w:t>
      </w:r>
      <w:r w:rsidR="00907D8C">
        <w:t xml:space="preserve"> </w:t>
      </w:r>
      <w:r w:rsidRPr="00036FAC">
        <w:t>higher</w:t>
      </w:r>
      <w:r w:rsidR="00907D8C">
        <w:t xml:space="preserve"> </w:t>
      </w:r>
      <w:r w:rsidRPr="00036FAC">
        <w:t>than</w:t>
      </w:r>
      <w:r w:rsidR="00907D8C">
        <w:t xml:space="preserve"> </w:t>
      </w:r>
      <w:r w:rsidRPr="00036FAC">
        <w:t>female</w:t>
      </w:r>
      <w:r w:rsidR="00907D8C">
        <w:t xml:space="preserve"> </w:t>
      </w:r>
      <w:r w:rsidRPr="00036FAC">
        <w:t>for</w:t>
      </w:r>
      <w:r w:rsidR="00907D8C">
        <w:t xml:space="preserve"> </w:t>
      </w:r>
      <w:r w:rsidRPr="00036FAC">
        <w:t>motor</w:t>
      </w:r>
      <w:r w:rsidR="00907D8C">
        <w:t xml:space="preserve"> </w:t>
      </w:r>
      <w:r w:rsidRPr="00036FAC">
        <w:t>vehicle</w:t>
      </w:r>
      <w:r w:rsidR="00907D8C">
        <w:t xml:space="preserve"> </w:t>
      </w:r>
      <w:r w:rsidRPr="00036FAC">
        <w:t>accidents,</w:t>
      </w:r>
      <w:r w:rsidR="00907D8C">
        <w:t xml:space="preserve"> </w:t>
      </w:r>
      <w:r w:rsidRPr="00036FAC">
        <w:t>homicide</w:t>
      </w:r>
      <w:r w:rsidR="00907D8C">
        <w:t xml:space="preserve"> </w:t>
      </w:r>
      <w:r w:rsidRPr="00036FAC">
        <w:t>and</w:t>
      </w:r>
      <w:r w:rsidR="00907D8C">
        <w:t xml:space="preserve"> </w:t>
      </w:r>
      <w:r w:rsidRPr="00036FAC">
        <w:t>assault,</w:t>
      </w:r>
      <w:r w:rsidR="00907D8C">
        <w:t xml:space="preserve"> </w:t>
      </w:r>
      <w:r w:rsidRPr="00036FAC">
        <w:t>and</w:t>
      </w:r>
      <w:r w:rsidR="00907D8C">
        <w:t xml:space="preserve"> </w:t>
      </w:r>
      <w:r w:rsidRPr="00036FAC">
        <w:t>suicide</w:t>
      </w:r>
      <w:r w:rsidR="00907D8C">
        <w:t xml:space="preserve"> </w:t>
      </w:r>
      <w:r w:rsidRPr="00036FAC">
        <w:t>as</w:t>
      </w:r>
      <w:r w:rsidR="00907D8C">
        <w:t xml:space="preserve"> </w:t>
      </w:r>
      <w:r w:rsidRPr="00036FAC">
        <w:t>the</w:t>
      </w:r>
      <w:r w:rsidR="00907D8C">
        <w:t xml:space="preserve"> </w:t>
      </w:r>
      <w:r w:rsidRPr="00036FAC">
        <w:t>cause</w:t>
      </w:r>
      <w:r w:rsidR="00907D8C">
        <w:t xml:space="preserve"> </w:t>
      </w:r>
      <w:r w:rsidRPr="00036FAC">
        <w:t>of</w:t>
      </w:r>
      <w:r w:rsidR="00907D8C">
        <w:t xml:space="preserve"> </w:t>
      </w:r>
      <w:r w:rsidRPr="00036FAC">
        <w:t>death.</w:t>
      </w:r>
      <w:r w:rsidR="00907D8C">
        <w:t xml:space="preserve"> </w:t>
      </w:r>
      <w:r w:rsidRPr="00036FAC">
        <w:t>Female</w:t>
      </w:r>
      <w:r w:rsidR="00907D8C">
        <w:t xml:space="preserve"> </w:t>
      </w:r>
      <w:r w:rsidRPr="00036FAC">
        <w:t>mortality</w:t>
      </w:r>
      <w:r w:rsidR="00907D8C">
        <w:t xml:space="preserve"> </w:t>
      </w:r>
      <w:r w:rsidRPr="00036FAC">
        <w:t>was</w:t>
      </w:r>
      <w:r w:rsidR="00907D8C">
        <w:t xml:space="preserve"> </w:t>
      </w:r>
      <w:r w:rsidRPr="00036FAC">
        <w:t>higher</w:t>
      </w:r>
      <w:r w:rsidR="00907D8C">
        <w:t xml:space="preserve"> </w:t>
      </w:r>
      <w:r w:rsidRPr="00036FAC">
        <w:t>than</w:t>
      </w:r>
      <w:r w:rsidR="00907D8C">
        <w:t xml:space="preserve"> </w:t>
      </w:r>
      <w:r w:rsidRPr="00036FAC">
        <w:t>male</w:t>
      </w:r>
      <w:r w:rsidR="00907D8C">
        <w:t xml:space="preserve"> </w:t>
      </w:r>
      <w:r w:rsidRPr="00036FAC">
        <w:t>for</w:t>
      </w:r>
      <w:r w:rsidR="00907D8C">
        <w:t xml:space="preserve"> </w:t>
      </w:r>
      <w:r w:rsidRPr="00036FAC">
        <w:t>cerebrovascular</w:t>
      </w:r>
      <w:r w:rsidR="00907D8C">
        <w:t xml:space="preserve"> </w:t>
      </w:r>
      <w:r w:rsidRPr="00036FAC">
        <w:t>disease</w:t>
      </w:r>
      <w:r w:rsidR="00907D8C">
        <w:t xml:space="preserve"> </w:t>
      </w:r>
      <w:r w:rsidRPr="00036FAC">
        <w:t>(stroke)</w:t>
      </w:r>
      <w:r w:rsidR="00907D8C">
        <w:t xml:space="preserve"> </w:t>
      </w:r>
      <w:r w:rsidRPr="00036FAC">
        <w:t>and</w:t>
      </w:r>
      <w:r w:rsidR="00907D8C">
        <w:t xml:space="preserve"> </w:t>
      </w:r>
      <w:r w:rsidRPr="00036FAC">
        <w:t>influenza</w:t>
      </w:r>
      <w:r w:rsidR="00907D8C">
        <w:t xml:space="preserve"> </w:t>
      </w:r>
      <w:r w:rsidRPr="00036FAC">
        <w:t>and</w:t>
      </w:r>
      <w:r w:rsidR="00907D8C">
        <w:t xml:space="preserve"> </w:t>
      </w:r>
      <w:r w:rsidRPr="00036FAC">
        <w:t>pneumonia</w:t>
      </w:r>
      <w:r w:rsidR="00907D8C">
        <w:t xml:space="preserve"> </w:t>
      </w:r>
      <w:r w:rsidRPr="00036FAC">
        <w:t>as</w:t>
      </w:r>
      <w:r w:rsidR="00907D8C">
        <w:t xml:space="preserve"> </w:t>
      </w:r>
      <w:r w:rsidRPr="00036FAC">
        <w:t>the</w:t>
      </w:r>
      <w:r w:rsidR="00907D8C">
        <w:t xml:space="preserve"> </w:t>
      </w:r>
      <w:r w:rsidRPr="00036FAC">
        <w:t>cause</w:t>
      </w:r>
      <w:r w:rsidR="00907D8C">
        <w:t xml:space="preserve"> </w:t>
      </w:r>
      <w:r w:rsidRPr="00036FAC">
        <w:t>of</w:t>
      </w:r>
      <w:r w:rsidR="00907D8C">
        <w:t xml:space="preserve"> </w:t>
      </w:r>
      <w:r w:rsidRPr="00036FAC">
        <w:t>death.</w:t>
      </w:r>
      <w:r w:rsidR="00907D8C">
        <w:t xml:space="preserve"> </w:t>
      </w:r>
      <w:r w:rsidRPr="00036FAC">
        <w:t>The</w:t>
      </w:r>
      <w:r w:rsidR="00907D8C">
        <w:t xml:space="preserve"> </w:t>
      </w:r>
      <w:r w:rsidRPr="00036FAC">
        <w:t>remaining</w:t>
      </w:r>
      <w:r w:rsidR="00907D8C">
        <w:t xml:space="preserve"> </w:t>
      </w:r>
      <w:r w:rsidRPr="00036FAC">
        <w:t>major</w:t>
      </w:r>
      <w:r w:rsidR="00907D8C">
        <w:t xml:space="preserve"> </w:t>
      </w:r>
      <w:r w:rsidRPr="00036FAC">
        <w:t>causes</w:t>
      </w:r>
      <w:r w:rsidR="00907D8C">
        <w:t xml:space="preserve"> </w:t>
      </w:r>
      <w:r w:rsidRPr="00036FAC">
        <w:t>of</w:t>
      </w:r>
      <w:r w:rsidR="00907D8C">
        <w:t xml:space="preserve"> </w:t>
      </w:r>
      <w:r w:rsidRPr="00036FAC">
        <w:t>death</w:t>
      </w:r>
      <w:r w:rsidR="00907D8C">
        <w:t xml:space="preserve"> </w:t>
      </w:r>
      <w:r w:rsidRPr="00036FAC">
        <w:t>had</w:t>
      </w:r>
      <w:r w:rsidR="00907D8C">
        <w:t xml:space="preserve"> </w:t>
      </w:r>
      <w:r w:rsidRPr="00036FAC">
        <w:t>similar</w:t>
      </w:r>
      <w:r w:rsidR="00907D8C">
        <w:t xml:space="preserve"> </w:t>
      </w:r>
      <w:r w:rsidRPr="00036FAC">
        <w:t>numbers</w:t>
      </w:r>
      <w:r w:rsidR="00907D8C">
        <w:t xml:space="preserve"> </w:t>
      </w:r>
      <w:r w:rsidRPr="00036FAC">
        <w:t>of</w:t>
      </w:r>
      <w:r w:rsidR="00907D8C">
        <w:t xml:space="preserve"> </w:t>
      </w:r>
      <w:r w:rsidRPr="00036FAC">
        <w:t>deaths</w:t>
      </w:r>
      <w:r w:rsidR="00907D8C">
        <w:t xml:space="preserve"> </w:t>
      </w:r>
      <w:r w:rsidRPr="00036FAC">
        <w:t>between</w:t>
      </w:r>
      <w:r w:rsidR="00907D8C">
        <w:t xml:space="preserve"> </w:t>
      </w:r>
      <w:r w:rsidRPr="00036FAC">
        <w:t>males</w:t>
      </w:r>
      <w:r w:rsidR="00907D8C">
        <w:t xml:space="preserve"> </w:t>
      </w:r>
      <w:r w:rsidRPr="00036FAC">
        <w:t>and</w:t>
      </w:r>
      <w:r w:rsidR="00907D8C">
        <w:t xml:space="preserve"> </w:t>
      </w:r>
      <w:r w:rsidRPr="00036FAC">
        <w:t>females.</w:t>
      </w:r>
    </w:p>
    <w:p w:rsidR="00036FAC" w:rsidRPr="00036FAC" w:rsidRDefault="00036FAC" w:rsidP="006C436C">
      <w:pPr>
        <w:pStyle w:val="H23G"/>
        <w:spacing w:before="120"/>
      </w:pPr>
      <w:r w:rsidRPr="00036FAC">
        <w:tab/>
        <w:t>(c)</w:t>
      </w:r>
      <w:r w:rsidRPr="00036FAC">
        <w:tab/>
        <w:t>Ethnicity</w:t>
      </w:r>
      <w:r w:rsidR="00907D8C">
        <w:t xml:space="preserve"> </w:t>
      </w:r>
      <w:r w:rsidRPr="00036FAC">
        <w:t>as</w:t>
      </w:r>
      <w:r w:rsidR="00907D8C">
        <w:t xml:space="preserve"> </w:t>
      </w:r>
      <w:r w:rsidRPr="00036FAC">
        <w:t>a</w:t>
      </w:r>
      <w:r w:rsidR="00907D8C">
        <w:t xml:space="preserve"> </w:t>
      </w:r>
      <w:r w:rsidRPr="00036FAC">
        <w:t>factor</w:t>
      </w:r>
    </w:p>
    <w:p w:rsidR="00036FAC" w:rsidRPr="00036FAC" w:rsidRDefault="00036FAC" w:rsidP="00006D5C">
      <w:pPr>
        <w:pStyle w:val="StyleSingleTxtGAfter3pt"/>
      </w:pPr>
      <w:r w:rsidRPr="00036FAC">
        <w:t>78.</w:t>
      </w:r>
      <w:r w:rsidRPr="00036FAC">
        <w:tab/>
        <w:t>When</w:t>
      </w:r>
      <w:r w:rsidR="00907D8C">
        <w:t xml:space="preserve"> </w:t>
      </w:r>
      <w:r w:rsidRPr="00036FAC">
        <w:t>ethnicity</w:t>
      </w:r>
      <w:r w:rsidR="00907D8C">
        <w:t xml:space="preserve"> </w:t>
      </w:r>
      <w:r w:rsidRPr="00036FAC">
        <w:t>is</w:t>
      </w:r>
      <w:r w:rsidR="00907D8C">
        <w:t xml:space="preserve"> </w:t>
      </w:r>
      <w:r w:rsidRPr="00036FAC">
        <w:t>taken</w:t>
      </w:r>
      <w:r w:rsidR="00907D8C">
        <w:t xml:space="preserve"> </w:t>
      </w:r>
      <w:r w:rsidRPr="00036FAC">
        <w:t>into</w:t>
      </w:r>
      <w:r w:rsidR="00907D8C">
        <w:t xml:space="preserve"> </w:t>
      </w:r>
      <w:r w:rsidRPr="00036FAC">
        <w:t>account</w:t>
      </w:r>
      <w:r w:rsidR="00907D8C">
        <w:t xml:space="preserve"> </w:t>
      </w:r>
      <w:r w:rsidRPr="00036FAC">
        <w:t>in</w:t>
      </w:r>
      <w:r w:rsidR="00907D8C">
        <w:t xml:space="preserve"> </w:t>
      </w:r>
      <w:r w:rsidRPr="00036FAC">
        <w:t>analysing</w:t>
      </w:r>
      <w:r w:rsidR="00907D8C">
        <w:t xml:space="preserve"> </w:t>
      </w:r>
      <w:r w:rsidRPr="00036FAC">
        <w:t>health</w:t>
      </w:r>
      <w:r w:rsidR="00907D8C">
        <w:t xml:space="preserve"> </w:t>
      </w:r>
      <w:r w:rsidRPr="00036FAC">
        <w:t>status</w:t>
      </w:r>
      <w:r w:rsidR="00907D8C">
        <w:t xml:space="preserve"> </w:t>
      </w:r>
      <w:r w:rsidRPr="00036FAC">
        <w:t>or</w:t>
      </w:r>
      <w:r w:rsidR="00907D8C">
        <w:t xml:space="preserve"> </w:t>
      </w:r>
      <w:r w:rsidRPr="00036FAC">
        <w:t>burden</w:t>
      </w:r>
      <w:r w:rsidR="00907D8C">
        <w:t xml:space="preserve"> </w:t>
      </w:r>
      <w:r w:rsidRPr="00036FAC">
        <w:t>of</w:t>
      </w:r>
      <w:r w:rsidR="00907D8C">
        <w:t xml:space="preserve"> </w:t>
      </w:r>
      <w:r w:rsidRPr="00036FAC">
        <w:t>disease,</w:t>
      </w:r>
      <w:r w:rsidR="00907D8C">
        <w:t xml:space="preserve"> </w:t>
      </w:r>
      <w:r w:rsidRPr="00036FAC">
        <w:t>clear</w:t>
      </w:r>
      <w:r w:rsidR="00907D8C">
        <w:t xml:space="preserve"> </w:t>
      </w:r>
      <w:r w:rsidRPr="00036FAC">
        <w:t>patterns</w:t>
      </w:r>
      <w:r w:rsidR="00907D8C">
        <w:t xml:space="preserve"> </w:t>
      </w:r>
      <w:r w:rsidRPr="00036FAC">
        <w:t>emerge</w:t>
      </w:r>
      <w:r w:rsidR="00907D8C">
        <w:t xml:space="preserve"> </w:t>
      </w:r>
      <w:r w:rsidRPr="00036FAC">
        <w:t>that</w:t>
      </w:r>
      <w:r w:rsidR="00907D8C">
        <w:t xml:space="preserve"> </w:t>
      </w:r>
      <w:r w:rsidRPr="00036FAC">
        <w:t>help</w:t>
      </w:r>
      <w:r w:rsidR="00907D8C">
        <w:t xml:space="preserve"> </w:t>
      </w:r>
      <w:r w:rsidRPr="00036FAC">
        <w:t>to</w:t>
      </w:r>
      <w:r w:rsidR="00907D8C">
        <w:t xml:space="preserve"> </w:t>
      </w:r>
      <w:r w:rsidRPr="00036FAC">
        <w:t>inform</w:t>
      </w:r>
      <w:r w:rsidR="00907D8C">
        <w:t xml:space="preserve"> </w:t>
      </w:r>
      <w:r w:rsidRPr="00036FAC">
        <w:t>policy</w:t>
      </w:r>
      <w:r w:rsidR="00907D8C">
        <w:t xml:space="preserve"> </w:t>
      </w:r>
      <w:r w:rsidRPr="00036FAC">
        <w:t>responses.</w:t>
      </w:r>
      <w:r w:rsidRPr="005F59A5">
        <w:rPr>
          <w:rStyle w:val="FootnoteReference"/>
        </w:rPr>
        <w:footnoteReference w:id="7"/>
      </w:r>
    </w:p>
    <w:p w:rsidR="005F59A5" w:rsidRDefault="005F59A5" w:rsidP="00B50FB5">
      <w:pPr>
        <w:pStyle w:val="Heading1"/>
        <w:keepNext/>
      </w:pPr>
      <w:bookmarkStart w:id="51" w:name="_Toc275331924"/>
      <w:r>
        <w:t>Table</w:t>
      </w:r>
      <w:r w:rsidR="00907D8C">
        <w:t xml:space="preserve"> </w:t>
      </w:r>
      <w:r>
        <w:t>23</w:t>
      </w:r>
    </w:p>
    <w:p w:rsidR="00036FAC" w:rsidRPr="005F59A5" w:rsidRDefault="00036FAC" w:rsidP="00B50FB5">
      <w:pPr>
        <w:pStyle w:val="SingleTxtG"/>
        <w:keepNext/>
        <w:rPr>
          <w:b/>
        </w:rPr>
      </w:pPr>
      <w:r w:rsidRPr="005F59A5">
        <w:rPr>
          <w:b/>
        </w:rPr>
        <w:t>Rates</w:t>
      </w:r>
      <w:r w:rsidR="00907D8C">
        <w:rPr>
          <w:b/>
        </w:rPr>
        <w:t xml:space="preserve"> </w:t>
      </w:r>
      <w:r w:rsidRPr="005F59A5">
        <w:rPr>
          <w:b/>
        </w:rPr>
        <w:t>for</w:t>
      </w:r>
      <w:r w:rsidR="00907D8C">
        <w:rPr>
          <w:b/>
        </w:rPr>
        <w:t xml:space="preserve"> </w:t>
      </w:r>
      <w:r w:rsidRPr="005F59A5">
        <w:rPr>
          <w:b/>
        </w:rPr>
        <w:t>all</w:t>
      </w:r>
      <w:r w:rsidR="00907D8C">
        <w:rPr>
          <w:b/>
        </w:rPr>
        <w:t xml:space="preserve"> </w:t>
      </w:r>
      <w:r w:rsidRPr="005F59A5">
        <w:rPr>
          <w:b/>
        </w:rPr>
        <w:t>causes</w:t>
      </w:r>
      <w:r w:rsidR="00907D8C">
        <w:rPr>
          <w:b/>
        </w:rPr>
        <w:t xml:space="preserve"> </w:t>
      </w:r>
      <w:r w:rsidRPr="005F59A5">
        <w:rPr>
          <w:b/>
        </w:rPr>
        <w:t>of</w:t>
      </w:r>
      <w:r w:rsidR="00907D8C">
        <w:rPr>
          <w:b/>
        </w:rPr>
        <w:t xml:space="preserve"> </w:t>
      </w:r>
      <w:r w:rsidRPr="005F59A5">
        <w:rPr>
          <w:b/>
        </w:rPr>
        <w:t>mortality,</w:t>
      </w:r>
      <w:r w:rsidR="00907D8C">
        <w:rPr>
          <w:b/>
        </w:rPr>
        <w:t xml:space="preserve"> </w:t>
      </w:r>
      <w:r w:rsidRPr="005F59A5">
        <w:rPr>
          <w:b/>
        </w:rPr>
        <w:t>2006</w:t>
      </w:r>
      <w:bookmarkEnd w:id="51"/>
    </w:p>
    <w:p w:rsidR="00036FAC" w:rsidRPr="00036FAC" w:rsidRDefault="00100C2F" w:rsidP="00B50FB5">
      <w:pPr>
        <w:keepNext/>
        <w:tabs>
          <w:tab w:val="right" w:pos="850"/>
          <w:tab w:val="left" w:pos="1134"/>
          <w:tab w:val="left" w:pos="1559"/>
          <w:tab w:val="left" w:pos="1984"/>
          <w:tab w:val="left" w:leader="dot" w:pos="7654"/>
          <w:tab w:val="right" w:pos="8929"/>
          <w:tab w:val="right" w:pos="9638"/>
        </w:tabs>
        <w:spacing w:after="120"/>
        <w:ind w:left="1134"/>
      </w:pPr>
      <w:r w:rsidRPr="00036FAC">
        <w:pict>
          <v:shape id="_x0000_i1033" type="#_x0000_t75" style="width:414.75pt;height:183.75pt">
            <v:imagedata r:id="rId15" o:title=""/>
          </v:shape>
        </w:pict>
      </w:r>
    </w:p>
    <w:p w:rsidR="00BC778F" w:rsidRPr="00BC778F" w:rsidRDefault="00BC778F" w:rsidP="00B50FB5">
      <w:pPr>
        <w:spacing w:before="120" w:after="24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Health.</w:t>
      </w:r>
    </w:p>
    <w:p w:rsidR="00036FAC" w:rsidRPr="00036FAC" w:rsidRDefault="00036FAC" w:rsidP="00B50FB5">
      <w:pPr>
        <w:pStyle w:val="SingleTxtG"/>
      </w:pPr>
      <w:r w:rsidRPr="00036FAC">
        <w:t>79.</w:t>
      </w:r>
      <w:r w:rsidRPr="00036FAC">
        <w:tab/>
        <w:t>Māori</w:t>
      </w:r>
      <w:r w:rsidR="00907D8C">
        <w:t xml:space="preserve"> </w:t>
      </w:r>
      <w:r w:rsidRPr="00036FAC">
        <w:t>males</w:t>
      </w:r>
      <w:r w:rsidR="00907D8C">
        <w:t xml:space="preserve"> </w:t>
      </w:r>
      <w:r w:rsidRPr="00036FAC">
        <w:t>have</w:t>
      </w:r>
      <w:r w:rsidR="00907D8C">
        <w:t xml:space="preserve"> </w:t>
      </w:r>
      <w:r w:rsidRPr="00036FAC">
        <w:t>a</w:t>
      </w:r>
      <w:r w:rsidR="00907D8C">
        <w:t xml:space="preserve"> </w:t>
      </w:r>
      <w:r w:rsidRPr="00036FAC">
        <w:t>consistently</w:t>
      </w:r>
      <w:r w:rsidR="00907D8C">
        <w:t xml:space="preserve"> </w:t>
      </w:r>
      <w:r w:rsidRPr="00036FAC">
        <w:t>higher</w:t>
      </w:r>
      <w:r w:rsidR="00907D8C">
        <w:t xml:space="preserve"> </w:t>
      </w:r>
      <w:r w:rsidRPr="00036FAC">
        <w:t>rate</w:t>
      </w:r>
      <w:r w:rsidR="00907D8C">
        <w:t xml:space="preserve"> </w:t>
      </w:r>
      <w:r w:rsidRPr="00036FAC">
        <w:t>of</w:t>
      </w:r>
      <w:r w:rsidR="00907D8C">
        <w:t xml:space="preserve"> </w:t>
      </w:r>
      <w:r w:rsidRPr="00036FAC">
        <w:t>death</w:t>
      </w:r>
      <w:r w:rsidR="00907D8C">
        <w:t xml:space="preserve"> </w:t>
      </w:r>
      <w:r w:rsidRPr="00036FAC">
        <w:t>than</w:t>
      </w:r>
      <w:r w:rsidR="00907D8C">
        <w:t xml:space="preserve"> </w:t>
      </w:r>
      <w:r w:rsidRPr="00036FAC">
        <w:t>all</w:t>
      </w:r>
      <w:r w:rsidR="00907D8C">
        <w:t xml:space="preserve"> </w:t>
      </w:r>
      <w:r w:rsidRPr="00036FAC">
        <w:t>other</w:t>
      </w:r>
      <w:r w:rsidR="00907D8C">
        <w:t xml:space="preserve"> </w:t>
      </w:r>
      <w:r w:rsidRPr="00036FAC">
        <w:t>groups.</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Māori</w:t>
      </w:r>
      <w:r w:rsidR="00907D8C">
        <w:t xml:space="preserve"> </w:t>
      </w:r>
      <w:r w:rsidRPr="00036FAC">
        <w:t>male</w:t>
      </w:r>
      <w:r w:rsidR="00907D8C">
        <w:t xml:space="preserve"> </w:t>
      </w:r>
      <w:r w:rsidRPr="00036FAC">
        <w:t>rate</w:t>
      </w:r>
      <w:r w:rsidR="00907D8C">
        <w:t xml:space="preserve"> </w:t>
      </w:r>
      <w:r w:rsidRPr="00036FAC">
        <w:t>of</w:t>
      </w:r>
      <w:r w:rsidR="00907D8C">
        <w:t xml:space="preserve"> </w:t>
      </w:r>
      <w:r w:rsidRPr="00036FAC">
        <w:t>death</w:t>
      </w:r>
      <w:r w:rsidR="00907D8C">
        <w:t xml:space="preserve"> </w:t>
      </w:r>
      <w:r w:rsidRPr="00036FAC">
        <w:t>(896.8</w:t>
      </w:r>
      <w:r w:rsidR="00907D8C">
        <w:t xml:space="preserve"> </w:t>
      </w:r>
      <w:r w:rsidRPr="00036FAC">
        <w:t>per</w:t>
      </w:r>
      <w:r w:rsidR="00907D8C">
        <w:t xml:space="preserve"> </w:t>
      </w:r>
      <w:r w:rsidRPr="00036FAC">
        <w:t>100,000</w:t>
      </w:r>
      <w:r w:rsidR="00907D8C">
        <w:t xml:space="preserve"> </w:t>
      </w:r>
      <w:r w:rsidRPr="00036FAC">
        <w:t>population)</w:t>
      </w:r>
      <w:r w:rsidR="00907D8C">
        <w:t xml:space="preserve"> </w:t>
      </w:r>
      <w:r w:rsidRPr="00036FAC">
        <w:t>was</w:t>
      </w:r>
      <w:r w:rsidR="00907D8C">
        <w:t xml:space="preserve"> </w:t>
      </w:r>
      <w:r w:rsidRPr="00036FAC">
        <w:t>more</w:t>
      </w:r>
      <w:r w:rsidR="00907D8C">
        <w:t xml:space="preserve"> </w:t>
      </w:r>
      <w:r w:rsidRPr="00036FAC">
        <w:t>than</w:t>
      </w:r>
      <w:r w:rsidR="00907D8C">
        <w:t xml:space="preserve"> </w:t>
      </w:r>
      <w:r w:rsidRPr="00036FAC">
        <w:t>double</w:t>
      </w:r>
      <w:r w:rsidR="00907D8C">
        <w:t xml:space="preserve"> </w:t>
      </w:r>
      <w:r w:rsidRPr="00036FAC">
        <w:t>the</w:t>
      </w:r>
      <w:r w:rsidR="00907D8C">
        <w:t xml:space="preserve"> </w:t>
      </w:r>
      <w:r w:rsidR="00A6400B">
        <w:t>non-</w:t>
      </w:r>
      <w:r w:rsidRPr="00036FAC">
        <w:t>Māori,</w:t>
      </w:r>
      <w:r w:rsidR="00907D8C">
        <w:t xml:space="preserve"> </w:t>
      </w:r>
      <w:r w:rsidRPr="00036FAC">
        <w:t>non-Pacific</w:t>
      </w:r>
      <w:r w:rsidR="00907D8C">
        <w:t xml:space="preserve"> </w:t>
      </w:r>
      <w:r w:rsidRPr="00036FAC">
        <w:t>male</w:t>
      </w:r>
      <w:r w:rsidR="00907D8C">
        <w:t xml:space="preserve"> </w:t>
      </w:r>
      <w:r w:rsidRPr="00036FAC">
        <w:t>rate</w:t>
      </w:r>
      <w:r w:rsidR="00907D8C">
        <w:t xml:space="preserve"> </w:t>
      </w:r>
      <w:r w:rsidRPr="00036FAC">
        <w:t>(390.0</w:t>
      </w:r>
      <w:r w:rsidR="00907D8C">
        <w:t xml:space="preserve"> </w:t>
      </w:r>
      <w:r w:rsidRPr="00036FAC">
        <w:t>per</w:t>
      </w:r>
      <w:r w:rsidR="00907D8C">
        <w:t xml:space="preserve"> </w:t>
      </w:r>
      <w:r w:rsidRPr="00036FAC">
        <w:t>100,000</w:t>
      </w:r>
      <w:r w:rsidR="00907D8C">
        <w:t xml:space="preserve"> </w:t>
      </w:r>
      <w:r w:rsidRPr="00036FAC">
        <w:t>population).</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Māori</w:t>
      </w:r>
      <w:r w:rsidR="00907D8C">
        <w:t xml:space="preserve"> </w:t>
      </w:r>
      <w:r w:rsidRPr="00036FAC">
        <w:t>female</w:t>
      </w:r>
      <w:r w:rsidR="00907D8C">
        <w:t xml:space="preserve"> </w:t>
      </w:r>
      <w:r w:rsidRPr="00036FAC">
        <w:t>rate</w:t>
      </w:r>
      <w:r w:rsidR="00907D8C">
        <w:t xml:space="preserve"> </w:t>
      </w:r>
      <w:r w:rsidRPr="00036FAC">
        <w:t>of</w:t>
      </w:r>
      <w:r w:rsidR="00907D8C">
        <w:t xml:space="preserve"> </w:t>
      </w:r>
      <w:r w:rsidRPr="00036FAC">
        <w:t>death</w:t>
      </w:r>
      <w:r w:rsidR="00907D8C">
        <w:t xml:space="preserve"> </w:t>
      </w:r>
      <w:r w:rsidRPr="00036FAC">
        <w:t>(658.9</w:t>
      </w:r>
      <w:r w:rsidR="00907D8C">
        <w:t xml:space="preserve"> </w:t>
      </w:r>
      <w:r w:rsidRPr="00036FAC">
        <w:t>per</w:t>
      </w:r>
      <w:r w:rsidR="00907D8C">
        <w:t xml:space="preserve"> </w:t>
      </w:r>
      <w:r w:rsidRPr="00036FAC">
        <w:t>100,000</w:t>
      </w:r>
      <w:r w:rsidR="00907D8C">
        <w:t xml:space="preserve"> </w:t>
      </w:r>
      <w:r w:rsidRPr="00036FAC">
        <w:t>population)</w:t>
      </w:r>
      <w:r w:rsidR="00907D8C">
        <w:t xml:space="preserve"> </w:t>
      </w:r>
      <w:r w:rsidRPr="00036FAC">
        <w:t>was</w:t>
      </w:r>
      <w:r w:rsidR="00907D8C">
        <w:t xml:space="preserve"> </w:t>
      </w:r>
      <w:r w:rsidRPr="00036FAC">
        <w:t>also</w:t>
      </w:r>
      <w:r w:rsidR="00907D8C">
        <w:t xml:space="preserve"> </w:t>
      </w:r>
      <w:r w:rsidRPr="00036FAC">
        <w:t>more</w:t>
      </w:r>
      <w:r w:rsidR="00907D8C">
        <w:t xml:space="preserve"> </w:t>
      </w:r>
      <w:r w:rsidRPr="00036FAC">
        <w:t>than</w:t>
      </w:r>
      <w:r w:rsidR="00907D8C">
        <w:t xml:space="preserve"> </w:t>
      </w:r>
      <w:r w:rsidRPr="00036FAC">
        <w:t>double</w:t>
      </w:r>
      <w:r w:rsidR="00907D8C">
        <w:t xml:space="preserve"> </w:t>
      </w:r>
      <w:r w:rsidRPr="00036FAC">
        <w:t>the</w:t>
      </w:r>
      <w:r w:rsidR="00907D8C">
        <w:t xml:space="preserve"> </w:t>
      </w:r>
      <w:r w:rsidR="00A6400B">
        <w:t>non-</w:t>
      </w:r>
      <w:r w:rsidRPr="00036FAC">
        <w:t>Māori</w:t>
      </w:r>
      <w:r w:rsidR="00907D8C">
        <w:t xml:space="preserve"> </w:t>
      </w:r>
      <w:r w:rsidRPr="00036FAC">
        <w:t>female</w:t>
      </w:r>
      <w:r w:rsidR="00907D8C">
        <w:t xml:space="preserve"> </w:t>
      </w:r>
      <w:r w:rsidRPr="00036FAC">
        <w:t>rate</w:t>
      </w:r>
      <w:r w:rsidR="00907D8C">
        <w:t xml:space="preserve"> </w:t>
      </w:r>
      <w:r w:rsidRPr="00036FAC">
        <w:t>(270.7</w:t>
      </w:r>
      <w:r w:rsidR="00907D8C">
        <w:t xml:space="preserve"> </w:t>
      </w:r>
      <w:r w:rsidRPr="00036FAC">
        <w:t>per</w:t>
      </w:r>
      <w:r w:rsidR="00907D8C">
        <w:t xml:space="preserve"> </w:t>
      </w:r>
      <w:r w:rsidRPr="00036FAC">
        <w:t>100,000</w:t>
      </w:r>
      <w:r w:rsidR="00907D8C">
        <w:t xml:space="preserve"> </w:t>
      </w:r>
      <w:r w:rsidRPr="00036FAC">
        <w:t>population).</w:t>
      </w:r>
    </w:p>
    <w:p w:rsidR="005F59A5" w:rsidRDefault="00036FAC" w:rsidP="005F59A5">
      <w:pPr>
        <w:pStyle w:val="Heading1"/>
      </w:pPr>
      <w:bookmarkStart w:id="52" w:name="_Toc275331925"/>
      <w:r w:rsidRPr="00036FAC">
        <w:t>Tabl</w:t>
      </w:r>
      <w:r w:rsidR="005F59A5">
        <w:t>e</w:t>
      </w:r>
      <w:r w:rsidR="00907D8C">
        <w:t xml:space="preserve"> </w:t>
      </w:r>
      <w:r w:rsidR="001F2C6F">
        <w:t>24</w:t>
      </w:r>
    </w:p>
    <w:p w:rsidR="00036FAC" w:rsidRPr="005F59A5" w:rsidRDefault="00036FAC" w:rsidP="00A6400B">
      <w:pPr>
        <w:pStyle w:val="SingleTxtG"/>
        <w:spacing w:after="60"/>
        <w:rPr>
          <w:b/>
        </w:rPr>
      </w:pPr>
      <w:r w:rsidRPr="005F59A5">
        <w:rPr>
          <w:b/>
        </w:rPr>
        <w:t>Death</w:t>
      </w:r>
      <w:r w:rsidR="00907D8C">
        <w:rPr>
          <w:b/>
        </w:rPr>
        <w:t xml:space="preserve"> </w:t>
      </w:r>
      <w:r w:rsidRPr="005F59A5">
        <w:rPr>
          <w:b/>
        </w:rPr>
        <w:t>rates</w:t>
      </w:r>
      <w:r w:rsidR="00907D8C">
        <w:rPr>
          <w:b/>
        </w:rPr>
        <w:t xml:space="preserve"> </w:t>
      </w:r>
      <w:r w:rsidRPr="005F59A5">
        <w:rPr>
          <w:b/>
        </w:rPr>
        <w:t>from</w:t>
      </w:r>
      <w:r w:rsidR="00907D8C">
        <w:rPr>
          <w:b/>
        </w:rPr>
        <w:t xml:space="preserve"> </w:t>
      </w:r>
      <w:r w:rsidRPr="005F59A5">
        <w:rPr>
          <w:b/>
        </w:rPr>
        <w:t>all</w:t>
      </w:r>
      <w:r w:rsidR="00907D8C">
        <w:rPr>
          <w:b/>
        </w:rPr>
        <w:t xml:space="preserve"> </w:t>
      </w:r>
      <w:r w:rsidRPr="005F59A5">
        <w:rPr>
          <w:b/>
        </w:rPr>
        <w:t>causes</w:t>
      </w:r>
      <w:r w:rsidR="00907D8C">
        <w:rPr>
          <w:b/>
        </w:rPr>
        <w:t xml:space="preserve"> </w:t>
      </w:r>
      <w:r w:rsidRPr="005F59A5">
        <w:rPr>
          <w:b/>
        </w:rPr>
        <w:t>of</w:t>
      </w:r>
      <w:r w:rsidR="00907D8C">
        <w:rPr>
          <w:b/>
        </w:rPr>
        <w:t xml:space="preserve"> </w:t>
      </w:r>
      <w:r w:rsidRPr="005F59A5">
        <w:rPr>
          <w:b/>
        </w:rPr>
        <w:t>death,</w:t>
      </w:r>
      <w:r w:rsidR="00907D8C">
        <w:rPr>
          <w:b/>
        </w:rPr>
        <w:t xml:space="preserve"> </w:t>
      </w:r>
      <w:r w:rsidRPr="005F59A5">
        <w:rPr>
          <w:b/>
        </w:rPr>
        <w:t>2006</w:t>
      </w:r>
      <w:bookmarkEnd w:id="52"/>
    </w:p>
    <w:p w:rsidR="00036FAC" w:rsidRPr="00036FAC" w:rsidRDefault="005F59A5" w:rsidP="005F59A5">
      <w:pPr>
        <w:tabs>
          <w:tab w:val="right" w:pos="850"/>
          <w:tab w:val="left" w:pos="1134"/>
          <w:tab w:val="left" w:pos="1559"/>
          <w:tab w:val="left" w:pos="1984"/>
          <w:tab w:val="left" w:leader="dot" w:pos="7654"/>
          <w:tab w:val="right" w:pos="8929"/>
          <w:tab w:val="right" w:pos="9638"/>
        </w:tabs>
        <w:spacing w:after="120"/>
        <w:ind w:left="1134"/>
      </w:pPr>
      <w:r w:rsidRPr="00036FAC">
        <w:pict>
          <v:shape id="_x0000_i1034" type="#_x0000_t75" style="width:414.75pt;height:180pt">
            <v:imagedata r:id="rId16" o:title=""/>
          </v:shape>
        </w:pict>
      </w:r>
    </w:p>
    <w:p w:rsidR="00BC778F" w:rsidRPr="00BC778F" w:rsidRDefault="00BC778F" w:rsidP="00B50FB5">
      <w:pPr>
        <w:spacing w:before="120" w:after="24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Pr="00BC778F">
        <w:rPr>
          <w:sz w:val="18"/>
          <w:szCs w:val="18"/>
        </w:rPr>
        <w:t>Health.</w:t>
      </w:r>
    </w:p>
    <w:p w:rsidR="00036FAC" w:rsidRPr="00036FAC" w:rsidRDefault="00036FAC" w:rsidP="00B50FB5">
      <w:pPr>
        <w:pStyle w:val="SingleTxtG"/>
      </w:pPr>
      <w:r w:rsidRPr="00036FAC">
        <w:t>80.</w:t>
      </w:r>
      <w:r w:rsidRPr="00036FAC">
        <w:tab/>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had</w:t>
      </w:r>
      <w:r w:rsidR="00907D8C">
        <w:t xml:space="preserve"> </w:t>
      </w:r>
      <w:r w:rsidRPr="00036FAC">
        <w:t>higher</w:t>
      </w:r>
      <w:r w:rsidR="00907D8C">
        <w:t xml:space="preserve"> </w:t>
      </w:r>
      <w:r w:rsidRPr="00036FAC">
        <w:t>age-specific</w:t>
      </w:r>
      <w:r w:rsidR="00907D8C">
        <w:t xml:space="preserve"> </w:t>
      </w:r>
      <w:r w:rsidRPr="00036FAC">
        <w:t>mortality</w:t>
      </w:r>
      <w:r w:rsidR="00907D8C">
        <w:t xml:space="preserve"> </w:t>
      </w:r>
      <w:r w:rsidRPr="00036FAC">
        <w:t>rates</w:t>
      </w:r>
      <w:r w:rsidR="00907D8C">
        <w:t xml:space="preserve"> </w:t>
      </w:r>
      <w:r w:rsidRPr="00036FAC">
        <w:t>than</w:t>
      </w:r>
      <w:r w:rsidR="00907D8C">
        <w:t xml:space="preserve"> </w:t>
      </w:r>
      <w:r w:rsidRPr="00036FAC">
        <w:t>the</w:t>
      </w:r>
      <w:r w:rsidR="00907D8C">
        <w:t xml:space="preserve"> </w:t>
      </w:r>
      <w:r w:rsidRPr="00036FAC">
        <w:t>Other</w:t>
      </w:r>
      <w:r w:rsidR="00907D8C">
        <w:t xml:space="preserve"> </w:t>
      </w:r>
      <w:r w:rsidRPr="00036FAC">
        <w:t>ethnicity</w:t>
      </w:r>
      <w:r w:rsidR="00907D8C">
        <w:t xml:space="preserve"> </w:t>
      </w:r>
      <w:r w:rsidRPr="00036FAC">
        <w:t>(non-Māori,</w:t>
      </w:r>
      <w:r w:rsidR="00907D8C">
        <w:t xml:space="preserve"> </w:t>
      </w:r>
      <w:r w:rsidRPr="00036FAC">
        <w:t>non-Pacific),</w:t>
      </w:r>
      <w:r w:rsidR="00907D8C">
        <w:t xml:space="preserve"> </w:t>
      </w:r>
      <w:r w:rsidRPr="00036FAC">
        <w:t>as</w:t>
      </w:r>
      <w:r w:rsidR="00907D8C">
        <w:t xml:space="preserve"> </w:t>
      </w:r>
      <w:r w:rsidRPr="00036FAC">
        <w:t>shown</w:t>
      </w:r>
      <w:r w:rsidR="00907D8C">
        <w:t xml:space="preserve"> </w:t>
      </w:r>
      <w:r w:rsidRPr="00036FAC">
        <w:t>in</w:t>
      </w:r>
      <w:r w:rsidR="00907D8C">
        <w:t xml:space="preserve"> </w:t>
      </w:r>
      <w:r w:rsidRPr="00036FAC">
        <w:t>Table</w:t>
      </w:r>
      <w:r w:rsidR="00907D8C">
        <w:t xml:space="preserve"> </w:t>
      </w:r>
      <w:r w:rsidRPr="00036FAC">
        <w:t>24.</w:t>
      </w:r>
      <w:r w:rsidR="00907D8C">
        <w:t xml:space="preserve"> </w:t>
      </w:r>
      <w:r w:rsidRPr="00036FAC">
        <w:t>Death</w:t>
      </w:r>
      <w:r w:rsidR="00907D8C">
        <w:t xml:space="preserve"> </w:t>
      </w:r>
      <w:r w:rsidRPr="00036FAC">
        <w:t>rates</w:t>
      </w:r>
      <w:r w:rsidR="00907D8C">
        <w:t xml:space="preserve"> </w:t>
      </w:r>
      <w:r w:rsidRPr="00036FAC">
        <w:t>are</w:t>
      </w:r>
      <w:r w:rsidR="00907D8C">
        <w:t xml:space="preserve"> </w:t>
      </w:r>
      <w:r w:rsidRPr="00036FAC">
        <w:t>provided</w:t>
      </w:r>
      <w:r w:rsidR="00907D8C">
        <w:t xml:space="preserve"> </w:t>
      </w:r>
      <w:r w:rsidRPr="00036FAC">
        <w:t>up</w:t>
      </w:r>
      <w:r w:rsidR="00907D8C">
        <w:t xml:space="preserve"> </w:t>
      </w:r>
      <w:r w:rsidRPr="00036FAC">
        <w:t>to</w:t>
      </w:r>
      <w:r w:rsidR="00907D8C">
        <w:t xml:space="preserve"> </w:t>
      </w:r>
      <w:r w:rsidRPr="00036FAC">
        <w:t>age</w:t>
      </w:r>
      <w:r w:rsidR="00907D8C">
        <w:t xml:space="preserve"> </w:t>
      </w:r>
      <w:r w:rsidRPr="00036FAC">
        <w:t>65</w:t>
      </w:r>
      <w:r w:rsidR="00907D8C">
        <w:t xml:space="preserve"> </w:t>
      </w:r>
      <w:r w:rsidRPr="00036FAC">
        <w:t>to</w:t>
      </w:r>
      <w:r w:rsidR="00907D8C">
        <w:t xml:space="preserve"> </w:t>
      </w:r>
      <w:r w:rsidRPr="00036FAC">
        <w:t>show</w:t>
      </w:r>
      <w:r w:rsidR="00907D8C">
        <w:t xml:space="preserve"> </w:t>
      </w:r>
      <w:r w:rsidRPr="00036FAC">
        <w:t>most</w:t>
      </w:r>
      <w:r w:rsidR="00907D8C">
        <w:t xml:space="preserve"> </w:t>
      </w:r>
      <w:r w:rsidRPr="00036FAC">
        <w:t>clearly</w:t>
      </w:r>
      <w:r w:rsidR="00907D8C">
        <w:t xml:space="preserve"> </w:t>
      </w:r>
      <w:r w:rsidRPr="00036FAC">
        <w:t>the</w:t>
      </w:r>
      <w:r w:rsidR="00907D8C">
        <w:t xml:space="preserve"> </w:t>
      </w:r>
      <w:r w:rsidRPr="00036FAC">
        <w:t>differences</w:t>
      </w:r>
      <w:r w:rsidR="00907D8C">
        <w:t xml:space="preserve"> </w:t>
      </w:r>
      <w:r w:rsidRPr="00036FAC">
        <w:t>between</w:t>
      </w:r>
      <w:r w:rsidR="00907D8C">
        <w:t xml:space="preserve"> </w:t>
      </w:r>
      <w:r w:rsidRPr="00036FAC">
        <w:t>population</w:t>
      </w:r>
      <w:r w:rsidR="00907D8C">
        <w:t xml:space="preserve"> </w:t>
      </w:r>
      <w:r w:rsidRPr="00036FAC">
        <w:t>groups.</w:t>
      </w:r>
      <w:r w:rsidR="00907D8C">
        <w:t xml:space="preserve"> </w:t>
      </w:r>
      <w:r w:rsidRPr="00036FAC">
        <w:t>(The</w:t>
      </w:r>
      <w:r w:rsidR="00907D8C">
        <w:t xml:space="preserve"> </w:t>
      </w:r>
      <w:r w:rsidRPr="00036FAC">
        <w:t>death</w:t>
      </w:r>
      <w:r w:rsidR="00907D8C">
        <w:t xml:space="preserve"> </w:t>
      </w:r>
      <w:r w:rsidRPr="00036FAC">
        <w:t>rate</w:t>
      </w:r>
      <w:r w:rsidR="00907D8C">
        <w:t xml:space="preserve"> </w:t>
      </w:r>
      <w:r w:rsidRPr="00036FAC">
        <w:t>for</w:t>
      </w:r>
      <w:r w:rsidR="00907D8C">
        <w:t xml:space="preserve"> </w:t>
      </w:r>
      <w:r w:rsidRPr="00036FAC">
        <w:t>all</w:t>
      </w:r>
      <w:r w:rsidR="00907D8C">
        <w:t xml:space="preserve"> </w:t>
      </w:r>
      <w:r w:rsidRPr="00036FAC">
        <w:t>population</w:t>
      </w:r>
      <w:r w:rsidR="00907D8C">
        <w:t xml:space="preserve"> </w:t>
      </w:r>
      <w:r w:rsidRPr="00036FAC">
        <w:t>groups</w:t>
      </w:r>
      <w:r w:rsidR="00907D8C">
        <w:t xml:space="preserve"> </w:t>
      </w:r>
      <w:r w:rsidRPr="00036FAC">
        <w:t>climbs</w:t>
      </w:r>
      <w:r w:rsidR="00907D8C">
        <w:t xml:space="preserve"> </w:t>
      </w:r>
      <w:r w:rsidRPr="00036FAC">
        <w:t>steeply</w:t>
      </w:r>
      <w:r w:rsidR="00907D8C">
        <w:t xml:space="preserve"> </w:t>
      </w:r>
      <w:r w:rsidRPr="00036FAC">
        <w:t>from</w:t>
      </w:r>
      <w:r w:rsidR="00907D8C">
        <w:t xml:space="preserve"> </w:t>
      </w:r>
      <w:r w:rsidRPr="00036FAC">
        <w:t>age</w:t>
      </w:r>
      <w:r w:rsidR="00907D8C">
        <w:t xml:space="preserve"> </w:t>
      </w:r>
      <w:r w:rsidRPr="00036FAC">
        <w:t>65</w:t>
      </w:r>
      <w:r w:rsidR="00907D8C">
        <w:t xml:space="preserve"> </w:t>
      </w:r>
      <w:r w:rsidRPr="00036FAC">
        <w:t>onwards.)</w:t>
      </w:r>
    </w:p>
    <w:p w:rsidR="00036FAC" w:rsidRPr="00036FAC" w:rsidRDefault="00036FAC" w:rsidP="00B50FB5">
      <w:pPr>
        <w:pStyle w:val="SingleTxtG"/>
      </w:pPr>
      <w:r w:rsidRPr="00036FAC">
        <w:t>81.</w:t>
      </w:r>
      <w:r w:rsidRPr="00036FAC">
        <w:tab/>
        <w:t>Compared</w:t>
      </w:r>
      <w:r w:rsidR="00907D8C">
        <w:t xml:space="preserve"> </w:t>
      </w:r>
      <w:r w:rsidRPr="00036FAC">
        <w:t>with</w:t>
      </w:r>
      <w:r w:rsidR="00907D8C">
        <w:t xml:space="preserve"> </w:t>
      </w:r>
      <w:r w:rsidRPr="00036FAC">
        <w:t>the</w:t>
      </w:r>
      <w:r w:rsidR="00907D8C">
        <w:t xml:space="preserve"> </w:t>
      </w:r>
      <w:r w:rsidRPr="00036FAC">
        <w:t>Other</w:t>
      </w:r>
      <w:r w:rsidR="00907D8C">
        <w:t xml:space="preserve"> </w:t>
      </w:r>
      <w:r w:rsidRPr="00036FAC">
        <w:t>ethnic</w:t>
      </w:r>
      <w:r w:rsidR="00907D8C">
        <w:t xml:space="preserve"> </w:t>
      </w:r>
      <w:r w:rsidRPr="00036FAC">
        <w:t>group,</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had</w:t>
      </w:r>
      <w:r w:rsidR="00907D8C">
        <w:t xml:space="preserve"> </w:t>
      </w:r>
      <w:r w:rsidRPr="00036FAC">
        <w:t>higher</w:t>
      </w:r>
      <w:r w:rsidR="00907D8C">
        <w:t xml:space="preserve"> </w:t>
      </w:r>
      <w:r w:rsidRPr="00036FAC">
        <w:t>age-specific</w:t>
      </w:r>
      <w:r w:rsidR="00907D8C">
        <w:t xml:space="preserve"> </w:t>
      </w:r>
      <w:r w:rsidRPr="00036FAC">
        <w:t>mortality</w:t>
      </w:r>
      <w:r w:rsidR="00907D8C">
        <w:t xml:space="preserve"> </w:t>
      </w:r>
      <w:r w:rsidRPr="00036FAC">
        <w:t>rates</w:t>
      </w:r>
      <w:r w:rsidR="00907D8C">
        <w:t xml:space="preserve"> </w:t>
      </w:r>
      <w:r w:rsidRPr="00036FAC">
        <w:t>of</w:t>
      </w:r>
      <w:r w:rsidR="00907D8C">
        <w:t xml:space="preserve"> </w:t>
      </w:r>
      <w:r w:rsidRPr="00036FAC">
        <w:t>cancer,</w:t>
      </w:r>
      <w:r w:rsidR="00907D8C">
        <w:t xml:space="preserve"> </w:t>
      </w:r>
      <w:r w:rsidRPr="00036FAC">
        <w:t>diabetes,</w:t>
      </w:r>
      <w:r w:rsidR="00907D8C">
        <w:t xml:space="preserve"> </w:t>
      </w:r>
      <w:r w:rsidRPr="00036FAC">
        <w:t>ischaemic</w:t>
      </w:r>
      <w:r w:rsidR="00907D8C">
        <w:t xml:space="preserve"> </w:t>
      </w:r>
      <w:r w:rsidRPr="00036FAC">
        <w:t>heart</w:t>
      </w:r>
      <w:r w:rsidR="00907D8C">
        <w:t xml:space="preserve"> </w:t>
      </w:r>
      <w:r w:rsidRPr="00036FAC">
        <w:t>and</w:t>
      </w:r>
      <w:r w:rsidR="00907D8C">
        <w:t xml:space="preserve"> </w:t>
      </w:r>
      <w:r w:rsidRPr="00036FAC">
        <w:t>cerebrovascular</w:t>
      </w:r>
      <w:r w:rsidR="00907D8C">
        <w:t xml:space="preserve"> </w:t>
      </w:r>
      <w:r w:rsidRPr="00036FAC">
        <w:t>diseases,</w:t>
      </w:r>
      <w:r w:rsidR="00907D8C">
        <w:t xml:space="preserve"> </w:t>
      </w:r>
      <w:r w:rsidRPr="00036FAC">
        <w:t>and</w:t>
      </w:r>
      <w:r w:rsidR="00907D8C">
        <w:t xml:space="preserve"> </w:t>
      </w:r>
      <w:r w:rsidRPr="00036FAC">
        <w:t>lower</w:t>
      </w:r>
      <w:r w:rsidR="00907D8C">
        <w:t xml:space="preserve"> </w:t>
      </w:r>
      <w:r w:rsidRPr="00036FAC">
        <w:t>respiratory</w:t>
      </w:r>
      <w:r w:rsidR="00907D8C">
        <w:t xml:space="preserve"> </w:t>
      </w:r>
      <w:r w:rsidRPr="00036FAC">
        <w:t>diseases,</w:t>
      </w:r>
      <w:r w:rsidR="00907D8C">
        <w:t xml:space="preserve"> </w:t>
      </w:r>
      <w:r w:rsidRPr="00036FAC">
        <w:t>motor</w:t>
      </w:r>
      <w:r w:rsidR="00907D8C">
        <w:t xml:space="preserve"> </w:t>
      </w:r>
      <w:r w:rsidRPr="00036FAC">
        <w:t>vehicle</w:t>
      </w:r>
      <w:r w:rsidR="00907D8C">
        <w:t xml:space="preserve"> </w:t>
      </w:r>
      <w:r w:rsidRPr="00036FAC">
        <w:t>accidents,</w:t>
      </w:r>
      <w:r w:rsidR="00907D8C">
        <w:t xml:space="preserve"> </w:t>
      </w:r>
      <w:r w:rsidRPr="00036FAC">
        <w:t>homicide,</w:t>
      </w:r>
      <w:r w:rsidR="00907D8C">
        <w:t xml:space="preserve"> </w:t>
      </w:r>
      <w:r w:rsidRPr="00036FAC">
        <w:t>and</w:t>
      </w:r>
      <w:r w:rsidR="00907D8C">
        <w:t xml:space="preserve"> </w:t>
      </w:r>
      <w:r w:rsidRPr="00036FAC">
        <w:t>assault.</w:t>
      </w:r>
    </w:p>
    <w:p w:rsidR="00036FAC" w:rsidRPr="00036FAC" w:rsidRDefault="00036FAC" w:rsidP="006C436C">
      <w:pPr>
        <w:pStyle w:val="H23G"/>
      </w:pPr>
      <w:r w:rsidRPr="00036FAC">
        <w:tab/>
        <w:t>(d)</w:t>
      </w:r>
      <w:r w:rsidRPr="00036FAC">
        <w:tab/>
        <w:t>Infant</w:t>
      </w:r>
      <w:r w:rsidR="00907D8C">
        <w:t xml:space="preserve"> </w:t>
      </w:r>
      <w:r w:rsidRPr="00036FAC">
        <w:t>mortality</w:t>
      </w:r>
    </w:p>
    <w:p w:rsidR="00036FAC" w:rsidRPr="00036FAC" w:rsidRDefault="00036FAC" w:rsidP="00BC778F">
      <w:pPr>
        <w:pStyle w:val="SingleTxtG"/>
      </w:pPr>
      <w:r w:rsidRPr="00036FAC">
        <w:t>82.</w:t>
      </w:r>
      <w:r w:rsidRPr="00036FAC">
        <w:tab/>
        <w:t>Over</w:t>
      </w:r>
      <w:r w:rsidR="00907D8C">
        <w:t xml:space="preserve"> </w:t>
      </w:r>
      <w:r w:rsidRPr="00036FAC">
        <w:t>the</w:t>
      </w:r>
      <w:r w:rsidR="00907D8C">
        <w:t xml:space="preserve"> </w:t>
      </w:r>
      <w:r w:rsidRPr="00036FAC">
        <w:t>period</w:t>
      </w:r>
      <w:r w:rsidR="00907D8C">
        <w:t xml:space="preserve"> </w:t>
      </w:r>
      <w:r w:rsidRPr="00036FAC">
        <w:t>2003–</w:t>
      </w:r>
      <w:r w:rsidR="00BC778F">
        <w:t>20</w:t>
      </w:r>
      <w:r w:rsidRPr="00036FAC">
        <w:t>08,</w:t>
      </w:r>
      <w:r w:rsidR="00907D8C">
        <w:t xml:space="preserve"> </w:t>
      </w:r>
      <w:r w:rsidRPr="00036FAC">
        <w:t>infant</w:t>
      </w:r>
      <w:r w:rsidR="00907D8C">
        <w:t xml:space="preserve"> </w:t>
      </w:r>
      <w:r w:rsidRPr="00036FAC">
        <w:t>death</w:t>
      </w:r>
      <w:r w:rsidR="00907D8C">
        <w:t xml:space="preserve"> </w:t>
      </w:r>
      <w:r w:rsidRPr="00036FAC">
        <w:t>rates</w:t>
      </w:r>
      <w:r w:rsidR="00907D8C">
        <w:t xml:space="preserve"> </w:t>
      </w:r>
      <w:r w:rsidRPr="00036FAC">
        <w:t>fell</w:t>
      </w:r>
      <w:r w:rsidR="00907D8C">
        <w:t xml:space="preserve"> </w:t>
      </w:r>
      <w:r w:rsidRPr="00036FAC">
        <w:t>from</w:t>
      </w:r>
      <w:r w:rsidR="00907D8C">
        <w:t xml:space="preserve"> </w:t>
      </w:r>
      <w:r w:rsidRPr="00036FAC">
        <w:t>5.4/1,000</w:t>
      </w:r>
      <w:r w:rsidR="00907D8C">
        <w:t xml:space="preserve"> </w:t>
      </w:r>
      <w:r w:rsidRPr="00036FAC">
        <w:t>live</w:t>
      </w:r>
      <w:r w:rsidR="00907D8C">
        <w:t xml:space="preserve"> </w:t>
      </w:r>
      <w:r w:rsidRPr="00036FAC">
        <w:t>births</w:t>
      </w:r>
      <w:r w:rsidR="00907D8C">
        <w:t xml:space="preserve"> </w:t>
      </w:r>
      <w:r w:rsidRPr="00036FAC">
        <w:t>to</w:t>
      </w:r>
      <w:r w:rsidR="00907D8C">
        <w:t xml:space="preserve"> </w:t>
      </w:r>
      <w:r w:rsidRPr="00036FAC">
        <w:t>4.7/1,000</w:t>
      </w:r>
      <w:r w:rsidR="00907D8C">
        <w:t xml:space="preserve"> </w:t>
      </w:r>
      <w:r w:rsidRPr="00036FAC">
        <w:t>live</w:t>
      </w:r>
      <w:r w:rsidR="00907D8C">
        <w:t xml:space="preserve"> </w:t>
      </w:r>
      <w:r w:rsidRPr="00036FAC">
        <w:t>births.</w:t>
      </w:r>
      <w:r w:rsidR="00907D8C">
        <w:t xml:space="preserve"> </w:t>
      </w:r>
      <w:r w:rsidRPr="00036FAC">
        <w:t>However,</w:t>
      </w:r>
      <w:r w:rsidR="00907D8C">
        <w:t xml:space="preserve"> </w:t>
      </w:r>
      <w:r w:rsidRPr="00036FAC">
        <w:t>in</w:t>
      </w:r>
      <w:r w:rsidR="00907D8C">
        <w:t xml:space="preserve"> </w:t>
      </w:r>
      <w:r w:rsidRPr="00036FAC">
        <w:t>the</w:t>
      </w:r>
      <w:r w:rsidR="00907D8C">
        <w:t xml:space="preserve"> </w:t>
      </w:r>
      <w:r w:rsidRPr="00036FAC">
        <w:t>last</w:t>
      </w:r>
      <w:r w:rsidR="00907D8C">
        <w:t xml:space="preserve"> </w:t>
      </w:r>
      <w:r w:rsidRPr="00036FAC">
        <w:t>three</w:t>
      </w:r>
      <w:r w:rsidR="00907D8C">
        <w:t xml:space="preserve"> </w:t>
      </w:r>
      <w:r w:rsidRPr="00036FAC">
        <w:t>years</w:t>
      </w:r>
      <w:r w:rsidR="00907D8C">
        <w:t xml:space="preserve"> </w:t>
      </w:r>
      <w:r w:rsidRPr="00036FAC">
        <w:t>of</w:t>
      </w:r>
      <w:r w:rsidR="00907D8C">
        <w:t xml:space="preserve"> </w:t>
      </w:r>
      <w:r w:rsidRPr="00036FAC">
        <w:t>the</w:t>
      </w:r>
      <w:r w:rsidR="00907D8C">
        <w:t xml:space="preserve"> </w:t>
      </w:r>
      <w:r w:rsidRPr="00036FAC">
        <w:t>period,</w:t>
      </w:r>
      <w:r w:rsidR="00907D8C">
        <w:t xml:space="preserve"> </w:t>
      </w:r>
      <w:r w:rsidRPr="00036FAC">
        <w:t>rates</w:t>
      </w:r>
      <w:r w:rsidR="00907D8C">
        <w:t xml:space="preserve"> </w:t>
      </w:r>
      <w:r w:rsidRPr="00036FAC">
        <w:t>appeared</w:t>
      </w:r>
      <w:r w:rsidR="00907D8C">
        <w:t xml:space="preserve"> </w:t>
      </w:r>
      <w:r w:rsidRPr="00036FAC">
        <w:t>to</w:t>
      </w:r>
      <w:r w:rsidR="00907D8C">
        <w:t xml:space="preserve"> </w:t>
      </w:r>
      <w:r w:rsidRPr="00036FAC">
        <w:t>plateau.</w:t>
      </w:r>
      <w:r w:rsidR="00907D8C">
        <w:t xml:space="preserve"> </w:t>
      </w:r>
      <w:r w:rsidRPr="00036FAC">
        <w:t>This</w:t>
      </w:r>
      <w:r w:rsidR="00907D8C">
        <w:t xml:space="preserve"> </w:t>
      </w:r>
      <w:r w:rsidRPr="00036FAC">
        <w:t>is</w:t>
      </w:r>
      <w:r w:rsidR="00907D8C">
        <w:t xml:space="preserve"> </w:t>
      </w:r>
      <w:r w:rsidRPr="00036FAC">
        <w:t>primarily</w:t>
      </w:r>
      <w:r w:rsidR="00907D8C">
        <w:t xml:space="preserve"> </w:t>
      </w:r>
      <w:r w:rsidRPr="00036FAC">
        <w:t>due</w:t>
      </w:r>
      <w:r w:rsidR="00907D8C">
        <w:t xml:space="preserve"> </w:t>
      </w:r>
      <w:r w:rsidRPr="00036FAC">
        <w:t>to</w:t>
      </w:r>
      <w:r w:rsidR="00907D8C">
        <w:t xml:space="preserve"> </w:t>
      </w:r>
      <w:r w:rsidRPr="00036FAC">
        <w:t>rises</w:t>
      </w:r>
      <w:r w:rsidR="00907D8C">
        <w:t xml:space="preserve"> </w:t>
      </w:r>
      <w:r w:rsidRPr="00036FAC">
        <w:t>in</w:t>
      </w:r>
      <w:r w:rsidR="00907D8C">
        <w:t xml:space="preserve"> </w:t>
      </w:r>
      <w:r w:rsidRPr="00036FAC">
        <w:t>neonatal</w:t>
      </w:r>
      <w:r w:rsidR="00907D8C">
        <w:t xml:space="preserve"> </w:t>
      </w:r>
      <w:r w:rsidRPr="00036FAC">
        <w:t>(0–28</w:t>
      </w:r>
      <w:r w:rsidR="00907D8C">
        <w:t xml:space="preserve"> </w:t>
      </w:r>
      <w:r w:rsidRPr="00036FAC">
        <w:t>days)</w:t>
      </w:r>
      <w:r w:rsidR="00907D8C">
        <w:t xml:space="preserve"> </w:t>
      </w:r>
      <w:r w:rsidRPr="00036FAC">
        <w:t>mortality.</w:t>
      </w:r>
      <w:r w:rsidR="00907D8C">
        <w:t xml:space="preserve"> </w:t>
      </w:r>
      <w:r w:rsidRPr="00036FAC">
        <w:t>Post-neonatal</w:t>
      </w:r>
      <w:r w:rsidR="00907D8C">
        <w:t xml:space="preserve"> </w:t>
      </w:r>
      <w:r w:rsidRPr="00036FAC">
        <w:t>mortality</w:t>
      </w:r>
      <w:r w:rsidR="00907D8C">
        <w:t xml:space="preserve"> </w:t>
      </w:r>
      <w:r w:rsidRPr="00036FAC">
        <w:t>has</w:t>
      </w:r>
      <w:r w:rsidR="00907D8C">
        <w:t xml:space="preserve"> </w:t>
      </w:r>
      <w:r w:rsidRPr="00036FAC">
        <w:t>remained</w:t>
      </w:r>
      <w:r w:rsidR="00907D8C">
        <w:t xml:space="preserve"> </w:t>
      </w:r>
      <w:r w:rsidRPr="00036FAC">
        <w:t>stable</w:t>
      </w:r>
      <w:r w:rsidR="00907D8C">
        <w:t xml:space="preserve"> </w:t>
      </w:r>
      <w:r w:rsidRPr="00036FAC">
        <w:t>over</w:t>
      </w:r>
      <w:r w:rsidR="00907D8C">
        <w:t xml:space="preserve"> </w:t>
      </w:r>
      <w:r w:rsidRPr="00036FAC">
        <w:t>this</w:t>
      </w:r>
      <w:r w:rsidR="00907D8C">
        <w:t xml:space="preserve"> </w:t>
      </w:r>
      <w:r w:rsidRPr="00036FAC">
        <w:t>period.</w:t>
      </w:r>
      <w:r w:rsidRPr="00BC778F">
        <w:rPr>
          <w:rStyle w:val="FootnoteReference"/>
        </w:rPr>
        <w:footnoteReference w:id="8"/>
      </w:r>
    </w:p>
    <w:p w:rsidR="00BC778F" w:rsidRDefault="00BC778F" w:rsidP="00BC778F">
      <w:pPr>
        <w:pStyle w:val="Heading1"/>
      </w:pPr>
      <w:bookmarkStart w:id="53" w:name="_Toc275331926"/>
      <w:r>
        <w:t>Table</w:t>
      </w:r>
      <w:r w:rsidR="00907D8C">
        <w:t xml:space="preserve"> </w:t>
      </w:r>
      <w:r>
        <w:t>25</w:t>
      </w:r>
    </w:p>
    <w:p w:rsidR="00036FAC" w:rsidRPr="00BC778F" w:rsidRDefault="00036FAC" w:rsidP="00BC778F">
      <w:pPr>
        <w:pStyle w:val="SingleTxtG"/>
        <w:rPr>
          <w:b/>
        </w:rPr>
      </w:pPr>
      <w:r w:rsidRPr="00BC778F">
        <w:rPr>
          <w:b/>
        </w:rPr>
        <w:t>Infant</w:t>
      </w:r>
      <w:r w:rsidR="00907D8C">
        <w:rPr>
          <w:b/>
        </w:rPr>
        <w:t xml:space="preserve"> </w:t>
      </w:r>
      <w:r w:rsidRPr="00BC778F">
        <w:rPr>
          <w:b/>
        </w:rPr>
        <w:t>mortality</w:t>
      </w:r>
      <w:r w:rsidR="00907D8C">
        <w:rPr>
          <w:b/>
        </w:rPr>
        <w:t xml:space="preserve"> </w:t>
      </w:r>
      <w:r w:rsidRPr="00BC778F">
        <w:rPr>
          <w:b/>
        </w:rPr>
        <w:t>rates</w:t>
      </w:r>
      <w:r w:rsidR="00907D8C">
        <w:rPr>
          <w:b/>
        </w:rPr>
        <w:t xml:space="preserve"> </w:t>
      </w:r>
      <w:r w:rsidRPr="00BC778F">
        <w:rPr>
          <w:b/>
        </w:rPr>
        <w:t>by</w:t>
      </w:r>
      <w:r w:rsidR="00907D8C">
        <w:rPr>
          <w:b/>
        </w:rPr>
        <w:t xml:space="preserve"> </w:t>
      </w:r>
      <w:r w:rsidRPr="00BC778F">
        <w:rPr>
          <w:b/>
        </w:rPr>
        <w:t>ethnicity</w:t>
      </w:r>
      <w:r w:rsidR="00907D8C">
        <w:rPr>
          <w:b/>
        </w:rPr>
        <w:t xml:space="preserve"> </w:t>
      </w:r>
      <w:r w:rsidRPr="00BC778F">
        <w:rPr>
          <w:b/>
        </w:rPr>
        <w:t>and</w:t>
      </w:r>
      <w:r w:rsidR="00907D8C">
        <w:rPr>
          <w:b/>
        </w:rPr>
        <w:t xml:space="preserve"> </w:t>
      </w:r>
      <w:r w:rsidRPr="00BC778F">
        <w:rPr>
          <w:b/>
        </w:rPr>
        <w:t>year</w:t>
      </w:r>
      <w:bookmarkEnd w:id="53"/>
    </w:p>
    <w:p w:rsidR="00036FAC" w:rsidRPr="00036FAC" w:rsidRDefault="00100C2F" w:rsidP="00B258C5">
      <w:pPr>
        <w:tabs>
          <w:tab w:val="right" w:pos="850"/>
          <w:tab w:val="left" w:pos="1134"/>
          <w:tab w:val="left" w:pos="1559"/>
          <w:tab w:val="left" w:pos="1984"/>
          <w:tab w:val="left" w:leader="dot" w:pos="7654"/>
          <w:tab w:val="right" w:pos="8929"/>
          <w:tab w:val="right" w:pos="9638"/>
        </w:tabs>
        <w:spacing w:after="120"/>
        <w:ind w:left="1077"/>
      </w:pPr>
      <w:r w:rsidRPr="00036FAC">
        <w:pict>
          <v:shape id="_x0000_i1035" type="#_x0000_t75" style="width:414.75pt;height:204.75pt" o:allowoverlap="f">
            <v:imagedata r:id="rId17" o:title=""/>
          </v:shape>
        </w:pict>
      </w:r>
    </w:p>
    <w:p w:rsidR="00BC778F" w:rsidRPr="00BC778F" w:rsidRDefault="00BC778F" w:rsidP="00B50FB5">
      <w:pPr>
        <w:spacing w:before="120" w:after="240"/>
        <w:ind w:left="1134" w:right="1134" w:firstLine="170"/>
        <w:rPr>
          <w:sz w:val="18"/>
          <w:szCs w:val="18"/>
        </w:rPr>
      </w:pPr>
      <w:r w:rsidRPr="00BC778F">
        <w:rPr>
          <w:i/>
          <w:sz w:val="18"/>
          <w:szCs w:val="18"/>
        </w:rPr>
        <w:t>Source</w:t>
      </w:r>
      <w:r w:rsidRPr="00BC778F">
        <w:rPr>
          <w:sz w:val="18"/>
          <w:szCs w:val="18"/>
        </w:rPr>
        <w:t>:</w:t>
      </w:r>
      <w:r w:rsidR="00907D8C">
        <w:rPr>
          <w:sz w:val="18"/>
          <w:szCs w:val="18"/>
        </w:rPr>
        <w:t xml:space="preserve">  </w:t>
      </w:r>
      <w:r w:rsidRPr="00BC778F">
        <w:rPr>
          <w:sz w:val="18"/>
          <w:szCs w:val="18"/>
        </w:rPr>
        <w:t>Ministry</w:t>
      </w:r>
      <w:r w:rsidR="00907D8C">
        <w:rPr>
          <w:sz w:val="18"/>
          <w:szCs w:val="18"/>
        </w:rPr>
        <w:t xml:space="preserve"> </w:t>
      </w:r>
      <w:r w:rsidRPr="00BC778F">
        <w:rPr>
          <w:sz w:val="18"/>
          <w:szCs w:val="18"/>
        </w:rPr>
        <w:t>of</w:t>
      </w:r>
      <w:r w:rsidR="00907D8C">
        <w:rPr>
          <w:sz w:val="18"/>
          <w:szCs w:val="18"/>
        </w:rPr>
        <w:t xml:space="preserve"> </w:t>
      </w:r>
      <w:r w:rsidR="00A6400B">
        <w:rPr>
          <w:sz w:val="18"/>
          <w:szCs w:val="18"/>
        </w:rPr>
        <w:t>Health.</w:t>
      </w:r>
    </w:p>
    <w:p w:rsidR="00036FAC" w:rsidRPr="00036FAC" w:rsidRDefault="00036FAC" w:rsidP="00100C2F">
      <w:pPr>
        <w:pStyle w:val="SingleTxtG"/>
      </w:pPr>
      <w:r w:rsidRPr="00036FAC">
        <w:t>83.</w:t>
      </w:r>
      <w:r w:rsidRPr="00036FAC">
        <w:tab/>
        <w:t>Infant</w:t>
      </w:r>
      <w:r w:rsidR="00907D8C">
        <w:t xml:space="preserve"> </w:t>
      </w:r>
      <w:r w:rsidRPr="00036FAC">
        <w:t>death</w:t>
      </w:r>
      <w:r w:rsidR="00907D8C">
        <w:t xml:space="preserve"> </w:t>
      </w:r>
      <w:r w:rsidRPr="00036FAC">
        <w:t>rates</w:t>
      </w:r>
      <w:r w:rsidR="00907D8C">
        <w:t xml:space="preserve"> </w:t>
      </w:r>
      <w:r w:rsidRPr="00036FAC">
        <w:t>for</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have</w:t>
      </w:r>
      <w:r w:rsidR="00907D8C">
        <w:t xml:space="preserve"> </w:t>
      </w:r>
      <w:r w:rsidRPr="00036FAC">
        <w:t>reduced</w:t>
      </w:r>
      <w:r w:rsidR="00907D8C">
        <w:t xml:space="preserve"> </w:t>
      </w:r>
      <w:r w:rsidRPr="00036FAC">
        <w:t>in</w:t>
      </w:r>
      <w:r w:rsidR="00907D8C">
        <w:t xml:space="preserve"> </w:t>
      </w:r>
      <w:r w:rsidRPr="00036FAC">
        <w:t>recent</w:t>
      </w:r>
      <w:r w:rsidR="00907D8C">
        <w:t xml:space="preserve"> </w:t>
      </w:r>
      <w:r w:rsidRPr="00036FAC">
        <w:t>years</w:t>
      </w:r>
      <w:r w:rsidR="00907D8C">
        <w:t xml:space="preserve"> </w:t>
      </w:r>
      <w:r w:rsidRPr="00036FAC">
        <w:t>but</w:t>
      </w:r>
      <w:r w:rsidR="00907D8C">
        <w:t xml:space="preserve"> </w:t>
      </w:r>
      <w:r w:rsidRPr="00036FAC">
        <w:t>ethnic</w:t>
      </w:r>
      <w:r w:rsidR="00907D8C">
        <w:t xml:space="preserve"> </w:t>
      </w:r>
      <w:r w:rsidRPr="00036FAC">
        <w:t>disparities</w:t>
      </w:r>
      <w:r w:rsidR="00907D8C">
        <w:t xml:space="preserve"> </w:t>
      </w:r>
      <w:r w:rsidRPr="00036FAC">
        <w:t>remain,</w:t>
      </w:r>
      <w:r w:rsidR="00907D8C">
        <w:t xml:space="preserve"> </w:t>
      </w:r>
      <w:r w:rsidRPr="00036FAC">
        <w:t>with</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rates</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for</w:t>
      </w:r>
      <w:r w:rsidR="00907D8C">
        <w:t xml:space="preserve"> </w:t>
      </w:r>
      <w:r w:rsidRPr="00036FAC">
        <w:t>the</w:t>
      </w:r>
      <w:r w:rsidR="00907D8C">
        <w:t xml:space="preserve"> </w:t>
      </w:r>
      <w:r w:rsidRPr="00036FAC">
        <w:t>Other</w:t>
      </w:r>
      <w:r w:rsidR="00907D8C">
        <w:t xml:space="preserve"> </w:t>
      </w:r>
      <w:r w:rsidRPr="00036FAC">
        <w:t>ethnic</w:t>
      </w:r>
      <w:r w:rsidR="00907D8C">
        <w:t xml:space="preserve"> </w:t>
      </w:r>
      <w:r w:rsidRPr="00036FAC">
        <w:t>group.</w:t>
      </w:r>
      <w:r w:rsidR="00907D8C">
        <w:t xml:space="preserve"> </w:t>
      </w:r>
      <w:r w:rsidRPr="00036FAC">
        <w:t>Post-neonatal</w:t>
      </w:r>
      <w:r w:rsidR="00907D8C">
        <w:t xml:space="preserve"> </w:t>
      </w:r>
      <w:r w:rsidRPr="00036FAC">
        <w:t>mortality</w:t>
      </w:r>
      <w:r w:rsidR="00907D8C">
        <w:t xml:space="preserve"> </w:t>
      </w:r>
      <w:r w:rsidRPr="00036FAC">
        <w:t>for</w:t>
      </w:r>
      <w:r w:rsidR="00907D8C">
        <w:t xml:space="preserve"> </w:t>
      </w:r>
      <w:r w:rsidRPr="00036FAC">
        <w:t>Māori</w:t>
      </w:r>
      <w:r w:rsidR="00907D8C">
        <w:t xml:space="preserve"> </w:t>
      </w:r>
      <w:r w:rsidRPr="00036FAC">
        <w:t>infants</w:t>
      </w:r>
      <w:r w:rsidR="00907D8C">
        <w:t xml:space="preserve"> </w:t>
      </w:r>
      <w:r w:rsidRPr="00036FAC">
        <w:t>is</w:t>
      </w:r>
      <w:r w:rsidR="00907D8C">
        <w:t xml:space="preserve"> </w:t>
      </w:r>
      <w:r w:rsidRPr="00036FAC">
        <w:t>twice</w:t>
      </w:r>
      <w:r w:rsidR="00907D8C">
        <w:t xml:space="preserve"> </w:t>
      </w:r>
      <w:r w:rsidRPr="00036FAC">
        <w:t>that</w:t>
      </w:r>
      <w:r w:rsidR="00907D8C">
        <w:t xml:space="preserve"> </w:t>
      </w:r>
      <w:r w:rsidRPr="00036FAC">
        <w:t>of</w:t>
      </w:r>
      <w:r w:rsidR="00907D8C">
        <w:t xml:space="preserve"> </w:t>
      </w:r>
      <w:r w:rsidRPr="00036FAC">
        <w:t>non-Māori</w:t>
      </w:r>
      <w:r w:rsidR="00907D8C">
        <w:t xml:space="preserve"> </w:t>
      </w:r>
      <w:r w:rsidRPr="00036FAC">
        <w:t>infants.</w:t>
      </w:r>
    </w:p>
    <w:p w:rsidR="00036FAC" w:rsidRPr="00036FAC" w:rsidRDefault="00036FAC" w:rsidP="00100C2F">
      <w:pPr>
        <w:pStyle w:val="SingleTxtG"/>
      </w:pPr>
      <w:r w:rsidRPr="00036FAC">
        <w:t>84.</w:t>
      </w:r>
      <w:r w:rsidRPr="00036FAC">
        <w:tab/>
        <w:t>Child</w:t>
      </w:r>
      <w:r w:rsidR="00907D8C">
        <w:t xml:space="preserve"> </w:t>
      </w:r>
      <w:r w:rsidRPr="00036FAC">
        <w:t>(1–4</w:t>
      </w:r>
      <w:r w:rsidR="00907D8C">
        <w:t xml:space="preserve"> </w:t>
      </w:r>
      <w:r w:rsidRPr="00036FAC">
        <w:t>years)</w:t>
      </w:r>
      <w:r w:rsidR="00907D8C">
        <w:t xml:space="preserve"> </w:t>
      </w:r>
      <w:r w:rsidRPr="00036FAC">
        <w:t>mortality</w:t>
      </w:r>
      <w:r w:rsidR="00907D8C">
        <w:t xml:space="preserve"> </w:t>
      </w:r>
      <w:r w:rsidRPr="00036FAC">
        <w:t>has</w:t>
      </w:r>
      <w:r w:rsidR="00907D8C">
        <w:t xml:space="preserve"> </w:t>
      </w:r>
      <w:r w:rsidRPr="00036FAC">
        <w:t>also</w:t>
      </w:r>
      <w:r w:rsidR="00907D8C">
        <w:t xml:space="preserve"> </w:t>
      </w:r>
      <w:r w:rsidRPr="00036FAC">
        <w:t>fallen</w:t>
      </w:r>
      <w:r w:rsidR="00907D8C">
        <w:t xml:space="preserve"> </w:t>
      </w:r>
      <w:r w:rsidRPr="00036FAC">
        <w:t>over</w:t>
      </w:r>
      <w:r w:rsidR="00907D8C">
        <w:t xml:space="preserve"> </w:t>
      </w:r>
      <w:r w:rsidRPr="00036FAC">
        <w:t>the</w:t>
      </w:r>
      <w:r w:rsidR="00907D8C">
        <w:t xml:space="preserve"> </w:t>
      </w:r>
      <w:r w:rsidRPr="00036FAC">
        <w:t>period</w:t>
      </w:r>
      <w:r w:rsidR="00907D8C">
        <w:t xml:space="preserve"> </w:t>
      </w:r>
      <w:r w:rsidRPr="00036FAC">
        <w:t>2003–</w:t>
      </w:r>
      <w:r w:rsidR="00B258C5">
        <w:t>20</w:t>
      </w:r>
      <w:r w:rsidRPr="00036FAC">
        <w:t>08</w:t>
      </w:r>
      <w:r w:rsidR="00907D8C">
        <w:t xml:space="preserve"> </w:t>
      </w:r>
      <w:r w:rsidRPr="00036FAC">
        <w:t>but</w:t>
      </w:r>
      <w:r w:rsidR="00907D8C">
        <w:t xml:space="preserve"> </w:t>
      </w:r>
      <w:r w:rsidRPr="00036FAC">
        <w:t>the</w:t>
      </w:r>
      <w:r w:rsidR="00907D8C">
        <w:t xml:space="preserve"> </w:t>
      </w:r>
      <w:r w:rsidRPr="00036FAC">
        <w:t>trend</w:t>
      </w:r>
      <w:r w:rsidR="00907D8C">
        <w:t xml:space="preserve"> </w:t>
      </w:r>
      <w:r w:rsidRPr="00036FAC">
        <w:t>has</w:t>
      </w:r>
      <w:r w:rsidR="00907D8C">
        <w:t xml:space="preserve"> </w:t>
      </w:r>
      <w:r w:rsidRPr="00036FAC">
        <w:t>been</w:t>
      </w:r>
      <w:r w:rsidR="00907D8C">
        <w:t xml:space="preserve"> </w:t>
      </w:r>
      <w:r w:rsidRPr="00036FAC">
        <w:t>for</w:t>
      </w:r>
      <w:r w:rsidR="00907D8C">
        <w:t xml:space="preserve"> </w:t>
      </w:r>
      <w:r w:rsidRPr="00036FAC">
        <w:t>a</w:t>
      </w:r>
      <w:r w:rsidR="00907D8C">
        <w:t xml:space="preserve"> </w:t>
      </w:r>
      <w:r w:rsidRPr="00036FAC">
        <w:t>fall</w:t>
      </w:r>
      <w:r w:rsidR="00907D8C">
        <w:t xml:space="preserve"> </w:t>
      </w:r>
      <w:r w:rsidRPr="00036FAC">
        <w:t>to</w:t>
      </w:r>
      <w:r w:rsidR="00907D8C">
        <w:t xml:space="preserve"> </w:t>
      </w:r>
      <w:r w:rsidRPr="00036FAC">
        <w:t>2004</w:t>
      </w:r>
      <w:r w:rsidR="00907D8C">
        <w:t xml:space="preserve"> </w:t>
      </w:r>
      <w:r w:rsidRPr="00036FAC">
        <w:t>levels</w:t>
      </w:r>
      <w:r w:rsidR="00907D8C">
        <w:t xml:space="preserve"> </w:t>
      </w:r>
      <w:r w:rsidRPr="00036FAC">
        <w:t>and</w:t>
      </w:r>
      <w:r w:rsidR="00907D8C">
        <w:t xml:space="preserve"> </w:t>
      </w:r>
      <w:r w:rsidRPr="00036FAC">
        <w:t>then</w:t>
      </w:r>
      <w:r w:rsidR="00907D8C">
        <w:t xml:space="preserve"> </w:t>
      </w:r>
      <w:r w:rsidRPr="00036FAC">
        <w:t>a</w:t>
      </w:r>
      <w:r w:rsidR="00907D8C">
        <w:t xml:space="preserve"> </w:t>
      </w:r>
      <w:r w:rsidRPr="00036FAC">
        <w:t>rise</w:t>
      </w:r>
      <w:r w:rsidR="00907D8C">
        <w:t xml:space="preserve"> </w:t>
      </w:r>
      <w:r w:rsidRPr="00036FAC">
        <w:t>to</w:t>
      </w:r>
      <w:r w:rsidR="00907D8C">
        <w:t xml:space="preserve"> </w:t>
      </w:r>
      <w:r w:rsidRPr="00036FAC">
        <w:t>close</w:t>
      </w:r>
      <w:r w:rsidR="00907D8C">
        <w:t xml:space="preserve"> </w:t>
      </w:r>
      <w:r w:rsidRPr="00036FAC">
        <w:t>to</w:t>
      </w:r>
      <w:r w:rsidR="00907D8C">
        <w:t xml:space="preserve"> </w:t>
      </w:r>
      <w:r w:rsidRPr="00036FAC">
        <w:t>2002–</w:t>
      </w:r>
      <w:r w:rsidR="00B258C5">
        <w:t>20</w:t>
      </w:r>
      <w:r w:rsidRPr="00036FAC">
        <w:t>03</w:t>
      </w:r>
      <w:r w:rsidR="00907D8C">
        <w:t xml:space="preserve"> </w:t>
      </w:r>
      <w:r w:rsidRPr="00036FAC">
        <w:t>levels.</w:t>
      </w:r>
      <w:r w:rsidR="00907D8C">
        <w:t xml:space="preserve"> </w:t>
      </w:r>
      <w:r w:rsidRPr="00036FAC">
        <w:t>The</w:t>
      </w:r>
      <w:r w:rsidR="00907D8C">
        <w:t xml:space="preserve"> </w:t>
      </w:r>
      <w:r w:rsidRPr="00036FAC">
        <w:t>cause</w:t>
      </w:r>
      <w:r w:rsidR="00907D8C">
        <w:t xml:space="preserve"> </w:t>
      </w:r>
      <w:r w:rsidRPr="00036FAC">
        <w:t>of</w:t>
      </w:r>
      <w:r w:rsidR="00907D8C">
        <w:t xml:space="preserve"> </w:t>
      </w:r>
      <w:r w:rsidRPr="00036FAC">
        <w:t>this</w:t>
      </w:r>
      <w:r w:rsidR="00907D8C">
        <w:t xml:space="preserve"> </w:t>
      </w:r>
      <w:r w:rsidRPr="00036FAC">
        <w:t>is</w:t>
      </w:r>
      <w:r w:rsidR="00907D8C">
        <w:t xml:space="preserve"> </w:t>
      </w:r>
      <w:r w:rsidRPr="00036FAC">
        <w:t>unclear,</w:t>
      </w:r>
      <w:r w:rsidR="00907D8C">
        <w:t xml:space="preserve"> </w:t>
      </w:r>
      <w:r w:rsidRPr="00036FAC">
        <w:t>and</w:t>
      </w:r>
      <w:r w:rsidR="00907D8C">
        <w:t xml:space="preserve"> </w:t>
      </w:r>
      <w:r w:rsidRPr="00036FAC">
        <w:t>may</w:t>
      </w:r>
      <w:r w:rsidR="00907D8C">
        <w:t xml:space="preserve"> </w:t>
      </w:r>
      <w:r w:rsidRPr="00036FAC">
        <w:t>be</w:t>
      </w:r>
      <w:r w:rsidR="00907D8C">
        <w:t xml:space="preserve"> </w:t>
      </w:r>
      <w:r w:rsidRPr="00036FAC">
        <w:t>due</w:t>
      </w:r>
      <w:r w:rsidR="00907D8C">
        <w:t xml:space="preserve"> </w:t>
      </w:r>
      <w:r w:rsidRPr="00036FAC">
        <w:t>to</w:t>
      </w:r>
      <w:r w:rsidR="00907D8C">
        <w:t xml:space="preserve"> </w:t>
      </w:r>
      <w:r w:rsidRPr="00036FAC">
        <w:t>random</w:t>
      </w:r>
      <w:r w:rsidR="00907D8C">
        <w:t xml:space="preserve"> </w:t>
      </w:r>
      <w:r w:rsidRPr="00036FAC">
        <w:t>fluctuations.</w:t>
      </w:r>
      <w:r w:rsidR="00907D8C">
        <w:t xml:space="preserve"> </w:t>
      </w:r>
      <w:r w:rsidRPr="00036FAC">
        <w:t>Most</w:t>
      </w:r>
      <w:r w:rsidR="00907D8C">
        <w:t xml:space="preserve"> </w:t>
      </w:r>
      <w:r w:rsidRPr="00036FAC">
        <w:t>of</w:t>
      </w:r>
      <w:r w:rsidR="00907D8C">
        <w:t xml:space="preserve"> </w:t>
      </w:r>
      <w:r w:rsidRPr="00036FAC">
        <w:t>the</w:t>
      </w:r>
      <w:r w:rsidR="00907D8C">
        <w:t xml:space="preserve"> </w:t>
      </w:r>
      <w:r w:rsidRPr="00036FAC">
        <w:t>increased</w:t>
      </w:r>
      <w:r w:rsidR="00907D8C">
        <w:t xml:space="preserve"> </w:t>
      </w:r>
      <w:r w:rsidRPr="00036FAC">
        <w:t>deaths</w:t>
      </w:r>
      <w:r w:rsidR="00907D8C">
        <w:t xml:space="preserve"> </w:t>
      </w:r>
      <w:r w:rsidRPr="00036FAC">
        <w:t>are</w:t>
      </w:r>
      <w:r w:rsidR="00907D8C">
        <w:t xml:space="preserve"> </w:t>
      </w:r>
      <w:r w:rsidRPr="00036FAC">
        <w:t>due</w:t>
      </w:r>
      <w:r w:rsidR="00907D8C">
        <w:t xml:space="preserve"> </w:t>
      </w:r>
      <w:r w:rsidRPr="00036FAC">
        <w:t>to</w:t>
      </w:r>
      <w:r w:rsidR="00907D8C">
        <w:t xml:space="preserve"> </w:t>
      </w:r>
      <w:r w:rsidRPr="00036FAC">
        <w:t>infectious</w:t>
      </w:r>
      <w:r w:rsidR="00907D8C">
        <w:t xml:space="preserve"> </w:t>
      </w:r>
      <w:r w:rsidRPr="00036FAC">
        <w:t>diseases</w:t>
      </w:r>
      <w:r w:rsidR="00907D8C">
        <w:t xml:space="preserve"> </w:t>
      </w:r>
      <w:r w:rsidRPr="00036FAC">
        <w:t>and</w:t>
      </w:r>
      <w:r w:rsidR="00907D8C">
        <w:t xml:space="preserve"> </w:t>
      </w:r>
      <w:r w:rsidRPr="00036FAC">
        <w:t>neoplasms,</w:t>
      </w:r>
      <w:r w:rsidR="00907D8C">
        <w:t xml:space="preserve"> </w:t>
      </w:r>
      <w:r w:rsidRPr="00036FAC">
        <w:t>drowning</w:t>
      </w:r>
      <w:r w:rsidR="00907D8C">
        <w:t xml:space="preserve"> </w:t>
      </w:r>
      <w:r w:rsidRPr="00036FAC">
        <w:t>and</w:t>
      </w:r>
      <w:r w:rsidR="00907D8C">
        <w:t xml:space="preserve"> </w:t>
      </w:r>
      <w:r w:rsidRPr="00036FAC">
        <w:t>vehicle-related</w:t>
      </w:r>
      <w:r w:rsidR="00907D8C">
        <w:t xml:space="preserve"> </w:t>
      </w:r>
      <w:r w:rsidRPr="00036FAC">
        <w:t>injuries,</w:t>
      </w:r>
      <w:r w:rsidR="00907D8C">
        <w:t xml:space="preserve"> </w:t>
      </w:r>
      <w:r w:rsidRPr="00036FAC">
        <w:t>however,</w:t>
      </w:r>
      <w:r w:rsidR="00907D8C">
        <w:t xml:space="preserve"> </w:t>
      </w:r>
      <w:r w:rsidRPr="00036FAC">
        <w:t>the</w:t>
      </w:r>
      <w:r w:rsidR="00907D8C">
        <w:t xml:space="preserve"> </w:t>
      </w:r>
      <w:r w:rsidRPr="00036FAC">
        <w:t>rates</w:t>
      </w:r>
      <w:r w:rsidR="00907D8C">
        <w:t xml:space="preserve"> </w:t>
      </w:r>
      <w:r w:rsidRPr="00036FAC">
        <w:t>for</w:t>
      </w:r>
      <w:r w:rsidR="00907D8C">
        <w:t xml:space="preserve"> </w:t>
      </w:r>
      <w:r w:rsidRPr="00036FAC">
        <w:t>these</w:t>
      </w:r>
      <w:r w:rsidR="00907D8C">
        <w:t xml:space="preserve"> </w:t>
      </w:r>
      <w:r w:rsidRPr="00036FAC">
        <w:t>groupings</w:t>
      </w:r>
      <w:r w:rsidR="00907D8C">
        <w:t xml:space="preserve"> </w:t>
      </w:r>
      <w:r w:rsidRPr="00036FAC">
        <w:t>vary</w:t>
      </w:r>
      <w:r w:rsidR="00907D8C">
        <w:t xml:space="preserve"> </w:t>
      </w:r>
      <w:r w:rsidRPr="00036FAC">
        <w:t>considerably</w:t>
      </w:r>
      <w:r w:rsidR="00907D8C">
        <w:t xml:space="preserve"> </w:t>
      </w:r>
      <w:r w:rsidRPr="00036FAC">
        <w:t>from</w:t>
      </w:r>
      <w:r w:rsidR="00907D8C">
        <w:t xml:space="preserve"> </w:t>
      </w:r>
      <w:r w:rsidRPr="00036FAC">
        <w:t>year</w:t>
      </w:r>
      <w:r w:rsidR="00907D8C">
        <w:t xml:space="preserve"> </w:t>
      </w:r>
      <w:r w:rsidRPr="00036FAC">
        <w:t>to</w:t>
      </w:r>
      <w:r w:rsidR="00907D8C">
        <w:t xml:space="preserve"> </w:t>
      </w:r>
      <w:r w:rsidRPr="00036FAC">
        <w:t>year.</w:t>
      </w:r>
    </w:p>
    <w:p w:rsidR="00100C2F" w:rsidRDefault="00100C2F" w:rsidP="00100C2F">
      <w:pPr>
        <w:pStyle w:val="Heading1"/>
        <w:keepNext/>
      </w:pPr>
      <w:bookmarkStart w:id="54" w:name="_Toc275331927"/>
      <w:r>
        <w:t>Table</w:t>
      </w:r>
      <w:r w:rsidR="00907D8C">
        <w:t xml:space="preserve"> </w:t>
      </w:r>
      <w:r>
        <w:t>26</w:t>
      </w:r>
    </w:p>
    <w:p w:rsidR="00036FAC" w:rsidRPr="00100C2F" w:rsidRDefault="00036FAC" w:rsidP="00100C2F">
      <w:pPr>
        <w:pStyle w:val="SingleTxtG"/>
        <w:keepNext/>
        <w:rPr>
          <w:b/>
        </w:rPr>
      </w:pPr>
      <w:r w:rsidRPr="00100C2F">
        <w:rPr>
          <w:b/>
        </w:rPr>
        <w:t>Mortality</w:t>
      </w:r>
      <w:r w:rsidR="00907D8C">
        <w:rPr>
          <w:b/>
        </w:rPr>
        <w:t xml:space="preserve"> </w:t>
      </w:r>
      <w:r w:rsidRPr="00100C2F">
        <w:rPr>
          <w:b/>
        </w:rPr>
        <w:t>(age-specific</w:t>
      </w:r>
      <w:r w:rsidR="00907D8C">
        <w:rPr>
          <w:b/>
        </w:rPr>
        <w:t xml:space="preserve"> </w:t>
      </w:r>
      <w:r w:rsidRPr="00100C2F">
        <w:rPr>
          <w:b/>
        </w:rPr>
        <w:t>rate</w:t>
      </w:r>
      <w:r w:rsidR="00907D8C">
        <w:rPr>
          <w:b/>
        </w:rPr>
        <w:t xml:space="preserve"> </w:t>
      </w:r>
      <w:r w:rsidRPr="00100C2F">
        <w:rPr>
          <w:b/>
        </w:rPr>
        <w:t>per</w:t>
      </w:r>
      <w:r w:rsidR="00907D8C">
        <w:rPr>
          <w:b/>
        </w:rPr>
        <w:t xml:space="preserve"> </w:t>
      </w:r>
      <w:r w:rsidRPr="00100C2F">
        <w:rPr>
          <w:b/>
        </w:rPr>
        <w:t>100,000</w:t>
      </w:r>
      <w:r w:rsidR="00907D8C">
        <w:rPr>
          <w:b/>
        </w:rPr>
        <w:t xml:space="preserve"> </w:t>
      </w:r>
      <w:r w:rsidRPr="00100C2F">
        <w:rPr>
          <w:b/>
        </w:rPr>
        <w:t>in</w:t>
      </w:r>
      <w:r w:rsidR="00907D8C">
        <w:rPr>
          <w:b/>
        </w:rPr>
        <w:t xml:space="preserve"> </w:t>
      </w:r>
      <w:r w:rsidRPr="00100C2F">
        <w:rPr>
          <w:b/>
        </w:rPr>
        <w:t>children</w:t>
      </w:r>
      <w:r w:rsidR="00907D8C">
        <w:rPr>
          <w:b/>
        </w:rPr>
        <w:t xml:space="preserve"> </w:t>
      </w:r>
      <w:r w:rsidRPr="00100C2F">
        <w:rPr>
          <w:b/>
        </w:rPr>
        <w:t>aged</w:t>
      </w:r>
      <w:r w:rsidR="00907D8C">
        <w:rPr>
          <w:b/>
        </w:rPr>
        <w:t xml:space="preserve"> </w:t>
      </w:r>
      <w:r w:rsidRPr="00100C2F">
        <w:rPr>
          <w:b/>
        </w:rPr>
        <w:t>1–4</w:t>
      </w:r>
      <w:r w:rsidR="00907D8C">
        <w:rPr>
          <w:b/>
        </w:rPr>
        <w:t xml:space="preserve"> </w:t>
      </w:r>
      <w:r w:rsidRPr="00100C2F">
        <w:rPr>
          <w:b/>
        </w:rPr>
        <w:t>years),</w:t>
      </w:r>
      <w:r w:rsidR="00907D8C">
        <w:rPr>
          <w:b/>
        </w:rPr>
        <w:t xml:space="preserve"> </w:t>
      </w:r>
      <w:r w:rsidRPr="00100C2F">
        <w:rPr>
          <w:b/>
        </w:rPr>
        <w:t>1979–2008</w:t>
      </w:r>
      <w:bookmarkEnd w:id="54"/>
    </w:p>
    <w:p w:rsidR="00036FAC" w:rsidRPr="00036FAC" w:rsidRDefault="00100C2F" w:rsidP="00100C2F">
      <w:pPr>
        <w:tabs>
          <w:tab w:val="right" w:pos="850"/>
          <w:tab w:val="left" w:pos="1134"/>
          <w:tab w:val="left" w:pos="1559"/>
          <w:tab w:val="left" w:pos="1984"/>
          <w:tab w:val="left" w:leader="dot" w:pos="7654"/>
          <w:tab w:val="right" w:pos="8929"/>
          <w:tab w:val="right" w:pos="9638"/>
        </w:tabs>
        <w:spacing w:after="120"/>
        <w:ind w:left="737"/>
      </w:pPr>
      <w:r w:rsidRPr="00036FAC">
        <w:pict>
          <v:shape id="_x0000_i1036" type="#_x0000_t75" style="width:437.25pt;height:249.75pt">
            <v:imagedata r:id="rId18" o:title="" croptop="5678f"/>
          </v:shape>
        </w:pict>
      </w:r>
    </w:p>
    <w:p w:rsidR="00036FAC" w:rsidRPr="00100C2F" w:rsidRDefault="00036FAC" w:rsidP="00B50FB5">
      <w:pPr>
        <w:spacing w:before="120" w:after="240"/>
        <w:ind w:left="1134" w:right="1134" w:firstLine="170"/>
        <w:rPr>
          <w:sz w:val="18"/>
          <w:szCs w:val="18"/>
        </w:rPr>
      </w:pPr>
      <w:r w:rsidRPr="00100C2F">
        <w:rPr>
          <w:i/>
          <w:sz w:val="18"/>
          <w:szCs w:val="18"/>
        </w:rPr>
        <w:t>Source</w:t>
      </w:r>
      <w:r w:rsidRPr="00100C2F">
        <w:rPr>
          <w:sz w:val="18"/>
          <w:szCs w:val="18"/>
        </w:rPr>
        <w:t>:</w:t>
      </w:r>
      <w:r w:rsidR="00907D8C">
        <w:rPr>
          <w:sz w:val="18"/>
          <w:szCs w:val="18"/>
        </w:rPr>
        <w:t xml:space="preserve">  </w:t>
      </w:r>
      <w:r w:rsidRPr="00100C2F">
        <w:rPr>
          <w:sz w:val="18"/>
          <w:szCs w:val="18"/>
        </w:rPr>
        <w:t>Ministry</w:t>
      </w:r>
      <w:r w:rsidR="00907D8C">
        <w:rPr>
          <w:sz w:val="18"/>
          <w:szCs w:val="18"/>
        </w:rPr>
        <w:t xml:space="preserve"> </w:t>
      </w:r>
      <w:r w:rsidRPr="00100C2F">
        <w:rPr>
          <w:sz w:val="18"/>
          <w:szCs w:val="18"/>
        </w:rPr>
        <w:t>of</w:t>
      </w:r>
      <w:r w:rsidR="00907D8C">
        <w:rPr>
          <w:sz w:val="18"/>
          <w:szCs w:val="18"/>
        </w:rPr>
        <w:t xml:space="preserve"> </w:t>
      </w:r>
      <w:r w:rsidRPr="00100C2F">
        <w:rPr>
          <w:sz w:val="18"/>
          <w:szCs w:val="18"/>
        </w:rPr>
        <w:t>Health</w:t>
      </w:r>
      <w:r w:rsidR="00100C2F" w:rsidRPr="00100C2F">
        <w:rPr>
          <w:sz w:val="18"/>
          <w:szCs w:val="18"/>
        </w:rPr>
        <w:t>.</w:t>
      </w:r>
    </w:p>
    <w:p w:rsidR="00036FAC" w:rsidRPr="00036FAC" w:rsidRDefault="00036FAC" w:rsidP="00100C2F">
      <w:pPr>
        <w:pStyle w:val="SingleTxtG"/>
      </w:pPr>
      <w:r w:rsidRPr="00036FAC">
        <w:t>85.</w:t>
      </w:r>
      <w:r w:rsidRPr="00036FAC">
        <w:tab/>
        <w:t>There</w:t>
      </w:r>
      <w:r w:rsidR="00907D8C">
        <w:t xml:space="preserve"> </w:t>
      </w:r>
      <w:r w:rsidRPr="00036FAC">
        <w:t>is</w:t>
      </w:r>
      <w:r w:rsidR="00907D8C">
        <w:t xml:space="preserve"> </w:t>
      </w:r>
      <w:r w:rsidRPr="00036FAC">
        <w:t>a</w:t>
      </w:r>
      <w:r w:rsidR="00907D8C">
        <w:t xml:space="preserve"> </w:t>
      </w:r>
      <w:r w:rsidRPr="00036FAC">
        <w:t>significant</w:t>
      </w:r>
      <w:r w:rsidR="00907D8C">
        <w:t xml:space="preserve"> </w:t>
      </w:r>
      <w:r w:rsidRPr="00036FAC">
        <w:t>disparity</w:t>
      </w:r>
      <w:r w:rsidR="00907D8C">
        <w:t xml:space="preserve"> </w:t>
      </w:r>
      <w:r w:rsidRPr="00036FAC">
        <w:t>in</w:t>
      </w:r>
      <w:r w:rsidR="00907D8C">
        <w:t xml:space="preserve"> </w:t>
      </w:r>
      <w:r w:rsidRPr="00036FAC">
        <w:t>mortality</w:t>
      </w:r>
      <w:r w:rsidR="00907D8C">
        <w:t xml:space="preserve"> </w:t>
      </w:r>
      <w:r w:rsidRPr="00036FAC">
        <w:t>between</w:t>
      </w:r>
      <w:r w:rsidR="00907D8C">
        <w:t xml:space="preserve"> </w:t>
      </w:r>
      <w:r w:rsidRPr="00036FAC">
        <w:t>Māori</w:t>
      </w:r>
      <w:r w:rsidR="00907D8C">
        <w:t xml:space="preserve"> </w:t>
      </w:r>
      <w:r w:rsidRPr="00036FAC">
        <w:t>and</w:t>
      </w:r>
      <w:r w:rsidR="00907D8C">
        <w:t xml:space="preserve"> </w:t>
      </w:r>
      <w:r w:rsidRPr="00036FAC">
        <w:t>non-Māori</w:t>
      </w:r>
      <w:r w:rsidR="00907D8C">
        <w:t xml:space="preserve"> </w:t>
      </w:r>
      <w:r w:rsidRPr="00036FAC">
        <w:t>children</w:t>
      </w:r>
      <w:r w:rsidR="00907D8C">
        <w:t xml:space="preserve"> </w:t>
      </w:r>
      <w:r w:rsidRPr="00036FAC">
        <w:t>in</w:t>
      </w:r>
      <w:r w:rsidR="00907D8C">
        <w:t xml:space="preserve"> </w:t>
      </w:r>
      <w:r w:rsidRPr="00036FAC">
        <w:t>the</w:t>
      </w:r>
      <w:r w:rsidR="00907D8C">
        <w:t xml:space="preserve"> </w:t>
      </w:r>
      <w:r w:rsidRPr="00036FAC">
        <w:t>age</w:t>
      </w:r>
      <w:r w:rsidR="00907D8C">
        <w:t xml:space="preserve"> </w:t>
      </w:r>
      <w:r w:rsidRPr="00036FAC">
        <w:t>group</w:t>
      </w:r>
      <w:r w:rsidR="00907D8C">
        <w:t xml:space="preserve"> </w:t>
      </w:r>
      <w:r w:rsidRPr="00036FAC">
        <w:t>1–4</w:t>
      </w:r>
      <w:r w:rsidR="00907D8C">
        <w:t xml:space="preserve"> </w:t>
      </w:r>
      <w:r w:rsidRPr="00036FAC">
        <w:t>years.</w:t>
      </w:r>
    </w:p>
    <w:p w:rsidR="00100C2F" w:rsidRDefault="00100C2F" w:rsidP="00100C2F">
      <w:pPr>
        <w:pStyle w:val="Heading1"/>
      </w:pPr>
      <w:bookmarkStart w:id="55" w:name="_Toc275331928"/>
      <w:r>
        <w:t>Table</w:t>
      </w:r>
      <w:r w:rsidR="00907D8C">
        <w:t xml:space="preserve"> </w:t>
      </w:r>
      <w:r>
        <w:t>27</w:t>
      </w:r>
    </w:p>
    <w:p w:rsidR="00036FAC" w:rsidRPr="00100C2F" w:rsidRDefault="00036FAC" w:rsidP="00100C2F">
      <w:pPr>
        <w:pStyle w:val="SingleTxtG"/>
        <w:rPr>
          <w:b/>
        </w:rPr>
      </w:pPr>
      <w:r w:rsidRPr="00100C2F">
        <w:rPr>
          <w:b/>
        </w:rPr>
        <w:t>Mortality</w:t>
      </w:r>
      <w:r w:rsidR="00907D8C">
        <w:rPr>
          <w:b/>
        </w:rPr>
        <w:t xml:space="preserve"> </w:t>
      </w:r>
      <w:r w:rsidRPr="00100C2F">
        <w:rPr>
          <w:b/>
        </w:rPr>
        <w:t>(age-specific</w:t>
      </w:r>
      <w:r w:rsidR="00907D8C">
        <w:rPr>
          <w:b/>
        </w:rPr>
        <w:t xml:space="preserve"> </w:t>
      </w:r>
      <w:r w:rsidRPr="00100C2F">
        <w:rPr>
          <w:b/>
        </w:rPr>
        <w:t>rates</w:t>
      </w:r>
      <w:r w:rsidR="00907D8C">
        <w:rPr>
          <w:b/>
        </w:rPr>
        <w:t xml:space="preserve"> </w:t>
      </w:r>
      <w:r w:rsidRPr="00100C2F">
        <w:rPr>
          <w:b/>
        </w:rPr>
        <w:t>per</w:t>
      </w:r>
      <w:r w:rsidR="00907D8C">
        <w:rPr>
          <w:b/>
        </w:rPr>
        <w:t xml:space="preserve"> </w:t>
      </w:r>
      <w:r w:rsidRPr="00100C2F">
        <w:rPr>
          <w:b/>
        </w:rPr>
        <w:t>100,000</w:t>
      </w:r>
      <w:r w:rsidR="00907D8C">
        <w:rPr>
          <w:b/>
        </w:rPr>
        <w:t xml:space="preserve"> </w:t>
      </w:r>
      <w:r w:rsidRPr="00100C2F">
        <w:rPr>
          <w:b/>
        </w:rPr>
        <w:t>in</w:t>
      </w:r>
      <w:r w:rsidR="00907D8C">
        <w:rPr>
          <w:b/>
        </w:rPr>
        <w:t xml:space="preserve"> </w:t>
      </w:r>
      <w:r w:rsidRPr="00100C2F">
        <w:rPr>
          <w:b/>
        </w:rPr>
        <w:t>Māori</w:t>
      </w:r>
      <w:r w:rsidR="00907D8C">
        <w:rPr>
          <w:b/>
        </w:rPr>
        <w:t xml:space="preserve"> </w:t>
      </w:r>
      <w:r w:rsidRPr="00100C2F">
        <w:rPr>
          <w:b/>
        </w:rPr>
        <w:t>and</w:t>
      </w:r>
      <w:r w:rsidR="00907D8C">
        <w:rPr>
          <w:b/>
        </w:rPr>
        <w:t xml:space="preserve"> </w:t>
      </w:r>
      <w:r w:rsidRPr="00100C2F">
        <w:rPr>
          <w:b/>
        </w:rPr>
        <w:t>non-Māori</w:t>
      </w:r>
      <w:r w:rsidR="00907D8C">
        <w:rPr>
          <w:b/>
        </w:rPr>
        <w:t xml:space="preserve"> </w:t>
      </w:r>
      <w:r w:rsidRPr="00100C2F">
        <w:rPr>
          <w:b/>
        </w:rPr>
        <w:t>children</w:t>
      </w:r>
      <w:r w:rsidR="00907D8C">
        <w:rPr>
          <w:b/>
        </w:rPr>
        <w:t xml:space="preserve"> </w:t>
      </w:r>
      <w:r w:rsidRPr="00100C2F">
        <w:rPr>
          <w:b/>
        </w:rPr>
        <w:t>aged</w:t>
      </w:r>
      <w:r w:rsidR="00907D8C">
        <w:rPr>
          <w:b/>
        </w:rPr>
        <w:t xml:space="preserve"> </w:t>
      </w:r>
      <w:r w:rsidRPr="00100C2F">
        <w:rPr>
          <w:b/>
        </w:rPr>
        <w:t>1–4</w:t>
      </w:r>
      <w:r w:rsidR="00907D8C">
        <w:rPr>
          <w:b/>
        </w:rPr>
        <w:t xml:space="preserve"> </w:t>
      </w:r>
      <w:r w:rsidRPr="00100C2F">
        <w:rPr>
          <w:b/>
        </w:rPr>
        <w:t>years),</w:t>
      </w:r>
      <w:r w:rsidR="00907D8C">
        <w:rPr>
          <w:b/>
        </w:rPr>
        <w:t xml:space="preserve"> </w:t>
      </w:r>
      <w:r w:rsidRPr="00100C2F">
        <w:rPr>
          <w:b/>
        </w:rPr>
        <w:t>2003–</w:t>
      </w:r>
      <w:r w:rsidR="000711F4">
        <w:rPr>
          <w:b/>
        </w:rPr>
        <w:t>20</w:t>
      </w:r>
      <w:r w:rsidRPr="00100C2F">
        <w:rPr>
          <w:b/>
        </w:rPr>
        <w:t>08</w:t>
      </w:r>
      <w:bookmarkEnd w:id="55"/>
    </w:p>
    <w:p w:rsidR="00036FAC" w:rsidRPr="00036FAC" w:rsidRDefault="00B258C5" w:rsidP="00100C2F">
      <w:pPr>
        <w:tabs>
          <w:tab w:val="left" w:pos="1559"/>
          <w:tab w:val="left" w:pos="1984"/>
          <w:tab w:val="left" w:leader="dot" w:pos="7654"/>
          <w:tab w:val="right" w:pos="8929"/>
          <w:tab w:val="right" w:pos="9638"/>
        </w:tabs>
        <w:spacing w:after="120"/>
        <w:ind w:left="765"/>
      </w:pPr>
      <w:r w:rsidRPr="00036FAC">
        <w:pict>
          <v:shape id="_x0000_i1037" type="#_x0000_t75" style="width:436.5pt;height:195pt">
            <v:imagedata r:id="rId19" o:title="" croptop="6651f"/>
          </v:shape>
        </w:pict>
      </w:r>
    </w:p>
    <w:p w:rsidR="00036FAC" w:rsidRPr="00100C2F" w:rsidRDefault="00036FAC" w:rsidP="00B50FB5">
      <w:pPr>
        <w:spacing w:before="120" w:after="240"/>
        <w:ind w:left="1134" w:right="1134" w:firstLine="170"/>
        <w:rPr>
          <w:sz w:val="18"/>
          <w:szCs w:val="18"/>
        </w:rPr>
      </w:pPr>
      <w:r w:rsidRPr="00100C2F">
        <w:rPr>
          <w:i/>
          <w:sz w:val="18"/>
          <w:szCs w:val="18"/>
        </w:rPr>
        <w:t>Source</w:t>
      </w:r>
      <w:r w:rsidRPr="00100C2F">
        <w:rPr>
          <w:sz w:val="18"/>
          <w:szCs w:val="18"/>
        </w:rPr>
        <w:t>:</w:t>
      </w:r>
      <w:r w:rsidR="00907D8C">
        <w:rPr>
          <w:sz w:val="18"/>
          <w:szCs w:val="18"/>
        </w:rPr>
        <w:t xml:space="preserve">  </w:t>
      </w:r>
      <w:r w:rsidRPr="00100C2F">
        <w:rPr>
          <w:sz w:val="18"/>
          <w:szCs w:val="18"/>
        </w:rPr>
        <w:t>Ministry</w:t>
      </w:r>
      <w:r w:rsidR="00907D8C">
        <w:rPr>
          <w:sz w:val="18"/>
          <w:szCs w:val="18"/>
        </w:rPr>
        <w:t xml:space="preserve"> </w:t>
      </w:r>
      <w:r w:rsidRPr="00100C2F">
        <w:rPr>
          <w:sz w:val="18"/>
          <w:szCs w:val="18"/>
        </w:rPr>
        <w:t>of</w:t>
      </w:r>
      <w:r w:rsidR="00907D8C">
        <w:rPr>
          <w:sz w:val="18"/>
          <w:szCs w:val="18"/>
        </w:rPr>
        <w:t xml:space="preserve"> </w:t>
      </w:r>
      <w:r w:rsidRPr="00100C2F">
        <w:rPr>
          <w:sz w:val="18"/>
          <w:szCs w:val="18"/>
        </w:rPr>
        <w:t>Health</w:t>
      </w:r>
      <w:r w:rsidR="00100C2F" w:rsidRPr="00100C2F">
        <w:rPr>
          <w:sz w:val="18"/>
          <w:szCs w:val="18"/>
        </w:rPr>
        <w:t>.</w:t>
      </w:r>
    </w:p>
    <w:p w:rsidR="00036FAC" w:rsidRPr="00036FAC" w:rsidRDefault="00036FAC" w:rsidP="00B258C5">
      <w:pPr>
        <w:pStyle w:val="SingleTxtG"/>
      </w:pPr>
      <w:r w:rsidRPr="00036FAC">
        <w:t>86.</w:t>
      </w:r>
      <w:r w:rsidRPr="00036FAC">
        <w:tab/>
        <w:t>While</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making</w:t>
      </w:r>
      <w:r w:rsidR="00907D8C">
        <w:t xml:space="preserve"> </w:t>
      </w:r>
      <w:r w:rsidRPr="00036FAC">
        <w:t>slow</w:t>
      </w:r>
      <w:r w:rsidR="00907D8C">
        <w:t xml:space="preserve"> </w:t>
      </w:r>
      <w:r w:rsidRPr="00036FAC">
        <w:t>gains</w:t>
      </w:r>
      <w:r w:rsidR="00907D8C">
        <w:t xml:space="preserve"> </w:t>
      </w:r>
      <w:r w:rsidRPr="00036FAC">
        <w:t>in</w:t>
      </w:r>
      <w:r w:rsidR="00907D8C">
        <w:t xml:space="preserve"> </w:t>
      </w:r>
      <w:r w:rsidRPr="00036FAC">
        <w:t>addressing</w:t>
      </w:r>
      <w:r w:rsidR="00907D8C">
        <w:t xml:space="preserve"> </w:t>
      </w:r>
      <w:r w:rsidRPr="00036FAC">
        <w:t>infant</w:t>
      </w:r>
      <w:r w:rsidR="00907D8C">
        <w:t xml:space="preserve"> </w:t>
      </w:r>
      <w:r w:rsidRPr="00036FAC">
        <w:t>and</w:t>
      </w:r>
      <w:r w:rsidR="00907D8C">
        <w:t xml:space="preserve"> </w:t>
      </w:r>
      <w:r w:rsidRPr="00036FAC">
        <w:t>child</w:t>
      </w:r>
      <w:r w:rsidR="00907D8C">
        <w:t xml:space="preserve"> </w:t>
      </w:r>
      <w:r w:rsidRPr="00036FAC">
        <w:t>mortali</w:t>
      </w:r>
      <w:r w:rsidR="00B258C5">
        <w:t>ty,</w:t>
      </w:r>
      <w:r w:rsidR="00907D8C">
        <w:t xml:space="preserve"> </w:t>
      </w:r>
      <w:r w:rsidR="00B258C5">
        <w:t>there</w:t>
      </w:r>
      <w:r w:rsidR="00907D8C">
        <w:t xml:space="preserve"> </w:t>
      </w:r>
      <w:r w:rsidR="00B258C5">
        <w:t>are</w:t>
      </w:r>
      <w:r w:rsidR="00907D8C">
        <w:t xml:space="preserve"> </w:t>
      </w:r>
      <w:r w:rsidR="00B258C5">
        <w:t>significant</w:t>
      </w:r>
      <w:r w:rsidR="00907D8C">
        <w:t xml:space="preserve"> </w:t>
      </w:r>
      <w:r w:rsidR="00B258C5">
        <w:t>year-</w:t>
      </w:r>
      <w:r w:rsidRPr="00036FAC">
        <w:t>to-year</w:t>
      </w:r>
      <w:r w:rsidR="00907D8C">
        <w:t xml:space="preserve"> </w:t>
      </w:r>
      <w:r w:rsidRPr="00036FAC">
        <w:t>fluctuations</w:t>
      </w:r>
      <w:r w:rsidR="00907D8C">
        <w:t xml:space="preserve"> </w:t>
      </w:r>
      <w:r w:rsidRPr="00036FAC">
        <w:t>that</w:t>
      </w:r>
      <w:r w:rsidR="00907D8C">
        <w:t xml:space="preserve"> </w:t>
      </w:r>
      <w:r w:rsidRPr="00036FAC">
        <w:t>are</w:t>
      </w:r>
      <w:r w:rsidR="00907D8C">
        <w:t xml:space="preserve"> </w:t>
      </w:r>
      <w:r w:rsidRPr="00036FAC">
        <w:t>not</w:t>
      </w:r>
      <w:r w:rsidR="00907D8C">
        <w:t xml:space="preserve"> </w:t>
      </w:r>
      <w:r w:rsidRPr="00036FAC">
        <w:t>well</w:t>
      </w:r>
      <w:r w:rsidR="00907D8C">
        <w:t xml:space="preserve"> </w:t>
      </w:r>
      <w:r w:rsidRPr="00036FAC">
        <w:t>understood.</w:t>
      </w:r>
      <w:r w:rsidR="00907D8C">
        <w:t xml:space="preserve"> </w:t>
      </w:r>
      <w:r w:rsidRPr="00036FAC">
        <w:t>New</w:t>
      </w:r>
      <w:r w:rsidR="00907D8C">
        <w:t xml:space="preserve"> </w:t>
      </w:r>
      <w:r w:rsidRPr="00036FAC">
        <w:t>Zealand</w:t>
      </w:r>
      <w:r w:rsidR="00907D8C">
        <w:t xml:space="preserve"> </w:t>
      </w:r>
      <w:r w:rsidRPr="00036FAC">
        <w:t>still</w:t>
      </w:r>
      <w:r w:rsidR="00907D8C">
        <w:t xml:space="preserve"> </w:t>
      </w:r>
      <w:r w:rsidRPr="00036FAC">
        <w:t>has</w:t>
      </w:r>
      <w:r w:rsidR="00907D8C">
        <w:t xml:space="preserve"> </w:t>
      </w:r>
      <w:r w:rsidRPr="00036FAC">
        <w:t>relatively</w:t>
      </w:r>
      <w:r w:rsidR="00907D8C">
        <w:t xml:space="preserve"> </w:t>
      </w:r>
      <w:r w:rsidRPr="00036FAC">
        <w:t>high</w:t>
      </w:r>
      <w:r w:rsidR="00907D8C">
        <w:t xml:space="preserve"> </w:t>
      </w:r>
      <w:r w:rsidRPr="00036FAC">
        <w:t>rates</w:t>
      </w:r>
      <w:r w:rsidR="00907D8C">
        <w:t xml:space="preserve"> </w:t>
      </w:r>
      <w:r w:rsidRPr="00036FAC">
        <w:t>of</w:t>
      </w:r>
      <w:r w:rsidR="00907D8C">
        <w:t xml:space="preserve"> </w:t>
      </w:r>
      <w:r w:rsidRPr="00036FAC">
        <w:t>Sudden</w:t>
      </w:r>
      <w:r w:rsidR="00907D8C">
        <w:t xml:space="preserve"> </w:t>
      </w:r>
      <w:r w:rsidRPr="00036FAC">
        <w:t>Unexpected</w:t>
      </w:r>
      <w:r w:rsidR="00907D8C">
        <w:t xml:space="preserve"> </w:t>
      </w:r>
      <w:r w:rsidRPr="00036FAC">
        <w:t>Death</w:t>
      </w:r>
      <w:r w:rsidR="00907D8C">
        <w:t xml:space="preserve"> </w:t>
      </w:r>
      <w:r w:rsidRPr="00036FAC">
        <w:t>in</w:t>
      </w:r>
      <w:r w:rsidR="00907D8C">
        <w:t xml:space="preserve"> </w:t>
      </w:r>
      <w:r w:rsidRPr="00036FAC">
        <w:t>Infancy,</w:t>
      </w:r>
      <w:r w:rsidR="00907D8C">
        <w:t xml:space="preserve"> </w:t>
      </w:r>
      <w:r w:rsidRPr="00036FAC">
        <w:t>especiall</w:t>
      </w:r>
      <w:r w:rsidR="00B258C5">
        <w:t>y</w:t>
      </w:r>
      <w:r w:rsidR="00907D8C">
        <w:t xml:space="preserve"> </w:t>
      </w:r>
      <w:r w:rsidR="00B258C5">
        <w:t>among</w:t>
      </w:r>
      <w:r w:rsidR="00907D8C">
        <w:t xml:space="preserve"> </w:t>
      </w:r>
      <w:r w:rsidR="00B258C5">
        <w:t>Māori</w:t>
      </w:r>
      <w:r w:rsidR="00907D8C">
        <w:t xml:space="preserve"> </w:t>
      </w:r>
      <w:r w:rsidR="00B258C5">
        <w:t>babies.</w:t>
      </w:r>
    </w:p>
    <w:p w:rsidR="00036FAC" w:rsidRPr="00036FAC" w:rsidRDefault="00036FAC" w:rsidP="00B258C5">
      <w:pPr>
        <w:pStyle w:val="SingleTxtG"/>
      </w:pPr>
      <w:r w:rsidRPr="00036FAC">
        <w:t>87.</w:t>
      </w:r>
      <w:r w:rsidRPr="00036FAC">
        <w:tab/>
        <w:t>Although</w:t>
      </w:r>
      <w:r w:rsidR="00907D8C">
        <w:t xml:space="preserve"> </w:t>
      </w:r>
      <w:r w:rsidRPr="00036FAC">
        <w:t>New</w:t>
      </w:r>
      <w:r w:rsidR="00907D8C">
        <w:t xml:space="preserve"> </w:t>
      </w:r>
      <w:r w:rsidRPr="00036FAC">
        <w:t>Zealand</w:t>
      </w:r>
      <w:r w:rsidR="00907D8C">
        <w:t xml:space="preserve"> </w:t>
      </w:r>
      <w:r w:rsidRPr="00036FAC">
        <w:t>was</w:t>
      </w:r>
      <w:r w:rsidR="00907D8C">
        <w:t xml:space="preserve"> </w:t>
      </w:r>
      <w:r w:rsidRPr="00036FAC">
        <w:t>not</w:t>
      </w:r>
      <w:r w:rsidR="00907D8C">
        <w:t xml:space="preserve"> </w:t>
      </w:r>
      <w:r w:rsidRPr="00036FAC">
        <w:t>severely</w:t>
      </w:r>
      <w:r w:rsidR="00907D8C">
        <w:t xml:space="preserve"> </w:t>
      </w:r>
      <w:r w:rsidRPr="00036FAC">
        <w:t>affected</w:t>
      </w:r>
      <w:r w:rsidR="00907D8C">
        <w:t xml:space="preserve"> </w:t>
      </w:r>
      <w:r w:rsidRPr="00036FAC">
        <w:t>by</w:t>
      </w:r>
      <w:r w:rsidR="00907D8C">
        <w:t xml:space="preserve"> </w:t>
      </w:r>
      <w:r w:rsidRPr="00036FAC">
        <w:t>the</w:t>
      </w:r>
      <w:r w:rsidR="00907D8C">
        <w:t xml:space="preserve"> </w:t>
      </w:r>
      <w:r w:rsidRPr="00036FAC">
        <w:t>global</w:t>
      </w:r>
      <w:r w:rsidR="00907D8C">
        <w:t xml:space="preserve"> </w:t>
      </w:r>
      <w:r w:rsidRPr="00036FAC">
        <w:t>recession,</w:t>
      </w:r>
      <w:r w:rsidR="00907D8C">
        <w:t xml:space="preserve"> </w:t>
      </w:r>
      <w:r w:rsidRPr="00036FAC">
        <w:t>it</w:t>
      </w:r>
      <w:r w:rsidR="00907D8C">
        <w:t xml:space="preserve"> </w:t>
      </w:r>
      <w:r w:rsidRPr="00036FAC">
        <w:t>has</w:t>
      </w:r>
      <w:r w:rsidR="00907D8C">
        <w:t xml:space="preserve"> </w:t>
      </w:r>
      <w:r w:rsidRPr="00036FAC">
        <w:t>resulted</w:t>
      </w:r>
      <w:r w:rsidR="00907D8C">
        <w:t xml:space="preserve"> </w:t>
      </w:r>
      <w:r w:rsidRPr="00036FAC">
        <w:t>in</w:t>
      </w:r>
      <w:r w:rsidR="00907D8C">
        <w:t xml:space="preserve"> </w:t>
      </w:r>
      <w:r w:rsidRPr="00036FAC">
        <w:t>increased</w:t>
      </w:r>
      <w:r w:rsidR="00907D8C">
        <w:t xml:space="preserve"> </w:t>
      </w:r>
      <w:r w:rsidRPr="00036FAC">
        <w:t>unemployment</w:t>
      </w:r>
      <w:r w:rsidR="00907D8C">
        <w:t xml:space="preserve"> </w:t>
      </w:r>
      <w:r w:rsidRPr="00036FAC">
        <w:t>rates.</w:t>
      </w:r>
      <w:r w:rsidR="00907D8C">
        <w:t xml:space="preserve"> </w:t>
      </w:r>
      <w:r w:rsidRPr="00036FAC">
        <w:t>This</w:t>
      </w:r>
      <w:r w:rsidR="00907D8C">
        <w:t xml:space="preserve"> </w:t>
      </w:r>
      <w:r w:rsidRPr="00036FAC">
        <w:t>is</w:t>
      </w:r>
      <w:r w:rsidR="00907D8C">
        <w:t xml:space="preserve"> </w:t>
      </w:r>
      <w:r w:rsidRPr="00036FAC">
        <w:t>likely</w:t>
      </w:r>
      <w:r w:rsidR="00907D8C">
        <w:t xml:space="preserve"> </w:t>
      </w:r>
      <w:r w:rsidRPr="00036FAC">
        <w:t>to</w:t>
      </w:r>
      <w:r w:rsidR="00907D8C">
        <w:t xml:space="preserve"> </w:t>
      </w:r>
      <w:r w:rsidRPr="00036FAC">
        <w:t>have</w:t>
      </w:r>
      <w:r w:rsidR="00907D8C">
        <w:t xml:space="preserve"> </w:t>
      </w:r>
      <w:r w:rsidRPr="00036FAC">
        <w:t>adverse</w:t>
      </w:r>
      <w:r w:rsidR="00907D8C">
        <w:t xml:space="preserve"> </w:t>
      </w:r>
      <w:r w:rsidRPr="00036FAC">
        <w:t>impacts</w:t>
      </w:r>
      <w:r w:rsidR="00907D8C">
        <w:t xml:space="preserve"> </w:t>
      </w:r>
      <w:r w:rsidRPr="00036FAC">
        <w:t>on</w:t>
      </w:r>
      <w:r w:rsidR="00907D8C">
        <w:t xml:space="preserve"> </w:t>
      </w:r>
      <w:r w:rsidRPr="00036FAC">
        <w:t>children</w:t>
      </w:r>
      <w:r w:rsidR="003E4D94">
        <w:t>’</w:t>
      </w:r>
      <w:r w:rsidRPr="00036FAC">
        <w:t>s</w:t>
      </w:r>
      <w:r w:rsidR="00907D8C">
        <w:t xml:space="preserve"> </w:t>
      </w:r>
      <w:r w:rsidRPr="00036FAC">
        <w:t>health</w:t>
      </w:r>
      <w:r w:rsidR="00907D8C">
        <w:t xml:space="preserve"> </w:t>
      </w:r>
      <w:r w:rsidRPr="00036FAC">
        <w:t>and</w:t>
      </w:r>
      <w:r w:rsidR="00907D8C">
        <w:t xml:space="preserve"> </w:t>
      </w:r>
      <w:r w:rsidRPr="00036FAC">
        <w:t>well-being,</w:t>
      </w:r>
      <w:r w:rsidR="00907D8C">
        <w:t xml:space="preserve"> </w:t>
      </w:r>
      <w:r w:rsidRPr="00036FAC">
        <w:t>despite</w:t>
      </w:r>
      <w:r w:rsidR="00907D8C">
        <w:t xml:space="preserve"> </w:t>
      </w:r>
      <w:r w:rsidRPr="00036FAC">
        <w:t>many</w:t>
      </w:r>
      <w:r w:rsidR="00907D8C">
        <w:t xml:space="preserve"> </w:t>
      </w:r>
      <w:r w:rsidRPr="00036FAC">
        <w:t>low-cost</w:t>
      </w:r>
      <w:r w:rsidR="00907D8C">
        <w:t xml:space="preserve"> </w:t>
      </w:r>
      <w:r w:rsidRPr="00036FAC">
        <w:t>and</w:t>
      </w:r>
      <w:r w:rsidR="00907D8C">
        <w:t xml:space="preserve"> </w:t>
      </w:r>
      <w:r w:rsidRPr="00036FAC">
        <w:t>free</w:t>
      </w:r>
      <w:r w:rsidR="00907D8C">
        <w:t xml:space="preserve"> </w:t>
      </w:r>
      <w:r w:rsidRPr="00036FAC">
        <w:t>health</w:t>
      </w:r>
      <w:r w:rsidR="00907D8C">
        <w:t xml:space="preserve"> </w:t>
      </w:r>
      <w:r w:rsidRPr="00036FAC">
        <w:t>and</w:t>
      </w:r>
      <w:r w:rsidR="00907D8C">
        <w:t xml:space="preserve"> </w:t>
      </w:r>
      <w:r w:rsidRPr="00036FAC">
        <w:t>welfare</w:t>
      </w:r>
      <w:r w:rsidR="00907D8C">
        <w:t xml:space="preserve"> </w:t>
      </w:r>
      <w:r w:rsidRPr="00036FAC">
        <w:t>services</w:t>
      </w:r>
      <w:r w:rsidR="00907D8C">
        <w:t xml:space="preserve"> </w:t>
      </w:r>
      <w:r w:rsidRPr="00036FAC">
        <w:t>being</w:t>
      </w:r>
      <w:r w:rsidR="00907D8C">
        <w:t xml:space="preserve"> </w:t>
      </w:r>
      <w:r w:rsidRPr="00036FAC">
        <w:t>available</w:t>
      </w:r>
      <w:r w:rsidR="00907D8C">
        <w:t xml:space="preserve"> </w:t>
      </w:r>
      <w:r w:rsidRPr="00036FAC">
        <w:t>for</w:t>
      </w:r>
      <w:r w:rsidR="00907D8C">
        <w:t xml:space="preserve"> </w:t>
      </w:r>
      <w:r w:rsidRPr="00036FAC">
        <w:t>families.</w:t>
      </w:r>
      <w:r w:rsidR="00907D8C">
        <w:t xml:space="preserve"> </w:t>
      </w:r>
      <w:r w:rsidRPr="00036FAC">
        <w:t>This</w:t>
      </w:r>
      <w:r w:rsidR="00907D8C">
        <w:t xml:space="preserve"> </w:t>
      </w:r>
      <w:r w:rsidRPr="00036FAC">
        <w:t>situation</w:t>
      </w:r>
      <w:r w:rsidR="00907D8C">
        <w:t xml:space="preserve"> </w:t>
      </w:r>
      <w:r w:rsidRPr="00036FAC">
        <w:t>is</w:t>
      </w:r>
      <w:r w:rsidR="00907D8C">
        <w:t xml:space="preserve"> </w:t>
      </w:r>
      <w:r w:rsidRPr="00036FAC">
        <w:t>being</w:t>
      </w:r>
      <w:r w:rsidR="00907D8C">
        <w:t xml:space="preserve"> </w:t>
      </w:r>
      <w:r w:rsidRPr="00036FAC">
        <w:t>closely</w:t>
      </w:r>
      <w:r w:rsidR="00907D8C">
        <w:t xml:space="preserve"> </w:t>
      </w:r>
      <w:r w:rsidRPr="00036FAC">
        <w:t>monitored</w:t>
      </w:r>
      <w:r w:rsidR="00907D8C">
        <w:t xml:space="preserve"> </w:t>
      </w:r>
      <w:r w:rsidRPr="00036FAC">
        <w:t>by</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Health.</w:t>
      </w:r>
    </w:p>
    <w:p w:rsidR="00036FAC" w:rsidRPr="00036FAC" w:rsidRDefault="00036FAC" w:rsidP="006C436C">
      <w:pPr>
        <w:pStyle w:val="H23G"/>
      </w:pPr>
      <w:r w:rsidRPr="00036FAC">
        <w:tab/>
        <w:t>(e)</w:t>
      </w:r>
      <w:r w:rsidRPr="00036FAC">
        <w:tab/>
        <w:t>Maternal</w:t>
      </w:r>
      <w:r w:rsidR="00907D8C">
        <w:t xml:space="preserve"> </w:t>
      </w:r>
      <w:r w:rsidRPr="00036FAC">
        <w:t>mortality</w:t>
      </w:r>
    </w:p>
    <w:p w:rsidR="00036FAC" w:rsidRPr="00036FAC" w:rsidRDefault="00036FAC" w:rsidP="00B258C5">
      <w:pPr>
        <w:pStyle w:val="SingleTxtG"/>
      </w:pPr>
      <w:r w:rsidRPr="00036FAC">
        <w:t>88.</w:t>
      </w:r>
      <w:r w:rsidRPr="00036FAC">
        <w:tab/>
        <w:t>The</w:t>
      </w:r>
      <w:r w:rsidR="00907D8C">
        <w:t xml:space="preserve"> </w:t>
      </w:r>
      <w:r w:rsidRPr="00036FAC">
        <w:t>maternal</w:t>
      </w:r>
      <w:r w:rsidR="00907D8C">
        <w:t xml:space="preserve"> </w:t>
      </w:r>
      <w:r w:rsidRPr="00036FAC">
        <w:t>mortality</w:t>
      </w:r>
      <w:r w:rsidR="00907D8C">
        <w:t xml:space="preserve"> </w:t>
      </w:r>
      <w:r w:rsidRPr="00036FAC">
        <w:t>rate</w:t>
      </w:r>
      <w:r w:rsidR="00907D8C">
        <w:t xml:space="preserve"> </w:t>
      </w:r>
      <w:r w:rsidRPr="00036FAC">
        <w:t>has</w:t>
      </w:r>
      <w:r w:rsidR="00907D8C">
        <w:t xml:space="preserve"> </w:t>
      </w:r>
      <w:r w:rsidRPr="00036FAC">
        <w:t>remained</w:t>
      </w:r>
      <w:r w:rsidR="00907D8C">
        <w:t xml:space="preserve"> </w:t>
      </w:r>
      <w:r w:rsidRPr="00036FAC">
        <w:t>stable</w:t>
      </w:r>
      <w:r w:rsidR="00907D8C">
        <w:t xml:space="preserve"> </w:t>
      </w:r>
      <w:r w:rsidRPr="00036FAC">
        <w:t>over</w:t>
      </w:r>
      <w:r w:rsidR="00907D8C">
        <w:t xml:space="preserve"> </w:t>
      </w:r>
      <w:r w:rsidRPr="00036FAC">
        <w:t>the</w:t>
      </w:r>
      <w:r w:rsidR="00907D8C">
        <w:t xml:space="preserve"> </w:t>
      </w:r>
      <w:r w:rsidRPr="00036FAC">
        <w:t>period</w:t>
      </w:r>
      <w:r w:rsidR="00907D8C">
        <w:t xml:space="preserve"> </w:t>
      </w:r>
      <w:r w:rsidRPr="00036FAC">
        <w:t>2000</w:t>
      </w:r>
      <w:r w:rsidR="00907D8C">
        <w:t xml:space="preserve"> </w:t>
      </w:r>
      <w:r w:rsidRPr="00036FAC">
        <w:t>to</w:t>
      </w:r>
      <w:r w:rsidR="00907D8C">
        <w:t xml:space="preserve"> </w:t>
      </w:r>
      <w:r w:rsidRPr="00036FAC">
        <w:t>2006</w:t>
      </w:r>
      <w:r w:rsidR="00907D8C">
        <w:t xml:space="preserve"> </w:t>
      </w:r>
      <w:r w:rsidRPr="00036FAC">
        <w:t>when</w:t>
      </w:r>
      <w:r w:rsidR="00907D8C">
        <w:t xml:space="preserve"> </w:t>
      </w:r>
      <w:r w:rsidRPr="00036FAC">
        <w:t>analysed</w:t>
      </w:r>
      <w:r w:rsidR="00907D8C">
        <w:t xml:space="preserve"> </w:t>
      </w:r>
      <w:r w:rsidRPr="00036FAC">
        <w:t>as</w:t>
      </w:r>
      <w:r w:rsidR="00907D8C">
        <w:t xml:space="preserve"> </w:t>
      </w:r>
      <w:r w:rsidRPr="00036FAC">
        <w:t>a</w:t>
      </w:r>
      <w:r w:rsidR="00907D8C">
        <w:t xml:space="preserve"> </w:t>
      </w:r>
      <w:r w:rsidRPr="00036FAC">
        <w:t>three-year</w:t>
      </w:r>
      <w:r w:rsidR="00907D8C">
        <w:t xml:space="preserve"> </w:t>
      </w:r>
      <w:r w:rsidRPr="00036FAC">
        <w:t>moving</w:t>
      </w:r>
      <w:r w:rsidR="00907D8C">
        <w:t xml:space="preserve"> </w:t>
      </w:r>
      <w:r w:rsidRPr="00036FAC">
        <w:t>average</w:t>
      </w:r>
      <w:r w:rsidR="00907D8C">
        <w:t xml:space="preserve"> </w:t>
      </w:r>
      <w:r w:rsidRPr="00036FAC">
        <w:t>(necessary</w:t>
      </w:r>
      <w:r w:rsidR="00907D8C">
        <w:t xml:space="preserve"> </w:t>
      </w:r>
      <w:r w:rsidRPr="00036FAC">
        <w:t>due</w:t>
      </w:r>
      <w:r w:rsidR="00907D8C">
        <w:t xml:space="preserve"> </w:t>
      </w:r>
      <w:r w:rsidRPr="00036FAC">
        <w:t>to</w:t>
      </w:r>
      <w:r w:rsidR="00907D8C">
        <w:t xml:space="preserve"> </w:t>
      </w:r>
      <w:r w:rsidRPr="00036FAC">
        <w:t>the</w:t>
      </w:r>
      <w:r w:rsidR="00907D8C">
        <w:t xml:space="preserve"> </w:t>
      </w:r>
      <w:r w:rsidRPr="00036FAC">
        <w:t>small</w:t>
      </w:r>
      <w:r w:rsidR="00907D8C">
        <w:t xml:space="preserve"> </w:t>
      </w:r>
      <w:r w:rsidRPr="00036FAC">
        <w:t>number</w:t>
      </w:r>
      <w:r w:rsidR="00907D8C">
        <w:t xml:space="preserve"> </w:t>
      </w:r>
      <w:r w:rsidRPr="00036FAC">
        <w:t>of</w:t>
      </w:r>
      <w:r w:rsidR="00907D8C">
        <w:t xml:space="preserve"> </w:t>
      </w:r>
      <w:r w:rsidRPr="00036FAC">
        <w:t>maternal</w:t>
      </w:r>
      <w:r w:rsidR="00907D8C">
        <w:t xml:space="preserve"> </w:t>
      </w:r>
      <w:r w:rsidRPr="00036FAC">
        <w:t>deaths</w:t>
      </w:r>
      <w:r w:rsidR="00907D8C">
        <w:t xml:space="preserve"> </w:t>
      </w:r>
      <w:r w:rsidRPr="00036FAC">
        <w:t>of</w:t>
      </w:r>
      <w:r w:rsidR="00907D8C">
        <w:t xml:space="preserve"> </w:t>
      </w:r>
      <w:r w:rsidRPr="00036FAC">
        <w:t>less</w:t>
      </w:r>
      <w:r w:rsidR="00907D8C">
        <w:t xml:space="preserve"> </w:t>
      </w:r>
      <w:r w:rsidRPr="00036FAC">
        <w:t>than</w:t>
      </w:r>
      <w:r w:rsidR="00907D8C">
        <w:t xml:space="preserve"> </w:t>
      </w:r>
      <w:r w:rsidRPr="00036FAC">
        <w:t>10</w:t>
      </w:r>
      <w:r w:rsidR="00907D8C">
        <w:t xml:space="preserve"> </w:t>
      </w:r>
      <w:r w:rsidRPr="00036FAC">
        <w:t>per</w:t>
      </w:r>
      <w:r w:rsidR="00907D8C">
        <w:t xml:space="preserve"> </w:t>
      </w:r>
      <w:r w:rsidRPr="00036FAC">
        <w:t>year).</w:t>
      </w:r>
      <w:r w:rsidR="00907D8C">
        <w:t xml:space="preserve"> </w:t>
      </w:r>
      <w:r w:rsidRPr="00036FAC">
        <w:t>Ethnicity</w:t>
      </w:r>
      <w:r w:rsidR="00907D8C">
        <w:t xml:space="preserve"> </w:t>
      </w:r>
      <w:r w:rsidRPr="00036FAC">
        <w:t>or</w:t>
      </w:r>
      <w:r w:rsidR="00907D8C">
        <w:t xml:space="preserve"> </w:t>
      </w:r>
      <w:r w:rsidRPr="00036FAC">
        <w:t>maternal</w:t>
      </w:r>
      <w:r w:rsidR="00907D8C">
        <w:t xml:space="preserve"> </w:t>
      </w:r>
      <w:r w:rsidRPr="00036FAC">
        <w:t>age</w:t>
      </w:r>
      <w:r w:rsidR="00907D8C">
        <w:t xml:space="preserve"> </w:t>
      </w:r>
      <w:r w:rsidRPr="00036FAC">
        <w:t>comparisons</w:t>
      </w:r>
      <w:r w:rsidR="00907D8C">
        <w:t xml:space="preserve"> </w:t>
      </w:r>
      <w:r w:rsidRPr="00036FAC">
        <w:t>are</w:t>
      </w:r>
      <w:r w:rsidR="00907D8C">
        <w:t xml:space="preserve"> </w:t>
      </w:r>
      <w:r w:rsidRPr="00036FAC">
        <w:t>not</w:t>
      </w:r>
      <w:r w:rsidR="00907D8C">
        <w:t xml:space="preserve"> </w:t>
      </w:r>
      <w:r w:rsidRPr="00036FAC">
        <w:t>possible</w:t>
      </w:r>
      <w:r w:rsidR="00907D8C">
        <w:t xml:space="preserve"> </w:t>
      </w:r>
      <w:r w:rsidRPr="00036FAC">
        <w:t>due</w:t>
      </w:r>
      <w:r w:rsidR="00907D8C">
        <w:t xml:space="preserve"> </w:t>
      </w:r>
      <w:r w:rsidRPr="00036FAC">
        <w:t>to</w:t>
      </w:r>
      <w:r w:rsidR="00907D8C">
        <w:t xml:space="preserve"> </w:t>
      </w:r>
      <w:r w:rsidRPr="00036FAC">
        <w:t>the</w:t>
      </w:r>
      <w:r w:rsidR="00907D8C">
        <w:t xml:space="preserve"> </w:t>
      </w:r>
      <w:r w:rsidRPr="00036FAC">
        <w:t>small</w:t>
      </w:r>
      <w:r w:rsidR="00907D8C">
        <w:t xml:space="preserve"> </w:t>
      </w:r>
      <w:r w:rsidRPr="00036FAC">
        <w:t>number</w:t>
      </w:r>
      <w:r w:rsidR="00907D8C">
        <w:t xml:space="preserve"> </w:t>
      </w:r>
      <w:r w:rsidRPr="00036FAC">
        <w:t>of</w:t>
      </w:r>
      <w:r w:rsidR="00907D8C">
        <w:t xml:space="preserve"> </w:t>
      </w:r>
      <w:r w:rsidRPr="00036FAC">
        <w:t>deaths.</w:t>
      </w:r>
    </w:p>
    <w:p w:rsidR="00036FAC" w:rsidRPr="00036FAC" w:rsidRDefault="00036FAC" w:rsidP="00B258C5">
      <w:pPr>
        <w:pStyle w:val="SingleTxtG"/>
      </w:pPr>
      <w:r w:rsidRPr="00036FAC">
        <w:t>89.</w:t>
      </w:r>
      <w:r w:rsidRPr="00036FAC">
        <w:tab/>
        <w:t>New</w:t>
      </w:r>
      <w:r w:rsidR="00907D8C">
        <w:t xml:space="preserve"> </w:t>
      </w:r>
      <w:r w:rsidRPr="00036FAC">
        <w:t>Zealand</w:t>
      </w:r>
      <w:r w:rsidR="00907D8C">
        <w:t xml:space="preserve"> </w:t>
      </w:r>
      <w:r w:rsidRPr="00036FAC">
        <w:t>uses</w:t>
      </w:r>
      <w:r w:rsidR="00907D8C">
        <w:t xml:space="preserve"> </w:t>
      </w:r>
      <w:r w:rsidRPr="00036FAC">
        <w:t>the</w:t>
      </w:r>
      <w:r w:rsidR="00907D8C">
        <w:t xml:space="preserve"> </w:t>
      </w:r>
      <w:r w:rsidRPr="00036FAC">
        <w:t>World</w:t>
      </w:r>
      <w:r w:rsidR="00907D8C">
        <w:t xml:space="preserve"> </w:t>
      </w:r>
      <w:r w:rsidRPr="00036FAC">
        <w:t>Health</w:t>
      </w:r>
      <w:r w:rsidR="00907D8C">
        <w:t xml:space="preserve"> </w:t>
      </w:r>
      <w:r w:rsidRPr="00036FAC">
        <w:t>Organization</w:t>
      </w:r>
      <w:r w:rsidR="00907D8C">
        <w:t xml:space="preserve"> </w:t>
      </w:r>
      <w:r w:rsidRPr="00036FAC">
        <w:t>definition</w:t>
      </w:r>
      <w:r w:rsidR="00907D8C">
        <w:t xml:space="preserve"> </w:t>
      </w:r>
      <w:r w:rsidRPr="00036FAC">
        <w:t>of</w:t>
      </w:r>
      <w:r w:rsidR="00907D8C">
        <w:t xml:space="preserve"> </w:t>
      </w:r>
      <w:r w:rsidRPr="00036FAC">
        <w:t>maternal</w:t>
      </w:r>
      <w:r w:rsidR="00907D8C">
        <w:t xml:space="preserve"> </w:t>
      </w:r>
      <w:r w:rsidRPr="00036FAC">
        <w:t>death/maternal-related</w:t>
      </w:r>
      <w:r w:rsidR="00907D8C">
        <w:t xml:space="preserve"> </w:t>
      </w:r>
      <w:r w:rsidRPr="00036FAC">
        <w:t>death.</w:t>
      </w:r>
      <w:r w:rsidR="00907D8C">
        <w:t xml:space="preserve"> </w:t>
      </w:r>
      <w:r w:rsidRPr="00036FAC">
        <w:t>Maternal</w:t>
      </w:r>
      <w:r w:rsidR="00907D8C">
        <w:t xml:space="preserve"> </w:t>
      </w:r>
      <w:r w:rsidRPr="00036FAC">
        <w:t>mortality</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calculated</w:t>
      </w:r>
      <w:r w:rsidR="00907D8C">
        <w:t xml:space="preserve"> </w:t>
      </w:r>
      <w:r w:rsidRPr="00036FAC">
        <w:t>per</w:t>
      </w:r>
      <w:r w:rsidR="00907D8C">
        <w:t xml:space="preserve"> </w:t>
      </w:r>
      <w:r w:rsidRPr="00036FAC">
        <w:t>100,000</w:t>
      </w:r>
      <w:r w:rsidR="00907D8C">
        <w:t xml:space="preserve"> </w:t>
      </w:r>
      <w:r w:rsidRPr="00036FAC">
        <w:t>maternities</w:t>
      </w:r>
      <w:r w:rsidR="00907D8C">
        <w:t xml:space="preserve"> </w:t>
      </w:r>
      <w:r w:rsidRPr="00036FAC">
        <w:t>(defined</w:t>
      </w:r>
      <w:r w:rsidR="00907D8C">
        <w:t xml:space="preserve"> </w:t>
      </w:r>
      <w:r w:rsidRPr="00036FAC">
        <w:t>as</w:t>
      </w:r>
      <w:r w:rsidR="00907D8C">
        <w:t xml:space="preserve"> </w:t>
      </w:r>
      <w:r w:rsidRPr="00036FAC">
        <w:t>all</w:t>
      </w:r>
      <w:r w:rsidR="00907D8C">
        <w:t xml:space="preserve"> </w:t>
      </w:r>
      <w:r w:rsidRPr="00036FAC">
        <w:t>live</w:t>
      </w:r>
      <w:r w:rsidR="00907D8C">
        <w:t xml:space="preserve"> </w:t>
      </w:r>
      <w:r w:rsidRPr="00036FAC">
        <w:t>births</w:t>
      </w:r>
      <w:r w:rsidR="00907D8C">
        <w:t xml:space="preserve"> </w:t>
      </w:r>
      <w:r w:rsidRPr="00036FAC">
        <w:t>and</w:t>
      </w:r>
      <w:r w:rsidR="00907D8C">
        <w:t xml:space="preserve"> </w:t>
      </w:r>
      <w:r w:rsidRPr="00036FAC">
        <w:t>fetal</w:t>
      </w:r>
      <w:r w:rsidR="00907D8C">
        <w:t xml:space="preserve"> </w:t>
      </w:r>
      <w:r w:rsidRPr="00036FAC">
        <w:t>deaths</w:t>
      </w:r>
      <w:r w:rsidR="00907D8C">
        <w:t xml:space="preserve"> </w:t>
      </w:r>
      <w:r w:rsidRPr="00036FAC">
        <w:t>from</w:t>
      </w:r>
      <w:r w:rsidR="00907D8C">
        <w:t xml:space="preserve"> </w:t>
      </w:r>
      <w:r w:rsidRPr="00036FAC">
        <w:t>20</w:t>
      </w:r>
      <w:r w:rsidR="00907D8C">
        <w:t xml:space="preserve"> </w:t>
      </w:r>
      <w:r w:rsidRPr="00036FAC">
        <w:t>weeks</w:t>
      </w:r>
      <w:r w:rsidR="003E4D94">
        <w:t>’</w:t>
      </w:r>
      <w:r w:rsidR="00907D8C">
        <w:t xml:space="preserve"> </w:t>
      </w:r>
      <w:r w:rsidRPr="00036FAC">
        <w:t>gestation</w:t>
      </w:r>
      <w:r w:rsidR="00907D8C">
        <w:t xml:space="preserve"> </w:t>
      </w:r>
      <w:r w:rsidRPr="00036FAC">
        <w:t>or</w:t>
      </w:r>
      <w:r w:rsidR="00907D8C">
        <w:t xml:space="preserve"> </w:t>
      </w:r>
      <w:r w:rsidRPr="00036FAC">
        <w:t>where</w:t>
      </w:r>
      <w:r w:rsidR="00907D8C">
        <w:t xml:space="preserve"> </w:t>
      </w:r>
      <w:r w:rsidRPr="00036FAC">
        <w:t>the</w:t>
      </w:r>
      <w:r w:rsidR="00907D8C">
        <w:t xml:space="preserve"> </w:t>
      </w:r>
      <w:r w:rsidRPr="00036FAC">
        <w:t>fetus</w:t>
      </w:r>
      <w:r w:rsidR="00907D8C">
        <w:t xml:space="preserve"> </w:t>
      </w:r>
      <w:r w:rsidRPr="00036FAC">
        <w:t>weighs</w:t>
      </w:r>
      <w:r w:rsidR="00907D8C">
        <w:t xml:space="preserve"> </w:t>
      </w:r>
      <w:r w:rsidRPr="00036FAC">
        <w:t>400</w:t>
      </w:r>
      <w:r w:rsidR="00907D8C">
        <w:t xml:space="preserve"> </w:t>
      </w:r>
      <w:r w:rsidRPr="00036FAC">
        <w:t>grams</w:t>
      </w:r>
      <w:r w:rsidR="00907D8C">
        <w:t xml:space="preserve"> </w:t>
      </w:r>
      <w:r w:rsidRPr="00036FAC">
        <w:t>or</w:t>
      </w:r>
      <w:r w:rsidR="00907D8C">
        <w:t xml:space="preserve"> </w:t>
      </w:r>
      <w:r w:rsidR="00B258C5">
        <w:t>more</w:t>
      </w:r>
      <w:r w:rsidR="00907D8C">
        <w:t xml:space="preserve"> </w:t>
      </w:r>
      <w:r w:rsidR="00B258C5">
        <w:t>if</w:t>
      </w:r>
      <w:r w:rsidR="00907D8C">
        <w:t xml:space="preserve"> </w:t>
      </w:r>
      <w:r w:rsidR="00B258C5">
        <w:t>gestation</w:t>
      </w:r>
      <w:r w:rsidR="00907D8C">
        <w:t xml:space="preserve"> </w:t>
      </w:r>
      <w:r w:rsidR="00B258C5">
        <w:t>is</w:t>
      </w:r>
      <w:r w:rsidR="00907D8C">
        <w:t xml:space="preserve"> </w:t>
      </w:r>
      <w:r w:rsidR="00B258C5">
        <w:t>unknown).</w:t>
      </w:r>
    </w:p>
    <w:p w:rsidR="00B258C5" w:rsidRDefault="00036FAC" w:rsidP="00B258C5">
      <w:pPr>
        <w:pStyle w:val="Heading1"/>
      </w:pPr>
      <w:bookmarkStart w:id="56" w:name="_Toc275331929"/>
      <w:r w:rsidRPr="00036FAC">
        <w:t>Tab</w:t>
      </w:r>
      <w:r w:rsidR="00B258C5">
        <w:t>le</w:t>
      </w:r>
      <w:r w:rsidR="00907D8C">
        <w:t xml:space="preserve"> </w:t>
      </w:r>
      <w:r w:rsidR="00B258C5">
        <w:t>28</w:t>
      </w:r>
    </w:p>
    <w:p w:rsidR="00036FAC" w:rsidRPr="00B258C5" w:rsidRDefault="00036FAC" w:rsidP="00B258C5">
      <w:pPr>
        <w:pStyle w:val="SingleTxtG"/>
        <w:rPr>
          <w:b/>
        </w:rPr>
      </w:pPr>
      <w:r w:rsidRPr="00B258C5">
        <w:rPr>
          <w:b/>
        </w:rPr>
        <w:t>Maternal</w:t>
      </w:r>
      <w:r w:rsidR="00907D8C">
        <w:rPr>
          <w:b/>
        </w:rPr>
        <w:t xml:space="preserve"> </w:t>
      </w:r>
      <w:r w:rsidRPr="00B258C5">
        <w:rPr>
          <w:b/>
        </w:rPr>
        <w:t>mortality</w:t>
      </w:r>
      <w:r w:rsidR="00907D8C">
        <w:rPr>
          <w:b/>
        </w:rPr>
        <w:t xml:space="preserve"> </w:t>
      </w:r>
      <w:r w:rsidRPr="00B258C5">
        <w:rPr>
          <w:b/>
        </w:rPr>
        <w:t>rate</w:t>
      </w:r>
      <w:r w:rsidR="00907D8C">
        <w:rPr>
          <w:b/>
        </w:rPr>
        <w:t xml:space="preserve"> </w:t>
      </w:r>
      <w:r w:rsidRPr="00B258C5">
        <w:rPr>
          <w:b/>
        </w:rPr>
        <w:t>(three-year</w:t>
      </w:r>
      <w:r w:rsidR="00907D8C">
        <w:rPr>
          <w:b/>
        </w:rPr>
        <w:t xml:space="preserve"> </w:t>
      </w:r>
      <w:r w:rsidRPr="00B258C5">
        <w:rPr>
          <w:b/>
        </w:rPr>
        <w:t>moving</w:t>
      </w:r>
      <w:r w:rsidR="00907D8C">
        <w:rPr>
          <w:b/>
        </w:rPr>
        <w:t xml:space="preserve"> </w:t>
      </w:r>
      <w:r w:rsidRPr="00B258C5">
        <w:rPr>
          <w:b/>
        </w:rPr>
        <w:t>average)</w:t>
      </w:r>
      <w:bookmarkEnd w:id="56"/>
    </w:p>
    <w:p w:rsidR="00036FAC" w:rsidRPr="00036FAC" w:rsidRDefault="00B258C5" w:rsidP="00B258C5">
      <w:pPr>
        <w:tabs>
          <w:tab w:val="right" w:pos="850"/>
          <w:tab w:val="left" w:pos="1134"/>
          <w:tab w:val="left" w:pos="1559"/>
          <w:tab w:val="left" w:pos="1984"/>
          <w:tab w:val="left" w:leader="dot" w:pos="7654"/>
          <w:tab w:val="right" w:pos="8929"/>
          <w:tab w:val="right" w:pos="9638"/>
        </w:tabs>
        <w:ind w:left="1134"/>
      </w:pPr>
      <w:bookmarkStart w:id="57" w:name="_Toc229380152"/>
      <w:bookmarkStart w:id="58" w:name="_Toc229804509"/>
      <w:r w:rsidRPr="00036FAC">
        <w:pict>
          <v:shape id="_x0000_i1038" type="#_x0000_t75" style="width:402pt;height:192.75pt">
            <v:imagedata r:id="rId20" o:title=""/>
          </v:shape>
        </w:pict>
      </w:r>
    </w:p>
    <w:p w:rsidR="00036FAC" w:rsidRPr="00B258C5" w:rsidRDefault="00036FAC" w:rsidP="00B50FB5">
      <w:pPr>
        <w:spacing w:before="120" w:after="24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sidR="00B258C5" w:rsidRPr="00B258C5">
        <w:rPr>
          <w:sz w:val="18"/>
          <w:szCs w:val="18"/>
        </w:rPr>
        <w:t>.</w:t>
      </w:r>
    </w:p>
    <w:bookmarkEnd w:id="57"/>
    <w:bookmarkEnd w:id="58"/>
    <w:p w:rsidR="00036FAC" w:rsidRPr="00036FAC" w:rsidRDefault="00036FAC" w:rsidP="006C436C">
      <w:pPr>
        <w:pStyle w:val="H23G"/>
      </w:pPr>
      <w:r w:rsidRPr="00036FAC">
        <w:tab/>
        <w:t>(f)</w:t>
      </w:r>
      <w:r w:rsidRPr="00036FAC">
        <w:tab/>
        <w:t>Selected</w:t>
      </w:r>
      <w:r w:rsidR="00907D8C">
        <w:t xml:space="preserve"> </w:t>
      </w:r>
      <w:r w:rsidRPr="00036FAC">
        <w:t>communicable</w:t>
      </w:r>
      <w:r w:rsidR="00907D8C">
        <w:t xml:space="preserve"> </w:t>
      </w:r>
      <w:r w:rsidRPr="00036FAC">
        <w:t>and</w:t>
      </w:r>
      <w:r w:rsidR="00907D8C">
        <w:t xml:space="preserve"> </w:t>
      </w:r>
      <w:r w:rsidRPr="00036FAC">
        <w:t>non-communicable</w:t>
      </w:r>
      <w:r w:rsidR="00907D8C">
        <w:t xml:space="preserve"> </w:t>
      </w:r>
      <w:r w:rsidRPr="00036FAC">
        <w:t>disease</w:t>
      </w:r>
      <w:r w:rsidR="00907D8C">
        <w:t xml:space="preserve"> </w:t>
      </w:r>
      <w:r w:rsidRPr="00036FAC">
        <w:t>trends</w:t>
      </w:r>
      <w:r w:rsidR="00907D8C">
        <w:t xml:space="preserve"> </w:t>
      </w:r>
      <w:r w:rsidRPr="00036FAC">
        <w:t>in</w:t>
      </w:r>
      <w:r w:rsidR="00907D8C">
        <w:t xml:space="preserve"> </w:t>
      </w:r>
      <w:r w:rsidRPr="00036FAC">
        <w:t>New</w:t>
      </w:r>
      <w:r w:rsidR="00907D8C">
        <w:t xml:space="preserve"> </w:t>
      </w:r>
      <w:r w:rsidRPr="00036FAC">
        <w:t>Zealand</w:t>
      </w:r>
      <w:r w:rsidRPr="00B258C5">
        <w:rPr>
          <w:rStyle w:val="FootnoteReference"/>
          <w:b w:val="0"/>
        </w:rPr>
        <w:footnoteReference w:id="9"/>
      </w:r>
    </w:p>
    <w:p w:rsidR="00036FAC" w:rsidRPr="00036FAC" w:rsidRDefault="00036FAC" w:rsidP="00B258C5">
      <w:pPr>
        <w:pStyle w:val="SingleTxtG"/>
      </w:pPr>
      <w:r w:rsidRPr="00036FAC">
        <w:t>90.</w:t>
      </w:r>
      <w:r w:rsidRPr="00036FAC">
        <w:tab/>
        <w:t>Across</w:t>
      </w:r>
      <w:r w:rsidR="00907D8C">
        <w:t xml:space="preserve"> </w:t>
      </w:r>
      <w:r w:rsidRPr="00036FAC">
        <w:t>a</w:t>
      </w:r>
      <w:r w:rsidR="00907D8C">
        <w:t xml:space="preserve"> </w:t>
      </w:r>
      <w:r w:rsidRPr="00036FAC">
        <w:t>selection</w:t>
      </w:r>
      <w:r w:rsidR="00907D8C">
        <w:t xml:space="preserve"> </w:t>
      </w:r>
      <w:r w:rsidRPr="00036FAC">
        <w:t>of</w:t>
      </w:r>
      <w:r w:rsidR="00907D8C">
        <w:t xml:space="preserve"> </w:t>
      </w:r>
      <w:r w:rsidRPr="00036FAC">
        <w:t>communicable</w:t>
      </w:r>
      <w:r w:rsidR="00907D8C">
        <w:t xml:space="preserve"> </w:t>
      </w:r>
      <w:r w:rsidRPr="00036FAC">
        <w:t>and</w:t>
      </w:r>
      <w:r w:rsidR="00907D8C">
        <w:t xml:space="preserve"> </w:t>
      </w:r>
      <w:r w:rsidRPr="00036FAC">
        <w:t>non-communicable</w:t>
      </w:r>
      <w:r w:rsidR="00907D8C">
        <w:t xml:space="preserve"> </w:t>
      </w:r>
      <w:r w:rsidRPr="00036FAC">
        <w:t>diseases,</w:t>
      </w:r>
      <w:r w:rsidR="00907D8C">
        <w:t xml:space="preserve"> </w:t>
      </w:r>
      <w:r w:rsidRPr="00036FAC">
        <w:t>Pacific</w:t>
      </w:r>
      <w:r w:rsidR="00907D8C">
        <w:t xml:space="preserve"> </w:t>
      </w:r>
      <w:r w:rsidRPr="00036FAC">
        <w:t>males</w:t>
      </w:r>
      <w:r w:rsidR="00907D8C">
        <w:t xml:space="preserve"> </w:t>
      </w:r>
      <w:r w:rsidRPr="00036FAC">
        <w:t>had</w:t>
      </w:r>
      <w:r w:rsidR="00907D8C">
        <w:t xml:space="preserve"> </w:t>
      </w:r>
      <w:r w:rsidRPr="00036FAC">
        <w:t>a</w:t>
      </w:r>
      <w:r w:rsidR="00907D8C">
        <w:t xml:space="preserve"> </w:t>
      </w:r>
      <w:r w:rsidRPr="00036FAC">
        <w:t>consistently</w:t>
      </w:r>
      <w:r w:rsidR="00907D8C">
        <w:t xml:space="preserve"> </w:t>
      </w:r>
      <w:r w:rsidRPr="00036FAC">
        <w:t>higher</w:t>
      </w:r>
      <w:r w:rsidR="00907D8C">
        <w:t xml:space="preserve"> </w:t>
      </w:r>
      <w:r w:rsidRPr="00036FAC">
        <w:t>rate</w:t>
      </w:r>
      <w:r w:rsidR="00907D8C">
        <w:t xml:space="preserve"> </w:t>
      </w:r>
      <w:r w:rsidRPr="00036FAC">
        <w:t>of</w:t>
      </w:r>
      <w:r w:rsidR="00907D8C">
        <w:t xml:space="preserve"> </w:t>
      </w:r>
      <w:r w:rsidRPr="00036FAC">
        <w:t>hospitalisation</w:t>
      </w:r>
      <w:r w:rsidR="00907D8C">
        <w:t xml:space="preserve"> </w:t>
      </w:r>
      <w:r w:rsidRPr="00036FAC">
        <w:t>from</w:t>
      </w:r>
      <w:r w:rsidR="00907D8C">
        <w:t xml:space="preserve"> </w:t>
      </w:r>
      <w:r w:rsidRPr="00036FAC">
        <w:t>2002–</w:t>
      </w:r>
      <w:r w:rsidR="00B258C5">
        <w:t>20</w:t>
      </w:r>
      <w:r w:rsidRPr="00036FAC">
        <w:t>06.</w:t>
      </w:r>
      <w:r w:rsidR="00907D8C">
        <w:t xml:space="preserve"> </w:t>
      </w:r>
      <w:r w:rsidRPr="00036FAC">
        <w:t>Non-Māori,</w:t>
      </w:r>
      <w:r w:rsidR="00907D8C">
        <w:t xml:space="preserve"> </w:t>
      </w:r>
      <w:r w:rsidRPr="00036FAC">
        <w:t>non-Pacific</w:t>
      </w:r>
      <w:r w:rsidR="00907D8C">
        <w:t xml:space="preserve"> </w:t>
      </w:r>
      <w:r w:rsidRPr="00036FAC">
        <w:t>females</w:t>
      </w:r>
      <w:r w:rsidR="00907D8C">
        <w:t xml:space="preserve"> </w:t>
      </w:r>
      <w:r w:rsidRPr="00036FAC">
        <w:t>(Other)</w:t>
      </w:r>
      <w:r w:rsidR="00907D8C">
        <w:t xml:space="preserve"> </w:t>
      </w:r>
      <w:r w:rsidRPr="00036FAC">
        <w:t>had</w:t>
      </w:r>
      <w:r w:rsidR="00907D8C">
        <w:t xml:space="preserve"> </w:t>
      </w:r>
      <w:r w:rsidRPr="00036FAC">
        <w:t>the</w:t>
      </w:r>
      <w:r w:rsidR="00907D8C">
        <w:t xml:space="preserve"> </w:t>
      </w:r>
      <w:r w:rsidRPr="00036FAC">
        <w:t>lowest</w:t>
      </w:r>
      <w:r w:rsidR="00907D8C">
        <w:t xml:space="preserve"> </w:t>
      </w:r>
      <w:r w:rsidRPr="00036FAC">
        <w:t>rate</w:t>
      </w:r>
      <w:r w:rsidR="00907D8C">
        <w:t xml:space="preserve"> </w:t>
      </w:r>
      <w:r w:rsidRPr="00036FAC">
        <w:t>of</w:t>
      </w:r>
      <w:r w:rsidR="00907D8C">
        <w:t xml:space="preserve"> </w:t>
      </w:r>
      <w:r w:rsidRPr="00036FAC">
        <w:t>hospitalisations</w:t>
      </w:r>
      <w:r w:rsidR="00907D8C">
        <w:t xml:space="preserve"> </w:t>
      </w:r>
      <w:r w:rsidRPr="00036FAC">
        <w:t>each</w:t>
      </w:r>
      <w:r w:rsidR="00907D8C">
        <w:t xml:space="preserve"> </w:t>
      </w:r>
      <w:r w:rsidRPr="00036FAC">
        <w:t>year</w:t>
      </w:r>
      <w:r w:rsidR="00907D8C">
        <w:t xml:space="preserve"> </w:t>
      </w:r>
      <w:r w:rsidRPr="00036FAC">
        <w:t>over</w:t>
      </w:r>
      <w:r w:rsidR="00907D8C">
        <w:t xml:space="preserve"> </w:t>
      </w:r>
      <w:r w:rsidRPr="00036FAC">
        <w:t>the</w:t>
      </w:r>
      <w:r w:rsidR="00907D8C">
        <w:t xml:space="preserve"> </w:t>
      </w:r>
      <w:r w:rsidRPr="00036FAC">
        <w:t>five-year</w:t>
      </w:r>
      <w:r w:rsidR="00907D8C">
        <w:t xml:space="preserve"> </w:t>
      </w:r>
      <w:r w:rsidRPr="00036FAC">
        <w:t>period.</w:t>
      </w:r>
    </w:p>
    <w:p w:rsidR="00B258C5" w:rsidRDefault="00B258C5" w:rsidP="00B258C5">
      <w:pPr>
        <w:pStyle w:val="Heading1"/>
      </w:pPr>
      <w:bookmarkStart w:id="59" w:name="_Toc275331930"/>
      <w:r>
        <w:t>Table</w:t>
      </w:r>
      <w:r w:rsidR="00907D8C">
        <w:t xml:space="preserve"> </w:t>
      </w:r>
      <w:r>
        <w:t>29</w:t>
      </w:r>
    </w:p>
    <w:p w:rsidR="00036FAC" w:rsidRPr="00B258C5" w:rsidRDefault="00036FAC" w:rsidP="00B258C5">
      <w:pPr>
        <w:pStyle w:val="SingleTxtG"/>
        <w:rPr>
          <w:b/>
        </w:rPr>
      </w:pPr>
      <w:r w:rsidRPr="00B258C5">
        <w:rPr>
          <w:b/>
        </w:rPr>
        <w:t>Non-communicable</w:t>
      </w:r>
      <w:r w:rsidR="00907D8C">
        <w:rPr>
          <w:b/>
        </w:rPr>
        <w:t xml:space="preserve"> </w:t>
      </w:r>
      <w:r w:rsidRPr="00B258C5">
        <w:rPr>
          <w:b/>
        </w:rPr>
        <w:t>disease</w:t>
      </w:r>
      <w:r w:rsidR="00907D8C">
        <w:rPr>
          <w:b/>
        </w:rPr>
        <w:t xml:space="preserve"> </w:t>
      </w:r>
      <w:r w:rsidRPr="00B258C5">
        <w:rPr>
          <w:b/>
        </w:rPr>
        <w:t>age-standardi</w:t>
      </w:r>
      <w:r w:rsidR="00F47B6C">
        <w:rPr>
          <w:b/>
        </w:rPr>
        <w:t>z</w:t>
      </w:r>
      <w:r w:rsidRPr="00B258C5">
        <w:rPr>
          <w:b/>
        </w:rPr>
        <w:t>ed</w:t>
      </w:r>
      <w:r w:rsidR="00907D8C">
        <w:rPr>
          <w:b/>
        </w:rPr>
        <w:t xml:space="preserve"> </w:t>
      </w:r>
      <w:r w:rsidRPr="00B258C5">
        <w:rPr>
          <w:b/>
        </w:rPr>
        <w:t>rates</w:t>
      </w:r>
      <w:r w:rsidR="00907D8C">
        <w:rPr>
          <w:b/>
        </w:rPr>
        <w:t xml:space="preserve"> </w:t>
      </w:r>
      <w:r w:rsidRPr="00B258C5">
        <w:rPr>
          <w:b/>
        </w:rPr>
        <w:t>by</w:t>
      </w:r>
      <w:r w:rsidR="00907D8C">
        <w:rPr>
          <w:b/>
        </w:rPr>
        <w:t xml:space="preserve"> </w:t>
      </w:r>
      <w:r w:rsidRPr="00B258C5">
        <w:rPr>
          <w:b/>
        </w:rPr>
        <w:t>ethnicity</w:t>
      </w:r>
      <w:bookmarkEnd w:id="59"/>
    </w:p>
    <w:p w:rsidR="00036FAC" w:rsidRPr="00036FAC" w:rsidRDefault="00036FAC" w:rsidP="00B258C5">
      <w:pPr>
        <w:tabs>
          <w:tab w:val="right" w:pos="850"/>
          <w:tab w:val="left" w:pos="1134"/>
          <w:tab w:val="left" w:pos="1559"/>
          <w:tab w:val="left" w:pos="1984"/>
          <w:tab w:val="left" w:leader="dot" w:pos="7654"/>
          <w:tab w:val="right" w:pos="8929"/>
          <w:tab w:val="right" w:pos="9638"/>
        </w:tabs>
        <w:spacing w:after="120"/>
        <w:ind w:left="1100"/>
      </w:pPr>
      <w:r w:rsidRPr="00036FAC">
        <w:pict>
          <v:shape id="_x0000_i1039" type="#_x0000_t75" style="width:401.25pt;height:199.5pt">
            <v:imagedata r:id="rId21" o:title=""/>
          </v:shape>
        </w:pict>
      </w:r>
    </w:p>
    <w:p w:rsidR="00036FAC" w:rsidRPr="00B258C5" w:rsidRDefault="00036FAC" w:rsidP="00A6400B">
      <w:pPr>
        <w:spacing w:before="12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sidR="00B258C5">
        <w:rPr>
          <w:sz w:val="18"/>
          <w:szCs w:val="18"/>
        </w:rPr>
        <w:t>.</w:t>
      </w:r>
    </w:p>
    <w:p w:rsidR="00036FAC" w:rsidRPr="00B258C5" w:rsidRDefault="00036FAC" w:rsidP="00A6400B">
      <w:pPr>
        <w:spacing w:after="240"/>
        <w:ind w:left="1134" w:right="1134" w:firstLine="170"/>
        <w:rPr>
          <w:sz w:val="18"/>
          <w:szCs w:val="18"/>
        </w:rPr>
      </w:pPr>
      <w:r w:rsidRPr="00B258C5">
        <w:rPr>
          <w:i/>
          <w:sz w:val="18"/>
          <w:szCs w:val="18"/>
        </w:rPr>
        <w:t>Note</w:t>
      </w:r>
      <w:r w:rsidRPr="00B258C5">
        <w:rPr>
          <w:sz w:val="18"/>
          <w:szCs w:val="18"/>
        </w:rPr>
        <w:t>:</w:t>
      </w:r>
      <w:r w:rsidR="00907D8C">
        <w:rPr>
          <w:sz w:val="18"/>
          <w:szCs w:val="18"/>
        </w:rPr>
        <w:t xml:space="preserve">  </w:t>
      </w:r>
      <w:r w:rsidRPr="00B258C5">
        <w:rPr>
          <w:sz w:val="18"/>
          <w:szCs w:val="18"/>
        </w:rPr>
        <w:t>Non-communicable</w:t>
      </w:r>
      <w:r w:rsidR="00907D8C">
        <w:rPr>
          <w:sz w:val="18"/>
          <w:szCs w:val="18"/>
        </w:rPr>
        <w:t xml:space="preserve"> </w:t>
      </w:r>
      <w:r w:rsidRPr="00B258C5">
        <w:rPr>
          <w:sz w:val="18"/>
          <w:szCs w:val="18"/>
        </w:rPr>
        <w:t>diseases</w:t>
      </w:r>
      <w:r w:rsidR="00907D8C">
        <w:rPr>
          <w:sz w:val="18"/>
          <w:szCs w:val="18"/>
        </w:rPr>
        <w:t xml:space="preserve"> </w:t>
      </w:r>
      <w:r w:rsidRPr="00B258C5">
        <w:rPr>
          <w:sz w:val="18"/>
          <w:szCs w:val="18"/>
        </w:rPr>
        <w:t>grouped</w:t>
      </w:r>
      <w:r w:rsidR="00907D8C">
        <w:rPr>
          <w:sz w:val="18"/>
          <w:szCs w:val="18"/>
        </w:rPr>
        <w:t xml:space="preserve"> </w:t>
      </w:r>
      <w:r w:rsidRPr="00B258C5">
        <w:rPr>
          <w:sz w:val="18"/>
          <w:szCs w:val="18"/>
        </w:rPr>
        <w:t>are:</w:t>
      </w:r>
      <w:r w:rsidR="00907D8C">
        <w:rPr>
          <w:sz w:val="18"/>
          <w:szCs w:val="18"/>
        </w:rPr>
        <w:t xml:space="preserve"> </w:t>
      </w:r>
      <w:r w:rsidRPr="00B258C5">
        <w:rPr>
          <w:sz w:val="18"/>
          <w:szCs w:val="18"/>
        </w:rPr>
        <w:t>acute</w:t>
      </w:r>
      <w:r w:rsidR="00907D8C">
        <w:rPr>
          <w:sz w:val="18"/>
          <w:szCs w:val="18"/>
        </w:rPr>
        <w:t xml:space="preserve"> </w:t>
      </w:r>
      <w:r w:rsidRPr="00B258C5">
        <w:rPr>
          <w:sz w:val="18"/>
          <w:szCs w:val="18"/>
        </w:rPr>
        <w:t>myocardial</w:t>
      </w:r>
      <w:r w:rsidR="00907D8C">
        <w:rPr>
          <w:sz w:val="18"/>
          <w:szCs w:val="18"/>
        </w:rPr>
        <w:t xml:space="preserve"> </w:t>
      </w:r>
      <w:r w:rsidRPr="00B258C5">
        <w:rPr>
          <w:sz w:val="18"/>
          <w:szCs w:val="18"/>
        </w:rPr>
        <w:t>infarction,</w:t>
      </w:r>
      <w:r w:rsidR="00907D8C">
        <w:rPr>
          <w:sz w:val="18"/>
          <w:szCs w:val="18"/>
        </w:rPr>
        <w:t xml:space="preserve"> </w:t>
      </w:r>
      <w:r w:rsidRPr="00B258C5">
        <w:rPr>
          <w:sz w:val="18"/>
          <w:szCs w:val="18"/>
        </w:rPr>
        <w:t>hypertension,</w:t>
      </w:r>
      <w:r w:rsidR="00907D8C">
        <w:rPr>
          <w:sz w:val="18"/>
          <w:szCs w:val="18"/>
        </w:rPr>
        <w:t xml:space="preserve"> </w:t>
      </w:r>
      <w:r w:rsidRPr="00B258C5">
        <w:rPr>
          <w:sz w:val="18"/>
          <w:szCs w:val="18"/>
        </w:rPr>
        <w:t>diabetes,</w:t>
      </w:r>
      <w:r w:rsidR="00907D8C">
        <w:rPr>
          <w:sz w:val="18"/>
          <w:szCs w:val="18"/>
        </w:rPr>
        <w:t xml:space="preserve"> </w:t>
      </w:r>
      <w:r w:rsidRPr="00B258C5">
        <w:rPr>
          <w:sz w:val="18"/>
          <w:szCs w:val="18"/>
        </w:rPr>
        <w:t>and</w:t>
      </w:r>
      <w:r w:rsidR="00907D8C">
        <w:rPr>
          <w:sz w:val="18"/>
          <w:szCs w:val="18"/>
        </w:rPr>
        <w:t xml:space="preserve"> </w:t>
      </w:r>
      <w:r w:rsidRPr="00B258C5">
        <w:rPr>
          <w:sz w:val="18"/>
          <w:szCs w:val="18"/>
        </w:rPr>
        <w:t>cerebrovascular</w:t>
      </w:r>
      <w:r w:rsidR="00907D8C">
        <w:rPr>
          <w:sz w:val="18"/>
          <w:szCs w:val="18"/>
        </w:rPr>
        <w:t xml:space="preserve"> </w:t>
      </w:r>
      <w:r w:rsidRPr="00B258C5">
        <w:rPr>
          <w:sz w:val="18"/>
          <w:szCs w:val="18"/>
        </w:rPr>
        <w:t>disease.</w:t>
      </w:r>
    </w:p>
    <w:p w:rsidR="00B258C5" w:rsidRDefault="00B258C5" w:rsidP="00B258C5">
      <w:pPr>
        <w:pStyle w:val="Heading1"/>
      </w:pPr>
      <w:bookmarkStart w:id="60" w:name="_Toc275331931"/>
      <w:r>
        <w:t>Table</w:t>
      </w:r>
      <w:r w:rsidR="00907D8C">
        <w:t xml:space="preserve"> </w:t>
      </w:r>
      <w:r>
        <w:t>30</w:t>
      </w:r>
    </w:p>
    <w:p w:rsidR="00036FAC" w:rsidRPr="00B258C5" w:rsidRDefault="00036FAC" w:rsidP="00B258C5">
      <w:pPr>
        <w:pStyle w:val="SingleTxtG"/>
        <w:rPr>
          <w:b/>
        </w:rPr>
      </w:pPr>
      <w:r w:rsidRPr="00B258C5">
        <w:rPr>
          <w:b/>
        </w:rPr>
        <w:t>Communicable</w:t>
      </w:r>
      <w:r w:rsidR="00907D8C">
        <w:rPr>
          <w:b/>
        </w:rPr>
        <w:t xml:space="preserve"> </w:t>
      </w:r>
      <w:r w:rsidRPr="00B258C5">
        <w:rPr>
          <w:b/>
        </w:rPr>
        <w:t>disease</w:t>
      </w:r>
      <w:r w:rsidR="00907D8C">
        <w:rPr>
          <w:b/>
        </w:rPr>
        <w:t xml:space="preserve"> </w:t>
      </w:r>
      <w:r w:rsidRPr="00B258C5">
        <w:rPr>
          <w:b/>
        </w:rPr>
        <w:t>age-standardi</w:t>
      </w:r>
      <w:r w:rsidR="00F47B6C">
        <w:rPr>
          <w:b/>
        </w:rPr>
        <w:t>z</w:t>
      </w:r>
      <w:r w:rsidRPr="00B258C5">
        <w:rPr>
          <w:b/>
        </w:rPr>
        <w:t>ed</w:t>
      </w:r>
      <w:r w:rsidR="00907D8C">
        <w:rPr>
          <w:b/>
        </w:rPr>
        <w:t xml:space="preserve"> </w:t>
      </w:r>
      <w:r w:rsidRPr="00B258C5">
        <w:rPr>
          <w:b/>
        </w:rPr>
        <w:t>rates</w:t>
      </w:r>
      <w:r w:rsidR="00907D8C">
        <w:rPr>
          <w:b/>
        </w:rPr>
        <w:t xml:space="preserve"> </w:t>
      </w:r>
      <w:r w:rsidRPr="00B258C5">
        <w:rPr>
          <w:b/>
        </w:rPr>
        <w:t>by</w:t>
      </w:r>
      <w:r w:rsidR="00907D8C">
        <w:rPr>
          <w:b/>
        </w:rPr>
        <w:t xml:space="preserve"> </w:t>
      </w:r>
      <w:r w:rsidRPr="00B258C5">
        <w:rPr>
          <w:b/>
        </w:rPr>
        <w:t>ethnicity</w:t>
      </w:r>
      <w:bookmarkEnd w:id="60"/>
    </w:p>
    <w:p w:rsidR="00036FAC" w:rsidRPr="00036FAC" w:rsidRDefault="00036FAC" w:rsidP="00B258C5">
      <w:pPr>
        <w:tabs>
          <w:tab w:val="right" w:pos="850"/>
          <w:tab w:val="left" w:pos="1134"/>
          <w:tab w:val="left" w:pos="1559"/>
          <w:tab w:val="left" w:pos="1984"/>
          <w:tab w:val="left" w:leader="dot" w:pos="7654"/>
          <w:tab w:val="right" w:pos="8929"/>
          <w:tab w:val="right" w:pos="9638"/>
        </w:tabs>
        <w:spacing w:after="120"/>
        <w:ind w:left="1100"/>
      </w:pPr>
      <w:r w:rsidRPr="00036FAC">
        <w:pict>
          <v:shape id="_x0000_i1040" type="#_x0000_t75" style="width:414.75pt;height:215.25pt">
            <v:imagedata r:id="rId22" o:title=""/>
          </v:shape>
        </w:pict>
      </w:r>
    </w:p>
    <w:p w:rsidR="00F47B6C" w:rsidRPr="00B258C5" w:rsidRDefault="00F47B6C" w:rsidP="00A6400B">
      <w:pPr>
        <w:spacing w:before="12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Pr>
          <w:sz w:val="18"/>
          <w:szCs w:val="18"/>
        </w:rPr>
        <w:t>.</w:t>
      </w:r>
    </w:p>
    <w:p w:rsidR="00036FAC" w:rsidRPr="00F47B6C" w:rsidRDefault="00036FAC" w:rsidP="00B50FB5">
      <w:pPr>
        <w:spacing w:after="240"/>
        <w:ind w:left="1134" w:right="1134" w:firstLine="170"/>
        <w:rPr>
          <w:sz w:val="18"/>
          <w:szCs w:val="18"/>
        </w:rPr>
      </w:pPr>
      <w:r w:rsidRPr="00F47B6C">
        <w:rPr>
          <w:i/>
          <w:sz w:val="18"/>
          <w:szCs w:val="18"/>
        </w:rPr>
        <w:t>Note</w:t>
      </w:r>
      <w:r w:rsidRPr="00F47B6C">
        <w:rPr>
          <w:sz w:val="18"/>
          <w:szCs w:val="18"/>
        </w:rPr>
        <w:t>:</w:t>
      </w:r>
      <w:r w:rsidR="00907D8C">
        <w:rPr>
          <w:sz w:val="18"/>
          <w:szCs w:val="18"/>
        </w:rPr>
        <w:t xml:space="preserve">  </w:t>
      </w:r>
      <w:r w:rsidRPr="00F47B6C">
        <w:rPr>
          <w:sz w:val="18"/>
          <w:szCs w:val="18"/>
        </w:rPr>
        <w:t>Communicable</w:t>
      </w:r>
      <w:r w:rsidR="00907D8C">
        <w:rPr>
          <w:sz w:val="18"/>
          <w:szCs w:val="18"/>
        </w:rPr>
        <w:t xml:space="preserve"> </w:t>
      </w:r>
      <w:r w:rsidRPr="00F47B6C">
        <w:rPr>
          <w:sz w:val="18"/>
          <w:szCs w:val="18"/>
        </w:rPr>
        <w:t>diseases</w:t>
      </w:r>
      <w:r w:rsidR="00907D8C">
        <w:rPr>
          <w:sz w:val="18"/>
          <w:szCs w:val="18"/>
        </w:rPr>
        <w:t xml:space="preserve"> </w:t>
      </w:r>
      <w:r w:rsidRPr="00F47B6C">
        <w:rPr>
          <w:sz w:val="18"/>
          <w:szCs w:val="18"/>
        </w:rPr>
        <w:t>grouped</w:t>
      </w:r>
      <w:r w:rsidR="00907D8C">
        <w:rPr>
          <w:sz w:val="18"/>
          <w:szCs w:val="18"/>
        </w:rPr>
        <w:t xml:space="preserve"> </w:t>
      </w:r>
      <w:r w:rsidRPr="00F47B6C">
        <w:rPr>
          <w:sz w:val="18"/>
          <w:szCs w:val="18"/>
        </w:rPr>
        <w:t>are:</w:t>
      </w:r>
      <w:r w:rsidR="00907D8C">
        <w:rPr>
          <w:sz w:val="18"/>
          <w:szCs w:val="18"/>
        </w:rPr>
        <w:t xml:space="preserve"> </w:t>
      </w:r>
      <w:r w:rsidRPr="00F47B6C">
        <w:rPr>
          <w:sz w:val="18"/>
          <w:szCs w:val="18"/>
        </w:rPr>
        <w:t>HIV/AIDS,</w:t>
      </w:r>
      <w:r w:rsidR="00907D8C">
        <w:rPr>
          <w:sz w:val="18"/>
          <w:szCs w:val="18"/>
        </w:rPr>
        <w:t xml:space="preserve"> </w:t>
      </w:r>
      <w:r w:rsidRPr="00F47B6C">
        <w:rPr>
          <w:sz w:val="18"/>
          <w:szCs w:val="18"/>
        </w:rPr>
        <w:t>viral</w:t>
      </w:r>
      <w:r w:rsidR="00907D8C">
        <w:rPr>
          <w:sz w:val="18"/>
          <w:szCs w:val="18"/>
        </w:rPr>
        <w:t xml:space="preserve"> </w:t>
      </w:r>
      <w:r w:rsidRPr="00F47B6C">
        <w:rPr>
          <w:sz w:val="18"/>
          <w:szCs w:val="18"/>
        </w:rPr>
        <w:t>hepatitis,</w:t>
      </w:r>
      <w:r w:rsidR="00907D8C">
        <w:rPr>
          <w:sz w:val="18"/>
          <w:szCs w:val="18"/>
        </w:rPr>
        <w:t xml:space="preserve"> </w:t>
      </w:r>
      <w:r w:rsidRPr="00F47B6C">
        <w:rPr>
          <w:sz w:val="18"/>
          <w:szCs w:val="18"/>
        </w:rPr>
        <w:t>diarrhoeal</w:t>
      </w:r>
      <w:r w:rsidR="00907D8C">
        <w:rPr>
          <w:sz w:val="18"/>
          <w:szCs w:val="18"/>
        </w:rPr>
        <w:t xml:space="preserve"> </w:t>
      </w:r>
      <w:r w:rsidRPr="00F47B6C">
        <w:rPr>
          <w:sz w:val="18"/>
          <w:szCs w:val="18"/>
        </w:rPr>
        <w:t>diseases,</w:t>
      </w:r>
      <w:r w:rsidR="00907D8C">
        <w:rPr>
          <w:sz w:val="18"/>
          <w:szCs w:val="18"/>
        </w:rPr>
        <w:t xml:space="preserve"> </w:t>
      </w:r>
      <w:r w:rsidRPr="00F47B6C">
        <w:rPr>
          <w:sz w:val="18"/>
          <w:szCs w:val="18"/>
        </w:rPr>
        <w:t>tuberculosis,</w:t>
      </w:r>
      <w:r w:rsidR="00907D8C">
        <w:rPr>
          <w:sz w:val="18"/>
          <w:szCs w:val="18"/>
        </w:rPr>
        <w:t xml:space="preserve"> </w:t>
      </w:r>
      <w:r w:rsidRPr="00F47B6C">
        <w:rPr>
          <w:sz w:val="18"/>
          <w:szCs w:val="18"/>
        </w:rPr>
        <w:t>rheumatic</w:t>
      </w:r>
      <w:r w:rsidR="00907D8C">
        <w:rPr>
          <w:sz w:val="18"/>
          <w:szCs w:val="18"/>
        </w:rPr>
        <w:t xml:space="preserve"> </w:t>
      </w:r>
      <w:r w:rsidRPr="00F47B6C">
        <w:rPr>
          <w:sz w:val="18"/>
          <w:szCs w:val="18"/>
        </w:rPr>
        <w:t>fever</w:t>
      </w:r>
      <w:r w:rsidR="00907D8C">
        <w:rPr>
          <w:sz w:val="18"/>
          <w:szCs w:val="18"/>
        </w:rPr>
        <w:t xml:space="preserve"> </w:t>
      </w:r>
      <w:r w:rsidRPr="00F47B6C">
        <w:rPr>
          <w:sz w:val="18"/>
          <w:szCs w:val="18"/>
        </w:rPr>
        <w:t>and</w:t>
      </w:r>
      <w:r w:rsidR="00907D8C">
        <w:rPr>
          <w:sz w:val="18"/>
          <w:szCs w:val="18"/>
        </w:rPr>
        <w:t xml:space="preserve"> </w:t>
      </w:r>
      <w:r w:rsidRPr="00F47B6C">
        <w:rPr>
          <w:sz w:val="18"/>
          <w:szCs w:val="18"/>
        </w:rPr>
        <w:t>rheumatic</w:t>
      </w:r>
      <w:r w:rsidR="00907D8C">
        <w:rPr>
          <w:sz w:val="18"/>
          <w:szCs w:val="18"/>
        </w:rPr>
        <w:t xml:space="preserve"> </w:t>
      </w:r>
      <w:r w:rsidRPr="00F47B6C">
        <w:rPr>
          <w:sz w:val="18"/>
          <w:szCs w:val="18"/>
        </w:rPr>
        <w:t>heart</w:t>
      </w:r>
      <w:r w:rsidR="00907D8C">
        <w:rPr>
          <w:sz w:val="18"/>
          <w:szCs w:val="18"/>
        </w:rPr>
        <w:t xml:space="preserve"> </w:t>
      </w:r>
      <w:r w:rsidRPr="00F47B6C">
        <w:rPr>
          <w:sz w:val="18"/>
          <w:szCs w:val="18"/>
        </w:rPr>
        <w:t>disease,</w:t>
      </w:r>
      <w:r w:rsidR="00907D8C">
        <w:rPr>
          <w:sz w:val="18"/>
          <w:szCs w:val="18"/>
        </w:rPr>
        <w:t xml:space="preserve"> </w:t>
      </w:r>
      <w:r w:rsidRPr="00F47B6C">
        <w:rPr>
          <w:sz w:val="18"/>
          <w:szCs w:val="18"/>
        </w:rPr>
        <w:t>acute</w:t>
      </w:r>
      <w:r w:rsidR="00907D8C">
        <w:rPr>
          <w:sz w:val="18"/>
          <w:szCs w:val="18"/>
        </w:rPr>
        <w:t xml:space="preserve"> </w:t>
      </w:r>
      <w:r w:rsidRPr="00F47B6C">
        <w:rPr>
          <w:sz w:val="18"/>
          <w:szCs w:val="18"/>
        </w:rPr>
        <w:t>respiratory</w:t>
      </w:r>
      <w:r w:rsidR="00907D8C">
        <w:rPr>
          <w:sz w:val="18"/>
          <w:szCs w:val="18"/>
        </w:rPr>
        <w:t xml:space="preserve"> </w:t>
      </w:r>
      <w:r w:rsidRPr="00F47B6C">
        <w:rPr>
          <w:sz w:val="18"/>
          <w:szCs w:val="18"/>
        </w:rPr>
        <w:t>infections</w:t>
      </w:r>
      <w:r w:rsidR="00907D8C">
        <w:rPr>
          <w:sz w:val="18"/>
          <w:szCs w:val="18"/>
        </w:rPr>
        <w:t xml:space="preserve"> </w:t>
      </w:r>
      <w:r w:rsidRPr="00F47B6C">
        <w:rPr>
          <w:sz w:val="18"/>
          <w:szCs w:val="18"/>
        </w:rPr>
        <w:t>(includes</w:t>
      </w:r>
      <w:r w:rsidR="00907D8C">
        <w:rPr>
          <w:sz w:val="18"/>
          <w:szCs w:val="18"/>
        </w:rPr>
        <w:t xml:space="preserve"> </w:t>
      </w:r>
      <w:r w:rsidRPr="00F47B6C">
        <w:rPr>
          <w:sz w:val="18"/>
          <w:szCs w:val="18"/>
        </w:rPr>
        <w:t>upper,</w:t>
      </w:r>
      <w:r w:rsidR="00907D8C">
        <w:rPr>
          <w:sz w:val="18"/>
          <w:szCs w:val="18"/>
        </w:rPr>
        <w:t xml:space="preserve"> </w:t>
      </w:r>
      <w:r w:rsidRPr="00F47B6C">
        <w:rPr>
          <w:sz w:val="18"/>
          <w:szCs w:val="18"/>
        </w:rPr>
        <w:t>lower</w:t>
      </w:r>
      <w:r w:rsidR="00907D8C">
        <w:rPr>
          <w:sz w:val="18"/>
          <w:szCs w:val="18"/>
        </w:rPr>
        <w:t xml:space="preserve"> </w:t>
      </w:r>
      <w:r w:rsidRPr="00F47B6C">
        <w:rPr>
          <w:sz w:val="18"/>
          <w:szCs w:val="18"/>
        </w:rPr>
        <w:t>and</w:t>
      </w:r>
      <w:r w:rsidR="00907D8C">
        <w:rPr>
          <w:sz w:val="18"/>
          <w:szCs w:val="18"/>
        </w:rPr>
        <w:t xml:space="preserve"> </w:t>
      </w:r>
      <w:r w:rsidRPr="00F47B6C">
        <w:rPr>
          <w:sz w:val="18"/>
          <w:szCs w:val="18"/>
        </w:rPr>
        <w:t>influenza</w:t>
      </w:r>
      <w:r w:rsidR="00907D8C">
        <w:rPr>
          <w:sz w:val="18"/>
          <w:szCs w:val="18"/>
        </w:rPr>
        <w:t xml:space="preserve"> </w:t>
      </w:r>
      <w:r w:rsidRPr="00F47B6C">
        <w:rPr>
          <w:sz w:val="18"/>
          <w:szCs w:val="18"/>
        </w:rPr>
        <w:t>and</w:t>
      </w:r>
      <w:r w:rsidR="00907D8C">
        <w:rPr>
          <w:sz w:val="18"/>
          <w:szCs w:val="18"/>
        </w:rPr>
        <w:t xml:space="preserve"> </w:t>
      </w:r>
      <w:r w:rsidRPr="00F47B6C">
        <w:rPr>
          <w:sz w:val="18"/>
          <w:szCs w:val="18"/>
        </w:rPr>
        <w:t>pneumonia).</w:t>
      </w:r>
    </w:p>
    <w:p w:rsidR="00036FAC" w:rsidRPr="00036FAC" w:rsidRDefault="00036FAC" w:rsidP="006C436C">
      <w:pPr>
        <w:pStyle w:val="H23G"/>
      </w:pPr>
      <w:r w:rsidRPr="00036FAC">
        <w:tab/>
        <w:t>(g)</w:t>
      </w:r>
      <w:r w:rsidRPr="00036FAC">
        <w:tab/>
        <w:t>Male</w:t>
      </w:r>
      <w:r w:rsidR="00907D8C">
        <w:t xml:space="preserve"> </w:t>
      </w:r>
      <w:r w:rsidRPr="00036FAC">
        <w:t>and</w:t>
      </w:r>
      <w:r w:rsidR="00907D8C">
        <w:t xml:space="preserve"> </w:t>
      </w:r>
      <w:r w:rsidRPr="00036FAC">
        <w:t>female</w:t>
      </w:r>
      <w:r w:rsidR="00907D8C">
        <w:t xml:space="preserve"> </w:t>
      </w:r>
      <w:r w:rsidRPr="00036FAC">
        <w:t>hospitali</w:t>
      </w:r>
      <w:r w:rsidR="00F47B6C">
        <w:t>z</w:t>
      </w:r>
      <w:r w:rsidRPr="00036FAC">
        <w:t>ations</w:t>
      </w:r>
      <w:r w:rsidR="00907D8C">
        <w:t xml:space="preserve"> </w:t>
      </w:r>
      <w:r w:rsidRPr="00036FAC">
        <w:t>by</w:t>
      </w:r>
      <w:r w:rsidR="00907D8C">
        <w:t xml:space="preserve"> </w:t>
      </w:r>
      <w:r w:rsidRPr="00036FAC">
        <w:t>selected</w:t>
      </w:r>
      <w:r w:rsidR="00907D8C">
        <w:t xml:space="preserve"> </w:t>
      </w:r>
      <w:r w:rsidRPr="00036FAC">
        <w:t>diseases</w:t>
      </w:r>
    </w:p>
    <w:p w:rsidR="00036FAC" w:rsidRPr="00036FAC" w:rsidRDefault="00036FAC" w:rsidP="00F47B6C">
      <w:pPr>
        <w:pStyle w:val="SingleTxtG"/>
      </w:pPr>
      <w:r w:rsidRPr="00036FAC">
        <w:t>91.</w:t>
      </w:r>
      <w:r w:rsidRPr="00036FAC">
        <w:tab/>
        <w:t>The</w:t>
      </w:r>
      <w:r w:rsidR="00907D8C">
        <w:t xml:space="preserve"> </w:t>
      </w:r>
      <w:r w:rsidRPr="00036FAC">
        <w:t>number</w:t>
      </w:r>
      <w:r w:rsidR="00907D8C">
        <w:t xml:space="preserve"> </w:t>
      </w:r>
      <w:r w:rsidRPr="00036FAC">
        <w:t>of</w:t>
      </w:r>
      <w:r w:rsidR="00907D8C">
        <w:t xml:space="preserve"> </w:t>
      </w:r>
      <w:r w:rsidRPr="00036FAC">
        <w:t>hospitalisations</w:t>
      </w:r>
      <w:r w:rsidR="00907D8C">
        <w:t xml:space="preserve"> </w:t>
      </w:r>
      <w:r w:rsidRPr="00036FAC">
        <w:t>was</w:t>
      </w:r>
      <w:r w:rsidR="00907D8C">
        <w:t xml:space="preserve"> </w:t>
      </w:r>
      <w:r w:rsidRPr="00036FAC">
        <w:t>similar</w:t>
      </w:r>
      <w:r w:rsidR="00907D8C">
        <w:t xml:space="preserve"> </w:t>
      </w:r>
      <w:r w:rsidRPr="00036FAC">
        <w:t>between</w:t>
      </w:r>
      <w:r w:rsidR="00907D8C">
        <w:t xml:space="preserve"> </w:t>
      </w:r>
      <w:r w:rsidRPr="00036FAC">
        <w:t>males</w:t>
      </w:r>
      <w:r w:rsidR="00907D8C">
        <w:t xml:space="preserve"> </w:t>
      </w:r>
      <w:r w:rsidRPr="00036FAC">
        <w:t>and</w:t>
      </w:r>
      <w:r w:rsidR="00907D8C">
        <w:t xml:space="preserve"> </w:t>
      </w:r>
      <w:r w:rsidRPr="00036FAC">
        <w:t>females</w:t>
      </w:r>
      <w:r w:rsidR="00907D8C">
        <w:t xml:space="preserve"> </w:t>
      </w:r>
      <w:r w:rsidRPr="00036FAC">
        <w:t>for</w:t>
      </w:r>
      <w:r w:rsidR="00907D8C">
        <w:t xml:space="preserve"> </w:t>
      </w:r>
      <w:r w:rsidRPr="00036FAC">
        <w:t>all</w:t>
      </w:r>
      <w:r w:rsidR="00907D8C">
        <w:t xml:space="preserve"> </w:t>
      </w:r>
      <w:r w:rsidRPr="00036FAC">
        <w:t>diseases</w:t>
      </w:r>
      <w:r w:rsidR="00907D8C">
        <w:t xml:space="preserve"> </w:t>
      </w:r>
      <w:r w:rsidRPr="00036FAC">
        <w:t>except</w:t>
      </w:r>
      <w:r w:rsidR="00907D8C">
        <w:t xml:space="preserve"> </w:t>
      </w:r>
      <w:r w:rsidRPr="00036FAC">
        <w:t>acute</w:t>
      </w:r>
      <w:r w:rsidR="00907D8C">
        <w:t xml:space="preserve"> </w:t>
      </w:r>
      <w:r w:rsidRPr="00036FAC">
        <w:t>myocardial</w:t>
      </w:r>
      <w:r w:rsidR="00907D8C">
        <w:t xml:space="preserve"> </w:t>
      </w:r>
      <w:r w:rsidRPr="00036FAC">
        <w:t>infarction,</w:t>
      </w:r>
      <w:r w:rsidR="00907D8C">
        <w:t xml:space="preserve"> </w:t>
      </w:r>
      <w:r w:rsidRPr="00036FAC">
        <w:t>which</w:t>
      </w:r>
      <w:r w:rsidR="00907D8C">
        <w:t xml:space="preserve"> </w:t>
      </w:r>
      <w:r w:rsidRPr="00036FAC">
        <w:t>resulted</w:t>
      </w:r>
      <w:r w:rsidR="00907D8C">
        <w:t xml:space="preserve"> </w:t>
      </w:r>
      <w:r w:rsidRPr="00036FAC">
        <w:t>in</w:t>
      </w:r>
      <w:r w:rsidR="00907D8C">
        <w:t xml:space="preserve"> </w:t>
      </w:r>
      <w:r w:rsidRPr="00036FAC">
        <w:t>7,940</w:t>
      </w:r>
      <w:r w:rsidR="00907D8C">
        <w:t xml:space="preserve"> </w:t>
      </w:r>
      <w:r w:rsidRPr="00036FAC">
        <w:t>male</w:t>
      </w:r>
      <w:r w:rsidR="00907D8C">
        <w:t xml:space="preserve"> </w:t>
      </w:r>
      <w:r w:rsidRPr="00036FAC">
        <w:t>hospitalisations</w:t>
      </w:r>
      <w:r w:rsidR="00907D8C">
        <w:t xml:space="preserve"> </w:t>
      </w:r>
      <w:r w:rsidRPr="00036FAC">
        <w:t>and</w:t>
      </w:r>
      <w:r w:rsidR="00907D8C">
        <w:t xml:space="preserve"> </w:t>
      </w:r>
      <w:r w:rsidRPr="00036FAC">
        <w:t>4,846</w:t>
      </w:r>
      <w:r w:rsidR="00907D8C">
        <w:t xml:space="preserve"> </w:t>
      </w:r>
      <w:r w:rsidRPr="00036FAC">
        <w:t>female</w:t>
      </w:r>
      <w:r w:rsidR="00907D8C">
        <w:t xml:space="preserve"> </w:t>
      </w:r>
      <w:r w:rsidRPr="00036FAC">
        <w:t>hospitalisations.</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hospitalisations</w:t>
      </w:r>
      <w:r w:rsidR="00907D8C">
        <w:t xml:space="preserve"> </w:t>
      </w:r>
      <w:r w:rsidRPr="00036FAC">
        <w:t>for</w:t>
      </w:r>
      <w:r w:rsidR="00907D8C">
        <w:t xml:space="preserve"> </w:t>
      </w:r>
      <w:r w:rsidRPr="00036FAC">
        <w:t>rheumatic</w:t>
      </w:r>
      <w:r w:rsidR="00907D8C">
        <w:t xml:space="preserve"> </w:t>
      </w:r>
      <w:r w:rsidRPr="00036FAC">
        <w:t>fever,</w:t>
      </w:r>
      <w:r w:rsidR="00907D8C">
        <w:t xml:space="preserve"> </w:t>
      </w:r>
      <w:r w:rsidRPr="00036FAC">
        <w:t>HIV/AIDS</w:t>
      </w:r>
      <w:r w:rsidR="00907D8C">
        <w:t xml:space="preserve"> </w:t>
      </w:r>
      <w:r w:rsidRPr="00036FAC">
        <w:t>and</w:t>
      </w:r>
      <w:r w:rsidR="00907D8C">
        <w:t xml:space="preserve"> </w:t>
      </w:r>
      <w:r w:rsidRPr="00036FAC">
        <w:t>tuberculosis</w:t>
      </w:r>
      <w:r w:rsidR="00907D8C">
        <w:t xml:space="preserve"> </w:t>
      </w:r>
      <w:r w:rsidRPr="00036FAC">
        <w:t>was</w:t>
      </w:r>
      <w:r w:rsidR="00907D8C">
        <w:t xml:space="preserve"> </w:t>
      </w:r>
      <w:r w:rsidRPr="00036FAC">
        <w:t>low.</w:t>
      </w:r>
    </w:p>
    <w:p w:rsidR="00F47B6C" w:rsidRDefault="00F47B6C" w:rsidP="00F47B6C">
      <w:pPr>
        <w:pStyle w:val="Heading1"/>
      </w:pPr>
      <w:bookmarkStart w:id="61" w:name="_Toc275331932"/>
      <w:r>
        <w:t>Table</w:t>
      </w:r>
      <w:r w:rsidR="00907D8C">
        <w:t xml:space="preserve"> </w:t>
      </w:r>
      <w:r>
        <w:t>31</w:t>
      </w:r>
    </w:p>
    <w:p w:rsidR="00036FAC" w:rsidRPr="00F47B6C" w:rsidRDefault="00036FAC" w:rsidP="00F47B6C">
      <w:pPr>
        <w:pStyle w:val="SingleTxtG"/>
        <w:rPr>
          <w:b/>
        </w:rPr>
      </w:pPr>
      <w:r w:rsidRPr="00F47B6C">
        <w:rPr>
          <w:b/>
        </w:rPr>
        <w:t>Selected</w:t>
      </w:r>
      <w:r w:rsidR="00907D8C">
        <w:rPr>
          <w:b/>
        </w:rPr>
        <w:t xml:space="preserve"> </w:t>
      </w:r>
      <w:r w:rsidRPr="00F47B6C">
        <w:rPr>
          <w:b/>
        </w:rPr>
        <w:t>communicable</w:t>
      </w:r>
      <w:r w:rsidR="00907D8C">
        <w:rPr>
          <w:b/>
        </w:rPr>
        <w:t xml:space="preserve"> </w:t>
      </w:r>
      <w:r w:rsidRPr="00F47B6C">
        <w:rPr>
          <w:b/>
        </w:rPr>
        <w:t>and</w:t>
      </w:r>
      <w:r w:rsidR="00907D8C">
        <w:rPr>
          <w:b/>
        </w:rPr>
        <w:t xml:space="preserve"> </w:t>
      </w:r>
      <w:r w:rsidRPr="00F47B6C">
        <w:rPr>
          <w:b/>
        </w:rPr>
        <w:t>non-communicable</w:t>
      </w:r>
      <w:r w:rsidR="00907D8C">
        <w:rPr>
          <w:b/>
        </w:rPr>
        <w:t xml:space="preserve"> </w:t>
      </w:r>
      <w:r w:rsidRPr="00F47B6C">
        <w:rPr>
          <w:b/>
        </w:rPr>
        <w:t>disease</w:t>
      </w:r>
      <w:r w:rsidR="00907D8C">
        <w:rPr>
          <w:b/>
        </w:rPr>
        <w:t xml:space="preserve"> </w:t>
      </w:r>
      <w:r w:rsidRPr="00F47B6C">
        <w:rPr>
          <w:b/>
        </w:rPr>
        <w:t>hospitali</w:t>
      </w:r>
      <w:r w:rsidR="00F47B6C">
        <w:rPr>
          <w:b/>
        </w:rPr>
        <w:t>z</w:t>
      </w:r>
      <w:r w:rsidRPr="00F47B6C">
        <w:rPr>
          <w:b/>
        </w:rPr>
        <w:t>ations</w:t>
      </w:r>
      <w:bookmarkEnd w:id="61"/>
    </w:p>
    <w:p w:rsidR="00036FAC" w:rsidRPr="00036FAC" w:rsidRDefault="00036FAC" w:rsidP="00F47B6C">
      <w:pPr>
        <w:tabs>
          <w:tab w:val="right" w:pos="850"/>
          <w:tab w:val="left" w:pos="1134"/>
          <w:tab w:val="left" w:pos="1559"/>
          <w:tab w:val="left" w:pos="1984"/>
          <w:tab w:val="left" w:leader="dot" w:pos="7654"/>
          <w:tab w:val="right" w:pos="8929"/>
          <w:tab w:val="right" w:pos="9638"/>
        </w:tabs>
        <w:spacing w:after="120"/>
        <w:ind w:left="1100"/>
      </w:pPr>
      <w:r w:rsidRPr="00036FAC">
        <w:pict>
          <v:shape id="_x0000_i1041" type="#_x0000_t75" style="width:414.75pt;height:192pt">
            <v:imagedata r:id="rId23" o:title=""/>
          </v:shape>
        </w:pict>
      </w:r>
    </w:p>
    <w:p w:rsidR="00F47B6C" w:rsidRPr="00B258C5" w:rsidRDefault="00F47B6C" w:rsidP="00B50FB5">
      <w:pPr>
        <w:spacing w:before="120" w:after="24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Pr>
          <w:sz w:val="18"/>
          <w:szCs w:val="18"/>
        </w:rPr>
        <w:t>.</w:t>
      </w:r>
    </w:p>
    <w:p w:rsidR="00F47B6C" w:rsidRDefault="00F47B6C" w:rsidP="00F47B6C">
      <w:pPr>
        <w:pStyle w:val="Heading1"/>
      </w:pPr>
      <w:bookmarkStart w:id="62" w:name="_Toc275331933"/>
      <w:r>
        <w:t>Table</w:t>
      </w:r>
      <w:r w:rsidR="00907D8C">
        <w:t xml:space="preserve"> </w:t>
      </w:r>
      <w:r>
        <w:t>32</w:t>
      </w:r>
    </w:p>
    <w:p w:rsidR="00036FAC" w:rsidRPr="00F47B6C" w:rsidRDefault="00036FAC" w:rsidP="00F47B6C">
      <w:pPr>
        <w:pStyle w:val="SingleTxtG"/>
        <w:rPr>
          <w:b/>
        </w:rPr>
      </w:pPr>
      <w:r w:rsidRPr="00F47B6C">
        <w:rPr>
          <w:b/>
        </w:rPr>
        <w:t>Selected</w:t>
      </w:r>
      <w:r w:rsidR="00907D8C">
        <w:rPr>
          <w:b/>
        </w:rPr>
        <w:t xml:space="preserve"> </w:t>
      </w:r>
      <w:r w:rsidRPr="00F47B6C">
        <w:rPr>
          <w:b/>
        </w:rPr>
        <w:t>communicable</w:t>
      </w:r>
      <w:r w:rsidR="00907D8C">
        <w:rPr>
          <w:b/>
        </w:rPr>
        <w:t xml:space="preserve"> </w:t>
      </w:r>
      <w:r w:rsidRPr="00F47B6C">
        <w:rPr>
          <w:b/>
        </w:rPr>
        <w:t>and</w:t>
      </w:r>
      <w:r w:rsidR="00907D8C">
        <w:rPr>
          <w:b/>
        </w:rPr>
        <w:t xml:space="preserve"> </w:t>
      </w:r>
      <w:r w:rsidRPr="00F47B6C">
        <w:rPr>
          <w:b/>
        </w:rPr>
        <w:t>non-communicable</w:t>
      </w:r>
      <w:r w:rsidR="00907D8C">
        <w:rPr>
          <w:b/>
        </w:rPr>
        <w:t xml:space="preserve"> </w:t>
      </w:r>
      <w:r w:rsidRPr="00F47B6C">
        <w:rPr>
          <w:b/>
        </w:rPr>
        <w:t>disease</w:t>
      </w:r>
      <w:r w:rsidR="00907D8C">
        <w:rPr>
          <w:b/>
        </w:rPr>
        <w:t xml:space="preserve"> </w:t>
      </w:r>
      <w:r w:rsidRPr="00F47B6C">
        <w:rPr>
          <w:b/>
        </w:rPr>
        <w:t>rates</w:t>
      </w:r>
      <w:r w:rsidR="00907D8C">
        <w:rPr>
          <w:b/>
        </w:rPr>
        <w:t xml:space="preserve"> </w:t>
      </w:r>
      <w:r w:rsidRPr="00F47B6C">
        <w:rPr>
          <w:b/>
        </w:rPr>
        <w:t>by</w:t>
      </w:r>
      <w:r w:rsidR="00907D8C">
        <w:rPr>
          <w:b/>
        </w:rPr>
        <w:t xml:space="preserve"> </w:t>
      </w:r>
      <w:r w:rsidRPr="00F47B6C">
        <w:rPr>
          <w:b/>
        </w:rPr>
        <w:t>ethnicity,</w:t>
      </w:r>
      <w:r w:rsidR="00907D8C">
        <w:rPr>
          <w:b/>
        </w:rPr>
        <w:t xml:space="preserve"> </w:t>
      </w:r>
      <w:r w:rsidRPr="00F47B6C">
        <w:rPr>
          <w:b/>
        </w:rPr>
        <w:t>2006</w:t>
      </w:r>
      <w:bookmarkEnd w:id="62"/>
    </w:p>
    <w:p w:rsidR="00036FAC" w:rsidRPr="00036FAC" w:rsidRDefault="00036FAC" w:rsidP="00F47B6C">
      <w:pPr>
        <w:tabs>
          <w:tab w:val="right" w:pos="850"/>
          <w:tab w:val="left" w:pos="1134"/>
          <w:tab w:val="left" w:pos="1559"/>
          <w:tab w:val="left" w:pos="1984"/>
          <w:tab w:val="left" w:leader="dot" w:pos="7654"/>
          <w:tab w:val="right" w:pos="8929"/>
          <w:tab w:val="right" w:pos="9638"/>
        </w:tabs>
        <w:spacing w:after="120"/>
        <w:ind w:left="1100"/>
      </w:pPr>
      <w:r w:rsidRPr="00036FAC">
        <w:pict>
          <v:shape id="_x0000_i1042" type="#_x0000_t75" style="width:414.75pt;height:219pt">
            <v:imagedata r:id="rId24" o:title=""/>
          </v:shape>
        </w:pict>
      </w:r>
    </w:p>
    <w:p w:rsidR="00F47B6C" w:rsidRPr="00B258C5" w:rsidRDefault="00F47B6C" w:rsidP="00B50FB5">
      <w:pPr>
        <w:spacing w:before="120" w:after="24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Pr>
          <w:sz w:val="18"/>
          <w:szCs w:val="18"/>
        </w:rPr>
        <w:t>.</w:t>
      </w:r>
    </w:p>
    <w:p w:rsidR="00036FAC" w:rsidRPr="00036FAC" w:rsidRDefault="00036FAC" w:rsidP="00F47B6C">
      <w:pPr>
        <w:pStyle w:val="SingleTxtG"/>
      </w:pPr>
      <w:r w:rsidRPr="00036FAC">
        <w:t>92.</w:t>
      </w:r>
      <w:r w:rsidRPr="00036FAC">
        <w:tab/>
        <w:t>Of</w:t>
      </w:r>
      <w:r w:rsidR="00907D8C">
        <w:t xml:space="preserve"> </w:t>
      </w:r>
      <w:r w:rsidRPr="00036FAC">
        <w:t>the</w:t>
      </w:r>
      <w:r w:rsidR="00907D8C">
        <w:t xml:space="preserve"> </w:t>
      </w:r>
      <w:r w:rsidRPr="00036FAC">
        <w:t>major</w:t>
      </w:r>
      <w:r w:rsidR="00907D8C">
        <w:t xml:space="preserve"> </w:t>
      </w:r>
      <w:r w:rsidRPr="00036FAC">
        <w:t>ethnic</w:t>
      </w:r>
      <w:r w:rsidR="00907D8C">
        <w:t xml:space="preserve"> </w:t>
      </w:r>
      <w:r w:rsidRPr="00036FAC">
        <w:t>groupings,</w:t>
      </w:r>
      <w:r w:rsidR="00907D8C">
        <w:t xml:space="preserve"> </w:t>
      </w:r>
      <w:r w:rsidRPr="00036FAC">
        <w:t>Pacific</w:t>
      </w:r>
      <w:r w:rsidR="00907D8C">
        <w:t xml:space="preserve"> </w:t>
      </w:r>
      <w:r w:rsidRPr="00036FAC">
        <w:t>peoples</w:t>
      </w:r>
      <w:r w:rsidR="00907D8C">
        <w:t xml:space="preserve"> </w:t>
      </w:r>
      <w:r w:rsidRPr="00036FAC">
        <w:t>had</w:t>
      </w:r>
      <w:r w:rsidR="00907D8C">
        <w:t xml:space="preserve"> </w:t>
      </w:r>
      <w:r w:rsidRPr="00036FAC">
        <w:t>significantly</w:t>
      </w:r>
      <w:r w:rsidR="00907D8C">
        <w:t xml:space="preserve"> </w:t>
      </w:r>
      <w:r w:rsidRPr="00036FAC">
        <w:t>higher</w:t>
      </w:r>
      <w:r w:rsidR="00907D8C">
        <w:t xml:space="preserve"> </w:t>
      </w:r>
      <w:r w:rsidRPr="00036FAC">
        <w:t>rates</w:t>
      </w:r>
      <w:r w:rsidR="00907D8C">
        <w:t xml:space="preserve"> </w:t>
      </w:r>
      <w:r w:rsidRPr="00036FAC">
        <w:t>of</w:t>
      </w:r>
      <w:r w:rsidR="00907D8C">
        <w:t xml:space="preserve"> </w:t>
      </w:r>
      <w:r w:rsidRPr="00036FAC">
        <w:t>acute</w:t>
      </w:r>
      <w:r w:rsidR="00907D8C">
        <w:t xml:space="preserve"> </w:t>
      </w:r>
      <w:r w:rsidRPr="00036FAC">
        <w:t>lower</w:t>
      </w:r>
      <w:r w:rsidR="00907D8C">
        <w:t xml:space="preserve"> </w:t>
      </w:r>
      <w:r w:rsidRPr="00036FAC">
        <w:t>respiratory</w:t>
      </w:r>
      <w:r w:rsidR="00907D8C">
        <w:t xml:space="preserve"> </w:t>
      </w:r>
      <w:r w:rsidRPr="00036FAC">
        <w:t>infection,</w:t>
      </w:r>
      <w:r w:rsidR="00907D8C">
        <w:t xml:space="preserve"> </w:t>
      </w:r>
      <w:r w:rsidRPr="00036FAC">
        <w:t>influenza</w:t>
      </w:r>
      <w:r w:rsidR="00907D8C">
        <w:t xml:space="preserve"> </w:t>
      </w:r>
      <w:r w:rsidRPr="00036FAC">
        <w:t>and</w:t>
      </w:r>
      <w:r w:rsidR="00907D8C">
        <w:t xml:space="preserve"> </w:t>
      </w:r>
      <w:r w:rsidRPr="00036FAC">
        <w:t>pneumonia,</w:t>
      </w:r>
      <w:r w:rsidR="00907D8C">
        <w:t xml:space="preserve"> </w:t>
      </w:r>
      <w:r w:rsidRPr="00036FAC">
        <w:t>diabetes,</w:t>
      </w:r>
      <w:r w:rsidR="00907D8C">
        <w:t xml:space="preserve"> </w:t>
      </w:r>
      <w:r w:rsidRPr="00036FAC">
        <w:t>rheumatic</w:t>
      </w:r>
      <w:r w:rsidR="00907D8C">
        <w:t xml:space="preserve"> </w:t>
      </w:r>
      <w:r w:rsidRPr="00036FAC">
        <w:t>fever,</w:t>
      </w:r>
      <w:r w:rsidR="00907D8C">
        <w:t xml:space="preserve"> </w:t>
      </w:r>
      <w:r w:rsidRPr="00036FAC">
        <w:t>and</w:t>
      </w:r>
      <w:r w:rsidR="00907D8C">
        <w:t xml:space="preserve"> </w:t>
      </w:r>
      <w:r w:rsidRPr="00036FAC">
        <w:t>r</w:t>
      </w:r>
      <w:r w:rsidR="00F47B6C">
        <w:t>heumatic</w:t>
      </w:r>
      <w:r w:rsidR="00907D8C">
        <w:t xml:space="preserve"> </w:t>
      </w:r>
      <w:r w:rsidR="00F47B6C">
        <w:t>heart</w:t>
      </w:r>
      <w:r w:rsidR="00907D8C">
        <w:t xml:space="preserve"> </w:t>
      </w:r>
      <w:r w:rsidR="00F47B6C">
        <w:t>disease</w:t>
      </w:r>
      <w:r w:rsidR="00907D8C">
        <w:t xml:space="preserve"> </w:t>
      </w:r>
      <w:r w:rsidR="00F47B6C">
        <w:t>in</w:t>
      </w:r>
      <w:r w:rsidR="00907D8C">
        <w:t xml:space="preserve"> </w:t>
      </w:r>
      <w:r w:rsidR="00F47B6C">
        <w:t>2006.</w:t>
      </w:r>
    </w:p>
    <w:p w:rsidR="00036FAC" w:rsidRPr="00036FAC" w:rsidRDefault="00036FAC" w:rsidP="00F47B6C">
      <w:pPr>
        <w:pStyle w:val="SingleTxtG"/>
      </w:pPr>
      <w:r w:rsidRPr="00036FAC">
        <w:t>93.</w:t>
      </w:r>
      <w:r w:rsidRPr="00036FAC">
        <w:tab/>
        <w:t>Data</w:t>
      </w:r>
      <w:r w:rsidR="00907D8C">
        <w:t xml:space="preserve"> </w:t>
      </w:r>
      <w:r w:rsidRPr="00036FAC">
        <w:t>from</w:t>
      </w:r>
      <w:r w:rsidR="00907D8C">
        <w:t xml:space="preserve"> </w:t>
      </w:r>
      <w:r w:rsidRPr="00036FAC">
        <w:t>2006</w:t>
      </w:r>
      <w:r w:rsidR="00907D8C">
        <w:t xml:space="preserve"> </w:t>
      </w:r>
      <w:r w:rsidRPr="00036FAC">
        <w:t>on</w:t>
      </w:r>
      <w:r w:rsidR="00907D8C">
        <w:t xml:space="preserve"> </w:t>
      </w:r>
      <w:r w:rsidRPr="00036FAC">
        <w:t>hospitalisations</w:t>
      </w:r>
      <w:r w:rsidR="00907D8C">
        <w:t xml:space="preserve"> </w:t>
      </w:r>
      <w:r w:rsidRPr="00036FAC">
        <w:t>by</w:t>
      </w:r>
      <w:r w:rsidR="00907D8C">
        <w:t xml:space="preserve"> </w:t>
      </w:r>
      <w:r w:rsidRPr="00036FAC">
        <w:t>age</w:t>
      </w:r>
      <w:r w:rsidR="00907D8C">
        <w:t xml:space="preserve"> </w:t>
      </w:r>
      <w:r w:rsidRPr="00036FAC">
        <w:t>group</w:t>
      </w:r>
      <w:r w:rsidR="00907D8C">
        <w:t xml:space="preserve"> </w:t>
      </w:r>
      <w:r w:rsidRPr="00036FAC">
        <w:t>show</w:t>
      </w:r>
      <w:r w:rsidR="00907D8C">
        <w:t xml:space="preserve"> </w:t>
      </w:r>
      <w:r w:rsidRPr="00036FAC">
        <w:t>that</w:t>
      </w:r>
      <w:r w:rsidR="00907D8C">
        <w:t xml:space="preserve"> </w:t>
      </w:r>
      <w:r w:rsidRPr="00036FAC">
        <w:t>children</w:t>
      </w:r>
      <w:r w:rsidR="00907D8C">
        <w:t xml:space="preserve"> </w:t>
      </w:r>
      <w:r w:rsidRPr="00036FAC">
        <w:t>under</w:t>
      </w:r>
      <w:r w:rsidR="00907D8C">
        <w:t xml:space="preserve"> </w:t>
      </w:r>
      <w:r w:rsidRPr="00036FAC">
        <w:t>5</w:t>
      </w:r>
      <w:r w:rsidR="00907D8C">
        <w:t xml:space="preserve"> </w:t>
      </w:r>
      <w:r w:rsidRPr="00036FAC">
        <w:t>have</w:t>
      </w:r>
      <w:r w:rsidR="00907D8C">
        <w:t xml:space="preserve"> </w:t>
      </w:r>
      <w:r w:rsidRPr="00036FAC">
        <w:t>a</w:t>
      </w:r>
      <w:r w:rsidR="00907D8C">
        <w:t xml:space="preserve"> </w:t>
      </w:r>
      <w:r w:rsidRPr="00036FAC">
        <w:t>high</w:t>
      </w:r>
      <w:r w:rsidR="00907D8C">
        <w:t xml:space="preserve"> </w:t>
      </w:r>
      <w:r w:rsidRPr="00036FAC">
        <w:t>rate</w:t>
      </w:r>
      <w:r w:rsidR="00907D8C">
        <w:t xml:space="preserve"> </w:t>
      </w:r>
      <w:r w:rsidRPr="00036FAC">
        <w:t>of</w:t>
      </w:r>
      <w:r w:rsidR="00907D8C">
        <w:t xml:space="preserve"> </w:t>
      </w:r>
      <w:r w:rsidRPr="00036FAC">
        <w:t>hospitalisation,</w:t>
      </w:r>
      <w:r w:rsidR="00907D8C">
        <w:t xml:space="preserve"> </w:t>
      </w:r>
      <w:r w:rsidRPr="00036FAC">
        <w:t>but</w:t>
      </w:r>
      <w:r w:rsidR="00907D8C">
        <w:t xml:space="preserve"> </w:t>
      </w:r>
      <w:r w:rsidRPr="00036FAC">
        <w:t>this</w:t>
      </w:r>
      <w:r w:rsidR="00907D8C">
        <w:t xml:space="preserve"> </w:t>
      </w:r>
      <w:r w:rsidRPr="00036FAC">
        <w:t>falls</w:t>
      </w:r>
      <w:r w:rsidR="00907D8C">
        <w:t xml:space="preserve"> </w:t>
      </w:r>
      <w:r w:rsidRPr="00036FAC">
        <w:t>in</w:t>
      </w:r>
      <w:r w:rsidR="00907D8C">
        <w:t xml:space="preserve"> </w:t>
      </w:r>
      <w:r w:rsidRPr="00036FAC">
        <w:t>the</w:t>
      </w:r>
      <w:r w:rsidR="00907D8C">
        <w:t xml:space="preserve"> </w:t>
      </w:r>
      <w:r w:rsidRPr="00036FAC">
        <w:t>5–10</w:t>
      </w:r>
      <w:r w:rsidR="00907D8C">
        <w:t xml:space="preserve"> </w:t>
      </w:r>
      <w:r w:rsidRPr="00036FAC">
        <w:t>age</w:t>
      </w:r>
      <w:r w:rsidR="00907D8C">
        <w:t xml:space="preserve"> </w:t>
      </w:r>
      <w:r w:rsidRPr="00036FAC">
        <w:t>group.</w:t>
      </w:r>
      <w:r w:rsidR="00907D8C">
        <w:t xml:space="preserve"> </w:t>
      </w:r>
      <w:r w:rsidRPr="00036FAC">
        <w:t>At</w:t>
      </w:r>
      <w:r w:rsidR="00907D8C">
        <w:t xml:space="preserve"> </w:t>
      </w:r>
      <w:r w:rsidRPr="00036FAC">
        <w:t>40–45</w:t>
      </w:r>
      <w:r w:rsidR="00907D8C">
        <w:t xml:space="preserve"> </w:t>
      </w:r>
      <w:r w:rsidRPr="00036FAC">
        <w:t>years</w:t>
      </w:r>
      <w:r w:rsidR="00907D8C">
        <w:t xml:space="preserve"> </w:t>
      </w:r>
      <w:r w:rsidRPr="00036FAC">
        <w:t>for</w:t>
      </w:r>
      <w:r w:rsidR="00907D8C">
        <w:t xml:space="preserve"> </w:t>
      </w:r>
      <w:r w:rsidRPr="00036FAC">
        <w:t>males</w:t>
      </w:r>
      <w:r w:rsidR="00907D8C">
        <w:t xml:space="preserve"> </w:t>
      </w:r>
      <w:r w:rsidRPr="00036FAC">
        <w:t>and</w:t>
      </w:r>
      <w:r w:rsidR="00907D8C">
        <w:t xml:space="preserve"> </w:t>
      </w:r>
      <w:r w:rsidRPr="00036FAC">
        <w:t>50–55</w:t>
      </w:r>
      <w:r w:rsidR="00907D8C">
        <w:t xml:space="preserve"> </w:t>
      </w:r>
      <w:r w:rsidRPr="00036FAC">
        <w:t>years</w:t>
      </w:r>
      <w:r w:rsidR="00907D8C">
        <w:t xml:space="preserve"> </w:t>
      </w:r>
      <w:r w:rsidRPr="00036FAC">
        <w:t>for</w:t>
      </w:r>
      <w:r w:rsidR="00907D8C">
        <w:t xml:space="preserve"> </w:t>
      </w:r>
      <w:r w:rsidRPr="00036FAC">
        <w:t>females,</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hospitalisations</w:t>
      </w:r>
      <w:r w:rsidR="00907D8C">
        <w:t xml:space="preserve"> </w:t>
      </w:r>
      <w:r w:rsidRPr="00036FAC">
        <w:t>begins</w:t>
      </w:r>
      <w:r w:rsidR="00907D8C">
        <w:t xml:space="preserve"> </w:t>
      </w:r>
      <w:r w:rsidRPr="00036FAC">
        <w:t>to</w:t>
      </w:r>
      <w:r w:rsidR="00907D8C">
        <w:t xml:space="preserve"> </w:t>
      </w:r>
      <w:r w:rsidRPr="00036FAC">
        <w:t>rise</w:t>
      </w:r>
      <w:r w:rsidR="00907D8C">
        <w:t xml:space="preserve"> </w:t>
      </w:r>
      <w:r w:rsidRPr="00036FAC">
        <w:t>with</w:t>
      </w:r>
      <w:r w:rsidR="00907D8C">
        <w:t xml:space="preserve"> </w:t>
      </w:r>
      <w:r w:rsidRPr="00036FAC">
        <w:t>increasing</w:t>
      </w:r>
      <w:r w:rsidR="00907D8C">
        <w:t xml:space="preserve"> </w:t>
      </w:r>
      <w:r w:rsidRPr="00036FAC">
        <w:t>age.</w:t>
      </w:r>
    </w:p>
    <w:p w:rsidR="00F47B6C" w:rsidRDefault="00F47B6C" w:rsidP="00F47B6C">
      <w:pPr>
        <w:pStyle w:val="Heading1"/>
      </w:pPr>
      <w:bookmarkStart w:id="63" w:name="_Toc275331934"/>
      <w:r>
        <w:t>Table</w:t>
      </w:r>
      <w:r w:rsidR="00907D8C">
        <w:t xml:space="preserve"> </w:t>
      </w:r>
      <w:r>
        <w:t>33</w:t>
      </w:r>
    </w:p>
    <w:p w:rsidR="00036FAC" w:rsidRPr="00F47B6C" w:rsidRDefault="00036FAC" w:rsidP="00F47B6C">
      <w:pPr>
        <w:pStyle w:val="SingleTxtG"/>
        <w:rPr>
          <w:b/>
        </w:rPr>
      </w:pPr>
      <w:r w:rsidRPr="00F47B6C">
        <w:rPr>
          <w:b/>
        </w:rPr>
        <w:t>Hospitali</w:t>
      </w:r>
      <w:r w:rsidR="00F47B6C">
        <w:rPr>
          <w:b/>
        </w:rPr>
        <w:t>z</w:t>
      </w:r>
      <w:r w:rsidRPr="00F47B6C">
        <w:rPr>
          <w:b/>
        </w:rPr>
        <w:t>ation</w:t>
      </w:r>
      <w:r w:rsidR="00907D8C">
        <w:rPr>
          <w:b/>
        </w:rPr>
        <w:t xml:space="preserve"> </w:t>
      </w:r>
      <w:r w:rsidRPr="00F47B6C">
        <w:rPr>
          <w:b/>
        </w:rPr>
        <w:t>rates</w:t>
      </w:r>
      <w:r w:rsidR="00907D8C">
        <w:rPr>
          <w:b/>
        </w:rPr>
        <w:t xml:space="preserve"> </w:t>
      </w:r>
      <w:r w:rsidRPr="00F47B6C">
        <w:rPr>
          <w:b/>
        </w:rPr>
        <w:t>for</w:t>
      </w:r>
      <w:r w:rsidR="00907D8C">
        <w:rPr>
          <w:b/>
        </w:rPr>
        <w:t xml:space="preserve"> </w:t>
      </w:r>
      <w:r w:rsidRPr="00F47B6C">
        <w:rPr>
          <w:b/>
        </w:rPr>
        <w:t>communicable</w:t>
      </w:r>
      <w:r w:rsidR="00907D8C">
        <w:rPr>
          <w:b/>
        </w:rPr>
        <w:t xml:space="preserve"> </w:t>
      </w:r>
      <w:r w:rsidRPr="00F47B6C">
        <w:rPr>
          <w:b/>
        </w:rPr>
        <w:t>and</w:t>
      </w:r>
      <w:r w:rsidR="00907D8C">
        <w:rPr>
          <w:b/>
        </w:rPr>
        <w:t xml:space="preserve"> </w:t>
      </w:r>
      <w:r w:rsidRPr="00F47B6C">
        <w:rPr>
          <w:b/>
        </w:rPr>
        <w:t>non-communicable</w:t>
      </w:r>
      <w:r w:rsidR="00907D8C">
        <w:rPr>
          <w:b/>
        </w:rPr>
        <w:t xml:space="preserve"> </w:t>
      </w:r>
      <w:r w:rsidRPr="00F47B6C">
        <w:rPr>
          <w:b/>
        </w:rPr>
        <w:t>diseases</w:t>
      </w:r>
      <w:r w:rsidR="00907D8C">
        <w:rPr>
          <w:b/>
        </w:rPr>
        <w:t xml:space="preserve"> </w:t>
      </w:r>
      <w:r w:rsidRPr="00F47B6C">
        <w:rPr>
          <w:b/>
        </w:rPr>
        <w:t>by</w:t>
      </w:r>
      <w:r w:rsidR="00907D8C">
        <w:rPr>
          <w:b/>
        </w:rPr>
        <w:t xml:space="preserve"> </w:t>
      </w:r>
      <w:r w:rsidRPr="00F47B6C">
        <w:rPr>
          <w:b/>
        </w:rPr>
        <w:t>age</w:t>
      </w:r>
      <w:bookmarkEnd w:id="63"/>
    </w:p>
    <w:p w:rsidR="00036FAC" w:rsidRPr="00036FAC" w:rsidRDefault="00F47B6C" w:rsidP="00F47B6C">
      <w:pPr>
        <w:tabs>
          <w:tab w:val="right" w:pos="850"/>
          <w:tab w:val="left" w:pos="1134"/>
          <w:tab w:val="left" w:pos="1559"/>
          <w:tab w:val="left" w:pos="1984"/>
          <w:tab w:val="left" w:leader="dot" w:pos="7654"/>
          <w:tab w:val="right" w:pos="8929"/>
          <w:tab w:val="right" w:pos="9638"/>
        </w:tabs>
        <w:spacing w:after="120"/>
        <w:ind w:left="1100"/>
      </w:pPr>
      <w:r w:rsidRPr="00036FAC">
        <w:pict>
          <v:shape id="_x0000_i1043" type="#_x0000_t75" style="width:420.75pt;height:231pt">
            <v:imagedata r:id="rId25" o:title=""/>
          </v:shape>
        </w:pict>
      </w:r>
    </w:p>
    <w:p w:rsidR="00F47B6C" w:rsidRPr="00B258C5" w:rsidRDefault="00F47B6C" w:rsidP="00B50FB5">
      <w:pPr>
        <w:spacing w:before="120" w:after="240"/>
        <w:ind w:left="1134" w:right="1134" w:firstLine="170"/>
        <w:rPr>
          <w:sz w:val="18"/>
          <w:szCs w:val="18"/>
        </w:rPr>
      </w:pPr>
      <w:r w:rsidRPr="00B258C5">
        <w:rPr>
          <w:i/>
          <w:sz w:val="18"/>
          <w:szCs w:val="18"/>
        </w:rPr>
        <w:t>Source</w:t>
      </w:r>
      <w:r w:rsidRPr="00B258C5">
        <w:rPr>
          <w:sz w:val="18"/>
          <w:szCs w:val="18"/>
        </w:rPr>
        <w:t>:</w:t>
      </w:r>
      <w:r w:rsidR="00907D8C">
        <w:rPr>
          <w:sz w:val="18"/>
          <w:szCs w:val="18"/>
        </w:rPr>
        <w:t xml:space="preserve">  </w:t>
      </w:r>
      <w:r w:rsidRPr="00B258C5">
        <w:rPr>
          <w:sz w:val="18"/>
          <w:szCs w:val="18"/>
        </w:rPr>
        <w:t>Ministry</w:t>
      </w:r>
      <w:r w:rsidR="00907D8C">
        <w:rPr>
          <w:sz w:val="18"/>
          <w:szCs w:val="18"/>
        </w:rPr>
        <w:t xml:space="preserve"> </w:t>
      </w:r>
      <w:r w:rsidRPr="00B258C5">
        <w:rPr>
          <w:sz w:val="18"/>
          <w:szCs w:val="18"/>
        </w:rPr>
        <w:t>of</w:t>
      </w:r>
      <w:r w:rsidR="00907D8C">
        <w:rPr>
          <w:sz w:val="18"/>
          <w:szCs w:val="18"/>
        </w:rPr>
        <w:t xml:space="preserve"> </w:t>
      </w:r>
      <w:r w:rsidRPr="00B258C5">
        <w:rPr>
          <w:sz w:val="18"/>
          <w:szCs w:val="18"/>
        </w:rPr>
        <w:t>Health</w:t>
      </w:r>
      <w:r>
        <w:rPr>
          <w:sz w:val="18"/>
          <w:szCs w:val="18"/>
        </w:rPr>
        <w:t>.</w:t>
      </w:r>
    </w:p>
    <w:p w:rsidR="00036FAC" w:rsidRPr="00036FAC" w:rsidRDefault="00036FAC" w:rsidP="006C436C">
      <w:pPr>
        <w:pStyle w:val="H23G"/>
      </w:pPr>
      <w:r w:rsidRPr="00036FAC">
        <w:tab/>
        <w:t>(h)</w:t>
      </w:r>
      <w:r w:rsidRPr="00036FAC">
        <w:tab/>
        <w:t>Mental</w:t>
      </w:r>
      <w:r w:rsidR="00907D8C">
        <w:t xml:space="preserve"> </w:t>
      </w:r>
      <w:r w:rsidRPr="00036FAC">
        <w:t>health</w:t>
      </w:r>
      <w:r w:rsidR="00907D8C">
        <w:t xml:space="preserve"> </w:t>
      </w:r>
      <w:r w:rsidRPr="00036FAC">
        <w:t>services</w:t>
      </w:r>
      <w:r w:rsidR="00907D8C">
        <w:t xml:space="preserve"> </w:t>
      </w:r>
      <w:r w:rsidRPr="00036FAC">
        <w:t>use</w:t>
      </w:r>
      <w:r w:rsidR="00907D8C">
        <w:t xml:space="preserve"> </w:t>
      </w:r>
      <w:r w:rsidRPr="00036FAC">
        <w:t>in</w:t>
      </w:r>
      <w:r w:rsidR="00907D8C">
        <w:t xml:space="preserve"> </w:t>
      </w:r>
      <w:r w:rsidRPr="00036FAC">
        <w:t>New</w:t>
      </w:r>
      <w:r w:rsidR="00907D8C">
        <w:t xml:space="preserve"> </w:t>
      </w:r>
      <w:r w:rsidRPr="00036FAC">
        <w:t>Zealand</w:t>
      </w:r>
    </w:p>
    <w:p w:rsidR="00036FAC" w:rsidRPr="00036FAC" w:rsidRDefault="00036FAC" w:rsidP="00F47B6C">
      <w:pPr>
        <w:pStyle w:val="SingleTxtG"/>
      </w:pPr>
      <w:r w:rsidRPr="00036FAC">
        <w:t>94.</w:t>
      </w:r>
      <w:r w:rsidRPr="00036FAC">
        <w:tab/>
        <w:t>Table</w:t>
      </w:r>
      <w:r w:rsidR="00907D8C">
        <w:t xml:space="preserve"> </w:t>
      </w:r>
      <w:r w:rsidRPr="00036FAC">
        <w:t>34</w:t>
      </w:r>
      <w:r w:rsidR="00907D8C">
        <w:t xml:space="preserve"> </w:t>
      </w:r>
      <w:r w:rsidRPr="00036FAC">
        <w:t>presents</w:t>
      </w:r>
      <w:r w:rsidR="00907D8C">
        <w:t xml:space="preserve"> </w:t>
      </w:r>
      <w:r w:rsidRPr="00036FAC">
        <w:t>financial</w:t>
      </w:r>
      <w:r w:rsidR="00907D8C">
        <w:t xml:space="preserve"> </w:t>
      </w:r>
      <w:r w:rsidRPr="00036FAC">
        <w:t>year</w:t>
      </w:r>
      <w:r w:rsidR="00907D8C">
        <w:t xml:space="preserve"> </w:t>
      </w:r>
      <w:r w:rsidRPr="00036FAC">
        <w:t>data</w:t>
      </w:r>
      <w:r w:rsidR="00907D8C">
        <w:t xml:space="preserve"> </w:t>
      </w:r>
      <w:r w:rsidRPr="00036FAC">
        <w:t>from</w:t>
      </w:r>
      <w:r w:rsidR="00907D8C">
        <w:t xml:space="preserve"> </w:t>
      </w:r>
      <w:r w:rsidRPr="00036FAC">
        <w:t>2006/07</w:t>
      </w:r>
      <w:r w:rsidR="00907D8C">
        <w:t xml:space="preserve"> </w:t>
      </w:r>
      <w:r w:rsidRPr="00036FAC">
        <w:t>on</w:t>
      </w:r>
      <w:r w:rsidR="00907D8C">
        <w:t xml:space="preserve"> </w:t>
      </w:r>
      <w:r w:rsidRPr="00036FAC">
        <w:t>the</w:t>
      </w:r>
      <w:r w:rsidR="00907D8C">
        <w:t xml:space="preserve"> </w:t>
      </w:r>
      <w:r w:rsidRPr="00036FAC">
        <w:t>provision</w:t>
      </w:r>
      <w:r w:rsidR="00907D8C">
        <w:t xml:space="preserve"> </w:t>
      </w:r>
      <w:r w:rsidRPr="00036FAC">
        <w:t>of</w:t>
      </w:r>
      <w:r w:rsidR="00907D8C">
        <w:t xml:space="preserve"> </w:t>
      </w:r>
      <w:r w:rsidRPr="00036FAC">
        <w:t>secondary</w:t>
      </w:r>
      <w:r w:rsidR="00907D8C">
        <w:t xml:space="preserve"> </w:t>
      </w:r>
      <w:r w:rsidRPr="00036FAC">
        <w:t>mental</w:t>
      </w:r>
      <w:r w:rsidR="00907D8C">
        <w:t xml:space="preserve"> </w:t>
      </w:r>
      <w:r w:rsidRPr="00036FAC">
        <w:t>health</w:t>
      </w:r>
      <w:r w:rsidR="00907D8C">
        <w:t xml:space="preserve"> </w:t>
      </w:r>
      <w:r w:rsidRPr="00036FAC">
        <w:t>services</w:t>
      </w:r>
      <w:r w:rsidR="00907D8C">
        <w:t xml:space="preserve"> </w:t>
      </w:r>
      <w:r w:rsidRPr="00036FAC">
        <w:t>(specialist</w:t>
      </w:r>
      <w:r w:rsidR="00907D8C">
        <w:t xml:space="preserve"> </w:t>
      </w:r>
      <w:r w:rsidRPr="00036FAC">
        <w:t>hospital-based</w:t>
      </w:r>
      <w:r w:rsidR="00907D8C">
        <w:t xml:space="preserve"> </w:t>
      </w:r>
      <w:r w:rsidRPr="00036FAC">
        <w:t>or</w:t>
      </w:r>
      <w:r w:rsidR="00907D8C">
        <w:t xml:space="preserve"> </w:t>
      </w:r>
      <w:r w:rsidRPr="00036FAC">
        <w:t>hospital</w:t>
      </w:r>
      <w:r w:rsidR="00907D8C">
        <w:t xml:space="preserve"> </w:t>
      </w:r>
      <w:r w:rsidRPr="00036FAC">
        <w:t>outpatient</w:t>
      </w:r>
      <w:r w:rsidR="00907D8C">
        <w:t xml:space="preserve"> </w:t>
      </w:r>
      <w:r w:rsidRPr="00036FAC">
        <w:t>mental</w:t>
      </w:r>
      <w:r w:rsidR="00907D8C">
        <w:t xml:space="preserve"> </w:t>
      </w:r>
      <w:r w:rsidRPr="00036FAC">
        <w:t>health</w:t>
      </w:r>
      <w:r w:rsidR="00907D8C">
        <w:t xml:space="preserve"> </w:t>
      </w:r>
      <w:r w:rsidRPr="00036FAC">
        <w:t>services)</w:t>
      </w:r>
      <w:r w:rsidR="00907D8C">
        <w:t xml:space="preserve"> </w:t>
      </w:r>
      <w:r w:rsidRPr="00036FAC">
        <w:t>and</w:t>
      </w:r>
      <w:r w:rsidR="00907D8C">
        <w:t xml:space="preserve"> </w:t>
      </w:r>
      <w:r w:rsidRPr="00036FAC">
        <w:t>alcohol</w:t>
      </w:r>
      <w:r w:rsidR="00907D8C">
        <w:t xml:space="preserve"> </w:t>
      </w:r>
      <w:r w:rsidRPr="00036FAC">
        <w:t>and</w:t>
      </w:r>
      <w:r w:rsidR="00907D8C">
        <w:t xml:space="preserve"> </w:t>
      </w:r>
      <w:r w:rsidRPr="00036FAC">
        <w:t>drug</w:t>
      </w:r>
      <w:r w:rsidR="00907D8C">
        <w:t xml:space="preserve"> </w:t>
      </w:r>
      <w:r w:rsidRPr="00036FAC">
        <w:t>services</w:t>
      </w:r>
      <w:r w:rsidR="00907D8C">
        <w:t xml:space="preserve"> </w:t>
      </w:r>
      <w:r w:rsidRPr="00036FAC">
        <w:t>funded</w:t>
      </w:r>
      <w:r w:rsidR="00907D8C">
        <w:t xml:space="preserve"> </w:t>
      </w:r>
      <w:r w:rsidRPr="00036FAC">
        <w:t>by</w:t>
      </w:r>
      <w:r w:rsidR="00907D8C">
        <w:t xml:space="preserve"> </w:t>
      </w:r>
      <w:r w:rsidRPr="00036FAC">
        <w:t>the</w:t>
      </w:r>
      <w:r w:rsidR="00907D8C">
        <w:t xml:space="preserve"> </w:t>
      </w:r>
      <w:r w:rsidRPr="00036FAC">
        <w:t>Government</w:t>
      </w:r>
      <w:r w:rsidR="00907D8C">
        <w:t xml:space="preserve"> </w:t>
      </w:r>
      <w:r w:rsidRPr="00036FAC">
        <w:t>(Mental</w:t>
      </w:r>
      <w:r w:rsidR="00907D8C">
        <w:t xml:space="preserve"> </w:t>
      </w:r>
      <w:r w:rsidRPr="00036FAC">
        <w:t>Health</w:t>
      </w:r>
      <w:r w:rsidR="00907D8C">
        <w:t xml:space="preserve"> </w:t>
      </w:r>
      <w:r w:rsidRPr="00036FAC">
        <w:t>Information</w:t>
      </w:r>
      <w:r w:rsidR="00907D8C">
        <w:t xml:space="preserve"> </w:t>
      </w:r>
      <w:r w:rsidRPr="00036FAC">
        <w:t>National</w:t>
      </w:r>
      <w:r w:rsidR="00907D8C">
        <w:t xml:space="preserve"> </w:t>
      </w:r>
      <w:r w:rsidRPr="00036FAC">
        <w:t>Collection).</w:t>
      </w:r>
    </w:p>
    <w:p w:rsidR="00F47B6C" w:rsidRDefault="00036FAC" w:rsidP="00F47B6C">
      <w:pPr>
        <w:pStyle w:val="Heading1"/>
      </w:pPr>
      <w:bookmarkStart w:id="64" w:name="_Toc275331935"/>
      <w:r w:rsidRPr="00036FAC">
        <w:t>Table</w:t>
      </w:r>
      <w:r w:rsidR="00907D8C">
        <w:t xml:space="preserve"> </w:t>
      </w:r>
      <w:r w:rsidRPr="00036FAC">
        <w:t>34</w:t>
      </w:r>
    </w:p>
    <w:p w:rsidR="00036FAC" w:rsidRPr="00F47B6C" w:rsidRDefault="00036FAC" w:rsidP="00211189">
      <w:pPr>
        <w:pStyle w:val="SingleTxtG"/>
        <w:jc w:val="left"/>
        <w:rPr>
          <w:b/>
        </w:rPr>
      </w:pPr>
      <w:r w:rsidRPr="00F47B6C">
        <w:rPr>
          <w:b/>
        </w:rPr>
        <w:t>Age-standardi</w:t>
      </w:r>
      <w:r w:rsidR="00F47B6C" w:rsidRPr="00F47B6C">
        <w:rPr>
          <w:b/>
        </w:rPr>
        <w:t>z</w:t>
      </w:r>
      <w:r w:rsidRPr="00F47B6C">
        <w:rPr>
          <w:b/>
        </w:rPr>
        <w:t>ed</w:t>
      </w:r>
      <w:r w:rsidR="00907D8C">
        <w:rPr>
          <w:b/>
        </w:rPr>
        <w:t xml:space="preserve"> </w:t>
      </w:r>
      <w:r w:rsidRPr="00F47B6C">
        <w:rPr>
          <w:b/>
        </w:rPr>
        <w:t>rates</w:t>
      </w:r>
      <w:r w:rsidR="00907D8C">
        <w:rPr>
          <w:b/>
        </w:rPr>
        <w:t xml:space="preserve"> </w:t>
      </w:r>
      <w:r w:rsidRPr="00F47B6C">
        <w:rPr>
          <w:b/>
        </w:rPr>
        <w:t>for</w:t>
      </w:r>
      <w:r w:rsidR="00907D8C">
        <w:rPr>
          <w:b/>
        </w:rPr>
        <w:t xml:space="preserve"> </w:t>
      </w:r>
      <w:r w:rsidRPr="00F47B6C">
        <w:rPr>
          <w:b/>
        </w:rPr>
        <w:t>provision</w:t>
      </w:r>
      <w:r w:rsidR="00907D8C">
        <w:rPr>
          <w:b/>
        </w:rPr>
        <w:t xml:space="preserve"> </w:t>
      </w:r>
      <w:r w:rsidRPr="00F47B6C">
        <w:rPr>
          <w:b/>
        </w:rPr>
        <w:t>of</w:t>
      </w:r>
      <w:r w:rsidR="00907D8C">
        <w:rPr>
          <w:b/>
        </w:rPr>
        <w:t xml:space="preserve"> </w:t>
      </w:r>
      <w:r w:rsidRPr="00F47B6C">
        <w:rPr>
          <w:b/>
        </w:rPr>
        <w:t>mental</w:t>
      </w:r>
      <w:r w:rsidR="00907D8C">
        <w:rPr>
          <w:b/>
        </w:rPr>
        <w:t xml:space="preserve"> </w:t>
      </w:r>
      <w:r w:rsidRPr="00F47B6C">
        <w:rPr>
          <w:b/>
        </w:rPr>
        <w:t>health</w:t>
      </w:r>
      <w:r w:rsidR="00907D8C">
        <w:rPr>
          <w:b/>
        </w:rPr>
        <w:t xml:space="preserve"> </w:t>
      </w:r>
      <w:r w:rsidRPr="00F47B6C">
        <w:rPr>
          <w:b/>
        </w:rPr>
        <w:t>s</w:t>
      </w:r>
      <w:r w:rsidR="00F47B6C" w:rsidRPr="00F47B6C">
        <w:rPr>
          <w:b/>
        </w:rPr>
        <w:t>ervices</w:t>
      </w:r>
      <w:r w:rsidR="00907D8C">
        <w:rPr>
          <w:b/>
        </w:rPr>
        <w:t xml:space="preserve"> </w:t>
      </w:r>
      <w:r w:rsidR="00F47B6C" w:rsidRPr="00F47B6C">
        <w:rPr>
          <w:b/>
        </w:rPr>
        <w:t>per</w:t>
      </w:r>
      <w:r w:rsidR="00907D8C">
        <w:rPr>
          <w:b/>
        </w:rPr>
        <w:t xml:space="preserve"> </w:t>
      </w:r>
      <w:r w:rsidR="00F47B6C" w:rsidRPr="00F47B6C">
        <w:rPr>
          <w:b/>
        </w:rPr>
        <w:t>100,000</w:t>
      </w:r>
      <w:r w:rsidR="00907D8C">
        <w:rPr>
          <w:b/>
        </w:rPr>
        <w:t xml:space="preserve"> </w:t>
      </w:r>
      <w:r w:rsidR="00F47B6C" w:rsidRPr="00F47B6C">
        <w:rPr>
          <w:b/>
        </w:rPr>
        <w:t>population,</w:t>
      </w:r>
      <w:r w:rsidR="00907D8C">
        <w:rPr>
          <w:b/>
        </w:rPr>
        <w:t xml:space="preserve"> </w:t>
      </w:r>
      <w:r w:rsidR="00F47B6C" w:rsidRPr="00F47B6C">
        <w:rPr>
          <w:b/>
        </w:rPr>
        <w:t>b</w:t>
      </w:r>
      <w:r w:rsidRPr="00F47B6C">
        <w:rPr>
          <w:b/>
        </w:rPr>
        <w:t>y</w:t>
      </w:r>
      <w:r w:rsidR="00907D8C">
        <w:rPr>
          <w:b/>
        </w:rPr>
        <w:t xml:space="preserve"> </w:t>
      </w:r>
      <w:r w:rsidRPr="00F47B6C">
        <w:rPr>
          <w:b/>
        </w:rPr>
        <w:t>ethnic</w:t>
      </w:r>
      <w:r w:rsidR="00907D8C">
        <w:rPr>
          <w:b/>
        </w:rPr>
        <w:t xml:space="preserve"> </w:t>
      </w:r>
      <w:r w:rsidRPr="00F47B6C">
        <w:rPr>
          <w:b/>
        </w:rPr>
        <w:t>group</w:t>
      </w:r>
      <w:r w:rsidR="00907D8C">
        <w:rPr>
          <w:b/>
        </w:rPr>
        <w:t xml:space="preserve"> </w:t>
      </w:r>
      <w:r w:rsidRPr="00F47B6C">
        <w:rPr>
          <w:b/>
        </w:rPr>
        <w:t>and</w:t>
      </w:r>
      <w:r w:rsidR="00907D8C">
        <w:rPr>
          <w:b/>
        </w:rPr>
        <w:t xml:space="preserve"> </w:t>
      </w:r>
      <w:r w:rsidRPr="00F47B6C">
        <w:rPr>
          <w:b/>
        </w:rPr>
        <w:t>sex,</w:t>
      </w:r>
      <w:r w:rsidR="00907D8C">
        <w:rPr>
          <w:b/>
        </w:rPr>
        <w:t xml:space="preserve"> </w:t>
      </w:r>
      <w:r w:rsidRPr="00F47B6C">
        <w:rPr>
          <w:b/>
        </w:rPr>
        <w:t>2006</w:t>
      </w:r>
      <w:r w:rsidR="000711F4">
        <w:rPr>
          <w:b/>
        </w:rPr>
        <w:t>–</w:t>
      </w:r>
      <w:r w:rsidR="00F47B6C" w:rsidRPr="00F47B6C">
        <w:rPr>
          <w:b/>
        </w:rPr>
        <w:t>20</w:t>
      </w:r>
      <w:r w:rsidRPr="00F47B6C">
        <w:rPr>
          <w:b/>
        </w:rPr>
        <w:t>07</w:t>
      </w:r>
      <w:bookmarkEnd w:id="64"/>
    </w:p>
    <w:p w:rsidR="00036FAC" w:rsidRPr="00036FAC" w:rsidRDefault="00F47B6C" w:rsidP="00F47B6C">
      <w:pPr>
        <w:tabs>
          <w:tab w:val="right" w:pos="850"/>
          <w:tab w:val="left" w:pos="1134"/>
          <w:tab w:val="left" w:pos="1559"/>
          <w:tab w:val="left" w:pos="1984"/>
          <w:tab w:val="left" w:leader="dot" w:pos="7654"/>
          <w:tab w:val="right" w:pos="8929"/>
          <w:tab w:val="right" w:pos="9638"/>
        </w:tabs>
        <w:spacing w:after="120"/>
        <w:ind w:left="1100"/>
      </w:pPr>
      <w:r w:rsidRPr="00036FAC">
        <w:pict>
          <v:shape id="_x0000_i1044" type="#_x0000_t75" style="width:326.25pt;height:180pt" o:bordertopcolor="this" o:borderleftcolor="this" o:borderbottomcolor="this" o:borderrightcolor="this">
            <v:imagedata r:id="rId26" o:title=""/>
            <w10:bordertop type="single" width="8"/>
            <w10:borderleft type="single" width="8"/>
            <w10:borderbottom type="single" width="8"/>
            <w10:borderright type="single" width="8"/>
          </v:shape>
        </w:pict>
      </w:r>
    </w:p>
    <w:p w:rsidR="00036FAC" w:rsidRPr="00F47B6C" w:rsidRDefault="00036FAC" w:rsidP="00B50FB5">
      <w:pPr>
        <w:tabs>
          <w:tab w:val="right" w:pos="850"/>
          <w:tab w:val="left" w:pos="1134"/>
          <w:tab w:val="left" w:pos="1559"/>
          <w:tab w:val="left" w:pos="1984"/>
          <w:tab w:val="left" w:leader="dot" w:pos="7654"/>
          <w:tab w:val="right" w:pos="8929"/>
          <w:tab w:val="right" w:pos="9638"/>
        </w:tabs>
        <w:spacing w:before="120" w:after="240"/>
        <w:ind w:left="1134" w:right="1134" w:firstLine="170"/>
        <w:rPr>
          <w:sz w:val="18"/>
          <w:szCs w:val="18"/>
        </w:rPr>
      </w:pPr>
      <w:r w:rsidRPr="00F47B6C">
        <w:rPr>
          <w:i/>
          <w:sz w:val="18"/>
          <w:szCs w:val="18"/>
        </w:rPr>
        <w:t>Source</w:t>
      </w:r>
      <w:r w:rsidRPr="00F47B6C">
        <w:rPr>
          <w:sz w:val="18"/>
          <w:szCs w:val="18"/>
        </w:rPr>
        <w:t>:</w:t>
      </w:r>
      <w:r w:rsidR="00907D8C">
        <w:rPr>
          <w:sz w:val="18"/>
          <w:szCs w:val="18"/>
        </w:rPr>
        <w:t xml:space="preserve">  </w:t>
      </w:r>
      <w:r w:rsidRPr="00F47B6C">
        <w:rPr>
          <w:sz w:val="18"/>
          <w:szCs w:val="18"/>
        </w:rPr>
        <w:t>Mental</w:t>
      </w:r>
      <w:r w:rsidR="00907D8C">
        <w:rPr>
          <w:sz w:val="18"/>
          <w:szCs w:val="18"/>
        </w:rPr>
        <w:t xml:space="preserve"> </w:t>
      </w:r>
      <w:r w:rsidRPr="00F47B6C">
        <w:rPr>
          <w:sz w:val="18"/>
          <w:szCs w:val="18"/>
        </w:rPr>
        <w:t>Health</w:t>
      </w:r>
      <w:r w:rsidR="00907D8C">
        <w:rPr>
          <w:sz w:val="18"/>
          <w:szCs w:val="18"/>
        </w:rPr>
        <w:t xml:space="preserve"> </w:t>
      </w:r>
      <w:r w:rsidRPr="00F47B6C">
        <w:rPr>
          <w:sz w:val="18"/>
          <w:szCs w:val="18"/>
        </w:rPr>
        <w:t>Information</w:t>
      </w:r>
      <w:r w:rsidR="00907D8C">
        <w:rPr>
          <w:sz w:val="18"/>
          <w:szCs w:val="18"/>
        </w:rPr>
        <w:t xml:space="preserve"> </w:t>
      </w:r>
      <w:r w:rsidRPr="00F47B6C">
        <w:rPr>
          <w:sz w:val="18"/>
          <w:szCs w:val="18"/>
        </w:rPr>
        <w:t>National</w:t>
      </w:r>
      <w:r w:rsidR="00907D8C">
        <w:rPr>
          <w:sz w:val="18"/>
          <w:szCs w:val="18"/>
        </w:rPr>
        <w:t xml:space="preserve"> </w:t>
      </w:r>
      <w:r w:rsidRPr="00F47B6C">
        <w:rPr>
          <w:sz w:val="18"/>
          <w:szCs w:val="18"/>
        </w:rPr>
        <w:t>Collection</w:t>
      </w:r>
      <w:r w:rsidR="00F47B6C" w:rsidRPr="00F47B6C">
        <w:rPr>
          <w:sz w:val="18"/>
          <w:szCs w:val="18"/>
        </w:rPr>
        <w:t>.</w:t>
      </w:r>
    </w:p>
    <w:p w:rsidR="00036FAC" w:rsidRPr="00036FAC" w:rsidRDefault="00036FAC" w:rsidP="00907D8C">
      <w:pPr>
        <w:pStyle w:val="SingleTxtG"/>
      </w:pPr>
      <w:r w:rsidRPr="00036FAC">
        <w:t>95.</w:t>
      </w:r>
      <w:r w:rsidRPr="00036FAC">
        <w:tab/>
        <w:t>There</w:t>
      </w:r>
      <w:r w:rsidR="00907D8C">
        <w:t xml:space="preserve"> </w:t>
      </w:r>
      <w:r w:rsidRPr="00036FAC">
        <w:t>are</w:t>
      </w:r>
      <w:r w:rsidR="00907D8C">
        <w:t xml:space="preserve"> </w:t>
      </w:r>
      <w:r w:rsidRPr="00036FAC">
        <w:t>different</w:t>
      </w:r>
      <w:r w:rsidR="00907D8C">
        <w:t xml:space="preserve"> </w:t>
      </w:r>
      <w:r w:rsidRPr="00036FAC">
        <w:t>patterns</w:t>
      </w:r>
      <w:r w:rsidR="00907D8C">
        <w:t xml:space="preserve"> </w:t>
      </w:r>
      <w:r w:rsidRPr="00036FAC">
        <w:t>for</w:t>
      </w:r>
      <w:r w:rsidR="00907D8C">
        <w:t xml:space="preserve"> </w:t>
      </w:r>
      <w:r w:rsidRPr="00036FAC">
        <w:t>males</w:t>
      </w:r>
      <w:r w:rsidR="00907D8C">
        <w:t xml:space="preserve"> </w:t>
      </w:r>
      <w:r w:rsidRPr="00036FAC">
        <w:t>and</w:t>
      </w:r>
      <w:r w:rsidR="00907D8C">
        <w:t xml:space="preserve"> </w:t>
      </w:r>
      <w:r w:rsidRPr="00036FAC">
        <w:t>females.</w:t>
      </w:r>
      <w:r w:rsidR="00907D8C">
        <w:t xml:space="preserve"> </w:t>
      </w:r>
      <w:r w:rsidRPr="00036FAC">
        <w:t>The</w:t>
      </w:r>
      <w:r w:rsidR="00907D8C">
        <w:t xml:space="preserve"> </w:t>
      </w:r>
      <w:r w:rsidRPr="00036FAC">
        <w:t>rates</w:t>
      </w:r>
      <w:r w:rsidR="00907D8C">
        <w:t xml:space="preserve"> </w:t>
      </w:r>
      <w:r w:rsidRPr="00036FAC">
        <w:t>for</w:t>
      </w:r>
      <w:r w:rsidR="00907D8C">
        <w:t xml:space="preserve"> </w:t>
      </w:r>
      <w:r w:rsidRPr="00036FAC">
        <w:t>Māori</w:t>
      </w:r>
      <w:r w:rsidR="00907D8C">
        <w:t xml:space="preserve"> </w:t>
      </w:r>
      <w:r w:rsidRPr="00036FAC">
        <w:t>were</w:t>
      </w:r>
      <w:r w:rsidR="00907D8C">
        <w:t xml:space="preserve"> </w:t>
      </w:r>
      <w:r w:rsidRPr="00036FAC">
        <w:t>generally</w:t>
      </w:r>
      <w:r w:rsidR="00907D8C">
        <w:t xml:space="preserve"> </w:t>
      </w:r>
      <w:r w:rsidRPr="00036FAC">
        <w:t>higher</w:t>
      </w:r>
      <w:r w:rsidR="00907D8C">
        <w:t xml:space="preserve"> </w:t>
      </w:r>
      <w:r w:rsidRPr="00036FAC">
        <w:t>than</w:t>
      </w:r>
      <w:r w:rsidR="00907D8C">
        <w:t xml:space="preserve"> </w:t>
      </w:r>
      <w:r w:rsidRPr="00036FAC">
        <w:t>those</w:t>
      </w:r>
      <w:r w:rsidR="00907D8C">
        <w:t xml:space="preserve"> </w:t>
      </w:r>
      <w:r w:rsidRPr="00036FAC">
        <w:t>for</w:t>
      </w:r>
      <w:r w:rsidR="00907D8C">
        <w:t xml:space="preserve"> </w:t>
      </w:r>
      <w:r w:rsidRPr="00036FAC">
        <w:t>the</w:t>
      </w:r>
      <w:r w:rsidR="00907D8C">
        <w:t xml:space="preserve"> </w:t>
      </w:r>
      <w:r w:rsidRPr="00036FAC">
        <w:t>other</w:t>
      </w:r>
      <w:r w:rsidR="00907D8C">
        <w:t xml:space="preserve"> </w:t>
      </w:r>
      <w:r w:rsidRPr="00036FAC">
        <w:t>two</w:t>
      </w:r>
      <w:r w:rsidR="00907D8C">
        <w:t xml:space="preserve"> </w:t>
      </w:r>
      <w:r w:rsidRPr="00036FAC">
        <w:t>ethnic</w:t>
      </w:r>
      <w:r w:rsidR="00907D8C">
        <w:t xml:space="preserve"> </w:t>
      </w:r>
      <w:r w:rsidRPr="00036FAC">
        <w:t>groups</w:t>
      </w:r>
      <w:r w:rsidR="00907D8C">
        <w:t xml:space="preserve"> </w:t>
      </w:r>
      <w:r w:rsidRPr="00036FAC">
        <w:t>for</w:t>
      </w:r>
      <w:r w:rsidR="00907D8C">
        <w:t xml:space="preserve"> </w:t>
      </w:r>
      <w:r w:rsidRPr="00036FAC">
        <w:t>both</w:t>
      </w:r>
      <w:r w:rsidR="00907D8C">
        <w:t xml:space="preserve"> </w:t>
      </w:r>
      <w:r w:rsidRPr="00036FAC">
        <w:t>males</w:t>
      </w:r>
      <w:r w:rsidR="00907D8C">
        <w:t xml:space="preserve"> </w:t>
      </w:r>
      <w:r w:rsidRPr="00036FAC">
        <w:t>and</w:t>
      </w:r>
      <w:r w:rsidR="00907D8C">
        <w:t xml:space="preserve"> </w:t>
      </w:r>
      <w:r w:rsidRPr="00036FAC">
        <w:t>females.</w:t>
      </w:r>
    </w:p>
    <w:p w:rsidR="00036FAC" w:rsidRPr="00036FAC" w:rsidRDefault="00036FAC" w:rsidP="00907D8C">
      <w:pPr>
        <w:pStyle w:val="SingleTxtG"/>
      </w:pPr>
      <w:r w:rsidRPr="00036FAC">
        <w:t>96.</w:t>
      </w:r>
      <w:r w:rsidRPr="00036FAC">
        <w:tab/>
        <w:t>For</w:t>
      </w:r>
      <w:r w:rsidR="00907D8C">
        <w:t xml:space="preserve"> </w:t>
      </w:r>
      <w:r w:rsidRPr="00036FAC">
        <w:t>males,</w:t>
      </w:r>
      <w:r w:rsidR="00907D8C">
        <w:t xml:space="preserve"> </w:t>
      </w:r>
      <w:r w:rsidRPr="00036FAC">
        <w:t>the</w:t>
      </w:r>
      <w:r w:rsidR="00907D8C">
        <w:t xml:space="preserve"> </w:t>
      </w:r>
      <w:r w:rsidRPr="00036FAC">
        <w:t>difference</w:t>
      </w:r>
      <w:r w:rsidR="00907D8C">
        <w:t xml:space="preserve"> </w:t>
      </w:r>
      <w:r w:rsidRPr="00036FAC">
        <w:t>between</w:t>
      </w:r>
      <w:r w:rsidR="00907D8C">
        <w:t xml:space="preserve"> </w:t>
      </w:r>
      <w:r w:rsidRPr="00036FAC">
        <w:t>Māori</w:t>
      </w:r>
      <w:r w:rsidR="00907D8C">
        <w:t xml:space="preserve"> </w:t>
      </w:r>
      <w:r w:rsidRPr="00036FAC">
        <w:t>and</w:t>
      </w:r>
      <w:r w:rsidR="00907D8C">
        <w:t xml:space="preserve"> </w:t>
      </w:r>
      <w:r w:rsidRPr="00036FAC">
        <w:t>the</w:t>
      </w:r>
      <w:r w:rsidR="00907D8C">
        <w:t xml:space="preserve"> </w:t>
      </w:r>
      <w:r w:rsidRPr="00036FAC">
        <w:t>other</w:t>
      </w:r>
      <w:r w:rsidR="00907D8C">
        <w:t xml:space="preserve"> </w:t>
      </w:r>
      <w:r w:rsidRPr="00036FAC">
        <w:t>two</w:t>
      </w:r>
      <w:r w:rsidR="00907D8C">
        <w:t xml:space="preserve"> </w:t>
      </w:r>
      <w:r w:rsidRPr="00036FAC">
        <w:t>ethnic</w:t>
      </w:r>
      <w:r w:rsidR="00907D8C">
        <w:t xml:space="preserve"> </w:t>
      </w:r>
      <w:r w:rsidRPr="00036FAC">
        <w:t>groups</w:t>
      </w:r>
      <w:r w:rsidR="00907D8C">
        <w:t xml:space="preserve"> </w:t>
      </w:r>
      <w:r w:rsidRPr="00036FAC">
        <w:t>was</w:t>
      </w:r>
      <w:r w:rsidR="00907D8C">
        <w:t xml:space="preserve"> </w:t>
      </w:r>
      <w:r w:rsidRPr="00036FAC">
        <w:t>most</w:t>
      </w:r>
      <w:r w:rsidR="00907D8C">
        <w:t xml:space="preserve"> </w:t>
      </w:r>
      <w:r w:rsidRPr="00036FAC">
        <w:t>pronounced</w:t>
      </w:r>
      <w:r w:rsidR="00907D8C">
        <w:t xml:space="preserve"> </w:t>
      </w:r>
      <w:r w:rsidRPr="00036FAC">
        <w:t>for</w:t>
      </w:r>
      <w:r w:rsidR="00907D8C">
        <w:t xml:space="preserve"> </w:t>
      </w:r>
      <w:r w:rsidRPr="00036FAC">
        <w:t>adults</w:t>
      </w:r>
      <w:r w:rsidR="00907D8C">
        <w:t xml:space="preserve"> </w:t>
      </w:r>
      <w:r w:rsidRPr="00036FAC">
        <w:t>aged</w:t>
      </w:r>
      <w:r w:rsidR="00907D8C">
        <w:t xml:space="preserve"> </w:t>
      </w:r>
      <w:r w:rsidRPr="00036FAC">
        <w:t>20–44</w:t>
      </w:r>
      <w:r w:rsidR="00907D8C">
        <w:t xml:space="preserve"> </w:t>
      </w:r>
      <w:r w:rsidRPr="00036FAC">
        <w:t>years.</w:t>
      </w:r>
      <w:r w:rsidR="00907D8C">
        <w:t xml:space="preserve"> </w:t>
      </w:r>
      <w:r w:rsidRPr="00036FAC">
        <w:t>For</w:t>
      </w:r>
      <w:r w:rsidR="00907D8C">
        <w:t xml:space="preserve"> </w:t>
      </w:r>
      <w:r w:rsidR="003E4D94">
        <w:t>non-</w:t>
      </w:r>
      <w:r w:rsidRPr="00036FAC">
        <w:t>Māori,</w:t>
      </w:r>
      <w:r w:rsidR="00907D8C">
        <w:t xml:space="preserve"> </w:t>
      </w:r>
      <w:r w:rsidRPr="00036FAC">
        <w:t>non-Pacific</w:t>
      </w:r>
      <w:r w:rsidR="00907D8C">
        <w:t xml:space="preserve"> </w:t>
      </w:r>
      <w:r w:rsidRPr="00036FAC">
        <w:t>males,</w:t>
      </w:r>
      <w:r w:rsidR="00907D8C">
        <w:t xml:space="preserve"> </w:t>
      </w:r>
      <w:r w:rsidRPr="00036FAC">
        <w:t>the</w:t>
      </w:r>
      <w:r w:rsidR="00907D8C">
        <w:t xml:space="preserve"> </w:t>
      </w:r>
      <w:r w:rsidRPr="00036FAC">
        <w:t>rates</w:t>
      </w:r>
      <w:r w:rsidR="00907D8C">
        <w:t xml:space="preserve"> </w:t>
      </w:r>
      <w:r w:rsidRPr="00036FAC">
        <w:t>were</w:t>
      </w:r>
      <w:r w:rsidR="00907D8C">
        <w:t xml:space="preserve"> </w:t>
      </w:r>
      <w:r w:rsidRPr="00036FAC">
        <w:t>similar</w:t>
      </w:r>
      <w:r w:rsidR="00907D8C">
        <w:t xml:space="preserve"> </w:t>
      </w:r>
      <w:r w:rsidRPr="00036FAC">
        <w:t>to</w:t>
      </w:r>
      <w:r w:rsidR="00907D8C">
        <w:t xml:space="preserve"> </w:t>
      </w:r>
      <w:r w:rsidRPr="00036FAC">
        <w:t>Māori</w:t>
      </w:r>
      <w:r w:rsidR="00907D8C">
        <w:t xml:space="preserve"> </w:t>
      </w:r>
      <w:r w:rsidRPr="00036FAC">
        <w:t>rates</w:t>
      </w:r>
      <w:r w:rsidR="00907D8C">
        <w:t xml:space="preserve"> </w:t>
      </w:r>
      <w:r w:rsidRPr="00036FAC">
        <w:t>up</w:t>
      </w:r>
      <w:r w:rsidR="00907D8C">
        <w:t xml:space="preserve"> </w:t>
      </w:r>
      <w:r w:rsidRPr="00036FAC">
        <w:t>until</w:t>
      </w:r>
      <w:r w:rsidR="00907D8C">
        <w:t xml:space="preserve"> </w:t>
      </w:r>
      <w:r w:rsidRPr="00036FAC">
        <w:t>the</w:t>
      </w:r>
      <w:r w:rsidR="00907D8C">
        <w:t xml:space="preserve"> </w:t>
      </w:r>
      <w:r w:rsidRPr="00036FAC">
        <w:t>age</w:t>
      </w:r>
      <w:r w:rsidR="00907D8C">
        <w:t xml:space="preserve"> </w:t>
      </w:r>
      <w:r w:rsidRPr="00036FAC">
        <w:t>of</w:t>
      </w:r>
      <w:r w:rsidR="00907D8C">
        <w:t xml:space="preserve"> </w:t>
      </w:r>
      <w:r w:rsidRPr="00036FAC">
        <w:t>15</w:t>
      </w:r>
      <w:r w:rsidR="00907D8C">
        <w:t xml:space="preserve"> </w:t>
      </w:r>
      <w:r w:rsidRPr="00036FAC">
        <w:t>years,</w:t>
      </w:r>
      <w:r w:rsidR="00907D8C">
        <w:t xml:space="preserve"> </w:t>
      </w:r>
      <w:r w:rsidRPr="00036FAC">
        <w:t>and</w:t>
      </w:r>
      <w:r w:rsidR="00907D8C">
        <w:t xml:space="preserve"> </w:t>
      </w:r>
      <w:r w:rsidRPr="00036FAC">
        <w:t>from</w:t>
      </w:r>
      <w:r w:rsidR="00907D8C">
        <w:t xml:space="preserve"> </w:t>
      </w:r>
      <w:r w:rsidRPr="00036FAC">
        <w:t>then</w:t>
      </w:r>
      <w:r w:rsidR="00907D8C">
        <w:t xml:space="preserve"> </w:t>
      </w:r>
      <w:r w:rsidRPr="00036FAC">
        <w:t>onwards</w:t>
      </w:r>
      <w:r w:rsidR="00907D8C">
        <w:t xml:space="preserve"> </w:t>
      </w:r>
      <w:r w:rsidRPr="00036FAC">
        <w:t>they</w:t>
      </w:r>
      <w:r w:rsidR="00907D8C">
        <w:t xml:space="preserve"> </w:t>
      </w:r>
      <w:r w:rsidRPr="00036FAC">
        <w:t>were</w:t>
      </w:r>
      <w:r w:rsidR="00907D8C">
        <w:t xml:space="preserve"> </w:t>
      </w:r>
      <w:r w:rsidRPr="00036FAC">
        <w:t>closer</w:t>
      </w:r>
      <w:r w:rsidR="00907D8C">
        <w:t xml:space="preserve"> </w:t>
      </w:r>
      <w:r w:rsidRPr="00036FAC">
        <w:t>to</w:t>
      </w:r>
      <w:r w:rsidR="00907D8C">
        <w:t xml:space="preserve"> </w:t>
      </w:r>
      <w:r w:rsidRPr="00036FAC">
        <w:t>Pacific</w:t>
      </w:r>
      <w:r w:rsidR="00907D8C">
        <w:t xml:space="preserve"> </w:t>
      </w:r>
      <w:r w:rsidRPr="00036FAC">
        <w:t>rates.</w:t>
      </w:r>
      <w:r w:rsidR="00907D8C">
        <w:t xml:space="preserve"> </w:t>
      </w:r>
      <w:r w:rsidRPr="00036FAC">
        <w:t>From</w:t>
      </w:r>
      <w:r w:rsidR="00907D8C">
        <w:t xml:space="preserve"> </w:t>
      </w:r>
      <w:r w:rsidRPr="00036FAC">
        <w:t>the</w:t>
      </w:r>
      <w:r w:rsidR="00907D8C">
        <w:t xml:space="preserve"> </w:t>
      </w:r>
      <w:r w:rsidRPr="00036FAC">
        <w:t>age</w:t>
      </w:r>
      <w:r w:rsidR="00907D8C">
        <w:t xml:space="preserve"> </w:t>
      </w:r>
      <w:r w:rsidRPr="00036FAC">
        <w:t>of</w:t>
      </w:r>
      <w:r w:rsidR="00907D8C">
        <w:t xml:space="preserve"> </w:t>
      </w:r>
      <w:r w:rsidRPr="00036FAC">
        <w:t>55</w:t>
      </w:r>
      <w:r w:rsidR="00907D8C">
        <w:t xml:space="preserve"> </w:t>
      </w:r>
      <w:r w:rsidRPr="00036FAC">
        <w:t>years</w:t>
      </w:r>
      <w:r w:rsidR="00907D8C">
        <w:t xml:space="preserve"> </w:t>
      </w:r>
      <w:r w:rsidRPr="00036FAC">
        <w:t>onwards,</w:t>
      </w:r>
      <w:r w:rsidR="00907D8C">
        <w:t xml:space="preserve"> </w:t>
      </w:r>
      <w:r w:rsidRPr="00036FAC">
        <w:t>the</w:t>
      </w:r>
      <w:r w:rsidR="00907D8C">
        <w:t xml:space="preserve"> </w:t>
      </w:r>
      <w:r w:rsidRPr="00036FAC">
        <w:t>differences</w:t>
      </w:r>
      <w:r w:rsidR="00907D8C">
        <w:t xml:space="preserve"> </w:t>
      </w:r>
      <w:r w:rsidRPr="00036FAC">
        <w:t>between</w:t>
      </w:r>
      <w:r w:rsidR="00907D8C">
        <w:t xml:space="preserve"> </w:t>
      </w:r>
      <w:r w:rsidRPr="00036FAC">
        <w:t>the</w:t>
      </w:r>
      <w:r w:rsidR="00907D8C">
        <w:t xml:space="preserve"> </w:t>
      </w:r>
      <w:r w:rsidRPr="00036FAC">
        <w:t>ethnic</w:t>
      </w:r>
      <w:r w:rsidR="00907D8C">
        <w:t xml:space="preserve"> </w:t>
      </w:r>
      <w:r w:rsidRPr="00036FAC">
        <w:t>groups</w:t>
      </w:r>
      <w:r w:rsidR="00907D8C">
        <w:t xml:space="preserve"> </w:t>
      </w:r>
      <w:r w:rsidRPr="00036FAC">
        <w:t>were</w:t>
      </w:r>
      <w:r w:rsidR="00907D8C">
        <w:t xml:space="preserve"> </w:t>
      </w:r>
      <w:r w:rsidRPr="00036FAC">
        <w:t>much</w:t>
      </w:r>
      <w:r w:rsidR="00907D8C">
        <w:t xml:space="preserve"> </w:t>
      </w:r>
      <w:r w:rsidRPr="00036FAC">
        <w:t>less</w:t>
      </w:r>
      <w:r w:rsidR="00907D8C">
        <w:t xml:space="preserve"> </w:t>
      </w:r>
      <w:r w:rsidRPr="00036FAC">
        <w:t>pronounced.</w:t>
      </w:r>
    </w:p>
    <w:p w:rsidR="00036FAC" w:rsidRPr="00036FAC" w:rsidRDefault="00036FAC" w:rsidP="00907D8C">
      <w:pPr>
        <w:pStyle w:val="SingleTxtG"/>
      </w:pPr>
      <w:r w:rsidRPr="00036FAC">
        <w:t>97.</w:t>
      </w:r>
      <w:r w:rsidRPr="00036FAC">
        <w:tab/>
        <w:t>Female</w:t>
      </w:r>
      <w:r w:rsidR="00907D8C">
        <w:t xml:space="preserve"> </w:t>
      </w:r>
      <w:r w:rsidRPr="00036FAC">
        <w:t>clients</w:t>
      </w:r>
      <w:r w:rsidR="00907D8C">
        <w:t xml:space="preserve"> </w:t>
      </w:r>
      <w:r w:rsidRPr="00036FAC">
        <w:t>show</w:t>
      </w:r>
      <w:r w:rsidR="00907D8C">
        <w:t xml:space="preserve"> </w:t>
      </w:r>
      <w:r w:rsidRPr="00036FAC">
        <w:t>a</w:t>
      </w:r>
      <w:r w:rsidR="00907D8C">
        <w:t xml:space="preserve"> </w:t>
      </w:r>
      <w:r w:rsidRPr="00036FAC">
        <w:t>more</w:t>
      </w:r>
      <w:r w:rsidR="00907D8C">
        <w:t xml:space="preserve"> </w:t>
      </w:r>
      <w:r w:rsidRPr="00036FAC">
        <w:t>even</w:t>
      </w:r>
      <w:r w:rsidR="00907D8C">
        <w:t xml:space="preserve"> </w:t>
      </w:r>
      <w:r w:rsidRPr="00036FAC">
        <w:t>age</w:t>
      </w:r>
      <w:r w:rsidR="00907D8C">
        <w:t xml:space="preserve"> </w:t>
      </w:r>
      <w:r w:rsidRPr="00036FAC">
        <w:t>distribution</w:t>
      </w:r>
      <w:r w:rsidR="00907D8C">
        <w:t xml:space="preserve"> </w:t>
      </w:r>
      <w:r w:rsidRPr="00036FAC">
        <w:t>for</w:t>
      </w:r>
      <w:r w:rsidR="00907D8C">
        <w:t xml:space="preserve"> </w:t>
      </w:r>
      <w:r w:rsidRPr="00036FAC">
        <w:t>the</w:t>
      </w:r>
      <w:r w:rsidR="00907D8C">
        <w:t xml:space="preserve"> </w:t>
      </w:r>
      <w:r w:rsidRPr="00036FAC">
        <w:t>Pacific</w:t>
      </w:r>
      <w:r w:rsidR="00907D8C">
        <w:t xml:space="preserve"> </w:t>
      </w:r>
      <w:r w:rsidRPr="00036FAC">
        <w:t>ethnic</w:t>
      </w:r>
      <w:r w:rsidR="00907D8C">
        <w:t xml:space="preserve"> </w:t>
      </w:r>
      <w:r w:rsidRPr="00036FAC">
        <w:t>group.</w:t>
      </w:r>
      <w:r w:rsidR="00907D8C">
        <w:t xml:space="preserve"> </w:t>
      </w:r>
      <w:r w:rsidRPr="00036FAC">
        <w:t>For</w:t>
      </w:r>
      <w:r w:rsidR="00907D8C">
        <w:t xml:space="preserve"> </w:t>
      </w:r>
      <w:r w:rsidRPr="00036FAC">
        <w:t>Māori</w:t>
      </w:r>
      <w:r w:rsidR="00907D8C">
        <w:t xml:space="preserve"> </w:t>
      </w:r>
      <w:r w:rsidRPr="00036FAC">
        <w:t>females,</w:t>
      </w:r>
      <w:r w:rsidR="00907D8C">
        <w:t xml:space="preserve"> </w:t>
      </w:r>
      <w:r w:rsidRPr="00036FAC">
        <w:t>there</w:t>
      </w:r>
      <w:r w:rsidR="00907D8C">
        <w:t xml:space="preserve"> </w:t>
      </w:r>
      <w:r w:rsidRPr="00036FAC">
        <w:t>was</w:t>
      </w:r>
      <w:r w:rsidR="00907D8C">
        <w:t xml:space="preserve"> </w:t>
      </w:r>
      <w:r w:rsidRPr="00036FAC">
        <w:t>a</w:t>
      </w:r>
      <w:r w:rsidR="00907D8C">
        <w:t xml:space="preserve"> </w:t>
      </w:r>
      <w:r w:rsidRPr="00036FAC">
        <w:t>spike</w:t>
      </w:r>
      <w:r w:rsidR="00907D8C">
        <w:t xml:space="preserve"> </w:t>
      </w:r>
      <w:r w:rsidRPr="00036FAC">
        <w:t>in</w:t>
      </w:r>
      <w:r w:rsidR="00907D8C">
        <w:t xml:space="preserve"> </w:t>
      </w:r>
      <w:r w:rsidRPr="00036FAC">
        <w:t>the</w:t>
      </w:r>
      <w:r w:rsidR="00907D8C">
        <w:t xml:space="preserve"> </w:t>
      </w:r>
      <w:r w:rsidRPr="00036FAC">
        <w:t>15–19</w:t>
      </w:r>
      <w:r w:rsidR="00907D8C">
        <w:t xml:space="preserve"> </w:t>
      </w:r>
      <w:r w:rsidRPr="00036FAC">
        <w:t>year</w:t>
      </w:r>
      <w:r w:rsidR="00907D8C">
        <w:t xml:space="preserve"> </w:t>
      </w:r>
      <w:r w:rsidRPr="00036FAC">
        <w:t>age</w:t>
      </w:r>
      <w:r w:rsidR="00907D8C">
        <w:t xml:space="preserve"> </w:t>
      </w:r>
      <w:r w:rsidRPr="00036FAC">
        <w:t>group,</w:t>
      </w:r>
      <w:r w:rsidR="00907D8C">
        <w:t xml:space="preserve"> </w:t>
      </w:r>
      <w:r w:rsidRPr="00036FAC">
        <w:t>and</w:t>
      </w:r>
      <w:r w:rsidR="00907D8C">
        <w:t xml:space="preserve"> </w:t>
      </w:r>
      <w:r w:rsidRPr="00036FAC">
        <w:t>the</w:t>
      </w:r>
      <w:r w:rsidR="00907D8C">
        <w:t xml:space="preserve"> </w:t>
      </w:r>
      <w:r w:rsidR="003E4D94">
        <w:t>age-</w:t>
      </w:r>
      <w:r w:rsidRPr="00036FAC">
        <w:t>specific</w:t>
      </w:r>
      <w:r w:rsidR="00907D8C">
        <w:t xml:space="preserve"> </w:t>
      </w:r>
      <w:r w:rsidRPr="00036FAC">
        <w:t>rates</w:t>
      </w:r>
      <w:r w:rsidR="00907D8C">
        <w:t xml:space="preserve"> </w:t>
      </w:r>
      <w:r w:rsidRPr="00036FAC">
        <w:t>peaked</w:t>
      </w:r>
      <w:r w:rsidR="00907D8C">
        <w:t xml:space="preserve"> </w:t>
      </w:r>
      <w:r w:rsidRPr="00036FAC">
        <w:t>for</w:t>
      </w:r>
      <w:r w:rsidR="00907D8C">
        <w:t xml:space="preserve"> </w:t>
      </w:r>
      <w:r w:rsidRPr="00036FAC">
        <w:t>the</w:t>
      </w:r>
      <w:r w:rsidR="00907D8C">
        <w:t xml:space="preserve"> </w:t>
      </w:r>
      <w:r w:rsidRPr="00036FAC">
        <w:t>35–39</w:t>
      </w:r>
      <w:r w:rsidR="00907D8C">
        <w:t xml:space="preserve"> </w:t>
      </w:r>
      <w:r w:rsidRPr="00036FAC">
        <w:t>year</w:t>
      </w:r>
      <w:r w:rsidR="00907D8C">
        <w:t xml:space="preserve"> </w:t>
      </w:r>
      <w:r w:rsidRPr="00036FAC">
        <w:t>age</w:t>
      </w:r>
      <w:r w:rsidR="00907D8C">
        <w:t xml:space="preserve"> </w:t>
      </w:r>
      <w:r w:rsidRPr="00036FAC">
        <w:t>group.</w:t>
      </w:r>
      <w:r w:rsidR="00907D8C">
        <w:t xml:space="preserve"> </w:t>
      </w:r>
      <w:r w:rsidRPr="00036FAC">
        <w:t>There</w:t>
      </w:r>
      <w:r w:rsidR="00907D8C">
        <w:t xml:space="preserve"> </w:t>
      </w:r>
      <w:r w:rsidRPr="00036FAC">
        <w:t>was</w:t>
      </w:r>
      <w:r w:rsidR="00907D8C">
        <w:t xml:space="preserve"> </w:t>
      </w:r>
      <w:r w:rsidRPr="00036FAC">
        <w:t>a</w:t>
      </w:r>
      <w:r w:rsidR="00907D8C">
        <w:t xml:space="preserve"> </w:t>
      </w:r>
      <w:r w:rsidRPr="00036FAC">
        <w:t>noticeable</w:t>
      </w:r>
      <w:r w:rsidR="00907D8C">
        <w:t xml:space="preserve"> </w:t>
      </w:r>
      <w:r w:rsidRPr="00036FAC">
        <w:t>peak</w:t>
      </w:r>
      <w:r w:rsidR="00907D8C">
        <w:t xml:space="preserve"> </w:t>
      </w:r>
      <w:r w:rsidRPr="00036FAC">
        <w:t>for</w:t>
      </w:r>
      <w:r w:rsidR="00907D8C">
        <w:t xml:space="preserve"> </w:t>
      </w:r>
      <w:r w:rsidR="002F3BCD">
        <w:t>non-</w:t>
      </w:r>
      <w:r w:rsidRPr="00036FAC">
        <w:t>Māori,</w:t>
      </w:r>
      <w:r w:rsidR="00907D8C">
        <w:t xml:space="preserve"> </w:t>
      </w:r>
      <w:r w:rsidRPr="00036FAC">
        <w:t>non</w:t>
      </w:r>
      <w:r w:rsidR="003E4D94">
        <w:t>-</w:t>
      </w:r>
      <w:r w:rsidRPr="00036FAC">
        <w:t>Pacific</w:t>
      </w:r>
      <w:r w:rsidR="00907D8C">
        <w:t xml:space="preserve"> </w:t>
      </w:r>
      <w:r w:rsidRPr="00036FAC">
        <w:t>females</w:t>
      </w:r>
      <w:r w:rsidR="00907D8C">
        <w:t xml:space="preserve"> </w:t>
      </w:r>
      <w:r w:rsidRPr="00036FAC">
        <w:t>in</w:t>
      </w:r>
      <w:r w:rsidR="00907D8C">
        <w:t xml:space="preserve"> </w:t>
      </w:r>
      <w:r w:rsidRPr="00036FAC">
        <w:t>the</w:t>
      </w:r>
      <w:r w:rsidR="00907D8C">
        <w:t xml:space="preserve"> </w:t>
      </w:r>
      <w:r w:rsidRPr="00036FAC">
        <w:t>15–19</w:t>
      </w:r>
      <w:r w:rsidR="00907D8C">
        <w:t xml:space="preserve"> </w:t>
      </w:r>
      <w:r w:rsidRPr="00036FAC">
        <w:t>year</w:t>
      </w:r>
      <w:r w:rsidR="00907D8C">
        <w:t xml:space="preserve"> </w:t>
      </w:r>
      <w:r w:rsidRPr="00036FAC">
        <w:t>age</w:t>
      </w:r>
      <w:r w:rsidR="00907D8C">
        <w:t xml:space="preserve"> </w:t>
      </w:r>
      <w:r w:rsidRPr="00036FAC">
        <w:t>group,</w:t>
      </w:r>
      <w:r w:rsidR="00907D8C">
        <w:t xml:space="preserve"> </w:t>
      </w:r>
      <w:r w:rsidRPr="00036FAC">
        <w:t>where</w:t>
      </w:r>
      <w:r w:rsidR="00907D8C">
        <w:t xml:space="preserve"> </w:t>
      </w:r>
      <w:r w:rsidRPr="00036FAC">
        <w:t>the</w:t>
      </w:r>
      <w:r w:rsidR="00907D8C">
        <w:t xml:space="preserve"> </w:t>
      </w:r>
      <w:r w:rsidRPr="00036FAC">
        <w:t>rate</w:t>
      </w:r>
      <w:r w:rsidR="00907D8C">
        <w:t xml:space="preserve"> </w:t>
      </w:r>
      <w:r w:rsidRPr="00036FAC">
        <w:t>exceeded</w:t>
      </w:r>
      <w:r w:rsidR="00907D8C">
        <w:t xml:space="preserve"> </w:t>
      </w:r>
      <w:r w:rsidRPr="00036FAC">
        <w:t>the</w:t>
      </w:r>
      <w:r w:rsidR="00907D8C">
        <w:t xml:space="preserve"> </w:t>
      </w:r>
      <w:r w:rsidRPr="00036FAC">
        <w:t>Māori</w:t>
      </w:r>
      <w:r w:rsidR="00907D8C">
        <w:t xml:space="preserve"> </w:t>
      </w:r>
      <w:r w:rsidRPr="00036FAC">
        <w:t>rate.</w:t>
      </w:r>
      <w:r w:rsidR="00907D8C">
        <w:t xml:space="preserve"> </w:t>
      </w:r>
      <w:r w:rsidRPr="00036FAC">
        <w:t>The</w:t>
      </w:r>
      <w:r w:rsidR="00907D8C">
        <w:t xml:space="preserve"> </w:t>
      </w:r>
      <w:r w:rsidRPr="00036FAC">
        <w:t>age-specific</w:t>
      </w:r>
      <w:r w:rsidR="00907D8C">
        <w:t xml:space="preserve"> </w:t>
      </w:r>
      <w:r w:rsidRPr="00036FAC">
        <w:t>rates</w:t>
      </w:r>
      <w:r w:rsidR="00907D8C">
        <w:t xml:space="preserve"> </w:t>
      </w:r>
      <w:r w:rsidRPr="00036FAC">
        <w:t>for</w:t>
      </w:r>
      <w:r w:rsidR="00907D8C">
        <w:t xml:space="preserve"> </w:t>
      </w:r>
      <w:r w:rsidRPr="00036FAC">
        <w:t>Pacific</w:t>
      </w:r>
      <w:r w:rsidR="00907D8C">
        <w:t xml:space="preserve"> </w:t>
      </w:r>
      <w:r w:rsidRPr="00036FAC">
        <w:t>clients</w:t>
      </w:r>
      <w:r w:rsidR="00907D8C">
        <w:t xml:space="preserve"> </w:t>
      </w:r>
      <w:r w:rsidRPr="00036FAC">
        <w:t>should</w:t>
      </w:r>
      <w:r w:rsidR="00907D8C">
        <w:t xml:space="preserve"> </w:t>
      </w:r>
      <w:r w:rsidRPr="00036FAC">
        <w:t>be</w:t>
      </w:r>
      <w:r w:rsidR="00907D8C">
        <w:t xml:space="preserve"> </w:t>
      </w:r>
      <w:r w:rsidRPr="00036FAC">
        <w:t>interpreted</w:t>
      </w:r>
      <w:r w:rsidR="00907D8C">
        <w:t xml:space="preserve"> </w:t>
      </w:r>
      <w:r w:rsidRPr="00036FAC">
        <w:t>with</w:t>
      </w:r>
      <w:r w:rsidR="00907D8C">
        <w:t xml:space="preserve"> </w:t>
      </w:r>
      <w:r w:rsidRPr="00036FAC">
        <w:t>caution</w:t>
      </w:r>
      <w:r w:rsidR="00907D8C">
        <w:t xml:space="preserve"> </w:t>
      </w:r>
      <w:r w:rsidRPr="00036FAC">
        <w:t>because</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clients</w:t>
      </w:r>
      <w:r w:rsidR="00907D8C">
        <w:t xml:space="preserve"> </w:t>
      </w:r>
      <w:r w:rsidRPr="00036FAC">
        <w:t>seen</w:t>
      </w:r>
      <w:r w:rsidR="00907D8C">
        <w:t xml:space="preserve"> </w:t>
      </w:r>
      <w:r w:rsidRPr="00036FAC">
        <w:t>in</w:t>
      </w:r>
      <w:r w:rsidR="00907D8C">
        <w:t xml:space="preserve"> </w:t>
      </w:r>
      <w:r w:rsidRPr="00036FAC">
        <w:t>this</w:t>
      </w:r>
      <w:r w:rsidR="00907D8C">
        <w:t xml:space="preserve"> </w:t>
      </w:r>
      <w:r w:rsidRPr="00036FAC">
        <w:t>group</w:t>
      </w:r>
      <w:r w:rsidR="00907D8C">
        <w:t xml:space="preserve"> </w:t>
      </w:r>
      <w:r w:rsidRPr="00036FAC">
        <w:t>was</w:t>
      </w:r>
      <w:r w:rsidR="00907D8C">
        <w:t xml:space="preserve"> </w:t>
      </w:r>
      <w:r w:rsidRPr="00036FAC">
        <w:t>low</w:t>
      </w:r>
      <w:r w:rsidR="00907D8C">
        <w:t xml:space="preserve"> </w:t>
      </w:r>
      <w:r w:rsidRPr="00036FAC">
        <w:t>compared</w:t>
      </w:r>
      <w:r w:rsidR="00907D8C">
        <w:t xml:space="preserve"> </w:t>
      </w:r>
      <w:r w:rsidRPr="00036FAC">
        <w:t>with</w:t>
      </w:r>
      <w:r w:rsidR="00907D8C">
        <w:t xml:space="preserve"> </w:t>
      </w:r>
      <w:r w:rsidRPr="00036FAC">
        <w:t>the</w:t>
      </w:r>
      <w:r w:rsidR="00907D8C">
        <w:t xml:space="preserve"> </w:t>
      </w:r>
      <w:r w:rsidRPr="00036FAC">
        <w:t>numbers</w:t>
      </w:r>
      <w:r w:rsidR="00907D8C">
        <w:t xml:space="preserve"> </w:t>
      </w:r>
      <w:r w:rsidRPr="00036FAC">
        <w:t>in</w:t>
      </w:r>
      <w:r w:rsidR="00907D8C">
        <w:t xml:space="preserve"> </w:t>
      </w:r>
      <w:r w:rsidRPr="00036FAC">
        <w:t>the</w:t>
      </w:r>
      <w:r w:rsidR="00907D8C">
        <w:t xml:space="preserve"> </w:t>
      </w:r>
      <w:r w:rsidRPr="00036FAC">
        <w:t>other</w:t>
      </w:r>
      <w:r w:rsidR="00907D8C">
        <w:t xml:space="preserve"> </w:t>
      </w:r>
      <w:r w:rsidRPr="00036FAC">
        <w:t>ethnic</w:t>
      </w:r>
      <w:r w:rsidR="00907D8C">
        <w:t xml:space="preserve"> </w:t>
      </w:r>
      <w:r w:rsidRPr="00036FAC">
        <w:t>groups.</w:t>
      </w:r>
    </w:p>
    <w:p w:rsidR="00036FAC" w:rsidRPr="00036FAC" w:rsidRDefault="00907D8C" w:rsidP="006C436C">
      <w:pPr>
        <w:pStyle w:val="H23G"/>
      </w:pPr>
      <w:r>
        <w:tab/>
        <w:t>(i)</w:t>
      </w:r>
      <w:r>
        <w:tab/>
        <w:t>Non-hospital data</w:t>
      </w:r>
    </w:p>
    <w:p w:rsidR="00036FAC" w:rsidRPr="00036FAC" w:rsidRDefault="00036FAC" w:rsidP="00907D8C">
      <w:pPr>
        <w:pStyle w:val="SingleTxtG"/>
      </w:pPr>
      <w:r w:rsidRPr="00036FAC">
        <w:t>98.</w:t>
      </w:r>
      <w:r w:rsidRPr="00036FAC">
        <w:tab/>
        <w:t>Not</w:t>
      </w:r>
      <w:r w:rsidR="00907D8C">
        <w:t xml:space="preserve"> </w:t>
      </w:r>
      <w:r w:rsidRPr="00036FAC">
        <w:t>all</w:t>
      </w:r>
      <w:r w:rsidR="00907D8C">
        <w:t xml:space="preserve"> </w:t>
      </w:r>
      <w:r w:rsidRPr="00036FAC">
        <w:t>diseases</w:t>
      </w:r>
      <w:r w:rsidR="00907D8C">
        <w:t xml:space="preserve"> </w:t>
      </w:r>
      <w:r w:rsidRPr="00036FAC">
        <w:t>that</w:t>
      </w:r>
      <w:r w:rsidR="00907D8C">
        <w:t xml:space="preserve"> </w:t>
      </w:r>
      <w:r w:rsidRPr="00036FAC">
        <w:t>have</w:t>
      </w:r>
      <w:r w:rsidR="00907D8C">
        <w:t xml:space="preserve"> </w:t>
      </w:r>
      <w:r w:rsidRPr="00036FAC">
        <w:t>high</w:t>
      </w:r>
      <w:r w:rsidR="00907D8C">
        <w:t xml:space="preserve"> </w:t>
      </w:r>
      <w:r w:rsidRPr="00036FAC">
        <w:t>prevalence</w:t>
      </w:r>
      <w:r w:rsidR="00907D8C">
        <w:t xml:space="preserve"> </w:t>
      </w:r>
      <w:r w:rsidRPr="00036FAC">
        <w:t>are</w:t>
      </w:r>
      <w:r w:rsidR="00907D8C">
        <w:t xml:space="preserve"> </w:t>
      </w:r>
      <w:r w:rsidRPr="00036FAC">
        <w:t>adequately</w:t>
      </w:r>
      <w:r w:rsidR="00907D8C">
        <w:t xml:space="preserve"> </w:t>
      </w:r>
      <w:r w:rsidRPr="00036FAC">
        <w:t>described</w:t>
      </w:r>
      <w:r w:rsidR="00907D8C">
        <w:t xml:space="preserve"> </w:t>
      </w:r>
      <w:r w:rsidRPr="00036FAC">
        <w:t>using</w:t>
      </w:r>
      <w:r w:rsidR="00907D8C">
        <w:t xml:space="preserve"> </w:t>
      </w:r>
      <w:r w:rsidRPr="00036FAC">
        <w:t>the</w:t>
      </w:r>
      <w:r w:rsidR="00907D8C">
        <w:t xml:space="preserve"> </w:t>
      </w:r>
      <w:r w:rsidRPr="00036FAC">
        <w:t>measure</w:t>
      </w:r>
      <w:r w:rsidR="00907D8C">
        <w:t xml:space="preserve"> </w:t>
      </w:r>
      <w:r w:rsidRPr="00036FAC">
        <w:t>of</w:t>
      </w:r>
      <w:r w:rsidR="00907D8C">
        <w:t xml:space="preserve"> </w:t>
      </w:r>
      <w:r w:rsidRPr="00036FAC">
        <w:t>hospitalisation.</w:t>
      </w:r>
      <w:r w:rsidR="00907D8C">
        <w:t xml:space="preserve"> </w:t>
      </w:r>
      <w:r w:rsidRPr="00036FAC">
        <w:t>Many</w:t>
      </w:r>
      <w:r w:rsidR="00907D8C">
        <w:t xml:space="preserve"> </w:t>
      </w:r>
      <w:r w:rsidRPr="00036FAC">
        <w:t>would</w:t>
      </w:r>
      <w:r w:rsidR="00907D8C">
        <w:t xml:space="preserve"> </w:t>
      </w:r>
      <w:r w:rsidRPr="00036FAC">
        <w:t>normally</w:t>
      </w:r>
      <w:r w:rsidR="00907D8C">
        <w:t xml:space="preserve"> </w:t>
      </w:r>
      <w:r w:rsidRPr="00036FAC">
        <w:t>only</w:t>
      </w:r>
      <w:r w:rsidR="00907D8C">
        <w:t xml:space="preserve"> </w:t>
      </w:r>
      <w:r w:rsidRPr="00036FAC">
        <w:t>be</w:t>
      </w:r>
      <w:r w:rsidR="00907D8C">
        <w:t xml:space="preserve"> </w:t>
      </w:r>
      <w:r w:rsidRPr="00036FAC">
        <w:t>seen</w:t>
      </w:r>
      <w:r w:rsidR="00907D8C">
        <w:t xml:space="preserve"> </w:t>
      </w:r>
      <w:r w:rsidRPr="00036FAC">
        <w:t>at</w:t>
      </w:r>
      <w:r w:rsidR="00907D8C">
        <w:t xml:space="preserve"> </w:t>
      </w:r>
      <w:r w:rsidRPr="00036FAC">
        <w:t>primary</w:t>
      </w:r>
      <w:r w:rsidR="00907D8C">
        <w:t xml:space="preserve"> </w:t>
      </w:r>
      <w:r w:rsidRPr="00036FAC">
        <w:t>care</w:t>
      </w:r>
      <w:r w:rsidR="00907D8C">
        <w:t xml:space="preserve"> </w:t>
      </w:r>
      <w:r w:rsidRPr="00036FAC">
        <w:t>level</w:t>
      </w:r>
      <w:r w:rsidR="00907D8C">
        <w:t xml:space="preserve"> </w:t>
      </w:r>
      <w:r w:rsidRPr="00036FAC">
        <w:t>(by</w:t>
      </w:r>
      <w:r w:rsidR="00907D8C">
        <w:t xml:space="preserve"> </w:t>
      </w:r>
      <w:r w:rsidRPr="00036FAC">
        <w:t>a</w:t>
      </w:r>
      <w:r w:rsidR="00907D8C">
        <w:t xml:space="preserve"> </w:t>
      </w:r>
      <w:r w:rsidRPr="00036FAC">
        <w:t>general</w:t>
      </w:r>
      <w:r w:rsidR="00907D8C">
        <w:t xml:space="preserve"> </w:t>
      </w:r>
      <w:r w:rsidRPr="00036FAC">
        <w:t>practitioner</w:t>
      </w:r>
      <w:r w:rsidR="00907D8C">
        <w:t xml:space="preserve"> </w:t>
      </w:r>
      <w:r w:rsidRPr="00036FAC">
        <w:t>(GP))</w:t>
      </w:r>
      <w:r w:rsidR="00907D8C">
        <w:t xml:space="preserve"> </w:t>
      </w:r>
      <w:r w:rsidRPr="00036FAC">
        <w:t>or</w:t>
      </w:r>
      <w:r w:rsidR="00907D8C">
        <w:t xml:space="preserve"> </w:t>
      </w:r>
      <w:r w:rsidRPr="00036FAC">
        <w:t>are</w:t>
      </w:r>
      <w:r w:rsidR="00907D8C">
        <w:t xml:space="preserve"> </w:t>
      </w:r>
      <w:r w:rsidRPr="00036FAC">
        <w:t>not</w:t>
      </w:r>
      <w:r w:rsidR="00907D8C">
        <w:t xml:space="preserve"> </w:t>
      </w:r>
      <w:r w:rsidRPr="00036FAC">
        <w:t>sufficiently</w:t>
      </w:r>
      <w:r w:rsidR="00907D8C">
        <w:t xml:space="preserve"> </w:t>
      </w:r>
      <w:r w:rsidRPr="00036FAC">
        <w:t>serious</w:t>
      </w:r>
      <w:r w:rsidR="00907D8C">
        <w:t xml:space="preserve"> </w:t>
      </w:r>
      <w:r w:rsidRPr="00036FAC">
        <w:t>to</w:t>
      </w:r>
      <w:r w:rsidR="00907D8C">
        <w:t xml:space="preserve"> </w:t>
      </w:r>
      <w:r w:rsidRPr="00036FAC">
        <w:t>warrant</w:t>
      </w:r>
      <w:r w:rsidR="00907D8C">
        <w:t xml:space="preserve"> </w:t>
      </w:r>
      <w:r w:rsidRPr="00036FAC">
        <w:t>admission</w:t>
      </w:r>
      <w:r w:rsidR="00907D8C">
        <w:t xml:space="preserve"> </w:t>
      </w:r>
      <w:r w:rsidRPr="00036FAC">
        <w:t>to</w:t>
      </w:r>
      <w:r w:rsidR="00907D8C">
        <w:t xml:space="preserve"> </w:t>
      </w:r>
      <w:r w:rsidRPr="00036FAC">
        <w:t>hospital.</w:t>
      </w:r>
      <w:r w:rsidR="00907D8C">
        <w:t xml:space="preserve"> </w:t>
      </w:r>
      <w:r w:rsidRPr="00036FAC">
        <w:t>However,</w:t>
      </w:r>
      <w:r w:rsidR="00907D8C">
        <w:t xml:space="preserve"> </w:t>
      </w:r>
      <w:r w:rsidRPr="00036FAC">
        <w:t>such</w:t>
      </w:r>
      <w:r w:rsidR="00907D8C">
        <w:t xml:space="preserve"> </w:t>
      </w:r>
      <w:r w:rsidRPr="00036FAC">
        <w:t>illnesses</w:t>
      </w:r>
      <w:r w:rsidR="00907D8C">
        <w:t xml:space="preserve"> </w:t>
      </w:r>
      <w:r w:rsidRPr="00036FAC">
        <w:t>can</w:t>
      </w:r>
      <w:r w:rsidR="00907D8C">
        <w:t xml:space="preserve"> </w:t>
      </w:r>
      <w:r w:rsidRPr="00036FAC">
        <w:t>result</w:t>
      </w:r>
      <w:r w:rsidR="00907D8C">
        <w:t xml:space="preserve"> </w:t>
      </w:r>
      <w:r w:rsidRPr="00036FAC">
        <w:t>in</w:t>
      </w:r>
      <w:r w:rsidR="00907D8C">
        <w:t xml:space="preserve"> </w:t>
      </w:r>
      <w:r w:rsidRPr="00036FAC">
        <w:t>a</w:t>
      </w:r>
      <w:r w:rsidR="00907D8C">
        <w:t xml:space="preserve"> </w:t>
      </w:r>
      <w:r w:rsidRPr="00036FAC">
        <w:t>high</w:t>
      </w:r>
      <w:r w:rsidR="00907D8C">
        <w:t xml:space="preserve"> </w:t>
      </w:r>
      <w:r w:rsidRPr="00036FAC">
        <w:t>burden</w:t>
      </w:r>
      <w:r w:rsidR="00907D8C">
        <w:t xml:space="preserve"> </w:t>
      </w:r>
      <w:r w:rsidRPr="00036FAC">
        <w:t>of</w:t>
      </w:r>
      <w:r w:rsidR="00907D8C">
        <w:t xml:space="preserve"> </w:t>
      </w:r>
      <w:r w:rsidRPr="00036FAC">
        <w:t>disease,</w:t>
      </w:r>
      <w:r w:rsidR="00907D8C">
        <w:t xml:space="preserve"> </w:t>
      </w:r>
      <w:r w:rsidRPr="00036FAC">
        <w:t>for</w:t>
      </w:r>
      <w:r w:rsidR="00907D8C">
        <w:t xml:space="preserve"> </w:t>
      </w:r>
      <w:r w:rsidRPr="00036FAC">
        <w:t>example,</w:t>
      </w:r>
      <w:r w:rsidR="00907D8C">
        <w:t xml:space="preserve"> </w:t>
      </w:r>
      <w:r w:rsidRPr="00036FAC">
        <w:t>arthritis,</w:t>
      </w:r>
      <w:r w:rsidR="00907D8C">
        <w:t xml:space="preserve"> </w:t>
      </w:r>
      <w:r w:rsidRPr="00036FAC">
        <w:t>less</w:t>
      </w:r>
      <w:r w:rsidR="00907D8C">
        <w:t xml:space="preserve"> </w:t>
      </w:r>
      <w:r w:rsidRPr="00036FAC">
        <w:t>severe</w:t>
      </w:r>
      <w:r w:rsidR="00907D8C">
        <w:t xml:space="preserve"> </w:t>
      </w:r>
      <w:r w:rsidRPr="00036FAC">
        <w:t>infections</w:t>
      </w:r>
      <w:r w:rsidR="00907D8C">
        <w:t xml:space="preserve"> </w:t>
      </w:r>
      <w:r w:rsidRPr="00036FAC">
        <w:t>including</w:t>
      </w:r>
      <w:r w:rsidR="00907D8C">
        <w:t xml:space="preserve"> </w:t>
      </w:r>
      <w:r w:rsidRPr="00036FAC">
        <w:t>respiratory</w:t>
      </w:r>
      <w:r w:rsidR="00907D8C">
        <w:t xml:space="preserve"> </w:t>
      </w:r>
      <w:r w:rsidRPr="00036FAC">
        <w:t>conditions,</w:t>
      </w:r>
      <w:r w:rsidR="00907D8C">
        <w:t xml:space="preserve"> </w:t>
      </w:r>
      <w:r w:rsidRPr="00036FAC">
        <w:t>and</w:t>
      </w:r>
      <w:r w:rsidR="00907D8C">
        <w:t xml:space="preserve"> </w:t>
      </w:r>
      <w:r w:rsidRPr="00036FAC">
        <w:t>anxiety</w:t>
      </w:r>
      <w:r w:rsidR="00907D8C">
        <w:t xml:space="preserve"> </w:t>
      </w:r>
      <w:r w:rsidRPr="00036FAC">
        <w:t>disorders</w:t>
      </w:r>
      <w:r w:rsidR="00907D8C">
        <w:t xml:space="preserve"> </w:t>
      </w:r>
      <w:r w:rsidRPr="00036FAC">
        <w:t>or</w:t>
      </w:r>
      <w:r w:rsidR="00907D8C">
        <w:t xml:space="preserve"> </w:t>
      </w:r>
      <w:r w:rsidRPr="00036FAC">
        <w:t>depression.</w:t>
      </w:r>
      <w:r w:rsidR="00907D8C">
        <w:t xml:space="preserve"> </w:t>
      </w:r>
      <w:r w:rsidRPr="00036FAC">
        <w:t>Health</w:t>
      </w:r>
      <w:r w:rsidR="00907D8C">
        <w:t xml:space="preserve"> </w:t>
      </w:r>
      <w:r w:rsidRPr="00036FAC">
        <w:t>surveys</w:t>
      </w:r>
      <w:r w:rsidR="00907D8C">
        <w:t xml:space="preserve"> </w:t>
      </w:r>
      <w:r w:rsidRPr="00036FAC">
        <w:t>and</w:t>
      </w:r>
      <w:r w:rsidR="00907D8C">
        <w:t xml:space="preserve"> </w:t>
      </w:r>
      <w:r w:rsidRPr="00036FAC">
        <w:t>information</w:t>
      </w:r>
      <w:r w:rsidR="00907D8C">
        <w:t xml:space="preserve"> </w:t>
      </w:r>
      <w:r w:rsidRPr="00036FAC">
        <w:t>collected</w:t>
      </w:r>
      <w:r w:rsidR="00907D8C">
        <w:t xml:space="preserve"> </w:t>
      </w:r>
      <w:r w:rsidRPr="00036FAC">
        <w:t>by</w:t>
      </w:r>
      <w:r w:rsidR="00907D8C">
        <w:t xml:space="preserve"> </w:t>
      </w:r>
      <w:r w:rsidRPr="00036FAC">
        <w:t>GPs</w:t>
      </w:r>
      <w:r w:rsidR="00907D8C">
        <w:t xml:space="preserve"> </w:t>
      </w:r>
      <w:r w:rsidRPr="00036FAC">
        <w:t>provide</w:t>
      </w:r>
      <w:r w:rsidR="00907D8C">
        <w:t xml:space="preserve"> </w:t>
      </w:r>
      <w:r w:rsidRPr="00036FAC">
        <w:t>an</w:t>
      </w:r>
      <w:r w:rsidR="00907D8C">
        <w:t xml:space="preserve"> </w:t>
      </w:r>
      <w:r w:rsidRPr="00036FAC">
        <w:t>indication</w:t>
      </w:r>
      <w:r w:rsidR="00907D8C">
        <w:t xml:space="preserve"> </w:t>
      </w:r>
      <w:r w:rsidRPr="00036FAC">
        <w:t>of</w:t>
      </w:r>
      <w:r w:rsidR="00907D8C">
        <w:t xml:space="preserve"> </w:t>
      </w:r>
      <w:r w:rsidRPr="00036FAC">
        <w:t>the</w:t>
      </w:r>
      <w:r w:rsidR="00907D8C">
        <w:t xml:space="preserve"> </w:t>
      </w:r>
      <w:r w:rsidRPr="00036FAC">
        <w:t>level</w:t>
      </w:r>
      <w:r w:rsidR="00907D8C">
        <w:t xml:space="preserve"> </w:t>
      </w:r>
      <w:r w:rsidRPr="00036FAC">
        <w:t>of</w:t>
      </w:r>
      <w:r w:rsidR="00907D8C">
        <w:t xml:space="preserve"> </w:t>
      </w:r>
      <w:r w:rsidRPr="00036FAC">
        <w:t>these</w:t>
      </w:r>
      <w:r w:rsidR="00907D8C">
        <w:t xml:space="preserve"> </w:t>
      </w:r>
      <w:r w:rsidRPr="00036FAC">
        <w:t>illnesses.</w:t>
      </w:r>
      <w:r w:rsidR="00907D8C">
        <w:t xml:space="preserve"> </w:t>
      </w:r>
      <w:r w:rsidRPr="00036FAC">
        <w:t>For</w:t>
      </w:r>
      <w:r w:rsidR="00907D8C">
        <w:t xml:space="preserve"> </w:t>
      </w:r>
      <w:r w:rsidRPr="00036FAC">
        <w:t>example,</w:t>
      </w:r>
      <w:r w:rsidR="00907D8C">
        <w:t xml:space="preserve"> </w:t>
      </w:r>
      <w:r w:rsidRPr="00036FAC">
        <w:t>a</w:t>
      </w:r>
      <w:r w:rsidR="00907D8C">
        <w:t xml:space="preserve"> </w:t>
      </w:r>
      <w:r w:rsidRPr="00036FAC">
        <w:t>survey</w:t>
      </w:r>
      <w:r w:rsidR="00907D8C">
        <w:t xml:space="preserve"> </w:t>
      </w:r>
      <w:r w:rsidRPr="00036FAC">
        <w:t>from</w:t>
      </w:r>
      <w:r w:rsidR="00907D8C">
        <w:t xml:space="preserve"> </w:t>
      </w:r>
      <w:r w:rsidRPr="00036FAC">
        <w:t>2004</w:t>
      </w:r>
      <w:r w:rsidRPr="00907D8C">
        <w:rPr>
          <w:rStyle w:val="FootnoteReference"/>
        </w:rPr>
        <w:footnoteReference w:id="10"/>
      </w:r>
      <w:r w:rsidR="00907D8C">
        <w:t xml:space="preserve"> </w:t>
      </w:r>
      <w:r w:rsidRPr="00036FAC">
        <w:t>reports</w:t>
      </w:r>
      <w:r w:rsidR="00907D8C">
        <w:t xml:space="preserve"> </w:t>
      </w:r>
      <w:r w:rsidRPr="00036FAC">
        <w:t>that</w:t>
      </w:r>
      <w:r w:rsidR="00907D8C">
        <w:t xml:space="preserve"> </w:t>
      </w:r>
      <w:r w:rsidRPr="00036FAC">
        <w:t>the</w:t>
      </w:r>
      <w:r w:rsidR="00907D8C">
        <w:t xml:space="preserve"> </w:t>
      </w:r>
      <w:r w:rsidRPr="00036FAC">
        <w:t>main</w:t>
      </w:r>
      <w:r w:rsidR="00907D8C">
        <w:t xml:space="preserve"> </w:t>
      </w:r>
      <w:r w:rsidRPr="00036FAC">
        <w:t>reason</w:t>
      </w:r>
      <w:r w:rsidR="00907D8C">
        <w:t xml:space="preserve"> </w:t>
      </w:r>
      <w:r w:rsidRPr="00036FAC">
        <w:t>for</w:t>
      </w:r>
      <w:r w:rsidR="00907D8C">
        <w:t xml:space="preserve"> </w:t>
      </w:r>
      <w:r w:rsidRPr="00036FAC">
        <w:t>a</w:t>
      </w:r>
      <w:r w:rsidR="00907D8C">
        <w:t xml:space="preserve"> </w:t>
      </w:r>
      <w:r w:rsidRPr="00036FAC">
        <w:t>GP</w:t>
      </w:r>
      <w:r w:rsidR="00907D8C">
        <w:t xml:space="preserve"> </w:t>
      </w:r>
      <w:r w:rsidRPr="00036FAC">
        <w:t>visit</w:t>
      </w:r>
      <w:r w:rsidR="00907D8C">
        <w:t xml:space="preserve"> </w:t>
      </w:r>
      <w:r w:rsidRPr="00036FAC">
        <w:t>was</w:t>
      </w:r>
      <w:r w:rsidR="00907D8C">
        <w:t xml:space="preserve"> </w:t>
      </w:r>
      <w:r w:rsidRPr="00036FAC">
        <w:t>for</w:t>
      </w:r>
      <w:r w:rsidR="00907D8C">
        <w:t xml:space="preserve"> </w:t>
      </w:r>
      <w:r w:rsidRPr="00036FAC">
        <w:t>less</w:t>
      </w:r>
      <w:r w:rsidR="00907D8C">
        <w:t xml:space="preserve"> </w:t>
      </w:r>
      <w:r w:rsidRPr="00036FAC">
        <w:t>serious</w:t>
      </w:r>
      <w:r w:rsidR="00907D8C">
        <w:t xml:space="preserve"> </w:t>
      </w:r>
      <w:r w:rsidRPr="00036FAC">
        <w:t>respiratory</w:t>
      </w:r>
      <w:r w:rsidR="00907D8C">
        <w:t xml:space="preserve"> </w:t>
      </w:r>
      <w:r w:rsidRPr="00036FAC">
        <w:t>conditions.</w:t>
      </w:r>
    </w:p>
    <w:p w:rsidR="00036FAC" w:rsidRPr="00036FAC" w:rsidRDefault="00036FAC" w:rsidP="00907D8C">
      <w:pPr>
        <w:pStyle w:val="SingleTxtG"/>
      </w:pPr>
      <w:r w:rsidRPr="00036FAC">
        <w:t>99.</w:t>
      </w:r>
      <w:r w:rsidRPr="00036FAC">
        <w:tab/>
        <w:t>Under</w:t>
      </w:r>
      <w:r w:rsidR="00907D8C">
        <w:t xml:space="preserve"> </w:t>
      </w:r>
      <w:r w:rsidRPr="00036FAC">
        <w:t>the</w:t>
      </w:r>
      <w:r w:rsidR="00907D8C">
        <w:t xml:space="preserve"> </w:t>
      </w:r>
      <w:r w:rsidRPr="00036FAC">
        <w:t>Health</w:t>
      </w:r>
      <w:r w:rsidR="00907D8C">
        <w:t xml:space="preserve"> </w:t>
      </w:r>
      <w:r w:rsidRPr="00036FAC">
        <w:t>Act</w:t>
      </w:r>
      <w:r w:rsidR="00907D8C">
        <w:t xml:space="preserve"> </w:t>
      </w:r>
      <w:r w:rsidRPr="00036FAC">
        <w:t>1956,</w:t>
      </w:r>
      <w:r w:rsidR="00907D8C">
        <w:t xml:space="preserve"> </w:t>
      </w:r>
      <w:r w:rsidRPr="00036FAC">
        <w:t>cases</w:t>
      </w:r>
      <w:r w:rsidR="00907D8C">
        <w:t xml:space="preserve"> </w:t>
      </w:r>
      <w:r w:rsidRPr="00036FAC">
        <w:t>of</w:t>
      </w:r>
      <w:r w:rsidR="00907D8C">
        <w:t xml:space="preserve"> </w:t>
      </w:r>
      <w:r w:rsidRPr="00036FAC">
        <w:t>a</w:t>
      </w:r>
      <w:r w:rsidR="00907D8C">
        <w:t xml:space="preserve"> </w:t>
      </w:r>
      <w:r w:rsidRPr="00036FAC">
        <w:t>range</w:t>
      </w:r>
      <w:r w:rsidR="00907D8C">
        <w:t xml:space="preserve"> </w:t>
      </w:r>
      <w:r w:rsidRPr="00036FAC">
        <w:t>of</w:t>
      </w:r>
      <w:r w:rsidR="00907D8C">
        <w:t xml:space="preserve"> </w:t>
      </w:r>
      <w:r w:rsidRPr="00036FAC">
        <w:t>infectious</w:t>
      </w:r>
      <w:r w:rsidR="00907D8C">
        <w:t xml:space="preserve"> </w:t>
      </w:r>
      <w:r w:rsidRPr="00036FAC">
        <w:t>diseases</w:t>
      </w:r>
      <w:r w:rsidR="00907D8C">
        <w:t xml:space="preserve"> </w:t>
      </w:r>
      <w:r w:rsidRPr="00036FAC">
        <w:t>are</w:t>
      </w:r>
      <w:r w:rsidR="00907D8C">
        <w:t xml:space="preserve"> </w:t>
      </w:r>
      <w:r w:rsidRPr="00036FAC">
        <w:t>required</w:t>
      </w:r>
      <w:r w:rsidR="00907D8C">
        <w:t xml:space="preserve"> </w:t>
      </w:r>
      <w:r w:rsidRPr="00036FAC">
        <w:t>to</w:t>
      </w:r>
      <w:r w:rsidR="00907D8C">
        <w:t xml:space="preserve"> </w:t>
      </w:r>
      <w:r w:rsidRPr="00036FAC">
        <w:t>be</w:t>
      </w:r>
      <w:r w:rsidR="00907D8C">
        <w:t xml:space="preserve"> </w:t>
      </w:r>
      <w:r w:rsidRPr="00036FAC">
        <w:t>reported</w:t>
      </w:r>
      <w:r w:rsidR="00907D8C">
        <w:t xml:space="preserve"> </w:t>
      </w:r>
      <w:r w:rsidRPr="00036FAC">
        <w:t>by</w:t>
      </w:r>
      <w:r w:rsidR="00907D8C">
        <w:t xml:space="preserve"> </w:t>
      </w:r>
      <w:r w:rsidRPr="00036FAC">
        <w:t>doctors</w:t>
      </w:r>
      <w:r w:rsidR="00907D8C">
        <w:t xml:space="preserve"> </w:t>
      </w:r>
      <w:r w:rsidRPr="00036FAC">
        <w:t>and</w:t>
      </w:r>
      <w:r w:rsidR="00907D8C">
        <w:t xml:space="preserve"> </w:t>
      </w:r>
      <w:r w:rsidRPr="00036FAC">
        <w:t>laboratories.</w:t>
      </w:r>
      <w:r w:rsidR="00907D8C">
        <w:t xml:space="preserve"> </w:t>
      </w:r>
      <w:r w:rsidRPr="00036FAC">
        <w:t>In</w:t>
      </w:r>
      <w:r w:rsidR="00907D8C">
        <w:t xml:space="preserve"> </w:t>
      </w:r>
      <w:r w:rsidRPr="00036FAC">
        <w:t>2009,</w:t>
      </w:r>
      <w:r w:rsidR="00907D8C">
        <w:t xml:space="preserve"> </w:t>
      </w:r>
      <w:r w:rsidRPr="00036FAC">
        <w:t>19,856</w:t>
      </w:r>
      <w:r w:rsidR="00907D8C">
        <w:t xml:space="preserve"> </w:t>
      </w:r>
      <w:r w:rsidRPr="00036FAC">
        <w:t>cases</w:t>
      </w:r>
      <w:r w:rsidR="00907D8C">
        <w:t xml:space="preserve"> </w:t>
      </w:r>
      <w:r w:rsidRPr="00036FAC">
        <w:t>of</w:t>
      </w:r>
      <w:r w:rsidR="00907D8C">
        <w:t xml:space="preserve"> </w:t>
      </w:r>
      <w:r w:rsidRPr="00036FAC">
        <w:t>notifiable</w:t>
      </w:r>
      <w:r w:rsidR="00907D8C">
        <w:t xml:space="preserve"> </w:t>
      </w:r>
      <w:r w:rsidRPr="00036FAC">
        <w:t>diseases</w:t>
      </w:r>
      <w:r w:rsidR="00907D8C">
        <w:t xml:space="preserve"> </w:t>
      </w:r>
      <w:r w:rsidRPr="00036FAC">
        <w:t>were</w:t>
      </w:r>
      <w:r w:rsidR="00907D8C">
        <w:t xml:space="preserve"> </w:t>
      </w:r>
      <w:r w:rsidRPr="00036FAC">
        <w:t>reported,</w:t>
      </w:r>
      <w:r w:rsidR="00907D8C">
        <w:t xml:space="preserve"> </w:t>
      </w:r>
      <w:r w:rsidRPr="00036FAC">
        <w:t>which</w:t>
      </w:r>
      <w:r w:rsidR="00907D8C">
        <w:t xml:space="preserve"> </w:t>
      </w:r>
      <w:r w:rsidRPr="00036FAC">
        <w:t>was</w:t>
      </w:r>
      <w:r w:rsidR="00907D8C">
        <w:t xml:space="preserve"> </w:t>
      </w:r>
      <w:r w:rsidRPr="00036FAC">
        <w:t>higher</w:t>
      </w:r>
      <w:r w:rsidR="00907D8C">
        <w:t xml:space="preserve"> </w:t>
      </w:r>
      <w:r w:rsidRPr="00036FAC">
        <w:t>than</w:t>
      </w:r>
      <w:r w:rsidR="00907D8C">
        <w:t xml:space="preserve"> </w:t>
      </w:r>
      <w:r w:rsidRPr="00036FAC">
        <w:t>the</w:t>
      </w:r>
      <w:r w:rsidR="00907D8C">
        <w:t xml:space="preserve"> </w:t>
      </w:r>
      <w:r w:rsidRPr="00036FAC">
        <w:t>previous</w:t>
      </w:r>
      <w:r w:rsidR="00907D8C">
        <w:t xml:space="preserve"> </w:t>
      </w:r>
      <w:r w:rsidRPr="00036FAC">
        <w:t>two</w:t>
      </w:r>
      <w:r w:rsidR="00907D8C">
        <w:t xml:space="preserve"> </w:t>
      </w:r>
      <w:r w:rsidRPr="00036FAC">
        <w:t>years,</w:t>
      </w:r>
      <w:r w:rsidR="00907D8C">
        <w:t xml:space="preserve"> </w:t>
      </w:r>
      <w:r w:rsidRPr="00036FAC">
        <w:t>but</w:t>
      </w:r>
      <w:r w:rsidR="00907D8C">
        <w:t xml:space="preserve"> </w:t>
      </w:r>
      <w:r w:rsidRPr="00036FAC">
        <w:t>lower</w:t>
      </w:r>
      <w:r w:rsidR="00907D8C">
        <w:t xml:space="preserve"> </w:t>
      </w:r>
      <w:r w:rsidRPr="00036FAC">
        <w:t>than</w:t>
      </w:r>
      <w:r w:rsidR="00907D8C">
        <w:t xml:space="preserve"> </w:t>
      </w:r>
      <w:r w:rsidRPr="00036FAC">
        <w:t>the</w:t>
      </w:r>
      <w:r w:rsidR="00907D8C">
        <w:t xml:space="preserve"> </w:t>
      </w:r>
      <w:r w:rsidRPr="00036FAC">
        <w:t>seven</w:t>
      </w:r>
      <w:r w:rsidR="00907D8C">
        <w:t xml:space="preserve"> </w:t>
      </w:r>
      <w:r w:rsidRPr="00036FAC">
        <w:t>years</w:t>
      </w:r>
      <w:r w:rsidR="00907D8C">
        <w:t xml:space="preserve"> </w:t>
      </w:r>
      <w:r w:rsidRPr="00036FAC">
        <w:t>prior</w:t>
      </w:r>
      <w:r w:rsidR="00907D8C">
        <w:t xml:space="preserve"> </w:t>
      </w:r>
      <w:r w:rsidRPr="00036FAC">
        <w:t>to</w:t>
      </w:r>
      <w:r w:rsidR="00907D8C">
        <w:t xml:space="preserve"> </w:t>
      </w:r>
      <w:r w:rsidRPr="00036FAC">
        <w:t>2007.</w:t>
      </w:r>
    </w:p>
    <w:p w:rsidR="00036FAC" w:rsidRPr="00036FAC" w:rsidRDefault="00036FAC" w:rsidP="00907D8C">
      <w:pPr>
        <w:pStyle w:val="SingleTxtG"/>
      </w:pPr>
      <w:r w:rsidRPr="00036FAC">
        <w:t>100.</w:t>
      </w:r>
      <w:r w:rsidRPr="00036FAC">
        <w:tab/>
        <w:t>Acquired</w:t>
      </w:r>
      <w:r w:rsidR="00907D8C">
        <w:t xml:space="preserve"> </w:t>
      </w:r>
      <w:r w:rsidRPr="00036FAC">
        <w:t>immune</w:t>
      </w:r>
      <w:r w:rsidR="00907D8C">
        <w:t xml:space="preserve"> </w:t>
      </w:r>
      <w:r w:rsidRPr="00036FAC">
        <w:t>deficiency</w:t>
      </w:r>
      <w:r w:rsidR="00907D8C">
        <w:t xml:space="preserve"> </w:t>
      </w:r>
      <w:r w:rsidRPr="00036FAC">
        <w:t>syndrome</w:t>
      </w:r>
      <w:r w:rsidR="00907D8C">
        <w:t xml:space="preserve"> </w:t>
      </w:r>
      <w:r w:rsidRPr="00036FAC">
        <w:t>(AIDS)</w:t>
      </w:r>
      <w:r w:rsidR="00907D8C">
        <w:t xml:space="preserve"> </w:t>
      </w:r>
      <w:r w:rsidRPr="00036FAC">
        <w:t>is</w:t>
      </w:r>
      <w:r w:rsidR="00907D8C">
        <w:t xml:space="preserve"> </w:t>
      </w:r>
      <w:r w:rsidRPr="00036FAC">
        <w:t>notifiable,</w:t>
      </w:r>
      <w:r w:rsidR="00907D8C">
        <w:t xml:space="preserve"> </w:t>
      </w:r>
      <w:r w:rsidRPr="00036FAC">
        <w:t>but</w:t>
      </w:r>
      <w:r w:rsidR="00907D8C">
        <w:t xml:space="preserve"> </w:t>
      </w:r>
      <w:r w:rsidRPr="00036FAC">
        <w:t>human</w:t>
      </w:r>
      <w:r w:rsidR="00907D8C">
        <w:t xml:space="preserve"> </w:t>
      </w:r>
      <w:r w:rsidRPr="00036FAC">
        <w:t>immunodeficiency</w:t>
      </w:r>
      <w:r w:rsidR="00907D8C">
        <w:t xml:space="preserve"> </w:t>
      </w:r>
      <w:r w:rsidRPr="00036FAC">
        <w:t>virus</w:t>
      </w:r>
      <w:r w:rsidR="00907D8C">
        <w:t xml:space="preserve"> </w:t>
      </w:r>
      <w:r w:rsidRPr="00036FAC">
        <w:t>(HIV)</w:t>
      </w:r>
      <w:r w:rsidR="00907D8C">
        <w:t xml:space="preserve"> </w:t>
      </w:r>
      <w:r w:rsidRPr="00036FAC">
        <w:t>is</w:t>
      </w:r>
      <w:r w:rsidR="00907D8C">
        <w:t xml:space="preserve"> </w:t>
      </w:r>
      <w:r w:rsidRPr="00036FAC">
        <w:t>not.</w:t>
      </w:r>
      <w:r w:rsidR="00907D8C">
        <w:t xml:space="preserve"> </w:t>
      </w:r>
      <w:r w:rsidRPr="00036FAC">
        <w:t>Of</w:t>
      </w:r>
      <w:r w:rsidR="00907D8C">
        <w:t xml:space="preserve"> </w:t>
      </w:r>
      <w:r w:rsidRPr="00036FAC">
        <w:t>note,</w:t>
      </w:r>
      <w:r w:rsidR="00907D8C">
        <w:t xml:space="preserve"> </w:t>
      </w:r>
      <w:r w:rsidRPr="00036FAC">
        <w:t>between</w:t>
      </w:r>
      <w:r w:rsidR="00907D8C">
        <w:t xml:space="preserve"> </w:t>
      </w:r>
      <w:r w:rsidRPr="00036FAC">
        <w:t>2008</w:t>
      </w:r>
      <w:r w:rsidR="00907D8C">
        <w:t xml:space="preserve"> </w:t>
      </w:r>
      <w:r w:rsidRPr="00036FAC">
        <w:t>and</w:t>
      </w:r>
      <w:r w:rsidR="00907D8C">
        <w:t xml:space="preserve"> </w:t>
      </w:r>
      <w:r w:rsidRPr="00036FAC">
        <w:t>2009,</w:t>
      </w:r>
      <w:r w:rsidR="00907D8C">
        <w:t xml:space="preserve"> </w:t>
      </w:r>
      <w:r w:rsidRPr="00036FAC">
        <w:t>was</w:t>
      </w:r>
      <w:r w:rsidR="00907D8C">
        <w:t xml:space="preserve"> </w:t>
      </w:r>
      <w:r w:rsidRPr="00036FAC">
        <w:t>a</w:t>
      </w:r>
      <w:r w:rsidR="00907D8C">
        <w:t xml:space="preserve"> </w:t>
      </w:r>
      <w:r w:rsidRPr="00036FAC">
        <w:t>statistically</w:t>
      </w:r>
      <w:r w:rsidR="00907D8C">
        <w:t xml:space="preserve"> </w:t>
      </w:r>
      <w:r w:rsidRPr="00036FAC">
        <w:t>significant</w:t>
      </w:r>
      <w:r w:rsidR="00907D8C">
        <w:t xml:space="preserve"> </w:t>
      </w:r>
      <w:r w:rsidRPr="00036FAC">
        <w:t>decrease</w:t>
      </w:r>
      <w:r w:rsidR="00907D8C">
        <w:t xml:space="preserve"> </w:t>
      </w:r>
      <w:r w:rsidRPr="00036FAC">
        <w:t>in</w:t>
      </w:r>
      <w:r w:rsidR="00907D8C">
        <w:t xml:space="preserve"> </w:t>
      </w:r>
      <w:r w:rsidRPr="00036FAC">
        <w:t>reported</w:t>
      </w:r>
      <w:r w:rsidR="00907D8C">
        <w:t xml:space="preserve"> </w:t>
      </w:r>
      <w:r w:rsidRPr="00036FAC">
        <w:t>cases</w:t>
      </w:r>
      <w:r w:rsidR="00907D8C">
        <w:t xml:space="preserve"> </w:t>
      </w:r>
      <w:r w:rsidRPr="00036FAC">
        <w:t>of</w:t>
      </w:r>
      <w:r w:rsidR="00907D8C">
        <w:t xml:space="preserve"> </w:t>
      </w:r>
      <w:r w:rsidRPr="00036FAC">
        <w:t>AIDS</w:t>
      </w:r>
      <w:r w:rsidR="00907D8C">
        <w:t xml:space="preserve"> </w:t>
      </w:r>
      <w:r w:rsidRPr="00036FAC">
        <w:t>–</w:t>
      </w:r>
      <w:r w:rsidR="00907D8C">
        <w:t xml:space="preserve"> </w:t>
      </w:r>
      <w:r w:rsidRPr="00036FAC">
        <w:t>from</w:t>
      </w:r>
      <w:r w:rsidR="00907D8C">
        <w:t xml:space="preserve"> </w:t>
      </w:r>
      <w:r w:rsidRPr="00036FAC">
        <w:t>48</w:t>
      </w:r>
      <w:r w:rsidR="00907D8C">
        <w:t xml:space="preserve"> </w:t>
      </w:r>
      <w:r w:rsidRPr="00036FAC">
        <w:t>to</w:t>
      </w:r>
      <w:r w:rsidR="00907D8C">
        <w:t xml:space="preserve"> </w:t>
      </w:r>
      <w:r w:rsidRPr="00036FAC">
        <w:t>28,</w:t>
      </w:r>
      <w:r w:rsidR="00907D8C">
        <w:t xml:space="preserve"> </w:t>
      </w:r>
      <w:r w:rsidRPr="00036FAC">
        <w:t>a</w:t>
      </w:r>
      <w:r w:rsidR="00907D8C">
        <w:t xml:space="preserve"> </w:t>
      </w:r>
      <w:r w:rsidRPr="00036FAC">
        <w:t>42</w:t>
      </w:r>
      <w:r w:rsidR="00907D8C">
        <w:t xml:space="preserve"> </w:t>
      </w:r>
      <w:r w:rsidR="001B201B">
        <w:t>per</w:t>
      </w:r>
      <w:r w:rsidR="00907D8C">
        <w:t xml:space="preserve"> </w:t>
      </w:r>
      <w:r w:rsidR="001B201B">
        <w:t>cent</w:t>
      </w:r>
      <w:r w:rsidR="00907D8C">
        <w:t xml:space="preserve"> </w:t>
      </w:r>
      <w:r w:rsidRPr="00036FAC">
        <w:t>reduction,</w:t>
      </w:r>
      <w:r w:rsidR="00907D8C">
        <w:t xml:space="preserve"> </w:t>
      </w:r>
      <w:r w:rsidRPr="00036FAC">
        <w:t>with</w:t>
      </w:r>
      <w:r w:rsidR="00907D8C">
        <w:t xml:space="preserve"> </w:t>
      </w:r>
      <w:r w:rsidRPr="00036FAC">
        <w:t>a</w:t>
      </w:r>
      <w:r w:rsidR="00907D8C">
        <w:t xml:space="preserve"> </w:t>
      </w:r>
      <w:r w:rsidRPr="00036FAC">
        <w:t>rate</w:t>
      </w:r>
      <w:r w:rsidR="00907D8C">
        <w:t xml:space="preserve"> </w:t>
      </w:r>
      <w:r w:rsidRPr="00036FAC">
        <w:t>of</w:t>
      </w:r>
      <w:r w:rsidR="00907D8C">
        <w:t xml:space="preserve"> </w:t>
      </w:r>
      <w:r w:rsidRPr="00036FAC">
        <w:t>0.6</w:t>
      </w:r>
      <w:r w:rsidR="00907D8C">
        <w:t xml:space="preserve"> </w:t>
      </w:r>
      <w:r w:rsidRPr="00036FAC">
        <w:t>per</w:t>
      </w:r>
      <w:r w:rsidR="00907D8C">
        <w:t xml:space="preserve"> </w:t>
      </w:r>
      <w:r w:rsidRPr="00036FAC">
        <w:t>100,000</w:t>
      </w:r>
      <w:r w:rsidR="00907D8C">
        <w:t xml:space="preserve"> </w:t>
      </w:r>
      <w:r w:rsidRPr="00036FAC">
        <w:t>people.</w:t>
      </w:r>
      <w:r w:rsidR="00907D8C">
        <w:t xml:space="preserve"> </w:t>
      </w:r>
      <w:r w:rsidRPr="00036FAC">
        <w:t>Of</w:t>
      </w:r>
      <w:r w:rsidR="00907D8C">
        <w:t xml:space="preserve"> </w:t>
      </w:r>
      <w:r w:rsidRPr="00036FAC">
        <w:t>these</w:t>
      </w:r>
      <w:r w:rsidR="00907D8C">
        <w:t xml:space="preserve"> </w:t>
      </w:r>
      <w:r w:rsidRPr="00036FAC">
        <w:t>cases,</w:t>
      </w:r>
      <w:r w:rsidR="00907D8C">
        <w:t xml:space="preserve"> </w:t>
      </w:r>
      <w:r w:rsidRPr="00036FAC">
        <w:t>35.7</w:t>
      </w:r>
      <w:r w:rsidR="00907D8C">
        <w:t xml:space="preserve"> </w:t>
      </w:r>
      <w:r w:rsidR="001B201B">
        <w:t>per</w:t>
      </w:r>
      <w:r w:rsidR="00907D8C">
        <w:t xml:space="preserve"> </w:t>
      </w:r>
      <w:r w:rsidR="001B201B">
        <w:t>cent</w:t>
      </w:r>
      <w:r w:rsidR="00907D8C">
        <w:t xml:space="preserve"> </w:t>
      </w:r>
      <w:r w:rsidRPr="00036FAC">
        <w:t>were</w:t>
      </w:r>
      <w:r w:rsidR="00907D8C">
        <w:t xml:space="preserve"> </w:t>
      </w:r>
      <w:r w:rsidRPr="00036FAC">
        <w:t>European,</w:t>
      </w:r>
      <w:r w:rsidR="00907D8C">
        <w:t xml:space="preserve"> </w:t>
      </w:r>
      <w:r w:rsidRPr="00036FAC">
        <w:t>25.0</w:t>
      </w:r>
      <w:r w:rsidR="00907D8C">
        <w:t xml:space="preserve"> </w:t>
      </w:r>
      <w:r w:rsidR="001B201B">
        <w:t>per</w:t>
      </w:r>
      <w:r w:rsidR="00907D8C">
        <w:t xml:space="preserve"> </w:t>
      </w:r>
      <w:r w:rsidR="001B201B">
        <w:t>cent</w:t>
      </w:r>
      <w:r w:rsidR="00907D8C">
        <w:t xml:space="preserve"> </w:t>
      </w:r>
      <w:r w:rsidRPr="00036FAC">
        <w:t>Māori,</w:t>
      </w:r>
      <w:r w:rsidR="00907D8C">
        <w:t xml:space="preserve"> </w:t>
      </w:r>
      <w:r w:rsidRPr="00036FAC">
        <w:t>14.3</w:t>
      </w:r>
      <w:r w:rsidR="00907D8C">
        <w:t xml:space="preserve"> </w:t>
      </w:r>
      <w:r w:rsidR="001B201B">
        <w:t>per</w:t>
      </w:r>
      <w:r w:rsidR="00907D8C">
        <w:t xml:space="preserve"> </w:t>
      </w:r>
      <w:r w:rsidR="001B201B">
        <w:t>cent</w:t>
      </w:r>
      <w:r w:rsidR="00907D8C">
        <w:t xml:space="preserve"> </w:t>
      </w:r>
      <w:r w:rsidRPr="00036FAC">
        <w:t>Pacific</w:t>
      </w:r>
      <w:r w:rsidR="00907D8C">
        <w:t xml:space="preserve"> </w:t>
      </w:r>
      <w:r w:rsidRPr="00036FAC">
        <w:t>peoples,</w:t>
      </w:r>
      <w:r w:rsidR="00907D8C">
        <w:t xml:space="preserve"> </w:t>
      </w:r>
      <w:r w:rsidRPr="00036FAC">
        <w:t>7.1</w:t>
      </w:r>
      <w:r w:rsidR="00907D8C">
        <w:t xml:space="preserve"> </w:t>
      </w:r>
      <w:r w:rsidR="001B201B">
        <w:t>per</w:t>
      </w:r>
      <w:r w:rsidR="00907D8C">
        <w:t xml:space="preserve"> </w:t>
      </w:r>
      <w:r w:rsidR="001B201B">
        <w:t>cent</w:t>
      </w:r>
      <w:r w:rsidR="00907D8C">
        <w:t xml:space="preserve"> </w:t>
      </w:r>
      <w:r w:rsidRPr="00036FAC">
        <w:t>Asian,</w:t>
      </w:r>
      <w:r w:rsidR="00907D8C">
        <w:t xml:space="preserve"> </w:t>
      </w:r>
      <w:r w:rsidRPr="00036FAC">
        <w:t>and</w:t>
      </w:r>
      <w:r w:rsidR="00907D8C">
        <w:t xml:space="preserve"> </w:t>
      </w:r>
      <w:r w:rsidRPr="00036FAC">
        <w:t>17.9</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Other</w:t>
      </w:r>
      <w:r w:rsidR="00907D8C">
        <w:t xml:space="preserve"> </w:t>
      </w:r>
      <w:r w:rsidRPr="00036FAC">
        <w:t>ethnicity.</w:t>
      </w:r>
      <w:r w:rsidR="00907D8C">
        <w:t xml:space="preserve"> </w:t>
      </w:r>
      <w:r w:rsidRPr="00036FAC">
        <w:t>Of</w:t>
      </w:r>
      <w:r w:rsidR="00907D8C">
        <w:t xml:space="preserve"> </w:t>
      </w:r>
      <w:r w:rsidRPr="00036FAC">
        <w:t>all</w:t>
      </w:r>
      <w:r w:rsidR="00907D8C">
        <w:t xml:space="preserve"> </w:t>
      </w:r>
      <w:r w:rsidRPr="00036FAC">
        <w:t>cases,</w:t>
      </w:r>
      <w:r w:rsidR="00907D8C">
        <w:t xml:space="preserve"> </w:t>
      </w:r>
      <w:r w:rsidRPr="00036FAC">
        <w:t>53.6</w:t>
      </w:r>
      <w:r w:rsidR="00907D8C">
        <w:t xml:space="preserve"> </w:t>
      </w:r>
      <w:r w:rsidR="001B201B">
        <w:t>per</w:t>
      </w:r>
      <w:r w:rsidR="00907D8C">
        <w:t xml:space="preserve"> </w:t>
      </w:r>
      <w:r w:rsidR="001B201B">
        <w:t>cent</w:t>
      </w:r>
      <w:r w:rsidR="00907D8C">
        <w:t xml:space="preserve"> </w:t>
      </w:r>
      <w:r w:rsidRPr="00036FAC">
        <w:t>were</w:t>
      </w:r>
      <w:r w:rsidR="00907D8C">
        <w:t xml:space="preserve"> </w:t>
      </w:r>
      <w:r w:rsidRPr="00036FAC">
        <w:t>men</w:t>
      </w:r>
      <w:r w:rsidR="00907D8C">
        <w:t xml:space="preserve"> </w:t>
      </w:r>
      <w:r w:rsidRPr="00036FAC">
        <w:t>infected</w:t>
      </w:r>
      <w:r w:rsidR="00907D8C">
        <w:t xml:space="preserve"> </w:t>
      </w:r>
      <w:r w:rsidRPr="00036FAC">
        <w:t>through</w:t>
      </w:r>
      <w:r w:rsidR="00907D8C">
        <w:t xml:space="preserve"> </w:t>
      </w:r>
      <w:r w:rsidRPr="00036FAC">
        <w:t>sex</w:t>
      </w:r>
      <w:r w:rsidR="00907D8C">
        <w:t xml:space="preserve"> </w:t>
      </w:r>
      <w:r w:rsidRPr="00036FAC">
        <w:t>with</w:t>
      </w:r>
      <w:r w:rsidR="00907D8C">
        <w:t xml:space="preserve"> </w:t>
      </w:r>
      <w:r w:rsidRPr="00036FAC">
        <w:t>other</w:t>
      </w:r>
      <w:r w:rsidR="00907D8C">
        <w:t xml:space="preserve"> </w:t>
      </w:r>
      <w:r w:rsidRPr="00036FAC">
        <w:t>men</w:t>
      </w:r>
      <w:r w:rsidR="00907D8C">
        <w:t xml:space="preserve"> </w:t>
      </w:r>
      <w:r w:rsidRPr="00036FAC">
        <w:t>and</w:t>
      </w:r>
      <w:r w:rsidR="00907D8C">
        <w:t xml:space="preserve"> </w:t>
      </w:r>
      <w:r w:rsidRPr="00036FAC">
        <w:t>32.1</w:t>
      </w:r>
      <w:r w:rsidR="00907D8C">
        <w:t xml:space="preserve"> </w:t>
      </w:r>
      <w:r w:rsidR="001B201B">
        <w:t>per</w:t>
      </w:r>
      <w:r w:rsidR="00907D8C">
        <w:t xml:space="preserve"> </w:t>
      </w:r>
      <w:r w:rsidR="001B201B">
        <w:t>cent</w:t>
      </w:r>
      <w:r w:rsidR="00907D8C">
        <w:t xml:space="preserve"> </w:t>
      </w:r>
      <w:r w:rsidRPr="00036FAC">
        <w:t>were</w:t>
      </w:r>
      <w:r w:rsidR="00907D8C">
        <w:t xml:space="preserve"> </w:t>
      </w:r>
      <w:r w:rsidRPr="00036FAC">
        <w:t>infected</w:t>
      </w:r>
      <w:r w:rsidR="00907D8C">
        <w:t xml:space="preserve"> </w:t>
      </w:r>
      <w:r w:rsidRPr="00036FAC">
        <w:t>through</w:t>
      </w:r>
      <w:r w:rsidR="00907D8C">
        <w:t xml:space="preserve"> </w:t>
      </w:r>
      <w:r w:rsidRPr="00036FAC">
        <w:t>heterosexual</w:t>
      </w:r>
      <w:r w:rsidR="00907D8C">
        <w:t xml:space="preserve"> </w:t>
      </w:r>
      <w:r w:rsidRPr="00036FAC">
        <w:t>contact.</w:t>
      </w:r>
      <w:r w:rsidR="00907D8C">
        <w:t xml:space="preserve"> </w:t>
      </w:r>
      <w:r w:rsidRPr="00036FAC">
        <w:t>Two</w:t>
      </w:r>
      <w:r w:rsidR="00907D8C">
        <w:t xml:space="preserve"> </w:t>
      </w:r>
      <w:r w:rsidRPr="00036FAC">
        <w:t>deaths</w:t>
      </w:r>
      <w:r w:rsidR="00907D8C">
        <w:t xml:space="preserve"> </w:t>
      </w:r>
      <w:r w:rsidRPr="00036FAC">
        <w:t>due</w:t>
      </w:r>
      <w:r w:rsidR="00907D8C">
        <w:t xml:space="preserve"> </w:t>
      </w:r>
      <w:r w:rsidRPr="00036FAC">
        <w:t>to</w:t>
      </w:r>
      <w:r w:rsidR="00907D8C">
        <w:t xml:space="preserve"> </w:t>
      </w:r>
      <w:r w:rsidRPr="00036FAC">
        <w:t>AIDS</w:t>
      </w:r>
      <w:r w:rsidR="00907D8C">
        <w:t xml:space="preserve"> </w:t>
      </w:r>
      <w:r w:rsidRPr="00036FAC">
        <w:t>were</w:t>
      </w:r>
      <w:r w:rsidR="00907D8C">
        <w:t xml:space="preserve"> </w:t>
      </w:r>
      <w:r w:rsidRPr="00036FAC">
        <w:t>reported</w:t>
      </w:r>
      <w:r w:rsidR="00907D8C">
        <w:t xml:space="preserve"> </w:t>
      </w:r>
      <w:r w:rsidRPr="00036FAC">
        <w:t>in</w:t>
      </w:r>
      <w:r w:rsidR="00907D8C">
        <w:t xml:space="preserve"> </w:t>
      </w:r>
      <w:r w:rsidRPr="00036FAC">
        <w:t>2009.</w:t>
      </w:r>
      <w:r w:rsidRPr="00907D8C">
        <w:rPr>
          <w:rStyle w:val="FootnoteReference"/>
        </w:rPr>
        <w:footnoteReference w:id="11"/>
      </w:r>
    </w:p>
    <w:p w:rsidR="00036FAC" w:rsidRPr="00036FAC" w:rsidRDefault="00036FAC" w:rsidP="00907D8C">
      <w:pPr>
        <w:pStyle w:val="SingleTxtG"/>
      </w:pPr>
      <w:bookmarkStart w:id="65" w:name="_Toc257300753"/>
      <w:r w:rsidRPr="00036FAC">
        <w:t>101.</w:t>
      </w:r>
      <w:r w:rsidRPr="00036FAC">
        <w:tab/>
        <w:t>Ten</w:t>
      </w:r>
      <w:r w:rsidR="00907D8C">
        <w:t xml:space="preserve"> </w:t>
      </w:r>
      <w:r w:rsidRPr="00036FAC">
        <w:t>cases</w:t>
      </w:r>
      <w:r w:rsidR="00907D8C">
        <w:t xml:space="preserve"> </w:t>
      </w:r>
      <w:r w:rsidRPr="00036FAC">
        <w:t>of</w:t>
      </w:r>
      <w:r w:rsidR="00907D8C">
        <w:t xml:space="preserve"> </w:t>
      </w:r>
      <w:r w:rsidRPr="00036FAC">
        <w:t>cholera</w:t>
      </w:r>
      <w:r w:rsidR="00907D8C">
        <w:t xml:space="preserve"> </w:t>
      </w:r>
      <w:r w:rsidRPr="00036FAC">
        <w:t>(all</w:t>
      </w:r>
      <w:r w:rsidR="00907D8C">
        <w:t xml:space="preserve"> </w:t>
      </w:r>
      <w:r w:rsidRPr="00036FAC">
        <w:t>linked</w:t>
      </w:r>
      <w:r w:rsidR="00907D8C">
        <w:t xml:space="preserve"> </w:t>
      </w:r>
      <w:r w:rsidRPr="00036FAC">
        <w:t>to</w:t>
      </w:r>
      <w:r w:rsidR="00907D8C">
        <w:t xml:space="preserve"> </w:t>
      </w:r>
      <w:r w:rsidRPr="00036FAC">
        <w:t>travel)</w:t>
      </w:r>
      <w:r w:rsidR="00907D8C">
        <w:t xml:space="preserve"> </w:t>
      </w:r>
      <w:r w:rsidRPr="00036FAC">
        <w:t>have</w:t>
      </w:r>
      <w:r w:rsidR="00907D8C">
        <w:t xml:space="preserve"> </w:t>
      </w:r>
      <w:r w:rsidRPr="00036FAC">
        <w:t>been</w:t>
      </w:r>
      <w:r w:rsidR="00907D8C">
        <w:t xml:space="preserve"> </w:t>
      </w:r>
      <w:r w:rsidRPr="00036FAC">
        <w:t>reported</w:t>
      </w:r>
      <w:r w:rsidR="00907D8C">
        <w:t xml:space="preserve"> </w:t>
      </w:r>
      <w:r w:rsidRPr="00036FAC">
        <w:t>since</w:t>
      </w:r>
      <w:r w:rsidR="00907D8C">
        <w:t xml:space="preserve"> </w:t>
      </w:r>
      <w:r w:rsidRPr="00036FAC">
        <w:t>1996,</w:t>
      </w:r>
      <w:r w:rsidR="00907D8C">
        <w:t xml:space="preserve"> </w:t>
      </w:r>
      <w:r w:rsidRPr="00036FAC">
        <w:t>the</w:t>
      </w:r>
      <w:r w:rsidR="00907D8C">
        <w:t xml:space="preserve"> </w:t>
      </w:r>
      <w:r w:rsidRPr="00036FAC">
        <w:t>last</w:t>
      </w:r>
      <w:r w:rsidR="00907D8C">
        <w:t xml:space="preserve"> </w:t>
      </w:r>
      <w:r w:rsidRPr="00036FAC">
        <w:t>case</w:t>
      </w:r>
      <w:r w:rsidR="00907D8C">
        <w:t xml:space="preserve"> </w:t>
      </w:r>
      <w:r w:rsidRPr="00036FAC">
        <w:t>in</w:t>
      </w:r>
      <w:r w:rsidR="00907D8C">
        <w:t xml:space="preserve"> </w:t>
      </w:r>
      <w:r w:rsidRPr="00036FAC">
        <w:t>2007.</w:t>
      </w:r>
      <w:r w:rsidR="00907D8C">
        <w:t xml:space="preserve"> </w:t>
      </w:r>
      <w:r w:rsidRPr="00036FAC">
        <w:t>Three</w:t>
      </w:r>
      <w:r w:rsidR="00907D8C">
        <w:t xml:space="preserve"> </w:t>
      </w:r>
      <w:r w:rsidRPr="00036FAC">
        <w:t>cases</w:t>
      </w:r>
      <w:r w:rsidR="00907D8C">
        <w:t xml:space="preserve"> </w:t>
      </w:r>
      <w:r w:rsidRPr="00036FAC">
        <w:t>of</w:t>
      </w:r>
      <w:r w:rsidR="00907D8C">
        <w:t xml:space="preserve"> </w:t>
      </w:r>
      <w:r w:rsidRPr="00036FAC">
        <w:t>leprosy</w:t>
      </w:r>
      <w:r w:rsidR="00907D8C">
        <w:t xml:space="preserve"> </w:t>
      </w:r>
      <w:r w:rsidRPr="00036FAC">
        <w:t>were</w:t>
      </w:r>
      <w:r w:rsidR="00907D8C">
        <w:t xml:space="preserve"> </w:t>
      </w:r>
      <w:r w:rsidRPr="00036FAC">
        <w:t>reported</w:t>
      </w:r>
      <w:r w:rsidR="00907D8C">
        <w:t xml:space="preserve"> </w:t>
      </w:r>
      <w:r w:rsidRPr="00036FAC">
        <w:t>in</w:t>
      </w:r>
      <w:r w:rsidR="00907D8C">
        <w:t xml:space="preserve"> </w:t>
      </w:r>
      <w:r w:rsidRPr="00036FAC">
        <w:t>2009.</w:t>
      </w:r>
    </w:p>
    <w:p w:rsidR="00036FAC" w:rsidRPr="00036FAC" w:rsidRDefault="00036FAC" w:rsidP="00907D8C">
      <w:pPr>
        <w:pStyle w:val="SingleTxtG"/>
      </w:pPr>
      <w:r w:rsidRPr="00036FAC">
        <w:t>102.</w:t>
      </w:r>
      <w:r w:rsidRPr="00036FAC">
        <w:tab/>
        <w:t>With</w:t>
      </w:r>
      <w:r w:rsidR="00907D8C">
        <w:t xml:space="preserve"> </w:t>
      </w:r>
      <w:r w:rsidRPr="00036FAC">
        <w:t>regard</w:t>
      </w:r>
      <w:r w:rsidR="00907D8C">
        <w:t xml:space="preserve"> </w:t>
      </w:r>
      <w:r w:rsidRPr="00036FAC">
        <w:t>to</w:t>
      </w:r>
      <w:r w:rsidR="00907D8C">
        <w:t xml:space="preserve"> </w:t>
      </w:r>
      <w:r w:rsidRPr="00036FAC">
        <w:t>typhoid,</w:t>
      </w:r>
      <w:r w:rsidR="00907D8C">
        <w:t xml:space="preserve"> </w:t>
      </w:r>
      <w:r w:rsidRPr="00036FAC">
        <w:t>after</w:t>
      </w:r>
      <w:r w:rsidR="00907D8C">
        <w:t xml:space="preserve"> </w:t>
      </w:r>
      <w:r w:rsidRPr="00036FAC">
        <w:t>decades</w:t>
      </w:r>
      <w:r w:rsidR="00907D8C">
        <w:t xml:space="preserve"> </w:t>
      </w:r>
      <w:r w:rsidRPr="00036FAC">
        <w:t>of</w:t>
      </w:r>
      <w:r w:rsidR="00907D8C">
        <w:t xml:space="preserve"> </w:t>
      </w:r>
      <w:r w:rsidRPr="00036FAC">
        <w:t>numbers</w:t>
      </w:r>
      <w:r w:rsidR="00907D8C">
        <w:t xml:space="preserve"> </w:t>
      </w:r>
      <w:r w:rsidRPr="00036FAC">
        <w:t>in</w:t>
      </w:r>
      <w:r w:rsidR="00907D8C">
        <w:t xml:space="preserve"> </w:t>
      </w:r>
      <w:r w:rsidRPr="00036FAC">
        <w:t>the</w:t>
      </w:r>
      <w:r w:rsidR="00907D8C">
        <w:t xml:space="preserve"> </w:t>
      </w:r>
      <w:r w:rsidRPr="00036FAC">
        <w:t>tens</w:t>
      </w:r>
      <w:r w:rsidR="00907D8C">
        <w:t xml:space="preserve"> </w:t>
      </w:r>
      <w:r w:rsidRPr="00036FAC">
        <w:t>and</w:t>
      </w:r>
      <w:r w:rsidR="00907D8C">
        <w:t xml:space="preserve"> </w:t>
      </w:r>
      <w:r w:rsidRPr="00036FAC">
        <w:t>under,</w:t>
      </w:r>
      <w:r w:rsidR="00907D8C">
        <w:t xml:space="preserve"> </w:t>
      </w:r>
      <w:r w:rsidRPr="00036FAC">
        <w:t>there</w:t>
      </w:r>
      <w:r w:rsidR="00907D8C">
        <w:t xml:space="preserve"> </w:t>
      </w:r>
      <w:r w:rsidRPr="00036FAC">
        <w:t>has</w:t>
      </w:r>
      <w:r w:rsidR="00907D8C">
        <w:t xml:space="preserve"> </w:t>
      </w:r>
      <w:r w:rsidRPr="00036FAC">
        <w:t>been</w:t>
      </w:r>
      <w:r w:rsidR="00907D8C">
        <w:t xml:space="preserve"> </w:t>
      </w:r>
      <w:r w:rsidRPr="00036FAC">
        <w:t>an</w:t>
      </w:r>
      <w:r w:rsidR="00907D8C">
        <w:t xml:space="preserve"> </w:t>
      </w:r>
      <w:r w:rsidRPr="00036FAC">
        <w:t>increasing</w:t>
      </w:r>
      <w:r w:rsidR="00907D8C">
        <w:t xml:space="preserve"> </w:t>
      </w:r>
      <w:r w:rsidRPr="00036FAC">
        <w:t>number</w:t>
      </w:r>
      <w:r w:rsidR="00907D8C">
        <w:t xml:space="preserve"> </w:t>
      </w:r>
      <w:r w:rsidRPr="00036FAC">
        <w:t>of</w:t>
      </w:r>
      <w:r w:rsidR="00907D8C">
        <w:t xml:space="preserve"> </w:t>
      </w:r>
      <w:r w:rsidRPr="00036FAC">
        <w:t>cases</w:t>
      </w:r>
      <w:r w:rsidR="00907D8C">
        <w:t xml:space="preserve"> </w:t>
      </w:r>
      <w:r w:rsidRPr="00036FAC">
        <w:t>reported</w:t>
      </w:r>
      <w:r w:rsidR="00907D8C">
        <w:t xml:space="preserve"> </w:t>
      </w:r>
      <w:r w:rsidRPr="00036FAC">
        <w:t>since</w:t>
      </w:r>
      <w:r w:rsidR="00907D8C">
        <w:t xml:space="preserve"> </w:t>
      </w:r>
      <w:r w:rsidRPr="00036FAC">
        <w:t>2000.</w:t>
      </w:r>
      <w:r w:rsidR="00907D8C">
        <w:t xml:space="preserve"> </w:t>
      </w:r>
      <w:r w:rsidRPr="00036FAC">
        <w:t>These</w:t>
      </w:r>
      <w:r w:rsidR="00907D8C">
        <w:t xml:space="preserve"> </w:t>
      </w:r>
      <w:r w:rsidRPr="00036FAC">
        <w:t>have</w:t>
      </w:r>
      <w:r w:rsidR="00907D8C">
        <w:t xml:space="preserve"> </w:t>
      </w:r>
      <w:r w:rsidRPr="00036FAC">
        <w:t>been</w:t>
      </w:r>
      <w:r w:rsidR="00907D8C">
        <w:t xml:space="preserve"> </w:t>
      </w:r>
      <w:r w:rsidRPr="00036FAC">
        <w:t>associated</w:t>
      </w:r>
      <w:r w:rsidR="00907D8C">
        <w:t xml:space="preserve"> </w:t>
      </w:r>
      <w:r w:rsidRPr="00036FAC">
        <w:t>with</w:t>
      </w:r>
      <w:r w:rsidR="00907D8C">
        <w:t xml:space="preserve"> </w:t>
      </w:r>
      <w:r w:rsidRPr="00036FAC">
        <w:t>returning</w:t>
      </w:r>
      <w:r w:rsidR="00907D8C">
        <w:t xml:space="preserve"> </w:t>
      </w:r>
      <w:r w:rsidRPr="00036FAC">
        <w:t>New</w:t>
      </w:r>
      <w:r w:rsidR="00907D8C">
        <w:t xml:space="preserve"> </w:t>
      </w:r>
      <w:r w:rsidRPr="00036FAC">
        <w:t>Zealanders,</w:t>
      </w:r>
      <w:r w:rsidR="00907D8C">
        <w:t xml:space="preserve"> </w:t>
      </w:r>
      <w:r w:rsidRPr="00036FAC">
        <w:t>following</w:t>
      </w:r>
      <w:r w:rsidR="00907D8C">
        <w:t xml:space="preserve"> </w:t>
      </w:r>
      <w:r w:rsidRPr="00036FAC">
        <w:t>travel</w:t>
      </w:r>
      <w:r w:rsidR="00907D8C">
        <w:t xml:space="preserve"> </w:t>
      </w:r>
      <w:r w:rsidRPr="00036FAC">
        <w:t>especially</w:t>
      </w:r>
      <w:r w:rsidR="00907D8C">
        <w:t xml:space="preserve"> </w:t>
      </w:r>
      <w:r w:rsidRPr="00036FAC">
        <w:t>to</w:t>
      </w:r>
      <w:r w:rsidR="00907D8C">
        <w:t xml:space="preserve"> </w:t>
      </w:r>
      <w:r w:rsidRPr="00036FAC">
        <w:t>Samoa,</w:t>
      </w:r>
      <w:r w:rsidR="00907D8C">
        <w:t xml:space="preserve"> </w:t>
      </w:r>
      <w:r w:rsidRPr="00036FAC">
        <w:t>Fiji</w:t>
      </w:r>
      <w:r w:rsidR="00907D8C">
        <w:t xml:space="preserve"> </w:t>
      </w:r>
      <w:r w:rsidRPr="00036FAC">
        <w:t>and</w:t>
      </w:r>
      <w:r w:rsidR="00907D8C">
        <w:t xml:space="preserve"> </w:t>
      </w:r>
      <w:r w:rsidRPr="00036FAC">
        <w:t>India.</w:t>
      </w:r>
      <w:r w:rsidR="00907D8C">
        <w:t xml:space="preserve"> </w:t>
      </w:r>
      <w:r w:rsidRPr="00036FAC">
        <w:t>In</w:t>
      </w:r>
      <w:r w:rsidR="00907D8C">
        <w:t xml:space="preserve"> </w:t>
      </w:r>
      <w:r w:rsidRPr="00036FAC">
        <w:t>2006,</w:t>
      </w:r>
      <w:r w:rsidR="00907D8C">
        <w:t xml:space="preserve"> </w:t>
      </w:r>
      <w:r w:rsidRPr="00036FAC">
        <w:t>there</w:t>
      </w:r>
      <w:r w:rsidR="00907D8C">
        <w:t xml:space="preserve"> </w:t>
      </w:r>
      <w:r w:rsidRPr="00036FAC">
        <w:t>were</w:t>
      </w:r>
      <w:r w:rsidR="00907D8C">
        <w:t xml:space="preserve"> </w:t>
      </w:r>
      <w:r w:rsidRPr="00036FAC">
        <w:t>42</w:t>
      </w:r>
      <w:r w:rsidR="00907D8C">
        <w:t xml:space="preserve"> </w:t>
      </w:r>
      <w:r w:rsidRPr="00036FAC">
        <w:t>cases,</w:t>
      </w:r>
      <w:r w:rsidR="00907D8C">
        <w:t xml:space="preserve"> </w:t>
      </w:r>
      <w:r w:rsidRPr="00036FAC">
        <w:t>48</w:t>
      </w:r>
      <w:r w:rsidR="00907D8C">
        <w:t xml:space="preserve"> </w:t>
      </w:r>
      <w:r w:rsidRPr="00036FAC">
        <w:t>in</w:t>
      </w:r>
      <w:r w:rsidR="00907D8C">
        <w:t xml:space="preserve"> </w:t>
      </w:r>
      <w:r w:rsidRPr="00036FAC">
        <w:t>2007,</w:t>
      </w:r>
      <w:r w:rsidR="00907D8C">
        <w:t xml:space="preserve"> </w:t>
      </w:r>
      <w:r w:rsidRPr="00036FAC">
        <w:t>29</w:t>
      </w:r>
      <w:r w:rsidR="00907D8C">
        <w:t xml:space="preserve"> </w:t>
      </w:r>
      <w:r w:rsidRPr="00036FAC">
        <w:t>in</w:t>
      </w:r>
      <w:r w:rsidR="00907D8C">
        <w:t xml:space="preserve"> </w:t>
      </w:r>
      <w:r w:rsidRPr="00036FAC">
        <w:t>2008</w:t>
      </w:r>
      <w:r w:rsidR="00907D8C">
        <w:t xml:space="preserve"> </w:t>
      </w:r>
      <w:r w:rsidRPr="00036FAC">
        <w:t>and</w:t>
      </w:r>
      <w:r w:rsidR="00907D8C">
        <w:t xml:space="preserve"> </w:t>
      </w:r>
      <w:r w:rsidRPr="00036FAC">
        <w:t>35</w:t>
      </w:r>
      <w:r w:rsidR="00907D8C">
        <w:t xml:space="preserve"> </w:t>
      </w:r>
      <w:r w:rsidRPr="00036FAC">
        <w:t>in</w:t>
      </w:r>
      <w:r w:rsidR="00907D8C">
        <w:t xml:space="preserve"> </w:t>
      </w:r>
      <w:r w:rsidRPr="00036FAC">
        <w:t>2009.</w:t>
      </w:r>
      <w:bookmarkEnd w:id="65"/>
    </w:p>
    <w:p w:rsidR="00036FAC" w:rsidRPr="00036FAC" w:rsidRDefault="00036FAC" w:rsidP="006C436C">
      <w:pPr>
        <w:pStyle w:val="H23G"/>
      </w:pPr>
      <w:r w:rsidRPr="00036FAC">
        <w:tab/>
        <w:t>(j)</w:t>
      </w:r>
      <w:r w:rsidRPr="00036FAC">
        <w:tab/>
        <w:t>Contraception</w:t>
      </w:r>
    </w:p>
    <w:p w:rsidR="00036FAC" w:rsidRPr="00036FAC" w:rsidRDefault="00036FAC" w:rsidP="00907D8C">
      <w:pPr>
        <w:pStyle w:val="SingleTxtG"/>
      </w:pPr>
      <w:r w:rsidRPr="00036FAC">
        <w:t>103.</w:t>
      </w:r>
      <w:r w:rsidRPr="00036FAC">
        <w:tab/>
        <w:t>Table</w:t>
      </w:r>
      <w:r w:rsidR="00907D8C">
        <w:t xml:space="preserve"> </w:t>
      </w:r>
      <w:r w:rsidRPr="00036FAC">
        <w:t>35</w:t>
      </w:r>
      <w:r w:rsidR="00907D8C">
        <w:t xml:space="preserve"> </w:t>
      </w:r>
      <w:r w:rsidRPr="00036FAC">
        <w:t>sets</w:t>
      </w:r>
      <w:r w:rsidR="00907D8C">
        <w:t xml:space="preserve"> </w:t>
      </w:r>
      <w:r w:rsidRPr="00036FAC">
        <w:t>out</w:t>
      </w:r>
      <w:r w:rsidR="00907D8C">
        <w:t xml:space="preserve"> </w:t>
      </w:r>
      <w:r w:rsidRPr="00036FAC">
        <w:t>the</w:t>
      </w:r>
      <w:r w:rsidR="00907D8C">
        <w:t xml:space="preserve"> </w:t>
      </w:r>
      <w:r w:rsidR="00AE58B5">
        <w:t>percent</w:t>
      </w:r>
      <w:r w:rsidRPr="00036FAC">
        <w:t>age</w:t>
      </w:r>
      <w:r w:rsidR="00907D8C">
        <w:t xml:space="preserve"> </w:t>
      </w:r>
      <w:r w:rsidRPr="00036FAC">
        <w:t>of</w:t>
      </w:r>
      <w:r w:rsidR="00907D8C">
        <w:t xml:space="preserve"> </w:t>
      </w:r>
      <w:r w:rsidRPr="00036FAC">
        <w:t>community</w:t>
      </w:r>
      <w:r w:rsidR="00907D8C">
        <w:t xml:space="preserve"> </w:t>
      </w:r>
      <w:r w:rsidRPr="00036FAC">
        <w:t>pharmacy-dispensed</w:t>
      </w:r>
      <w:r w:rsidR="00907D8C">
        <w:t xml:space="preserve"> </w:t>
      </w:r>
      <w:r w:rsidRPr="00036FAC">
        <w:t>contraceptives</w:t>
      </w:r>
      <w:r w:rsidR="00907D8C">
        <w:t xml:space="preserve"> </w:t>
      </w:r>
      <w:r w:rsidRPr="00036FAC">
        <w:t>for</w:t>
      </w:r>
      <w:r w:rsidR="00907D8C">
        <w:t xml:space="preserve"> </w:t>
      </w:r>
      <w:r w:rsidRPr="00036FAC">
        <w:t>women</w:t>
      </w:r>
      <w:r w:rsidR="00907D8C">
        <w:t xml:space="preserve"> </w:t>
      </w:r>
      <w:r w:rsidRPr="00036FAC">
        <w:t>aged</w:t>
      </w:r>
      <w:r w:rsidR="00907D8C">
        <w:t xml:space="preserve"> </w:t>
      </w:r>
      <w:r w:rsidRPr="00036FAC">
        <w:t>10–49</w:t>
      </w:r>
      <w:r w:rsidR="00907D8C">
        <w:t xml:space="preserve"> </w:t>
      </w:r>
      <w:r w:rsidRPr="00036FAC">
        <w:t>years</w:t>
      </w:r>
      <w:r w:rsidR="00907D8C">
        <w:t xml:space="preserve"> </w:t>
      </w:r>
      <w:r w:rsidRPr="00036FAC">
        <w:t>in</w:t>
      </w:r>
      <w:r w:rsidR="00907D8C">
        <w:t xml:space="preserve"> </w:t>
      </w:r>
      <w:r w:rsidR="000711F4">
        <w:t>2008–20</w:t>
      </w:r>
      <w:r w:rsidRPr="00036FAC">
        <w:t>09,</w:t>
      </w:r>
      <w:r w:rsidR="00907D8C">
        <w:t xml:space="preserve"> </w:t>
      </w:r>
      <w:r w:rsidRPr="00036FAC">
        <w:t>by</w:t>
      </w:r>
      <w:r w:rsidR="00907D8C">
        <w:t xml:space="preserve"> </w:t>
      </w:r>
      <w:r w:rsidRPr="00036FAC">
        <w:t>age</w:t>
      </w:r>
      <w:r w:rsidR="00907D8C">
        <w:t xml:space="preserve"> </w:t>
      </w:r>
      <w:r w:rsidRPr="00036FAC">
        <w:t>and</w:t>
      </w:r>
      <w:r w:rsidR="00907D8C">
        <w:t xml:space="preserve"> </w:t>
      </w:r>
      <w:r w:rsidRPr="00036FAC">
        <w:t>ethnicity.</w:t>
      </w:r>
      <w:r w:rsidR="00907D8C">
        <w:t xml:space="preserve"> </w:t>
      </w:r>
      <w:r w:rsidRPr="00036FAC">
        <w:t>This</w:t>
      </w:r>
      <w:r w:rsidR="00907D8C">
        <w:t xml:space="preserve"> </w:t>
      </w:r>
      <w:r w:rsidRPr="00036FAC">
        <w:t>is</w:t>
      </w:r>
      <w:r w:rsidR="00907D8C">
        <w:t xml:space="preserve"> </w:t>
      </w:r>
      <w:r w:rsidRPr="00036FAC">
        <w:t>an</w:t>
      </w:r>
      <w:r w:rsidR="00907D8C">
        <w:t xml:space="preserve"> </w:t>
      </w:r>
      <w:r w:rsidRPr="00036FAC">
        <w:t>underestimate</w:t>
      </w:r>
      <w:r w:rsidR="00907D8C">
        <w:t xml:space="preserve"> </w:t>
      </w:r>
      <w:r w:rsidRPr="00036FAC">
        <w:t>as</w:t>
      </w:r>
      <w:r w:rsidR="00907D8C">
        <w:t xml:space="preserve"> </w:t>
      </w:r>
      <w:r w:rsidRPr="00036FAC">
        <w:t>it</w:t>
      </w:r>
      <w:r w:rsidR="00907D8C">
        <w:t xml:space="preserve"> </w:t>
      </w:r>
      <w:r w:rsidRPr="00036FAC">
        <w:t>does</w:t>
      </w:r>
      <w:r w:rsidR="00907D8C">
        <w:t xml:space="preserve"> </w:t>
      </w:r>
      <w:r w:rsidRPr="00036FAC">
        <w:t>not</w:t>
      </w:r>
      <w:r w:rsidR="00907D8C">
        <w:t xml:space="preserve"> </w:t>
      </w:r>
      <w:r w:rsidRPr="00036FAC">
        <w:t>include</w:t>
      </w:r>
      <w:r w:rsidR="00907D8C">
        <w:t xml:space="preserve"> </w:t>
      </w:r>
      <w:r w:rsidRPr="00036FAC">
        <w:t>contraceptives</w:t>
      </w:r>
      <w:r w:rsidR="00907D8C">
        <w:t xml:space="preserve"> </w:t>
      </w:r>
      <w:r w:rsidRPr="00036FAC">
        <w:t>purchased</w:t>
      </w:r>
      <w:r w:rsidR="00907D8C">
        <w:t xml:space="preserve"> </w:t>
      </w:r>
      <w:r w:rsidRPr="00036FAC">
        <w:t>by</w:t>
      </w:r>
      <w:r w:rsidR="00907D8C">
        <w:t xml:space="preserve"> </w:t>
      </w:r>
      <w:r w:rsidRPr="00036FAC">
        <w:t>women</w:t>
      </w:r>
      <w:r w:rsidR="003E4D94">
        <w:t>’</w:t>
      </w:r>
      <w:r w:rsidRPr="00036FAC">
        <w:t>s</w:t>
      </w:r>
      <w:r w:rsidR="00907D8C">
        <w:t xml:space="preserve"> </w:t>
      </w:r>
      <w:r w:rsidRPr="00036FAC">
        <w:t>partners</w:t>
      </w:r>
      <w:r w:rsidR="00907D8C">
        <w:t xml:space="preserve"> </w:t>
      </w:r>
      <w:r w:rsidRPr="00036FAC">
        <w:t>and/or</w:t>
      </w:r>
      <w:r w:rsidR="00907D8C">
        <w:t xml:space="preserve"> </w:t>
      </w:r>
      <w:r w:rsidRPr="00036FAC">
        <w:t>contraceptives</w:t>
      </w:r>
      <w:r w:rsidR="00907D8C">
        <w:t xml:space="preserve"> </w:t>
      </w:r>
      <w:r w:rsidRPr="00036FAC">
        <w:t>purchased</w:t>
      </w:r>
      <w:r w:rsidR="00907D8C">
        <w:t xml:space="preserve"> </w:t>
      </w:r>
      <w:r w:rsidRPr="00036FAC">
        <w:t>by</w:t>
      </w:r>
      <w:r w:rsidR="00907D8C">
        <w:t xml:space="preserve"> </w:t>
      </w:r>
      <w:r w:rsidRPr="00036FAC">
        <w:t>women</w:t>
      </w:r>
      <w:r w:rsidR="00907D8C">
        <w:t xml:space="preserve"> </w:t>
      </w:r>
      <w:r w:rsidRPr="00036FAC">
        <w:t>from</w:t>
      </w:r>
      <w:r w:rsidR="00907D8C">
        <w:t xml:space="preserve"> </w:t>
      </w:r>
      <w:r w:rsidRPr="00036FAC">
        <w:t>other</w:t>
      </w:r>
      <w:r w:rsidR="00907D8C">
        <w:t xml:space="preserve"> </w:t>
      </w:r>
      <w:r w:rsidRPr="00036FAC">
        <w:t>sources.</w:t>
      </w:r>
    </w:p>
    <w:p w:rsidR="00211189" w:rsidRDefault="00036FAC" w:rsidP="00211189">
      <w:pPr>
        <w:pStyle w:val="Heading1"/>
      </w:pPr>
      <w:bookmarkStart w:id="66" w:name="_Toc275331936"/>
      <w:r w:rsidRPr="00036FAC">
        <w:t>Table</w:t>
      </w:r>
      <w:r w:rsidR="00907D8C">
        <w:t xml:space="preserve"> </w:t>
      </w:r>
      <w:r w:rsidR="00211189">
        <w:t>35</w:t>
      </w:r>
    </w:p>
    <w:p w:rsidR="00036FAC" w:rsidRPr="00211189" w:rsidRDefault="00036FAC" w:rsidP="00211189">
      <w:pPr>
        <w:pStyle w:val="SingleTxtG"/>
        <w:jc w:val="left"/>
        <w:rPr>
          <w:b/>
        </w:rPr>
      </w:pPr>
      <w:r w:rsidRPr="00211189">
        <w:rPr>
          <w:b/>
        </w:rPr>
        <w:t>Women</w:t>
      </w:r>
      <w:r w:rsidR="00907D8C" w:rsidRPr="00211189">
        <w:rPr>
          <w:b/>
        </w:rPr>
        <w:t xml:space="preserve"> </w:t>
      </w:r>
      <w:r w:rsidRPr="00211189">
        <w:rPr>
          <w:b/>
        </w:rPr>
        <w:t>of</w:t>
      </w:r>
      <w:r w:rsidR="00907D8C" w:rsidRPr="00211189">
        <w:rPr>
          <w:b/>
        </w:rPr>
        <w:t xml:space="preserve"> </w:t>
      </w:r>
      <w:r w:rsidRPr="00211189">
        <w:rPr>
          <w:b/>
        </w:rPr>
        <w:t>childbearing</w:t>
      </w:r>
      <w:r w:rsidR="00907D8C" w:rsidRPr="00211189">
        <w:rPr>
          <w:b/>
        </w:rPr>
        <w:t xml:space="preserve"> </w:t>
      </w:r>
      <w:r w:rsidRPr="00211189">
        <w:rPr>
          <w:b/>
        </w:rPr>
        <w:t>age</w:t>
      </w:r>
      <w:r w:rsidR="00907D8C" w:rsidRPr="00211189">
        <w:rPr>
          <w:b/>
        </w:rPr>
        <w:t xml:space="preserve"> </w:t>
      </w:r>
      <w:r w:rsidRPr="00211189">
        <w:rPr>
          <w:b/>
        </w:rPr>
        <w:t>using</w:t>
      </w:r>
      <w:r w:rsidR="00907D8C" w:rsidRPr="00211189">
        <w:rPr>
          <w:b/>
        </w:rPr>
        <w:t xml:space="preserve"> </w:t>
      </w:r>
      <w:r w:rsidRPr="00211189">
        <w:rPr>
          <w:b/>
        </w:rPr>
        <w:t>contraception</w:t>
      </w:r>
      <w:r w:rsidR="00907D8C" w:rsidRPr="00211189">
        <w:rPr>
          <w:b/>
        </w:rPr>
        <w:t xml:space="preserve"> </w:t>
      </w:r>
      <w:r w:rsidRPr="00211189">
        <w:rPr>
          <w:b/>
        </w:rPr>
        <w:t>or</w:t>
      </w:r>
      <w:r w:rsidR="00907D8C" w:rsidRPr="00211189">
        <w:rPr>
          <w:b/>
        </w:rPr>
        <w:t xml:space="preserve"> </w:t>
      </w:r>
      <w:r w:rsidRPr="00211189">
        <w:rPr>
          <w:b/>
        </w:rPr>
        <w:t>whose</w:t>
      </w:r>
      <w:r w:rsidR="00907D8C" w:rsidRPr="00211189">
        <w:rPr>
          <w:b/>
        </w:rPr>
        <w:t xml:space="preserve"> </w:t>
      </w:r>
      <w:r w:rsidRPr="00211189">
        <w:rPr>
          <w:b/>
        </w:rPr>
        <w:t>partner</w:t>
      </w:r>
      <w:r w:rsidR="00907D8C" w:rsidRPr="00211189">
        <w:rPr>
          <w:b/>
        </w:rPr>
        <w:t xml:space="preserve"> </w:t>
      </w:r>
      <w:r w:rsidRPr="00211189">
        <w:rPr>
          <w:b/>
        </w:rPr>
        <w:t>is</w:t>
      </w:r>
      <w:r w:rsidR="00907D8C" w:rsidRPr="00211189">
        <w:rPr>
          <w:b/>
        </w:rPr>
        <w:t xml:space="preserve"> </w:t>
      </w:r>
      <w:r w:rsidRPr="00211189">
        <w:rPr>
          <w:b/>
        </w:rPr>
        <w:t>using</w:t>
      </w:r>
      <w:r w:rsidR="00907D8C" w:rsidRPr="00211189">
        <w:rPr>
          <w:b/>
        </w:rPr>
        <w:t xml:space="preserve"> </w:t>
      </w:r>
      <w:r w:rsidRPr="00211189">
        <w:rPr>
          <w:b/>
        </w:rPr>
        <w:t>contraception</w:t>
      </w:r>
      <w:bookmarkEnd w:id="6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0BF" w:firstRow="1" w:lastRow="0" w:firstColumn="1" w:lastColumn="0" w:noHBand="0" w:noVBand="0"/>
      </w:tblPr>
      <w:tblGrid>
        <w:gridCol w:w="1067"/>
        <w:gridCol w:w="1050"/>
        <w:gridCol w:w="1051"/>
        <w:gridCol w:w="1051"/>
        <w:gridCol w:w="1049"/>
        <w:gridCol w:w="1051"/>
        <w:gridCol w:w="1051"/>
      </w:tblGrid>
      <w:tr w:rsidR="00036FAC" w:rsidRPr="00211189" w:rsidTr="00211189">
        <w:trPr>
          <w:trHeight w:val="240"/>
          <w:tblHeader/>
        </w:trPr>
        <w:tc>
          <w:tcPr>
            <w:tcW w:w="723"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rPr>
                <w:i/>
                <w:sz w:val="16"/>
              </w:rPr>
            </w:pPr>
          </w:p>
        </w:tc>
        <w:tc>
          <w:tcPr>
            <w:tcW w:w="712"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All</w:t>
            </w:r>
            <w:r w:rsidR="00211189">
              <w:rPr>
                <w:i/>
                <w:sz w:val="16"/>
              </w:rPr>
              <w:t xml:space="preserve"> </w:t>
            </w:r>
            <w:r w:rsidRPr="00211189">
              <w:rPr>
                <w:i/>
                <w:sz w:val="16"/>
              </w:rPr>
              <w:t>(%)</w:t>
            </w:r>
          </w:p>
        </w:tc>
        <w:tc>
          <w:tcPr>
            <w:tcW w:w="713"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European</w:t>
            </w:r>
            <w:r w:rsidR="00211189">
              <w:rPr>
                <w:i/>
                <w:sz w:val="16"/>
              </w:rPr>
              <w:t xml:space="preserve"> </w:t>
            </w:r>
            <w:r w:rsidRPr="00211189">
              <w:rPr>
                <w:i/>
                <w:sz w:val="16"/>
              </w:rPr>
              <w:t>(%)</w:t>
            </w:r>
          </w:p>
        </w:tc>
        <w:tc>
          <w:tcPr>
            <w:tcW w:w="713"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Māori</w:t>
            </w:r>
            <w:r w:rsidR="00211189">
              <w:rPr>
                <w:i/>
                <w:sz w:val="16"/>
              </w:rPr>
              <w:t xml:space="preserve"> </w:t>
            </w:r>
            <w:r w:rsidRPr="00211189">
              <w:rPr>
                <w:i/>
                <w:sz w:val="16"/>
              </w:rPr>
              <w:t>(%)</w:t>
            </w:r>
          </w:p>
        </w:tc>
        <w:tc>
          <w:tcPr>
            <w:tcW w:w="712"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Other</w:t>
            </w:r>
            <w:r w:rsidR="00211189">
              <w:rPr>
                <w:i/>
                <w:sz w:val="16"/>
              </w:rPr>
              <w:t xml:space="preserve"> </w:t>
            </w:r>
            <w:r w:rsidRPr="00211189">
              <w:rPr>
                <w:i/>
                <w:sz w:val="16"/>
              </w:rPr>
              <w:t>(%)</w:t>
            </w:r>
          </w:p>
        </w:tc>
        <w:tc>
          <w:tcPr>
            <w:tcW w:w="713"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Asian</w:t>
            </w:r>
            <w:r w:rsidR="00211189">
              <w:rPr>
                <w:i/>
                <w:sz w:val="16"/>
              </w:rPr>
              <w:t xml:space="preserve"> </w:t>
            </w:r>
            <w:r w:rsidRPr="00211189">
              <w:rPr>
                <w:i/>
                <w:sz w:val="16"/>
              </w:rPr>
              <w:t>(%)</w:t>
            </w:r>
          </w:p>
        </w:tc>
        <w:tc>
          <w:tcPr>
            <w:tcW w:w="713" w:type="pct"/>
            <w:tcBorders>
              <w:top w:val="single" w:sz="4" w:space="0" w:color="auto"/>
              <w:bottom w:val="single" w:sz="12" w:space="0" w:color="auto"/>
            </w:tcBorders>
            <w:shd w:val="clear" w:color="auto" w:fill="auto"/>
            <w:vAlign w:val="bottom"/>
          </w:tcPr>
          <w:p w:rsidR="00036FAC" w:rsidRPr="00211189" w:rsidRDefault="00036FAC" w:rsidP="00211189">
            <w:pPr>
              <w:suppressAutoHyphens w:val="0"/>
              <w:spacing w:before="80" w:after="80" w:line="200" w:lineRule="exact"/>
              <w:ind w:right="113"/>
              <w:jc w:val="right"/>
              <w:rPr>
                <w:i/>
                <w:sz w:val="16"/>
              </w:rPr>
            </w:pPr>
            <w:r w:rsidRPr="00211189">
              <w:rPr>
                <w:i/>
                <w:sz w:val="16"/>
              </w:rPr>
              <w:t>Pacifi</w:t>
            </w:r>
            <w:r w:rsidR="00211189">
              <w:rPr>
                <w:i/>
                <w:sz w:val="16"/>
              </w:rPr>
              <w:t xml:space="preserve">c </w:t>
            </w:r>
            <w:r w:rsidRPr="00211189">
              <w:rPr>
                <w:i/>
                <w:sz w:val="16"/>
              </w:rPr>
              <w:t>(%)</w:t>
            </w:r>
          </w:p>
        </w:tc>
      </w:tr>
      <w:tr w:rsidR="00036FAC" w:rsidRPr="00211189" w:rsidTr="00211189">
        <w:trPr>
          <w:trHeight w:val="240"/>
        </w:trPr>
        <w:tc>
          <w:tcPr>
            <w:tcW w:w="723" w:type="pct"/>
            <w:tcBorders>
              <w:top w:val="single" w:sz="12" w:space="0" w:color="auto"/>
            </w:tcBorders>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10–14</w:t>
            </w:r>
            <w:r w:rsidR="00907D8C" w:rsidRPr="00211189">
              <w:rPr>
                <w:sz w:val="18"/>
              </w:rPr>
              <w:t xml:space="preserve"> </w:t>
            </w:r>
            <w:r w:rsidRPr="00211189">
              <w:rPr>
                <w:sz w:val="18"/>
              </w:rPr>
              <w:t>years</w:t>
            </w:r>
          </w:p>
        </w:tc>
        <w:tc>
          <w:tcPr>
            <w:tcW w:w="712"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1.1</w:t>
            </w:r>
          </w:p>
        </w:tc>
        <w:tc>
          <w:tcPr>
            <w:tcW w:w="713"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1.2</w:t>
            </w:r>
          </w:p>
        </w:tc>
        <w:tc>
          <w:tcPr>
            <w:tcW w:w="713"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1.4</w:t>
            </w:r>
          </w:p>
        </w:tc>
        <w:tc>
          <w:tcPr>
            <w:tcW w:w="712"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0.4</w:t>
            </w:r>
          </w:p>
        </w:tc>
        <w:tc>
          <w:tcPr>
            <w:tcW w:w="713"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0.3</w:t>
            </w:r>
          </w:p>
        </w:tc>
        <w:tc>
          <w:tcPr>
            <w:tcW w:w="713" w:type="pct"/>
            <w:tcBorders>
              <w:top w:val="single" w:sz="12" w:space="0" w:color="auto"/>
            </w:tcBorders>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0.3</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15–19</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26.9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34.9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22.2</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12.8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7.8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8.2</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20–24</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39.0</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50.2</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26.3</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26.6</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20.2</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16.3</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25–29</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31.9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40.7</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22.2</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22.8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18.8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15.7</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30–34</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25.2</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30.9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17.8</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19.1</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15.7</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13.3</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35–39</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17.9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21.1</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12.5</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14.0</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11.8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9.9</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40–44</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10.8</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12.4</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7.6</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8.1</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8.2</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6.4</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45–49</w:t>
            </w:r>
            <w:r w:rsidR="00907D8C" w:rsidRPr="00211189">
              <w:rPr>
                <w:sz w:val="18"/>
              </w:rPr>
              <w:t xml:space="preserve"> </w:t>
            </w:r>
            <w:r w:rsidRPr="00211189">
              <w:rPr>
                <w:sz w:val="18"/>
              </w:rPr>
              <w:t>years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6.2</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7.0</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4.3</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4.9</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4.5</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3.4</w:t>
            </w:r>
          </w:p>
        </w:tc>
      </w:tr>
      <w:tr w:rsidR="00036FAC" w:rsidRPr="00211189" w:rsidTr="00211189">
        <w:trPr>
          <w:trHeight w:val="240"/>
        </w:trPr>
        <w:tc>
          <w:tcPr>
            <w:tcW w:w="723" w:type="pct"/>
            <w:shd w:val="clear" w:color="auto" w:fill="auto"/>
          </w:tcPr>
          <w:p w:rsidR="00036FAC" w:rsidRPr="00211189" w:rsidRDefault="00036FAC" w:rsidP="00211189">
            <w:pPr>
              <w:suppressAutoHyphens w:val="0"/>
              <w:spacing w:before="40" w:after="40" w:line="220" w:lineRule="exact"/>
              <w:ind w:right="113"/>
              <w:rPr>
                <w:sz w:val="18"/>
              </w:rPr>
            </w:pPr>
            <w:r w:rsidRPr="00211189">
              <w:rPr>
                <w:sz w:val="18"/>
              </w:rPr>
              <w:t>All</w:t>
            </w:r>
            <w:r w:rsidR="00907D8C" w:rsidRPr="00211189">
              <w:rPr>
                <w:sz w:val="18"/>
              </w:rPr>
              <w:t xml:space="preserve"> </w:t>
            </w:r>
            <w:r w:rsidR="000C7DAB">
              <w:rPr>
                <w:sz w:val="18"/>
              </w:rPr>
              <w:t>a</w:t>
            </w:r>
            <w:r w:rsidRPr="00211189">
              <w:rPr>
                <w:sz w:val="18"/>
              </w:rPr>
              <w:t>ges</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19.5</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23.7</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14.6</w:t>
            </w:r>
          </w:p>
        </w:tc>
        <w:tc>
          <w:tcPr>
            <w:tcW w:w="712"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14.5</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11.3</w:t>
            </w:r>
          </w:p>
        </w:tc>
        <w:tc>
          <w:tcPr>
            <w:tcW w:w="713" w:type="pct"/>
            <w:shd w:val="clear" w:color="auto" w:fill="auto"/>
            <w:vAlign w:val="bottom"/>
          </w:tcPr>
          <w:p w:rsidR="00036FAC" w:rsidRPr="00211189" w:rsidRDefault="00036FAC" w:rsidP="00211189">
            <w:pPr>
              <w:suppressAutoHyphens w:val="0"/>
              <w:spacing w:before="40" w:after="40" w:line="220" w:lineRule="exact"/>
              <w:ind w:right="113"/>
              <w:jc w:val="right"/>
              <w:rPr>
                <w:sz w:val="18"/>
              </w:rPr>
            </w:pPr>
            <w:r w:rsidRPr="00211189">
              <w:rPr>
                <w:sz w:val="18"/>
              </w:rPr>
              <w:t>9.2</w:t>
            </w:r>
          </w:p>
        </w:tc>
      </w:tr>
    </w:tbl>
    <w:p w:rsidR="00036FAC" w:rsidRPr="00211189" w:rsidRDefault="00036FAC" w:rsidP="00B50FB5">
      <w:pPr>
        <w:spacing w:before="120" w:after="240"/>
        <w:ind w:left="1134" w:right="1134" w:firstLine="170"/>
        <w:rPr>
          <w:sz w:val="18"/>
          <w:szCs w:val="18"/>
        </w:rPr>
      </w:pPr>
      <w:r w:rsidRPr="00211189">
        <w:rPr>
          <w:i/>
          <w:sz w:val="18"/>
          <w:szCs w:val="18"/>
        </w:rPr>
        <w:t>Source</w:t>
      </w:r>
      <w:r w:rsidRPr="00211189">
        <w:rPr>
          <w:sz w:val="18"/>
          <w:szCs w:val="18"/>
        </w:rPr>
        <w:t>:</w:t>
      </w:r>
      <w:r w:rsidR="00211189">
        <w:rPr>
          <w:sz w:val="18"/>
          <w:szCs w:val="18"/>
        </w:rPr>
        <w:t xml:space="preserve"> </w:t>
      </w:r>
      <w:r w:rsidR="00907D8C" w:rsidRPr="00211189">
        <w:rPr>
          <w:sz w:val="18"/>
          <w:szCs w:val="18"/>
        </w:rPr>
        <w:t xml:space="preserve"> </w:t>
      </w:r>
      <w:r w:rsidRPr="00211189">
        <w:rPr>
          <w:sz w:val="18"/>
          <w:szCs w:val="18"/>
        </w:rPr>
        <w:t>Ministry</w:t>
      </w:r>
      <w:r w:rsidR="00907D8C" w:rsidRPr="00211189">
        <w:rPr>
          <w:sz w:val="18"/>
          <w:szCs w:val="18"/>
        </w:rPr>
        <w:t xml:space="preserve"> </w:t>
      </w:r>
      <w:r w:rsidRPr="00211189">
        <w:rPr>
          <w:sz w:val="18"/>
          <w:szCs w:val="18"/>
        </w:rPr>
        <w:t>of</w:t>
      </w:r>
      <w:r w:rsidR="00907D8C" w:rsidRPr="00211189">
        <w:rPr>
          <w:sz w:val="18"/>
          <w:szCs w:val="18"/>
        </w:rPr>
        <w:t xml:space="preserve"> </w:t>
      </w:r>
      <w:r w:rsidRPr="00211189">
        <w:rPr>
          <w:sz w:val="18"/>
          <w:szCs w:val="18"/>
        </w:rPr>
        <w:t>Health</w:t>
      </w:r>
      <w:r w:rsidR="00211189" w:rsidRPr="00211189">
        <w:rPr>
          <w:sz w:val="18"/>
          <w:szCs w:val="18"/>
        </w:rPr>
        <w:t>.</w:t>
      </w:r>
    </w:p>
    <w:p w:rsidR="00036FAC" w:rsidRPr="00036FAC" w:rsidRDefault="00036FAC" w:rsidP="006C436C">
      <w:pPr>
        <w:pStyle w:val="H23G"/>
      </w:pPr>
      <w:r w:rsidRPr="00036FAC">
        <w:tab/>
        <w:t>(k)</w:t>
      </w:r>
      <w:r w:rsidRPr="00036FAC">
        <w:tab/>
        <w:t>Abortions</w:t>
      </w:r>
    </w:p>
    <w:p w:rsidR="00036FAC" w:rsidRPr="00036FAC" w:rsidRDefault="00036FAC" w:rsidP="00211189">
      <w:pPr>
        <w:pStyle w:val="SingleTxtG"/>
      </w:pPr>
      <w:r w:rsidRPr="00036FAC">
        <w:t>104.</w:t>
      </w:r>
      <w:r w:rsidRPr="00036FAC">
        <w:tab/>
        <w:t>There</w:t>
      </w:r>
      <w:r w:rsidR="00907D8C">
        <w:t xml:space="preserve"> </w:t>
      </w:r>
      <w:r w:rsidRPr="00036FAC">
        <w:t>were</w:t>
      </w:r>
      <w:r w:rsidR="00907D8C">
        <w:t xml:space="preserve"> </w:t>
      </w:r>
      <w:r w:rsidRPr="00036FAC">
        <w:t>17,940</w:t>
      </w:r>
      <w:r w:rsidR="00907D8C">
        <w:t xml:space="preserve"> </w:t>
      </w:r>
      <w:r w:rsidRPr="00036FAC">
        <w:t>induced</w:t>
      </w:r>
      <w:r w:rsidR="00907D8C">
        <w:t xml:space="preserve"> </w:t>
      </w:r>
      <w:r w:rsidRPr="00036FAC">
        <w:t>abortions</w:t>
      </w:r>
      <w:r w:rsidR="00907D8C">
        <w:t xml:space="preserve"> </w:t>
      </w:r>
      <w:r w:rsidRPr="00036FAC">
        <w:t>performed</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in</w:t>
      </w:r>
      <w:r w:rsidR="00907D8C">
        <w:t xml:space="preserve"> </w:t>
      </w:r>
      <w:r w:rsidRPr="00036FAC">
        <w:t>the</w:t>
      </w:r>
      <w:r w:rsidR="00907D8C">
        <w:t xml:space="preserve"> </w:t>
      </w:r>
      <w:r w:rsidRPr="00036FAC">
        <w:t>December</w:t>
      </w:r>
      <w:r w:rsidR="00907D8C">
        <w:t xml:space="preserve"> </w:t>
      </w:r>
      <w:r w:rsidRPr="00036FAC">
        <w:t>2008</w:t>
      </w:r>
      <w:r w:rsidR="00907D8C">
        <w:t xml:space="preserve"> </w:t>
      </w:r>
      <w:r w:rsidRPr="00036FAC">
        <w:t>year.</w:t>
      </w:r>
      <w:r w:rsidR="00907D8C">
        <w:t xml:space="preserve"> </w:t>
      </w:r>
      <w:r w:rsidRPr="00036FAC">
        <w:t>This</w:t>
      </w:r>
      <w:r w:rsidR="00907D8C">
        <w:t xml:space="preserve"> </w:t>
      </w:r>
      <w:r w:rsidRPr="00036FAC">
        <w:t>figure</w:t>
      </w:r>
      <w:r w:rsidR="00907D8C">
        <w:t xml:space="preserve"> </w:t>
      </w:r>
      <w:r w:rsidRPr="00036FAC">
        <w:t>is</w:t>
      </w:r>
      <w:r w:rsidR="00907D8C">
        <w:t xml:space="preserve"> </w:t>
      </w:r>
      <w:r w:rsidRPr="00036FAC">
        <w:t>down</w:t>
      </w:r>
      <w:r w:rsidR="00907D8C">
        <w:t xml:space="preserve"> </w:t>
      </w:r>
      <w:r w:rsidRPr="00036FAC">
        <w:t>from</w:t>
      </w:r>
      <w:r w:rsidR="00907D8C">
        <w:t xml:space="preserve"> </w:t>
      </w:r>
      <w:r w:rsidRPr="00036FAC">
        <w:t>18,382</w:t>
      </w:r>
      <w:r w:rsidR="00907D8C">
        <w:t xml:space="preserve"> </w:t>
      </w:r>
      <w:r w:rsidRPr="00036FAC">
        <w:t>in</w:t>
      </w:r>
      <w:r w:rsidR="00907D8C">
        <w:t xml:space="preserve"> </w:t>
      </w:r>
      <w:r w:rsidRPr="00036FAC">
        <w:t>2007,</w:t>
      </w:r>
      <w:r w:rsidR="00907D8C">
        <w:t xml:space="preserve"> </w:t>
      </w:r>
      <w:r w:rsidRPr="00036FAC">
        <w:t>and</w:t>
      </w:r>
      <w:r w:rsidR="00907D8C">
        <w:t xml:space="preserve"> </w:t>
      </w:r>
      <w:r w:rsidRPr="00036FAC">
        <w:t>similar</w:t>
      </w:r>
      <w:r w:rsidR="00907D8C">
        <w:t xml:space="preserve"> </w:t>
      </w:r>
      <w:r w:rsidRPr="00036FAC">
        <w:t>to</w:t>
      </w:r>
      <w:r w:rsidR="00907D8C">
        <w:t xml:space="preserve"> </w:t>
      </w:r>
      <w:r w:rsidRPr="00036FAC">
        <w:t>the</w:t>
      </w:r>
      <w:r w:rsidR="00907D8C">
        <w:t xml:space="preserve"> </w:t>
      </w:r>
      <w:r w:rsidRPr="00036FAC">
        <w:t>number</w:t>
      </w:r>
      <w:r w:rsidR="00907D8C">
        <w:t xml:space="preserve"> </w:t>
      </w:r>
      <w:r w:rsidRPr="00036FAC">
        <w:t>in</w:t>
      </w:r>
      <w:r w:rsidR="00907D8C">
        <w:t xml:space="preserve"> </w:t>
      </w:r>
      <w:r w:rsidRPr="00036FAC">
        <w:t>2006.</w:t>
      </w:r>
      <w:r w:rsidR="00907D8C">
        <w:t xml:space="preserve"> </w:t>
      </w:r>
      <w:r w:rsidRPr="00036FAC">
        <w:t>The</w:t>
      </w:r>
      <w:r w:rsidR="00907D8C">
        <w:t xml:space="preserve"> </w:t>
      </w:r>
      <w:r w:rsidRPr="00036FAC">
        <w:t>abortion</w:t>
      </w:r>
      <w:r w:rsidR="00907D8C">
        <w:t xml:space="preserve"> </w:t>
      </w:r>
      <w:r w:rsidRPr="00036FAC">
        <w:t>rate</w:t>
      </w:r>
      <w:r w:rsidR="00907D8C">
        <w:t xml:space="preserve"> </w:t>
      </w:r>
      <w:r w:rsidRPr="00036FAC">
        <w:t>(abortions</w:t>
      </w:r>
      <w:r w:rsidR="00907D8C">
        <w:t xml:space="preserve"> </w:t>
      </w:r>
      <w:r w:rsidRPr="00036FAC">
        <w:t>per</w:t>
      </w:r>
      <w:r w:rsidR="00907D8C">
        <w:t xml:space="preserve"> </w:t>
      </w:r>
      <w:r w:rsidRPr="00036FAC">
        <w:t>1,000</w:t>
      </w:r>
      <w:r w:rsidR="00907D8C">
        <w:t xml:space="preserve"> </w:t>
      </w:r>
      <w:r w:rsidRPr="00036FAC">
        <w:t>women</w:t>
      </w:r>
      <w:r w:rsidR="00907D8C">
        <w:t xml:space="preserve"> </w:t>
      </w:r>
      <w:r w:rsidRPr="00036FAC">
        <w:t>aged</w:t>
      </w:r>
      <w:r w:rsidR="00907D8C">
        <w:t xml:space="preserve"> </w:t>
      </w:r>
      <w:r w:rsidRPr="00036FAC">
        <w:t>14–44</w:t>
      </w:r>
      <w:r w:rsidR="00907D8C">
        <w:t xml:space="preserve"> </w:t>
      </w:r>
      <w:r w:rsidRPr="00036FAC">
        <w:t>years)</w:t>
      </w:r>
      <w:r w:rsidR="00907D8C">
        <w:t xml:space="preserve"> </w:t>
      </w:r>
      <w:r w:rsidRPr="00036FAC">
        <w:t>increased</w:t>
      </w:r>
      <w:r w:rsidR="00907D8C">
        <w:t xml:space="preserve"> </w:t>
      </w:r>
      <w:r w:rsidRPr="00036FAC">
        <w:t>from</w:t>
      </w:r>
      <w:r w:rsidR="00907D8C">
        <w:t xml:space="preserve"> </w:t>
      </w:r>
      <w:r w:rsidRPr="00036FAC">
        <w:t>19.6</w:t>
      </w:r>
      <w:r w:rsidR="00907D8C">
        <w:t xml:space="preserve"> </w:t>
      </w:r>
      <w:r w:rsidRPr="00036FAC">
        <w:t>in</w:t>
      </w:r>
      <w:r w:rsidR="00907D8C">
        <w:t xml:space="preserve"> </w:t>
      </w:r>
      <w:r w:rsidRPr="00036FAC">
        <w:t>2006</w:t>
      </w:r>
      <w:r w:rsidR="00907D8C">
        <w:t xml:space="preserve"> </w:t>
      </w:r>
      <w:r w:rsidRPr="00036FAC">
        <w:t>to</w:t>
      </w:r>
      <w:r w:rsidR="00907D8C">
        <w:t xml:space="preserve"> </w:t>
      </w:r>
      <w:r w:rsidRPr="00036FAC">
        <w:t>20.1</w:t>
      </w:r>
      <w:r w:rsidR="00907D8C">
        <w:t xml:space="preserve"> </w:t>
      </w:r>
      <w:r w:rsidRPr="00036FAC">
        <w:t>in</w:t>
      </w:r>
      <w:r w:rsidR="00907D8C">
        <w:t xml:space="preserve"> </w:t>
      </w:r>
      <w:r w:rsidRPr="00036FAC">
        <w:t>2007,</w:t>
      </w:r>
      <w:r w:rsidR="00907D8C">
        <w:t xml:space="preserve"> </w:t>
      </w:r>
      <w:r w:rsidRPr="00036FAC">
        <w:t>then</w:t>
      </w:r>
      <w:r w:rsidR="00907D8C">
        <w:t xml:space="preserve"> </w:t>
      </w:r>
      <w:r w:rsidRPr="00036FAC">
        <w:t>dropped</w:t>
      </w:r>
      <w:r w:rsidR="00907D8C">
        <w:t xml:space="preserve"> </w:t>
      </w:r>
      <w:r w:rsidRPr="00036FAC">
        <w:t>back</w:t>
      </w:r>
      <w:r w:rsidR="00907D8C">
        <w:t xml:space="preserve"> </w:t>
      </w:r>
      <w:r w:rsidRPr="00036FAC">
        <w:t>to</w:t>
      </w:r>
      <w:r w:rsidR="00907D8C">
        <w:t xml:space="preserve"> </w:t>
      </w:r>
      <w:r w:rsidRPr="00036FAC">
        <w:t>19.7</w:t>
      </w:r>
      <w:r w:rsidR="00907D8C">
        <w:t xml:space="preserve"> </w:t>
      </w:r>
      <w:r w:rsidRPr="00036FAC">
        <w:t>in</w:t>
      </w:r>
      <w:r w:rsidR="00907D8C">
        <w:t xml:space="preserve"> </w:t>
      </w:r>
      <w:r w:rsidRPr="00036FAC">
        <w:t>2008.</w:t>
      </w:r>
    </w:p>
    <w:p w:rsidR="00036FAC" w:rsidRPr="00036FAC" w:rsidRDefault="00036FAC" w:rsidP="006C436C">
      <w:pPr>
        <w:pStyle w:val="H23G"/>
      </w:pPr>
      <w:r w:rsidRPr="00036FAC">
        <w:tab/>
        <w:t>(l)</w:t>
      </w:r>
      <w:r w:rsidRPr="00036FAC">
        <w:tab/>
        <w:t>Nutrition</w:t>
      </w:r>
      <w:r w:rsidR="00907D8C">
        <w:t xml:space="preserve"> </w:t>
      </w:r>
      <w:r w:rsidRPr="00036FAC">
        <w:t>and</w:t>
      </w:r>
      <w:r w:rsidR="00907D8C">
        <w:t xml:space="preserve"> </w:t>
      </w:r>
      <w:r w:rsidRPr="00036FAC">
        <w:t>weight</w:t>
      </w:r>
    </w:p>
    <w:p w:rsidR="00036FAC" w:rsidRPr="00036FAC" w:rsidRDefault="00036FAC" w:rsidP="00211189">
      <w:pPr>
        <w:pStyle w:val="SingleTxtG"/>
      </w:pPr>
      <w:r w:rsidRPr="00036FAC">
        <w:t>105.</w:t>
      </w:r>
      <w:r w:rsidRPr="00036FAC">
        <w:tab/>
        <w:t>National</w:t>
      </w:r>
      <w:r w:rsidR="00907D8C">
        <w:t xml:space="preserve"> </w:t>
      </w:r>
      <w:r w:rsidRPr="00036FAC">
        <w:t>nutrition</w:t>
      </w:r>
      <w:r w:rsidR="00907D8C">
        <w:t xml:space="preserve"> </w:t>
      </w:r>
      <w:r w:rsidRPr="00036FAC">
        <w:t>surveys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are</w:t>
      </w:r>
      <w:r w:rsidR="00907D8C">
        <w:t xml:space="preserve"> </w:t>
      </w:r>
      <w:r w:rsidRPr="00036FAC">
        <w:t>undertaken</w:t>
      </w:r>
      <w:r w:rsidR="00907D8C">
        <w:t xml:space="preserve"> </w:t>
      </w:r>
      <w:r w:rsidRPr="00036FAC">
        <w:t>once</w:t>
      </w:r>
      <w:r w:rsidR="00907D8C">
        <w:t xml:space="preserve"> </w:t>
      </w:r>
      <w:r w:rsidRPr="00036FAC">
        <w:t>every</w:t>
      </w:r>
      <w:r w:rsidR="00907D8C">
        <w:t xml:space="preserve"> </w:t>
      </w:r>
      <w:r w:rsidRPr="00036FAC">
        <w:t>five</w:t>
      </w:r>
      <w:r w:rsidR="00907D8C">
        <w:t xml:space="preserve"> </w:t>
      </w:r>
      <w:r w:rsidRPr="00036FAC">
        <w:t>years</w:t>
      </w:r>
      <w:r w:rsidR="00907D8C">
        <w:t xml:space="preserve"> </w:t>
      </w:r>
      <w:r w:rsidRPr="00036FAC">
        <w:t>for</w:t>
      </w:r>
      <w:r w:rsidR="00907D8C">
        <w:t xml:space="preserve"> </w:t>
      </w:r>
      <w:r w:rsidRPr="00036FAC">
        <w:t>adults</w:t>
      </w:r>
      <w:r w:rsidR="00907D8C">
        <w:t xml:space="preserve"> </w:t>
      </w:r>
      <w:r w:rsidRPr="00036FAC">
        <w:t>or</w:t>
      </w:r>
      <w:r w:rsidR="00907D8C">
        <w:t xml:space="preserve"> </w:t>
      </w:r>
      <w:r w:rsidRPr="00036FAC">
        <w:t>children.</w:t>
      </w:r>
      <w:r w:rsidR="00907D8C">
        <w:t xml:space="preserve"> </w:t>
      </w:r>
      <w:r w:rsidRPr="00036FAC">
        <w:t>Data</w:t>
      </w:r>
      <w:r w:rsidR="00907D8C">
        <w:t xml:space="preserve"> </w:t>
      </w:r>
      <w:r w:rsidRPr="00036FAC">
        <w:t>used</w:t>
      </w:r>
      <w:r w:rsidR="00907D8C">
        <w:t xml:space="preserve"> </w:t>
      </w:r>
      <w:r w:rsidRPr="00036FAC">
        <w:t>below</w:t>
      </w:r>
      <w:r w:rsidR="00907D8C">
        <w:t xml:space="preserve"> </w:t>
      </w:r>
      <w:r w:rsidRPr="00036FAC">
        <w:t>are</w:t>
      </w:r>
      <w:r w:rsidR="00907D8C">
        <w:t xml:space="preserve"> </w:t>
      </w:r>
      <w:r w:rsidRPr="00036FAC">
        <w:t>from</w:t>
      </w:r>
      <w:r w:rsidR="00907D8C">
        <w:t xml:space="preserve"> </w:t>
      </w:r>
      <w:r w:rsidRPr="00036FAC">
        <w:t>the</w:t>
      </w:r>
      <w:r w:rsidR="00907D8C">
        <w:t xml:space="preserve"> </w:t>
      </w:r>
      <w:r w:rsidRPr="00036FAC">
        <w:t>1997</w:t>
      </w:r>
      <w:r w:rsidR="00907D8C">
        <w:t xml:space="preserve"> </w:t>
      </w:r>
      <w:r w:rsidRPr="00036FAC">
        <w:t>adult</w:t>
      </w:r>
      <w:r w:rsidR="00907D8C">
        <w:t xml:space="preserve"> </w:t>
      </w:r>
      <w:r w:rsidRPr="00036FAC">
        <w:t>survey</w:t>
      </w:r>
      <w:r w:rsidR="00907D8C">
        <w:t xml:space="preserve"> </w:t>
      </w:r>
      <w:r w:rsidRPr="00036FAC">
        <w:t>and</w:t>
      </w:r>
      <w:r w:rsidR="00907D8C">
        <w:t xml:space="preserve"> </w:t>
      </w:r>
      <w:r w:rsidRPr="00036FAC">
        <w:t>the</w:t>
      </w:r>
      <w:r w:rsidR="00907D8C">
        <w:t xml:space="preserve"> </w:t>
      </w:r>
      <w:r w:rsidRPr="00036FAC">
        <w:t>2002</w:t>
      </w:r>
      <w:r w:rsidR="00907D8C">
        <w:t xml:space="preserve"> </w:t>
      </w:r>
      <w:r w:rsidRPr="00036FAC">
        <w:t>survey</w:t>
      </w:r>
      <w:r w:rsidR="00907D8C">
        <w:t xml:space="preserve"> </w:t>
      </w:r>
      <w:r w:rsidRPr="00036FAC">
        <w:t>of</w:t>
      </w:r>
      <w:r w:rsidR="00907D8C">
        <w:t xml:space="preserve"> </w:t>
      </w:r>
      <w:r w:rsidRPr="00036FAC">
        <w:t>children.</w:t>
      </w:r>
    </w:p>
    <w:p w:rsidR="00036FAC" w:rsidRPr="00036FAC" w:rsidRDefault="00036FAC" w:rsidP="00211189">
      <w:pPr>
        <w:pStyle w:val="SingleTxtG"/>
      </w:pPr>
      <w:r w:rsidRPr="00036FAC">
        <w:t>106.</w:t>
      </w:r>
      <w:r w:rsidRPr="00036FAC">
        <w:tab/>
        <w:t>Dietary</w:t>
      </w:r>
      <w:r w:rsidR="00907D8C">
        <w:t xml:space="preserve"> </w:t>
      </w:r>
      <w:r w:rsidRPr="00036FAC">
        <w:t>intakes</w:t>
      </w:r>
      <w:r w:rsidR="00907D8C">
        <w:t xml:space="preserve"> </w:t>
      </w:r>
      <w:r w:rsidRPr="00036FAC">
        <w:t>for</w:t>
      </w:r>
      <w:r w:rsidR="00907D8C">
        <w:t xml:space="preserve"> </w:t>
      </w:r>
      <w:r w:rsidRPr="00036FAC">
        <w:t>New</w:t>
      </w:r>
      <w:r w:rsidR="00907D8C">
        <w:t xml:space="preserve"> </w:t>
      </w:r>
      <w:r w:rsidRPr="00036FAC">
        <w:t>Zealanders</w:t>
      </w:r>
      <w:r w:rsidR="00907D8C">
        <w:t xml:space="preserve"> </w:t>
      </w:r>
      <w:r w:rsidRPr="00036FAC">
        <w:t>(both</w:t>
      </w:r>
      <w:r w:rsidR="00907D8C">
        <w:t xml:space="preserve"> </w:t>
      </w:r>
      <w:r w:rsidRPr="00036FAC">
        <w:t>adults</w:t>
      </w:r>
      <w:r w:rsidR="00907D8C">
        <w:t xml:space="preserve"> </w:t>
      </w:r>
      <w:r w:rsidRPr="00036FAC">
        <w:t>and</w:t>
      </w:r>
      <w:r w:rsidR="00907D8C">
        <w:t xml:space="preserve"> </w:t>
      </w:r>
      <w:r w:rsidRPr="00036FAC">
        <w:t>children)</w:t>
      </w:r>
      <w:r w:rsidR="00907D8C">
        <w:t xml:space="preserve"> </w:t>
      </w:r>
      <w:r w:rsidRPr="00036FAC">
        <w:t>of</w:t>
      </w:r>
      <w:r w:rsidR="00907D8C">
        <w:t xml:space="preserve"> </w:t>
      </w:r>
      <w:r w:rsidRPr="00036FAC">
        <w:t>most</w:t>
      </w:r>
      <w:r w:rsidR="00907D8C">
        <w:t xml:space="preserve"> </w:t>
      </w:r>
      <w:r w:rsidRPr="00036FAC">
        <w:t>vitamins</w:t>
      </w:r>
      <w:r w:rsidR="00907D8C">
        <w:t xml:space="preserve"> </w:t>
      </w:r>
      <w:r w:rsidRPr="00036FAC">
        <w:t>appear</w:t>
      </w:r>
      <w:r w:rsidR="00907D8C">
        <w:t xml:space="preserve"> </w:t>
      </w:r>
      <w:r w:rsidRPr="00036FAC">
        <w:t>satisfactory.</w:t>
      </w:r>
      <w:r w:rsidR="00907D8C">
        <w:t xml:space="preserve"> </w:t>
      </w:r>
      <w:r w:rsidRPr="00036FAC">
        <w:t>However,</w:t>
      </w:r>
      <w:r w:rsidR="00907D8C">
        <w:t xml:space="preserve"> </w:t>
      </w:r>
      <w:r w:rsidRPr="00036FAC">
        <w:t>there</w:t>
      </w:r>
      <w:r w:rsidR="00907D8C">
        <w:t xml:space="preserve"> </w:t>
      </w:r>
      <w:r w:rsidRPr="00036FAC">
        <w:t>is</w:t>
      </w:r>
      <w:r w:rsidR="00907D8C">
        <w:t xml:space="preserve"> </w:t>
      </w:r>
      <w:r w:rsidRPr="00036FAC">
        <w:t>a</w:t>
      </w:r>
      <w:r w:rsidR="00907D8C">
        <w:t xml:space="preserve"> </w:t>
      </w:r>
      <w:r w:rsidRPr="00036FAC">
        <w:t>greater</w:t>
      </w:r>
      <w:r w:rsidR="00907D8C">
        <w:t xml:space="preserve"> </w:t>
      </w:r>
      <w:r w:rsidRPr="00036FAC">
        <w:t>risk</w:t>
      </w:r>
      <w:r w:rsidR="00907D8C">
        <w:t xml:space="preserve"> </w:t>
      </w:r>
      <w:r w:rsidRPr="00036FAC">
        <w:t>of</w:t>
      </w:r>
      <w:r w:rsidR="00907D8C">
        <w:t xml:space="preserve"> </w:t>
      </w:r>
      <w:r w:rsidRPr="00036FAC">
        <w:t>inadequate</w:t>
      </w:r>
      <w:r w:rsidR="00907D8C">
        <w:t xml:space="preserve"> </w:t>
      </w:r>
      <w:r w:rsidRPr="00036FAC">
        <w:t>intakes</w:t>
      </w:r>
      <w:r w:rsidR="00907D8C">
        <w:t xml:space="preserve"> </w:t>
      </w:r>
      <w:r w:rsidRPr="00036FAC">
        <w:t>of</w:t>
      </w:r>
      <w:r w:rsidR="00907D8C">
        <w:t xml:space="preserve"> </w:t>
      </w:r>
      <w:r w:rsidRPr="00036FAC">
        <w:t>vitamin</w:t>
      </w:r>
      <w:r w:rsidR="00907D8C">
        <w:t xml:space="preserve"> </w:t>
      </w:r>
      <w:r w:rsidRPr="00036FAC">
        <w:t>A,</w:t>
      </w:r>
      <w:r w:rsidR="00907D8C">
        <w:t xml:space="preserve"> </w:t>
      </w:r>
      <w:r w:rsidRPr="00036FAC">
        <w:t>riboflavin</w:t>
      </w:r>
      <w:r w:rsidR="00907D8C">
        <w:t xml:space="preserve"> </w:t>
      </w:r>
      <w:r w:rsidRPr="00036FAC">
        <w:t>and</w:t>
      </w:r>
      <w:r w:rsidR="00907D8C">
        <w:t xml:space="preserve"> </w:t>
      </w:r>
      <w:r w:rsidRPr="00036FAC">
        <w:t>folate</w:t>
      </w:r>
      <w:r w:rsidR="00907D8C">
        <w:t xml:space="preserve"> </w:t>
      </w:r>
      <w:r w:rsidRPr="00036FAC">
        <w:t>particularly</w:t>
      </w:r>
      <w:r w:rsidR="00907D8C">
        <w:t xml:space="preserve"> </w:t>
      </w:r>
      <w:r w:rsidRPr="00036FAC">
        <w:t>for</w:t>
      </w:r>
      <w:r w:rsidR="00907D8C">
        <w:t xml:space="preserve"> </w:t>
      </w:r>
      <w:r w:rsidRPr="00036FAC">
        <w:t>those</w:t>
      </w:r>
      <w:r w:rsidR="00907D8C">
        <w:t xml:space="preserve"> </w:t>
      </w:r>
      <w:r w:rsidRPr="00036FAC">
        <w:t>adults</w:t>
      </w:r>
      <w:r w:rsidR="00907D8C">
        <w:t xml:space="preserve"> </w:t>
      </w:r>
      <w:r w:rsidRPr="00036FAC">
        <w:t>living</w:t>
      </w:r>
      <w:r w:rsidR="00907D8C">
        <w:t xml:space="preserve"> </w:t>
      </w:r>
      <w:r w:rsidRPr="00036FAC">
        <w:t>in</w:t>
      </w:r>
      <w:r w:rsidR="00907D8C">
        <w:t xml:space="preserve"> </w:t>
      </w:r>
      <w:r w:rsidRPr="00036FAC">
        <w:t>the</w:t>
      </w:r>
      <w:r w:rsidR="00907D8C">
        <w:t xml:space="preserve"> </w:t>
      </w:r>
      <w:r w:rsidRPr="00036FAC">
        <w:t>most</w:t>
      </w:r>
      <w:r w:rsidR="00907D8C">
        <w:t xml:space="preserve"> </w:t>
      </w:r>
      <w:r w:rsidRPr="00036FAC">
        <w:t>deprived</w:t>
      </w:r>
      <w:r w:rsidR="00907D8C">
        <w:t xml:space="preserve"> </w:t>
      </w:r>
      <w:r w:rsidRPr="00036FAC">
        <w:t>areas</w:t>
      </w:r>
      <w:r w:rsidR="00907D8C">
        <w:t xml:space="preserve"> </w:t>
      </w:r>
      <w:r w:rsidRPr="00036FAC">
        <w:t>compared</w:t>
      </w:r>
      <w:r w:rsidR="00907D8C">
        <w:t xml:space="preserve"> </w:t>
      </w:r>
      <w:r w:rsidRPr="00036FAC">
        <w:t>with</w:t>
      </w:r>
      <w:r w:rsidR="00907D8C">
        <w:t xml:space="preserve"> </w:t>
      </w:r>
      <w:r w:rsidRPr="00036FAC">
        <w:t>less</w:t>
      </w:r>
      <w:r w:rsidR="00907D8C">
        <w:t xml:space="preserve"> </w:t>
      </w:r>
      <w:r w:rsidRPr="00036FAC">
        <w:t>deprived</w:t>
      </w:r>
      <w:r w:rsidR="00907D8C">
        <w:t xml:space="preserve"> </w:t>
      </w:r>
      <w:r w:rsidRPr="00036FAC">
        <w:t>areas.</w:t>
      </w:r>
      <w:r w:rsidR="00907D8C">
        <w:t xml:space="preserve"> </w:t>
      </w:r>
      <w:r w:rsidRPr="00036FAC">
        <w:t>For</w:t>
      </w:r>
      <w:r w:rsidR="00907D8C">
        <w:t xml:space="preserve"> </w:t>
      </w:r>
      <w:r w:rsidRPr="00036FAC">
        <w:t>adults,</w:t>
      </w:r>
      <w:r w:rsidR="00907D8C">
        <w:t xml:space="preserve"> </w:t>
      </w:r>
      <w:r w:rsidRPr="00036FAC">
        <w:t>younger</w:t>
      </w:r>
      <w:r w:rsidR="00907D8C">
        <w:t xml:space="preserve"> </w:t>
      </w:r>
      <w:r w:rsidRPr="00036FAC">
        <w:t>females</w:t>
      </w:r>
      <w:r w:rsidR="00907D8C">
        <w:t xml:space="preserve"> </w:t>
      </w:r>
      <w:r w:rsidRPr="00036FAC">
        <w:t>are</w:t>
      </w:r>
      <w:r w:rsidR="00907D8C">
        <w:t xml:space="preserve"> </w:t>
      </w:r>
      <w:r w:rsidRPr="00036FAC">
        <w:t>more</w:t>
      </w:r>
      <w:r w:rsidR="00907D8C">
        <w:t xml:space="preserve"> </w:t>
      </w:r>
      <w:r w:rsidRPr="00036FAC">
        <w:t>likely</w:t>
      </w:r>
      <w:r w:rsidR="00907D8C">
        <w:t xml:space="preserve"> </w:t>
      </w:r>
      <w:r w:rsidRPr="00036FAC">
        <w:t>to</w:t>
      </w:r>
      <w:r w:rsidR="00907D8C">
        <w:t xml:space="preserve"> </w:t>
      </w:r>
      <w:r w:rsidRPr="00036FAC">
        <w:t>have</w:t>
      </w:r>
      <w:r w:rsidR="00907D8C">
        <w:t xml:space="preserve"> </w:t>
      </w:r>
      <w:r w:rsidRPr="00036FAC">
        <w:t>inadequate</w:t>
      </w:r>
      <w:r w:rsidR="00907D8C">
        <w:t xml:space="preserve"> </w:t>
      </w:r>
      <w:r w:rsidRPr="00036FAC">
        <w:t>intakes</w:t>
      </w:r>
      <w:r w:rsidR="00907D8C">
        <w:t xml:space="preserve"> </w:t>
      </w:r>
      <w:r w:rsidRPr="00036FAC">
        <w:t>of</w:t>
      </w:r>
      <w:r w:rsidR="00907D8C">
        <w:t xml:space="preserve"> </w:t>
      </w:r>
      <w:r w:rsidRPr="00036FAC">
        <w:t>riboflavin</w:t>
      </w:r>
      <w:r w:rsidR="00907D8C">
        <w:t xml:space="preserve"> </w:t>
      </w:r>
      <w:r w:rsidRPr="00036FAC">
        <w:t>and</w:t>
      </w:r>
      <w:r w:rsidR="00907D8C">
        <w:t xml:space="preserve"> </w:t>
      </w:r>
      <w:r w:rsidRPr="00036FAC">
        <w:t>folate</w:t>
      </w:r>
      <w:r w:rsidR="00907D8C">
        <w:t xml:space="preserve"> </w:t>
      </w:r>
      <w:r w:rsidRPr="00036FAC">
        <w:t>compared</w:t>
      </w:r>
      <w:r w:rsidR="00907D8C">
        <w:t xml:space="preserve"> </w:t>
      </w:r>
      <w:r w:rsidRPr="00036FAC">
        <w:t>with</w:t>
      </w:r>
      <w:r w:rsidR="00907D8C">
        <w:t xml:space="preserve"> </w:t>
      </w:r>
      <w:r w:rsidRPr="00036FAC">
        <w:t>older</w:t>
      </w:r>
      <w:r w:rsidR="00907D8C">
        <w:t xml:space="preserve"> </w:t>
      </w:r>
      <w:r w:rsidRPr="00036FAC">
        <w:t>females.</w:t>
      </w:r>
    </w:p>
    <w:p w:rsidR="00036FAC" w:rsidRPr="00036FAC" w:rsidRDefault="00036FAC" w:rsidP="00211189">
      <w:pPr>
        <w:pStyle w:val="SingleTxtG"/>
      </w:pPr>
      <w:r w:rsidRPr="00036FAC">
        <w:t>107.</w:t>
      </w:r>
      <w:r w:rsidRPr="00036FAC">
        <w:tab/>
        <w:t>For</w:t>
      </w:r>
      <w:r w:rsidR="00907D8C">
        <w:t xml:space="preserve"> </w:t>
      </w:r>
      <w:r w:rsidRPr="00036FAC">
        <w:t>most</w:t>
      </w:r>
      <w:r w:rsidR="00907D8C">
        <w:t xml:space="preserve"> </w:t>
      </w:r>
      <w:r w:rsidRPr="00036FAC">
        <w:t>minerals,</w:t>
      </w:r>
      <w:r w:rsidR="00907D8C">
        <w:t xml:space="preserve"> </w:t>
      </w:r>
      <w:r w:rsidRPr="00036FAC">
        <w:t>dietary</w:t>
      </w:r>
      <w:r w:rsidR="00907D8C">
        <w:t xml:space="preserve"> </w:t>
      </w:r>
      <w:r w:rsidRPr="00036FAC">
        <w:t>intakes</w:t>
      </w:r>
      <w:r w:rsidR="00907D8C">
        <w:t xml:space="preserve"> </w:t>
      </w:r>
      <w:r w:rsidRPr="00036FAC">
        <w:t>appear</w:t>
      </w:r>
      <w:r w:rsidR="00907D8C">
        <w:t xml:space="preserve"> </w:t>
      </w:r>
      <w:r w:rsidRPr="00036FAC">
        <w:t>adequate</w:t>
      </w:r>
      <w:r w:rsidR="00907D8C">
        <w:t xml:space="preserve"> </w:t>
      </w:r>
      <w:r w:rsidRPr="00036FAC">
        <w:t>but</w:t>
      </w:r>
      <w:r w:rsidR="00907D8C">
        <w:t xml:space="preserve"> </w:t>
      </w:r>
      <w:r w:rsidRPr="00036FAC">
        <w:t>there</w:t>
      </w:r>
      <w:r w:rsidR="00907D8C">
        <w:t xml:space="preserve"> </w:t>
      </w:r>
      <w:r w:rsidRPr="00036FAC">
        <w:t>were</w:t>
      </w:r>
      <w:r w:rsidR="00907D8C">
        <w:t xml:space="preserve"> </w:t>
      </w:r>
      <w:r w:rsidRPr="00036FAC">
        <w:t>some</w:t>
      </w:r>
      <w:r w:rsidR="00907D8C">
        <w:t xml:space="preserve"> </w:t>
      </w:r>
      <w:r w:rsidRPr="00036FAC">
        <w:t>age</w:t>
      </w:r>
      <w:r w:rsidR="00907D8C">
        <w:t xml:space="preserve"> </w:t>
      </w:r>
      <w:r w:rsidRPr="00036FAC">
        <w:t>and</w:t>
      </w:r>
      <w:r w:rsidR="00907D8C">
        <w:t xml:space="preserve"> </w:t>
      </w:r>
      <w:r w:rsidRPr="00036FAC">
        <w:t>gender</w:t>
      </w:r>
      <w:r w:rsidR="00907D8C">
        <w:t xml:space="preserve"> </w:t>
      </w:r>
      <w:r w:rsidRPr="00036FAC">
        <w:t>groups</w:t>
      </w:r>
      <w:r w:rsidR="00907D8C">
        <w:t xml:space="preserve"> </w:t>
      </w:r>
      <w:r w:rsidRPr="00036FAC">
        <w:t>with</w:t>
      </w:r>
      <w:r w:rsidR="00907D8C">
        <w:t xml:space="preserve"> </w:t>
      </w:r>
      <w:r w:rsidRPr="00036FAC">
        <w:t>a</w:t>
      </w:r>
      <w:r w:rsidR="00907D8C">
        <w:t xml:space="preserve"> </w:t>
      </w:r>
      <w:r w:rsidRPr="00036FAC">
        <w:t>higher</w:t>
      </w:r>
      <w:r w:rsidR="00907D8C">
        <w:t xml:space="preserve"> </w:t>
      </w:r>
      <w:r w:rsidRPr="00036FAC">
        <w:t>prevalence</w:t>
      </w:r>
      <w:r w:rsidR="00907D8C">
        <w:t xml:space="preserve"> </w:t>
      </w:r>
      <w:r w:rsidRPr="00036FAC">
        <w:t>of</w:t>
      </w:r>
      <w:r w:rsidR="00907D8C">
        <w:t xml:space="preserve"> </w:t>
      </w:r>
      <w:r w:rsidRPr="00036FAC">
        <w:t>inadequate</w:t>
      </w:r>
      <w:r w:rsidR="00907D8C">
        <w:t xml:space="preserve"> </w:t>
      </w:r>
      <w:r w:rsidRPr="00036FAC">
        <w:t>intakes</w:t>
      </w:r>
      <w:r w:rsidR="00907D8C">
        <w:t xml:space="preserve"> </w:t>
      </w:r>
      <w:r w:rsidRPr="00036FAC">
        <w:t>for</w:t>
      </w:r>
      <w:r w:rsidR="00907D8C">
        <w:t xml:space="preserve"> </w:t>
      </w:r>
      <w:r w:rsidRPr="00036FAC">
        <w:t>calcium,</w:t>
      </w:r>
      <w:r w:rsidR="00907D8C">
        <w:t xml:space="preserve"> </w:t>
      </w:r>
      <w:r w:rsidRPr="00036FAC">
        <w:t>iron,</w:t>
      </w:r>
      <w:r w:rsidR="00907D8C">
        <w:t xml:space="preserve"> </w:t>
      </w:r>
      <w:r w:rsidRPr="00036FAC">
        <w:t>selenium</w:t>
      </w:r>
      <w:r w:rsidR="00907D8C">
        <w:t xml:space="preserve"> </w:t>
      </w:r>
      <w:r w:rsidRPr="00036FAC">
        <w:t>and</w:t>
      </w:r>
      <w:r w:rsidR="00907D8C">
        <w:t xml:space="preserve"> </w:t>
      </w:r>
      <w:r w:rsidRPr="00036FAC">
        <w:t>zinc.</w:t>
      </w:r>
      <w:r w:rsidR="00907D8C">
        <w:t xml:space="preserve"> </w:t>
      </w:r>
      <w:r w:rsidRPr="00036FAC">
        <w:t>For</w:t>
      </w:r>
      <w:r w:rsidR="00907D8C">
        <w:t xml:space="preserve"> </w:t>
      </w:r>
      <w:r w:rsidRPr="00036FAC">
        <w:t>calcium,</w:t>
      </w:r>
      <w:r w:rsidR="00907D8C">
        <w:t xml:space="preserve"> </w:t>
      </w:r>
      <w:r w:rsidRPr="00036FAC">
        <w:t>this</w:t>
      </w:r>
      <w:r w:rsidR="00907D8C">
        <w:t xml:space="preserve"> </w:t>
      </w:r>
      <w:r w:rsidRPr="00036FAC">
        <w:t>was</w:t>
      </w:r>
      <w:r w:rsidR="00907D8C">
        <w:t xml:space="preserve"> </w:t>
      </w:r>
      <w:r w:rsidRPr="00036FAC">
        <w:t>especially</w:t>
      </w:r>
      <w:r w:rsidR="00907D8C">
        <w:t xml:space="preserve"> </w:t>
      </w:r>
      <w:r w:rsidRPr="00036FAC">
        <w:t>for</w:t>
      </w:r>
      <w:r w:rsidR="00907D8C">
        <w:t xml:space="preserve"> </w:t>
      </w:r>
      <w:r w:rsidRPr="00036FAC">
        <w:t>adolescent</w:t>
      </w:r>
      <w:r w:rsidR="00907D8C">
        <w:t xml:space="preserve"> </w:t>
      </w:r>
      <w:r w:rsidRPr="00036FAC">
        <w:t>and</w:t>
      </w:r>
      <w:r w:rsidR="00907D8C">
        <w:t xml:space="preserve"> </w:t>
      </w:r>
      <w:r w:rsidRPr="00036FAC">
        <w:t>adult</w:t>
      </w:r>
      <w:r w:rsidR="00907D8C">
        <w:t xml:space="preserve"> </w:t>
      </w:r>
      <w:r w:rsidRPr="00036FAC">
        <w:t>females</w:t>
      </w:r>
      <w:r w:rsidR="00907D8C">
        <w:t xml:space="preserve"> </w:t>
      </w:r>
      <w:r w:rsidRPr="00036FAC">
        <w:t>and</w:t>
      </w:r>
      <w:r w:rsidR="00907D8C">
        <w:t xml:space="preserve"> </w:t>
      </w:r>
      <w:r w:rsidRPr="00036FAC">
        <w:t>iron</w:t>
      </w:r>
      <w:r w:rsidR="00907D8C">
        <w:t xml:space="preserve"> </w:t>
      </w:r>
      <w:r w:rsidRPr="00036FAC">
        <w:t>intakes</w:t>
      </w:r>
      <w:r w:rsidR="00907D8C">
        <w:t xml:space="preserve"> </w:t>
      </w:r>
      <w:r w:rsidRPr="00036FAC">
        <w:t>were</w:t>
      </w:r>
      <w:r w:rsidR="00907D8C">
        <w:t xml:space="preserve"> </w:t>
      </w:r>
      <w:r w:rsidRPr="00036FAC">
        <w:t>an</w:t>
      </w:r>
      <w:r w:rsidR="00907D8C">
        <w:t xml:space="preserve"> </w:t>
      </w:r>
      <w:r w:rsidRPr="00036FAC">
        <w:t>issue</w:t>
      </w:r>
      <w:r w:rsidR="00907D8C">
        <w:t xml:space="preserve"> </w:t>
      </w:r>
      <w:r w:rsidRPr="00036FAC">
        <w:t>for</w:t>
      </w:r>
      <w:r w:rsidR="00907D8C">
        <w:t xml:space="preserve"> </w:t>
      </w:r>
      <w:r w:rsidRPr="00036FAC">
        <w:t>menstruating</w:t>
      </w:r>
      <w:r w:rsidR="00907D8C">
        <w:t xml:space="preserve"> </w:t>
      </w:r>
      <w:r w:rsidRPr="00036FAC">
        <w:t>females</w:t>
      </w:r>
      <w:r w:rsidR="00907D8C">
        <w:t xml:space="preserve"> </w:t>
      </w:r>
      <w:r w:rsidRPr="00036FAC">
        <w:t>for</w:t>
      </w:r>
      <w:r w:rsidR="00907D8C">
        <w:t xml:space="preserve"> </w:t>
      </w:r>
      <w:r w:rsidRPr="00036FAC">
        <w:t>all</w:t>
      </w:r>
      <w:r w:rsidR="00907D8C">
        <w:t xml:space="preserve"> </w:t>
      </w:r>
      <w:r w:rsidRPr="00036FAC">
        <w:t>ethnicities,</w:t>
      </w:r>
      <w:r w:rsidR="00907D8C">
        <w:t xml:space="preserve"> </w:t>
      </w:r>
      <w:r w:rsidRPr="00036FAC">
        <w:t>although</w:t>
      </w:r>
      <w:r w:rsidR="00907D8C">
        <w:t xml:space="preserve"> </w:t>
      </w:r>
      <w:r w:rsidRPr="00036FAC">
        <w:t>when</w:t>
      </w:r>
      <w:r w:rsidR="00907D8C">
        <w:t xml:space="preserve"> </w:t>
      </w:r>
      <w:r w:rsidRPr="00036FAC">
        <w:t>iron</w:t>
      </w:r>
      <w:r w:rsidR="00907D8C">
        <w:t xml:space="preserve"> </w:t>
      </w:r>
      <w:r w:rsidRPr="00036FAC">
        <w:t>status</w:t>
      </w:r>
      <w:r w:rsidR="00907D8C">
        <w:t xml:space="preserve"> </w:t>
      </w:r>
      <w:r w:rsidRPr="00036FAC">
        <w:t>was</w:t>
      </w:r>
      <w:r w:rsidR="00907D8C">
        <w:t xml:space="preserve"> </w:t>
      </w:r>
      <w:r w:rsidRPr="00036FAC">
        <w:t>assessed</w:t>
      </w:r>
      <w:r w:rsidR="00907D8C">
        <w:t xml:space="preserve"> </w:t>
      </w:r>
      <w:r w:rsidRPr="00036FAC">
        <w:t>by</w:t>
      </w:r>
      <w:r w:rsidR="00907D8C">
        <w:t xml:space="preserve"> </w:t>
      </w:r>
      <w:r w:rsidRPr="00036FAC">
        <w:t>blood</w:t>
      </w:r>
      <w:r w:rsidR="00907D8C">
        <w:t xml:space="preserve"> </w:t>
      </w:r>
      <w:r w:rsidRPr="00036FAC">
        <w:t>test,</w:t>
      </w:r>
      <w:r w:rsidR="00907D8C">
        <w:t xml:space="preserve"> </w:t>
      </w:r>
      <w:r w:rsidRPr="00036FAC">
        <w:t>levels</w:t>
      </w:r>
      <w:r w:rsidR="00907D8C">
        <w:t xml:space="preserve"> </w:t>
      </w:r>
      <w:r w:rsidRPr="00036FAC">
        <w:t>of</w:t>
      </w:r>
      <w:r w:rsidR="00907D8C">
        <w:t xml:space="preserve"> </w:t>
      </w:r>
      <w:r w:rsidRPr="00036FAC">
        <w:t>poor</w:t>
      </w:r>
      <w:r w:rsidR="00907D8C">
        <w:t xml:space="preserve"> </w:t>
      </w:r>
      <w:r w:rsidRPr="00036FAC">
        <w:t>iron</w:t>
      </w:r>
      <w:r w:rsidR="00907D8C">
        <w:t xml:space="preserve"> </w:t>
      </w:r>
      <w:r w:rsidRPr="00036FAC">
        <w:t>status</w:t>
      </w:r>
      <w:r w:rsidR="00907D8C">
        <w:t xml:space="preserve"> </w:t>
      </w:r>
      <w:r w:rsidRPr="00036FAC">
        <w:t>and</w:t>
      </w:r>
      <w:r w:rsidR="00907D8C">
        <w:t xml:space="preserve"> </w:t>
      </w:r>
      <w:r w:rsidRPr="00036FAC">
        <w:t>anaemia</w:t>
      </w:r>
      <w:r w:rsidR="00907D8C">
        <w:t xml:space="preserve"> </w:t>
      </w:r>
      <w:r w:rsidRPr="00036FAC">
        <w:t>were</w:t>
      </w:r>
      <w:r w:rsidR="00907D8C">
        <w:t xml:space="preserve"> </w:t>
      </w:r>
      <w:r w:rsidRPr="00036FAC">
        <w:t>much</w:t>
      </w:r>
      <w:r w:rsidR="00907D8C">
        <w:t xml:space="preserve"> </w:t>
      </w:r>
      <w:r w:rsidRPr="00036FAC">
        <w:t>lower</w:t>
      </w:r>
      <w:r w:rsidR="00907D8C">
        <w:t xml:space="preserve"> </w:t>
      </w:r>
      <w:r w:rsidRPr="00036FAC">
        <w:t>than</w:t>
      </w:r>
      <w:r w:rsidR="00907D8C">
        <w:t xml:space="preserve"> </w:t>
      </w:r>
      <w:r w:rsidRPr="00036FAC">
        <w:t>dietary</w:t>
      </w:r>
      <w:r w:rsidR="00907D8C">
        <w:t xml:space="preserve"> </w:t>
      </w:r>
      <w:r w:rsidRPr="00036FAC">
        <w:t>iron</w:t>
      </w:r>
      <w:r w:rsidR="00907D8C">
        <w:t xml:space="preserve"> </w:t>
      </w:r>
      <w:r w:rsidRPr="00036FAC">
        <w:t>intakes</w:t>
      </w:r>
      <w:r w:rsidR="00907D8C">
        <w:t xml:space="preserve"> </w:t>
      </w:r>
      <w:r w:rsidRPr="00036FAC">
        <w:t>suggested.</w:t>
      </w:r>
      <w:r w:rsidR="00907D8C">
        <w:t xml:space="preserve"> </w:t>
      </w:r>
      <w:r w:rsidRPr="00036FAC">
        <w:t>For</w:t>
      </w:r>
      <w:r w:rsidR="00907D8C">
        <w:t xml:space="preserve"> </w:t>
      </w:r>
      <w:r w:rsidRPr="00036FAC">
        <w:t>zinc,</w:t>
      </w:r>
      <w:r w:rsidR="00907D8C">
        <w:t xml:space="preserve"> </w:t>
      </w:r>
      <w:r w:rsidRPr="00036FAC">
        <w:t>the</w:t>
      </w:r>
      <w:r w:rsidR="00907D8C">
        <w:t xml:space="preserve"> </w:t>
      </w:r>
      <w:r w:rsidRPr="00036FAC">
        <w:t>11–14</w:t>
      </w:r>
      <w:r w:rsidR="00907D8C">
        <w:t xml:space="preserve"> </w:t>
      </w:r>
      <w:r w:rsidRPr="00036FAC">
        <w:t>year</w:t>
      </w:r>
      <w:r w:rsidR="00907D8C">
        <w:t xml:space="preserve"> </w:t>
      </w:r>
      <w:r w:rsidRPr="00036FAC">
        <w:t>age</w:t>
      </w:r>
      <w:r w:rsidR="00907D8C">
        <w:t xml:space="preserve"> </w:t>
      </w:r>
      <w:r w:rsidRPr="00036FAC">
        <w:t>group</w:t>
      </w:r>
      <w:r w:rsidR="00907D8C">
        <w:t xml:space="preserve"> </w:t>
      </w:r>
      <w:r w:rsidRPr="00036FAC">
        <w:t>of</w:t>
      </w:r>
      <w:r w:rsidR="00907D8C">
        <w:t xml:space="preserve"> </w:t>
      </w:r>
      <w:r w:rsidRPr="00036FAC">
        <w:t>children</w:t>
      </w:r>
      <w:r w:rsidR="00907D8C">
        <w:t xml:space="preserve"> </w:t>
      </w:r>
      <w:r w:rsidRPr="00036FAC">
        <w:t>appears</w:t>
      </w:r>
      <w:r w:rsidR="00907D8C">
        <w:t xml:space="preserve"> </w:t>
      </w:r>
      <w:r w:rsidRPr="00036FAC">
        <w:t>more</w:t>
      </w:r>
      <w:r w:rsidR="00907D8C">
        <w:t xml:space="preserve"> </w:t>
      </w:r>
      <w:r w:rsidRPr="00036FAC">
        <w:t>at</w:t>
      </w:r>
      <w:r w:rsidR="00907D8C">
        <w:t xml:space="preserve"> </w:t>
      </w:r>
      <w:r w:rsidRPr="00036FAC">
        <w:t>risk</w:t>
      </w:r>
      <w:r w:rsidR="00907D8C">
        <w:t xml:space="preserve"> </w:t>
      </w:r>
      <w:r w:rsidRPr="00036FAC">
        <w:t>of</w:t>
      </w:r>
      <w:r w:rsidR="00907D8C">
        <w:t xml:space="preserve"> </w:t>
      </w:r>
      <w:r w:rsidRPr="00036FAC">
        <w:t>inadequate</w:t>
      </w:r>
      <w:r w:rsidR="00907D8C">
        <w:t xml:space="preserve"> </w:t>
      </w:r>
      <w:r w:rsidRPr="00036FAC">
        <w:t>intakes</w:t>
      </w:r>
      <w:r w:rsidR="00907D8C">
        <w:t xml:space="preserve"> </w:t>
      </w:r>
      <w:r w:rsidRPr="00036FAC">
        <w:t>and</w:t>
      </w:r>
      <w:r w:rsidR="00907D8C">
        <w:t xml:space="preserve"> </w:t>
      </w:r>
      <w:r w:rsidRPr="00036FAC">
        <w:t>selenium</w:t>
      </w:r>
      <w:r w:rsidR="00907D8C">
        <w:t xml:space="preserve"> </w:t>
      </w:r>
      <w:r w:rsidRPr="00036FAC">
        <w:t>intakes</w:t>
      </w:r>
      <w:r w:rsidR="00907D8C">
        <w:t xml:space="preserve"> </w:t>
      </w:r>
      <w:r w:rsidRPr="00036FAC">
        <w:t>are</w:t>
      </w:r>
      <w:r w:rsidR="00907D8C">
        <w:t xml:space="preserve"> </w:t>
      </w:r>
      <w:r w:rsidRPr="00036FAC">
        <w:t>generally</w:t>
      </w:r>
      <w:r w:rsidR="00907D8C">
        <w:t xml:space="preserve"> </w:t>
      </w:r>
      <w:r w:rsidRPr="00036FAC">
        <w:t>lower</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because</w:t>
      </w:r>
      <w:r w:rsidR="00907D8C">
        <w:t xml:space="preserve"> </w:t>
      </w:r>
      <w:r w:rsidRPr="00036FAC">
        <w:t>of</w:t>
      </w:r>
      <w:r w:rsidR="00907D8C">
        <w:t xml:space="preserve"> </w:t>
      </w:r>
      <w:r w:rsidRPr="00036FAC">
        <w:t>the</w:t>
      </w:r>
      <w:r w:rsidR="00907D8C">
        <w:t xml:space="preserve"> </w:t>
      </w:r>
      <w:r w:rsidRPr="00036FAC">
        <w:t>low</w:t>
      </w:r>
      <w:r w:rsidR="00907D8C">
        <w:t xml:space="preserve"> </w:t>
      </w:r>
      <w:r w:rsidRPr="00036FAC">
        <w:t>selenium</w:t>
      </w:r>
      <w:r w:rsidR="00907D8C">
        <w:t xml:space="preserve"> </w:t>
      </w:r>
      <w:r w:rsidRPr="00036FAC">
        <w:t>levels</w:t>
      </w:r>
      <w:r w:rsidR="00907D8C">
        <w:t xml:space="preserve"> </w:t>
      </w:r>
      <w:r w:rsidRPr="00036FAC">
        <w:t>in</w:t>
      </w:r>
      <w:r w:rsidR="00907D8C">
        <w:t xml:space="preserve"> </w:t>
      </w:r>
      <w:r w:rsidRPr="00036FAC">
        <w:t>the</w:t>
      </w:r>
      <w:r w:rsidR="00907D8C">
        <w:t xml:space="preserve"> </w:t>
      </w:r>
      <w:r w:rsidRPr="00036FAC">
        <w:t>soil.</w:t>
      </w:r>
    </w:p>
    <w:p w:rsidR="00036FAC" w:rsidRPr="00036FAC" w:rsidRDefault="00036FAC" w:rsidP="00211189">
      <w:pPr>
        <w:pStyle w:val="SingleTxtG"/>
      </w:pPr>
      <w:r w:rsidRPr="00036FAC">
        <w:t>108.</w:t>
      </w:r>
      <w:r w:rsidRPr="00036FAC">
        <w:tab/>
        <w:t>The</w:t>
      </w:r>
      <w:r w:rsidR="00907D8C">
        <w:t xml:space="preserve"> </w:t>
      </w:r>
      <w:r w:rsidR="000711F4">
        <w:t>2006–</w:t>
      </w:r>
      <w:r w:rsidR="00211189">
        <w:t>20</w:t>
      </w:r>
      <w:r w:rsidRPr="00036FAC">
        <w:t>07</w:t>
      </w:r>
      <w:r w:rsidR="00907D8C">
        <w:t xml:space="preserve"> </w:t>
      </w:r>
      <w:r w:rsidRPr="00036FAC">
        <w:t>New</w:t>
      </w:r>
      <w:r w:rsidR="00907D8C">
        <w:t xml:space="preserve"> </w:t>
      </w:r>
      <w:r w:rsidRPr="00036FAC">
        <w:t>Zealand</w:t>
      </w:r>
      <w:r w:rsidR="00907D8C">
        <w:t xml:space="preserve"> </w:t>
      </w:r>
      <w:r w:rsidRPr="00036FAC">
        <w:t>Health</w:t>
      </w:r>
      <w:r w:rsidR="00907D8C">
        <w:t xml:space="preserve"> </w:t>
      </w:r>
      <w:r w:rsidRPr="00036FAC">
        <w:t>Survey</w:t>
      </w:r>
      <w:r w:rsidR="00907D8C">
        <w:t xml:space="preserve"> </w:t>
      </w:r>
      <w:r w:rsidRPr="00036FAC">
        <w:t>assessed</w:t>
      </w:r>
      <w:r w:rsidR="00907D8C">
        <w:t xml:space="preserve"> </w:t>
      </w:r>
      <w:r w:rsidRPr="00036FAC">
        <w:t>prevalence</w:t>
      </w:r>
      <w:r w:rsidR="00907D8C">
        <w:t xml:space="preserve"> </w:t>
      </w:r>
      <w:r w:rsidRPr="00036FAC">
        <w:t>of</w:t>
      </w:r>
      <w:r w:rsidR="00907D8C">
        <w:t xml:space="preserve"> </w:t>
      </w:r>
      <w:r w:rsidRPr="00036FAC">
        <w:t>thinness</w:t>
      </w:r>
      <w:r w:rsidR="00907D8C">
        <w:t xml:space="preserve"> </w:t>
      </w:r>
      <w:r w:rsidRPr="00036FAC">
        <w:t>(underweight)</w:t>
      </w:r>
      <w:r w:rsidR="00907D8C">
        <w:t xml:space="preserve"> </w:t>
      </w:r>
      <w:r w:rsidRPr="00036FAC">
        <w:t>at</w:t>
      </w:r>
      <w:r w:rsidR="00907D8C">
        <w:t xml:space="preserve"> </w:t>
      </w:r>
      <w:r w:rsidRPr="00036FAC">
        <w:t>around</w:t>
      </w:r>
      <w:r w:rsidR="00907D8C">
        <w:t xml:space="preserve"> </w:t>
      </w:r>
      <w:r w:rsidRPr="00036FAC">
        <w:t>3</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children</w:t>
      </w:r>
      <w:r w:rsidR="00907D8C">
        <w:t xml:space="preserve"> </w:t>
      </w:r>
      <w:r w:rsidRPr="00036FAC">
        <w:t>aged</w:t>
      </w:r>
      <w:r w:rsidR="00907D8C">
        <w:t xml:space="preserve"> </w:t>
      </w:r>
      <w:r w:rsidRPr="00036FAC">
        <w:t>2–4</w:t>
      </w:r>
      <w:r w:rsidR="00907D8C">
        <w:t xml:space="preserve"> </w:t>
      </w:r>
      <w:r w:rsidRPr="00036FAC">
        <w:t>years,</w:t>
      </w:r>
      <w:r w:rsidR="00907D8C">
        <w:t xml:space="preserve"> </w:t>
      </w:r>
      <w:r w:rsidRPr="00036FAC">
        <w:t>which</w:t>
      </w:r>
      <w:r w:rsidR="00907D8C">
        <w:t xml:space="preserve"> </w:t>
      </w:r>
      <w:r w:rsidRPr="00036FAC">
        <w:t>is</w:t>
      </w:r>
      <w:r w:rsidR="00907D8C">
        <w:t xml:space="preserve"> </w:t>
      </w:r>
      <w:r w:rsidRPr="00036FAC">
        <w:t>very</w:t>
      </w:r>
      <w:r w:rsidR="00907D8C">
        <w:t xml:space="preserve"> </w:t>
      </w:r>
      <w:r w:rsidRPr="00036FAC">
        <w:t>low,</w:t>
      </w:r>
      <w:r w:rsidR="00907D8C">
        <w:t xml:space="preserve"> </w:t>
      </w:r>
      <w:r w:rsidRPr="00036FAC">
        <w:t>with</w:t>
      </w:r>
      <w:r w:rsidR="00907D8C">
        <w:t xml:space="preserve"> </w:t>
      </w:r>
      <w:r w:rsidRPr="00036FAC">
        <w:t>little</w:t>
      </w:r>
      <w:r w:rsidR="00907D8C">
        <w:t xml:space="preserve"> </w:t>
      </w:r>
      <w:r w:rsidRPr="00036FAC">
        <w:t>difference</w:t>
      </w:r>
      <w:r w:rsidR="00907D8C">
        <w:t xml:space="preserve"> </w:t>
      </w:r>
      <w:r w:rsidRPr="00036FAC">
        <w:t>between</w:t>
      </w:r>
      <w:r w:rsidR="00907D8C">
        <w:t xml:space="preserve"> </w:t>
      </w:r>
      <w:r w:rsidRPr="00036FAC">
        <w:t>boys</w:t>
      </w:r>
      <w:r w:rsidR="00907D8C">
        <w:t xml:space="preserve"> </w:t>
      </w:r>
      <w:r w:rsidRPr="00036FAC">
        <w:t>and</w:t>
      </w:r>
      <w:r w:rsidR="00907D8C">
        <w:t xml:space="preserve"> </w:t>
      </w:r>
      <w:r w:rsidRPr="00036FAC">
        <w:t>girls.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as</w:t>
      </w:r>
      <w:r w:rsidR="00907D8C">
        <w:t xml:space="preserve"> </w:t>
      </w:r>
      <w:r w:rsidRPr="00036FAC">
        <w:t>in</w:t>
      </w:r>
      <w:r w:rsidR="00907D8C">
        <w:t xml:space="preserve"> </w:t>
      </w:r>
      <w:r w:rsidRPr="00036FAC">
        <w:t>other</w:t>
      </w:r>
      <w:r w:rsidR="00907D8C">
        <w:t xml:space="preserve"> </w:t>
      </w:r>
      <w:r w:rsidRPr="00036FAC">
        <w:t>developed</w:t>
      </w:r>
      <w:r w:rsidR="00907D8C">
        <w:t xml:space="preserve"> </w:t>
      </w:r>
      <w:r w:rsidRPr="00036FAC">
        <w:t>countries,</w:t>
      </w:r>
      <w:r w:rsidR="00907D8C">
        <w:t xml:space="preserve"> </w:t>
      </w:r>
      <w:r w:rsidRPr="00036FAC">
        <w:t>there</w:t>
      </w:r>
      <w:r w:rsidR="00907D8C">
        <w:t xml:space="preserve"> </w:t>
      </w:r>
      <w:r w:rsidRPr="00036FAC">
        <w:t>is</w:t>
      </w:r>
      <w:r w:rsidR="00907D8C">
        <w:t xml:space="preserve"> </w:t>
      </w:r>
      <w:r w:rsidRPr="00036FAC">
        <w:t>far</w:t>
      </w:r>
      <w:r w:rsidR="00907D8C">
        <w:t xml:space="preserve"> </w:t>
      </w:r>
      <w:r w:rsidRPr="00036FAC">
        <w:t>greater</w:t>
      </w:r>
      <w:r w:rsidR="00907D8C">
        <w:t xml:space="preserve"> </w:t>
      </w:r>
      <w:r w:rsidRPr="00036FAC">
        <w:t>concern</w:t>
      </w:r>
      <w:r w:rsidR="00907D8C">
        <w:t xml:space="preserve"> </w:t>
      </w:r>
      <w:r w:rsidRPr="00036FAC">
        <w:t>about</w:t>
      </w:r>
      <w:r w:rsidR="00907D8C">
        <w:t xml:space="preserve"> </w:t>
      </w:r>
      <w:r w:rsidRPr="00036FAC">
        <w:t>the</w:t>
      </w:r>
      <w:r w:rsidR="00907D8C">
        <w:t xml:space="preserve"> </w:t>
      </w:r>
      <w:r w:rsidRPr="00036FAC">
        <w:t>rates</w:t>
      </w:r>
      <w:r w:rsidR="00907D8C">
        <w:t xml:space="preserve"> </w:t>
      </w:r>
      <w:r w:rsidRPr="00036FAC">
        <w:t>of</w:t>
      </w:r>
      <w:r w:rsidR="00907D8C">
        <w:t xml:space="preserve"> </w:t>
      </w:r>
      <w:r w:rsidRPr="00036FAC">
        <w:t>overweight</w:t>
      </w:r>
      <w:r w:rsidR="00907D8C">
        <w:t xml:space="preserve"> </w:t>
      </w:r>
      <w:r w:rsidRPr="00036FAC">
        <w:t>and</w:t>
      </w:r>
      <w:r w:rsidR="00907D8C">
        <w:t xml:space="preserve"> </w:t>
      </w:r>
      <w:r w:rsidRPr="00036FAC">
        <w:t>obesity</w:t>
      </w:r>
      <w:r w:rsidR="00907D8C">
        <w:t xml:space="preserve"> </w:t>
      </w:r>
      <w:r w:rsidRPr="00036FAC">
        <w:t>in</w:t>
      </w:r>
      <w:r w:rsidR="00907D8C">
        <w:t xml:space="preserve"> </w:t>
      </w:r>
      <w:r w:rsidRPr="00036FAC">
        <w:t>children</w:t>
      </w:r>
      <w:r w:rsidR="00907D8C">
        <w:t xml:space="preserve"> </w:t>
      </w:r>
      <w:r w:rsidRPr="00036FAC">
        <w:t>than</w:t>
      </w:r>
      <w:r w:rsidR="00907D8C">
        <w:t xml:space="preserve"> </w:t>
      </w:r>
      <w:r w:rsidRPr="00036FAC">
        <w:t>the</w:t>
      </w:r>
      <w:r w:rsidR="00907D8C">
        <w:t xml:space="preserve"> </w:t>
      </w:r>
      <w:r w:rsidRPr="00036FAC">
        <w:t>rate</w:t>
      </w:r>
      <w:r w:rsidR="00907D8C">
        <w:t xml:space="preserve"> </w:t>
      </w:r>
      <w:r w:rsidRPr="00036FAC">
        <w:t>of</w:t>
      </w:r>
      <w:r w:rsidR="00907D8C">
        <w:t xml:space="preserve"> </w:t>
      </w:r>
      <w:r w:rsidRPr="00036FAC">
        <w:t>thinness</w:t>
      </w:r>
      <w:r w:rsidR="00907D8C">
        <w:t xml:space="preserve"> </w:t>
      </w:r>
      <w:r w:rsidRPr="00036FAC">
        <w:t>or</w:t>
      </w:r>
      <w:r w:rsidR="00907D8C">
        <w:t xml:space="preserve"> </w:t>
      </w:r>
      <w:r w:rsidRPr="00036FAC">
        <w:t>underweight.</w:t>
      </w:r>
    </w:p>
    <w:p w:rsidR="00036FAC" w:rsidRPr="00036FAC" w:rsidRDefault="00036FAC" w:rsidP="006C436C">
      <w:pPr>
        <w:pStyle w:val="H23G"/>
      </w:pPr>
      <w:r w:rsidRPr="00036FAC">
        <w:tab/>
        <w:t>15.</w:t>
      </w:r>
      <w:r w:rsidRPr="00036FAC">
        <w:tab/>
        <w:t>Education</w:t>
      </w:r>
    </w:p>
    <w:p w:rsidR="00036FAC" w:rsidRPr="00036FAC" w:rsidRDefault="00036FAC" w:rsidP="00211189">
      <w:pPr>
        <w:pStyle w:val="SingleTxtG"/>
      </w:pPr>
      <w:r w:rsidRPr="00036FAC">
        <w:t>109.</w:t>
      </w:r>
      <w:r w:rsidRPr="00036FAC">
        <w:tab/>
        <w:t>School</w:t>
      </w:r>
      <w:r w:rsidR="00907D8C">
        <w:t xml:space="preserve"> </w:t>
      </w:r>
      <w:r w:rsidRPr="00036FAC">
        <w:t>is</w:t>
      </w:r>
      <w:r w:rsidR="00907D8C">
        <w:t xml:space="preserve"> </w:t>
      </w:r>
      <w:r w:rsidRPr="00036FAC">
        <w:t>compulsory</w:t>
      </w:r>
      <w:r w:rsidR="00907D8C">
        <w:t xml:space="preserve"> </w:t>
      </w:r>
      <w:r w:rsidRPr="00036FAC">
        <w:t>for</w:t>
      </w:r>
      <w:r w:rsidR="00907D8C">
        <w:t xml:space="preserve"> </w:t>
      </w:r>
      <w:r w:rsidRPr="00036FAC">
        <w:t>all</w:t>
      </w:r>
      <w:r w:rsidR="00907D8C">
        <w:t xml:space="preserve"> </w:t>
      </w:r>
      <w:r w:rsidRPr="00036FAC">
        <w:t>students</w:t>
      </w:r>
      <w:r w:rsidR="00907D8C">
        <w:t xml:space="preserve"> </w:t>
      </w:r>
      <w:r w:rsidRPr="00036FAC">
        <w:t>aged</w:t>
      </w:r>
      <w:r w:rsidR="00907D8C">
        <w:t xml:space="preserve"> </w:t>
      </w:r>
      <w:r w:rsidRPr="00036FAC">
        <w:t>between</w:t>
      </w:r>
      <w:r w:rsidR="00907D8C">
        <w:t xml:space="preserve"> </w:t>
      </w:r>
      <w:r w:rsidRPr="00036FAC">
        <w:t>6</w:t>
      </w:r>
      <w:r w:rsidR="00907D8C">
        <w:t xml:space="preserve"> </w:t>
      </w:r>
      <w:r w:rsidRPr="00036FAC">
        <w:t>and</w:t>
      </w:r>
      <w:r w:rsidR="00907D8C">
        <w:t xml:space="preserve"> </w:t>
      </w:r>
      <w:r w:rsidRPr="00036FAC">
        <w:t>16</w:t>
      </w:r>
      <w:r w:rsidR="00907D8C">
        <w:t xml:space="preserve"> </w:t>
      </w:r>
      <w:r w:rsidRPr="00036FAC">
        <w:t>years.</w:t>
      </w:r>
      <w:r w:rsidR="00907D8C">
        <w:t xml:space="preserve"> </w:t>
      </w:r>
      <w:r w:rsidRPr="00036FAC">
        <w:t>However,</w:t>
      </w:r>
      <w:r w:rsidR="00907D8C">
        <w:t xml:space="preserve"> </w:t>
      </w:r>
      <w:r w:rsidRPr="00036FAC">
        <w:t>parents</w:t>
      </w:r>
      <w:r w:rsidR="00907D8C">
        <w:t xml:space="preserve"> </w:t>
      </w:r>
      <w:r w:rsidRPr="00036FAC">
        <w:t>of</w:t>
      </w:r>
      <w:r w:rsidR="00907D8C">
        <w:t xml:space="preserve"> </w:t>
      </w:r>
      <w:r w:rsidRPr="00036FAC">
        <w:t>students</w:t>
      </w:r>
      <w:r w:rsidR="00907D8C">
        <w:t xml:space="preserve"> </w:t>
      </w:r>
      <w:r w:rsidRPr="00036FAC">
        <w:t>aged</w:t>
      </w:r>
      <w:r w:rsidR="00907D8C">
        <w:t xml:space="preserve"> </w:t>
      </w:r>
      <w:r w:rsidRPr="00036FAC">
        <w:t>15</w:t>
      </w:r>
      <w:r w:rsidR="00907D8C">
        <w:t xml:space="preserve"> </w:t>
      </w:r>
      <w:r w:rsidRPr="00036FAC">
        <w:t>years</w:t>
      </w:r>
      <w:r w:rsidR="00907D8C">
        <w:t xml:space="preserve"> </w:t>
      </w:r>
      <w:r w:rsidRPr="00036FAC">
        <w:t>may</w:t>
      </w:r>
      <w:r w:rsidR="00907D8C">
        <w:t xml:space="preserve"> </w:t>
      </w:r>
      <w:r w:rsidRPr="00036FAC">
        <w:t>apply</w:t>
      </w:r>
      <w:r w:rsidR="00907D8C">
        <w:t xml:space="preserve"> </w:t>
      </w:r>
      <w:r w:rsidRPr="00036FAC">
        <w:t>to</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Education</w:t>
      </w:r>
      <w:r w:rsidR="00907D8C">
        <w:t xml:space="preserve"> </w:t>
      </w:r>
      <w:r w:rsidRPr="00036FAC">
        <w:t>for</w:t>
      </w:r>
      <w:r w:rsidR="00907D8C">
        <w:t xml:space="preserve"> </w:t>
      </w:r>
      <w:r w:rsidRPr="00036FAC">
        <w:t>an</w:t>
      </w:r>
      <w:r w:rsidR="00907D8C">
        <w:t xml:space="preserve"> </w:t>
      </w:r>
      <w:r w:rsidRPr="00036FAC">
        <w:t>exemption</w:t>
      </w:r>
      <w:r w:rsidR="00907D8C">
        <w:t xml:space="preserve"> </w:t>
      </w:r>
      <w:r w:rsidRPr="00036FAC">
        <w:t>from</w:t>
      </w:r>
      <w:r w:rsidR="00907D8C">
        <w:t xml:space="preserve"> </w:t>
      </w:r>
      <w:r w:rsidRPr="00036FAC">
        <w:t>schooling</w:t>
      </w:r>
      <w:r w:rsidR="00907D8C">
        <w:t xml:space="preserve"> </w:t>
      </w:r>
      <w:r w:rsidRPr="00036FAC">
        <w:t>on</w:t>
      </w:r>
      <w:r w:rsidR="00907D8C">
        <w:t xml:space="preserve"> </w:t>
      </w:r>
      <w:r w:rsidRPr="00036FAC">
        <w:t>the</w:t>
      </w:r>
      <w:r w:rsidR="00907D8C">
        <w:t xml:space="preserve"> </w:t>
      </w:r>
      <w:r w:rsidRPr="00036FAC">
        <w:t>basis</w:t>
      </w:r>
      <w:r w:rsidR="00907D8C">
        <w:t xml:space="preserve"> </w:t>
      </w:r>
      <w:r w:rsidRPr="00036FAC">
        <w:t>of</w:t>
      </w:r>
      <w:r w:rsidR="00907D8C">
        <w:t xml:space="preserve"> </w:t>
      </w:r>
      <w:r w:rsidRPr="00036FAC">
        <w:t>educational</w:t>
      </w:r>
      <w:r w:rsidR="00907D8C">
        <w:t xml:space="preserve"> </w:t>
      </w:r>
      <w:r w:rsidRPr="00036FAC">
        <w:t>problems,</w:t>
      </w:r>
      <w:r w:rsidR="00907D8C">
        <w:t xml:space="preserve"> </w:t>
      </w:r>
      <w:r w:rsidRPr="00036FAC">
        <w:t>conduct,</w:t>
      </w:r>
      <w:r w:rsidR="00907D8C">
        <w:t xml:space="preserve"> </w:t>
      </w:r>
      <w:r w:rsidRPr="00036FAC">
        <w:t>or</w:t>
      </w:r>
      <w:r w:rsidR="00907D8C">
        <w:t xml:space="preserve"> </w:t>
      </w:r>
      <w:r w:rsidRPr="00036FAC">
        <w:t>the</w:t>
      </w:r>
      <w:r w:rsidR="00907D8C">
        <w:t xml:space="preserve"> </w:t>
      </w:r>
      <w:r w:rsidRPr="00036FAC">
        <w:t>unlikelihood</w:t>
      </w:r>
      <w:r w:rsidR="00907D8C">
        <w:t xml:space="preserve"> </w:t>
      </w:r>
      <w:r w:rsidRPr="00036FAC">
        <w:t>of</w:t>
      </w:r>
      <w:r w:rsidR="00907D8C">
        <w:t xml:space="preserve"> </w:t>
      </w:r>
      <w:r w:rsidRPr="00036FAC">
        <w:t>the</w:t>
      </w:r>
      <w:r w:rsidR="00907D8C">
        <w:t xml:space="preserve"> </w:t>
      </w:r>
      <w:r w:rsidRPr="00036FAC">
        <w:t>student</w:t>
      </w:r>
      <w:r w:rsidR="00907D8C">
        <w:t xml:space="preserve"> </w:t>
      </w:r>
      <w:r w:rsidRPr="00036FAC">
        <w:t>gaining</w:t>
      </w:r>
      <w:r w:rsidR="00907D8C">
        <w:t xml:space="preserve"> </w:t>
      </w:r>
      <w:r w:rsidRPr="00036FAC">
        <w:t>benefit</w:t>
      </w:r>
      <w:r w:rsidR="00907D8C">
        <w:t xml:space="preserve"> </w:t>
      </w:r>
      <w:r w:rsidRPr="00036FAC">
        <w:t>from</w:t>
      </w:r>
      <w:r w:rsidR="00907D8C">
        <w:t xml:space="preserve"> </w:t>
      </w:r>
      <w:r w:rsidRPr="00036FAC">
        <w:t>attending</w:t>
      </w:r>
      <w:r w:rsidR="00907D8C">
        <w:t xml:space="preserve"> </w:t>
      </w:r>
      <w:r w:rsidRPr="00036FAC">
        <w:t>available</w:t>
      </w:r>
      <w:r w:rsidR="00907D8C">
        <w:t xml:space="preserve"> </w:t>
      </w:r>
      <w:r w:rsidRPr="00036FAC">
        <w:t>schools.</w:t>
      </w:r>
      <w:r w:rsidR="00907D8C">
        <w:t xml:space="preserve"> </w:t>
      </w:r>
      <w:r w:rsidRPr="00036FAC">
        <w:t>Parents</w:t>
      </w:r>
      <w:r w:rsidR="00907D8C">
        <w:t xml:space="preserve"> </w:t>
      </w:r>
      <w:r w:rsidRPr="00036FAC">
        <w:t>are</w:t>
      </w:r>
      <w:r w:rsidR="00907D8C">
        <w:t xml:space="preserve"> </w:t>
      </w:r>
      <w:r w:rsidRPr="00036FAC">
        <w:t>required</w:t>
      </w:r>
      <w:r w:rsidR="00907D8C">
        <w:t xml:space="preserve"> </w:t>
      </w:r>
      <w:r w:rsidRPr="00036FAC">
        <w:t>to</w:t>
      </w:r>
      <w:r w:rsidR="00907D8C">
        <w:t xml:space="preserve"> </w:t>
      </w:r>
      <w:r w:rsidRPr="00036FAC">
        <w:t>give</w:t>
      </w:r>
      <w:r w:rsidR="00907D8C">
        <w:t xml:space="preserve"> </w:t>
      </w:r>
      <w:r w:rsidRPr="00036FAC">
        <w:t>details</w:t>
      </w:r>
      <w:r w:rsidR="00907D8C">
        <w:t xml:space="preserve"> </w:t>
      </w:r>
      <w:r w:rsidRPr="00036FAC">
        <w:t>about</w:t>
      </w:r>
      <w:r w:rsidR="00907D8C">
        <w:t xml:space="preserve"> </w:t>
      </w:r>
      <w:r w:rsidRPr="00036FAC">
        <w:t>training</w:t>
      </w:r>
      <w:r w:rsidR="00907D8C">
        <w:t xml:space="preserve"> </w:t>
      </w:r>
      <w:r w:rsidRPr="00036FAC">
        <w:t>programmes</w:t>
      </w:r>
      <w:r w:rsidR="00907D8C">
        <w:t xml:space="preserve"> </w:t>
      </w:r>
      <w:r w:rsidRPr="00036FAC">
        <w:t>or</w:t>
      </w:r>
      <w:r w:rsidR="00907D8C">
        <w:t xml:space="preserve"> </w:t>
      </w:r>
      <w:r w:rsidRPr="00036FAC">
        <w:t>employment</w:t>
      </w:r>
      <w:r w:rsidR="00907D8C">
        <w:t xml:space="preserve"> </w:t>
      </w:r>
      <w:r w:rsidRPr="00036FAC">
        <w:t>that</w:t>
      </w:r>
      <w:r w:rsidR="00907D8C">
        <w:t xml:space="preserve"> </w:t>
      </w:r>
      <w:r w:rsidRPr="00036FAC">
        <w:t>the</w:t>
      </w:r>
      <w:r w:rsidR="00907D8C">
        <w:t xml:space="preserve"> </w:t>
      </w:r>
      <w:r w:rsidRPr="00036FAC">
        <w:t>student</w:t>
      </w:r>
      <w:r w:rsidR="00907D8C">
        <w:t xml:space="preserve"> </w:t>
      </w:r>
      <w:r w:rsidRPr="00036FAC">
        <w:t>would</w:t>
      </w:r>
      <w:r w:rsidR="00907D8C">
        <w:t xml:space="preserve"> </w:t>
      </w:r>
      <w:r w:rsidRPr="00036FAC">
        <w:t>move</w:t>
      </w:r>
      <w:r w:rsidR="00907D8C">
        <w:t xml:space="preserve"> </w:t>
      </w:r>
      <w:r w:rsidRPr="00036FAC">
        <w:t>on</w:t>
      </w:r>
      <w:r w:rsidR="00907D8C">
        <w:t xml:space="preserve"> </w:t>
      </w:r>
      <w:r w:rsidRPr="00036FAC">
        <w:t>to</w:t>
      </w:r>
      <w:r w:rsidR="00907D8C">
        <w:t xml:space="preserve"> </w:t>
      </w:r>
      <w:r w:rsidRPr="00036FAC">
        <w:t>in</w:t>
      </w:r>
      <w:r w:rsidR="00907D8C">
        <w:t xml:space="preserve"> </w:t>
      </w:r>
      <w:r w:rsidRPr="00036FAC">
        <w:t>the</w:t>
      </w:r>
      <w:r w:rsidR="00907D8C">
        <w:t xml:space="preserve"> </w:t>
      </w:r>
      <w:r w:rsidRPr="00036FAC">
        <w:t>event</w:t>
      </w:r>
      <w:r w:rsidR="00907D8C">
        <w:t xml:space="preserve"> </w:t>
      </w:r>
      <w:r w:rsidRPr="00036FAC">
        <w:t>of</w:t>
      </w:r>
      <w:r w:rsidR="00907D8C">
        <w:t xml:space="preserve"> </w:t>
      </w:r>
      <w:r w:rsidRPr="00036FAC">
        <w:t>an</w:t>
      </w:r>
      <w:r w:rsidR="00907D8C">
        <w:t xml:space="preserve"> </w:t>
      </w:r>
      <w:r w:rsidRPr="00036FAC">
        <w:t>exemption</w:t>
      </w:r>
      <w:r w:rsidR="00907D8C">
        <w:t xml:space="preserve"> </w:t>
      </w:r>
      <w:r w:rsidRPr="00036FAC">
        <w:t>being</w:t>
      </w:r>
      <w:r w:rsidR="00907D8C">
        <w:t xml:space="preserve"> </w:t>
      </w:r>
      <w:r w:rsidRPr="00036FAC">
        <w:t>granted.</w:t>
      </w:r>
    </w:p>
    <w:p w:rsidR="00211189" w:rsidRDefault="00036FAC" w:rsidP="00211189">
      <w:pPr>
        <w:pStyle w:val="Heading1"/>
      </w:pPr>
      <w:bookmarkStart w:id="67" w:name="_Toc275331937"/>
      <w:r w:rsidRPr="00036FAC">
        <w:t>Table</w:t>
      </w:r>
      <w:r w:rsidR="00907D8C">
        <w:t xml:space="preserve"> </w:t>
      </w:r>
      <w:r w:rsidR="00211189">
        <w:t>36</w:t>
      </w:r>
    </w:p>
    <w:p w:rsidR="00036FAC" w:rsidRDefault="00036FAC" w:rsidP="00211189">
      <w:pPr>
        <w:pStyle w:val="SingleTxtG"/>
        <w:jc w:val="left"/>
        <w:rPr>
          <w:b/>
        </w:rPr>
      </w:pPr>
      <w:r w:rsidRPr="00211189">
        <w:rPr>
          <w:b/>
        </w:rPr>
        <w:t>Early</w:t>
      </w:r>
      <w:r w:rsidR="00907D8C" w:rsidRPr="00211189">
        <w:rPr>
          <w:b/>
        </w:rPr>
        <w:t xml:space="preserve"> </w:t>
      </w:r>
      <w:r w:rsidRPr="00211189">
        <w:rPr>
          <w:b/>
        </w:rPr>
        <w:t>leaving</w:t>
      </w:r>
      <w:r w:rsidR="00907D8C" w:rsidRPr="00211189">
        <w:rPr>
          <w:b/>
        </w:rPr>
        <w:t xml:space="preserve"> </w:t>
      </w:r>
      <w:r w:rsidRPr="00211189">
        <w:rPr>
          <w:b/>
        </w:rPr>
        <w:t>exemption</w:t>
      </w:r>
      <w:r w:rsidR="00907D8C" w:rsidRPr="00211189">
        <w:rPr>
          <w:b/>
        </w:rPr>
        <w:t xml:space="preserve"> </w:t>
      </w:r>
      <w:r w:rsidRPr="00211189">
        <w:rPr>
          <w:b/>
        </w:rPr>
        <w:t>rates</w:t>
      </w:r>
      <w:r w:rsidR="00907D8C" w:rsidRPr="00211189">
        <w:rPr>
          <w:b/>
        </w:rPr>
        <w:t xml:space="preserve"> </w:t>
      </w:r>
      <w:r w:rsidRPr="00211189">
        <w:rPr>
          <w:b/>
        </w:rPr>
        <w:t>per</w:t>
      </w:r>
      <w:r w:rsidR="00907D8C" w:rsidRPr="00211189">
        <w:rPr>
          <w:b/>
        </w:rPr>
        <w:t xml:space="preserve"> </w:t>
      </w:r>
      <w:r w:rsidRPr="00211189">
        <w:rPr>
          <w:b/>
        </w:rPr>
        <w:t>1,000</w:t>
      </w:r>
      <w:r w:rsidR="00907D8C" w:rsidRPr="00211189">
        <w:rPr>
          <w:b/>
        </w:rPr>
        <w:t xml:space="preserve"> </w:t>
      </w:r>
      <w:r w:rsidRPr="00211189">
        <w:rPr>
          <w:b/>
        </w:rPr>
        <w:t>15-year-old</w:t>
      </w:r>
      <w:r w:rsidR="00907D8C" w:rsidRPr="00211189">
        <w:rPr>
          <w:b/>
        </w:rPr>
        <w:t xml:space="preserve"> </w:t>
      </w:r>
      <w:r w:rsidRPr="00211189">
        <w:rPr>
          <w:b/>
        </w:rPr>
        <w:t>students,</w:t>
      </w:r>
      <w:r w:rsidR="00907D8C" w:rsidRPr="00211189">
        <w:rPr>
          <w:b/>
        </w:rPr>
        <w:t xml:space="preserve"> </w:t>
      </w:r>
      <w:r w:rsidRPr="00211189">
        <w:rPr>
          <w:b/>
        </w:rPr>
        <w:t>by</w:t>
      </w:r>
      <w:r w:rsidR="00907D8C" w:rsidRPr="00211189">
        <w:rPr>
          <w:b/>
        </w:rPr>
        <w:t xml:space="preserve"> </w:t>
      </w:r>
      <w:r w:rsidRPr="00211189">
        <w:rPr>
          <w:b/>
        </w:rPr>
        <w:t>ethnic</w:t>
      </w:r>
      <w:r w:rsidR="00907D8C" w:rsidRPr="00211189">
        <w:rPr>
          <w:b/>
        </w:rPr>
        <w:t xml:space="preserve"> </w:t>
      </w:r>
      <w:r w:rsidRPr="00211189">
        <w:rPr>
          <w:b/>
        </w:rPr>
        <w:t>group</w:t>
      </w:r>
      <w:r w:rsidR="00907D8C" w:rsidRPr="00211189">
        <w:rPr>
          <w:b/>
        </w:rPr>
        <w:t xml:space="preserve"> </w:t>
      </w:r>
      <w:r w:rsidRPr="00211189">
        <w:rPr>
          <w:b/>
        </w:rPr>
        <w:t>(2000</w:t>
      </w:r>
      <w:r w:rsidR="00907D8C" w:rsidRPr="00211189">
        <w:rPr>
          <w:b/>
        </w:rPr>
        <w:t xml:space="preserve"> </w:t>
      </w:r>
      <w:r w:rsidRPr="00211189">
        <w:rPr>
          <w:b/>
        </w:rPr>
        <w:t>to</w:t>
      </w:r>
      <w:r w:rsidR="00907D8C" w:rsidRPr="00211189">
        <w:rPr>
          <w:b/>
        </w:rPr>
        <w:t xml:space="preserve"> </w:t>
      </w:r>
      <w:r w:rsidRPr="00211189">
        <w:rPr>
          <w:b/>
        </w:rPr>
        <w:t>2009)</w:t>
      </w:r>
      <w:r w:rsidR="00907D8C" w:rsidRPr="00211189">
        <w:rPr>
          <w:b/>
        </w:rPr>
        <w:t xml:space="preserve"> </w:t>
      </w:r>
      <w:r w:rsidRPr="00211189">
        <w:rPr>
          <w:b/>
        </w:rPr>
        <w:t>excluding</w:t>
      </w:r>
      <w:r w:rsidR="00907D8C" w:rsidRPr="00211189">
        <w:rPr>
          <w:b/>
        </w:rPr>
        <w:t xml:space="preserve"> </w:t>
      </w:r>
      <w:r w:rsidRPr="00211189">
        <w:rPr>
          <w:b/>
        </w:rPr>
        <w:t>international</w:t>
      </w:r>
      <w:r w:rsidR="00907D8C" w:rsidRPr="00211189">
        <w:rPr>
          <w:b/>
        </w:rPr>
        <w:t xml:space="preserve"> </w:t>
      </w:r>
      <w:r w:rsidRPr="00211189">
        <w:rPr>
          <w:b/>
        </w:rPr>
        <w:t>fee-paying</w:t>
      </w:r>
      <w:r w:rsidR="00907D8C" w:rsidRPr="00211189">
        <w:rPr>
          <w:b/>
        </w:rPr>
        <w:t xml:space="preserve"> </w:t>
      </w:r>
      <w:r w:rsidRPr="00211189">
        <w:rPr>
          <w:b/>
        </w:rPr>
        <w:t>students</w:t>
      </w:r>
      <w:bookmarkEnd w:id="67"/>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66"/>
        <w:gridCol w:w="590"/>
        <w:gridCol w:w="590"/>
        <w:gridCol w:w="591"/>
        <w:gridCol w:w="590"/>
        <w:gridCol w:w="591"/>
        <w:gridCol w:w="590"/>
        <w:gridCol w:w="590"/>
        <w:gridCol w:w="591"/>
        <w:gridCol w:w="590"/>
        <w:gridCol w:w="591"/>
      </w:tblGrid>
      <w:tr w:rsidR="00211189" w:rsidRPr="000C7DAB" w:rsidTr="00A65E3D">
        <w:tc>
          <w:tcPr>
            <w:tcW w:w="1466" w:type="dxa"/>
            <w:tcBorders>
              <w:top w:val="single" w:sz="4" w:space="0" w:color="auto"/>
              <w:bottom w:val="single" w:sz="12" w:space="0" w:color="auto"/>
            </w:tcBorders>
            <w:shd w:val="clear" w:color="auto" w:fill="auto"/>
            <w:vAlign w:val="bottom"/>
          </w:tcPr>
          <w:p w:rsidR="00211189" w:rsidRPr="000C7DAB" w:rsidRDefault="00211189" w:rsidP="000C7DAB">
            <w:pPr>
              <w:spacing w:before="80" w:after="80" w:line="200" w:lineRule="exact"/>
              <w:ind w:right="113"/>
              <w:rPr>
                <w:i/>
                <w:sz w:val="16"/>
                <w:szCs w:val="16"/>
              </w:rPr>
            </w:pPr>
            <w:r w:rsidRPr="000C7DAB">
              <w:rPr>
                <w:i/>
                <w:sz w:val="16"/>
                <w:szCs w:val="16"/>
              </w:rPr>
              <w:t>Ethnic Group</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2000</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2001</w:t>
            </w:r>
          </w:p>
        </w:tc>
        <w:tc>
          <w:tcPr>
            <w:tcW w:w="591"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2002</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2003</w:t>
            </w:r>
          </w:p>
        </w:tc>
        <w:tc>
          <w:tcPr>
            <w:tcW w:w="591"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2004</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2005</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2006</w:t>
            </w:r>
          </w:p>
        </w:tc>
        <w:tc>
          <w:tcPr>
            <w:tcW w:w="591"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2007</w:t>
            </w:r>
          </w:p>
        </w:tc>
        <w:tc>
          <w:tcPr>
            <w:tcW w:w="590"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2008</w:t>
            </w:r>
          </w:p>
        </w:tc>
        <w:tc>
          <w:tcPr>
            <w:tcW w:w="591" w:type="dxa"/>
            <w:tcBorders>
              <w:top w:val="single" w:sz="4" w:space="0" w:color="auto"/>
              <w:bottom w:val="single" w:sz="12" w:space="0" w:color="auto"/>
            </w:tcBorders>
            <w:shd w:val="clear" w:color="auto" w:fill="auto"/>
            <w:vAlign w:val="bottom"/>
          </w:tcPr>
          <w:p w:rsidR="00211189" w:rsidRPr="000C7DAB" w:rsidRDefault="00211189" w:rsidP="000C7DAB">
            <w:pPr>
              <w:suppressAutoHyphens w:val="0"/>
              <w:spacing w:before="80" w:after="80" w:line="200" w:lineRule="exact"/>
              <w:ind w:right="113"/>
              <w:jc w:val="right"/>
              <w:rPr>
                <w:i/>
                <w:sz w:val="16"/>
                <w:szCs w:val="16"/>
              </w:rPr>
            </w:pPr>
            <w:r w:rsidRPr="000C7DAB">
              <w:rPr>
                <w:i/>
                <w:sz w:val="16"/>
                <w:szCs w:val="16"/>
              </w:rPr>
              <w:t>2009</w:t>
            </w:r>
          </w:p>
        </w:tc>
      </w:tr>
      <w:tr w:rsidR="00211189" w:rsidRPr="00211189" w:rsidTr="00A65E3D">
        <w:tc>
          <w:tcPr>
            <w:tcW w:w="1466" w:type="dxa"/>
            <w:tcBorders>
              <w:top w:val="single" w:sz="12" w:space="0" w:color="auto"/>
            </w:tcBorders>
            <w:shd w:val="clear" w:color="auto" w:fill="auto"/>
          </w:tcPr>
          <w:p w:rsidR="00211189" w:rsidRPr="00211189" w:rsidRDefault="00211189" w:rsidP="00211189">
            <w:pPr>
              <w:suppressAutoHyphens w:val="0"/>
              <w:spacing w:before="40" w:after="40" w:line="220" w:lineRule="exact"/>
              <w:ind w:right="113"/>
              <w:rPr>
                <w:sz w:val="18"/>
              </w:rPr>
            </w:pPr>
            <w:r w:rsidRPr="00211189">
              <w:rPr>
                <w:sz w:val="18"/>
              </w:rPr>
              <w:t>Māori</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134.2</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139.6</w:t>
            </w:r>
          </w:p>
        </w:tc>
        <w:tc>
          <w:tcPr>
            <w:tcW w:w="591"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151.5</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153.4</w:t>
            </w:r>
          </w:p>
        </w:tc>
        <w:tc>
          <w:tcPr>
            <w:tcW w:w="591"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138.7</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156.9</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150.5</w:t>
            </w:r>
          </w:p>
        </w:tc>
        <w:tc>
          <w:tcPr>
            <w:tcW w:w="591"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73.3</w:t>
            </w:r>
          </w:p>
        </w:tc>
        <w:tc>
          <w:tcPr>
            <w:tcW w:w="590"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25.1</w:t>
            </w:r>
          </w:p>
        </w:tc>
        <w:tc>
          <w:tcPr>
            <w:tcW w:w="591" w:type="dxa"/>
            <w:tcBorders>
              <w:top w:val="single" w:sz="12"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21.2</w:t>
            </w:r>
          </w:p>
        </w:tc>
      </w:tr>
      <w:tr w:rsidR="00211189" w:rsidRPr="00211189" w:rsidTr="00A65E3D">
        <w:tc>
          <w:tcPr>
            <w:tcW w:w="1466" w:type="dxa"/>
            <w:shd w:val="clear" w:color="auto" w:fill="auto"/>
          </w:tcPr>
          <w:p w:rsidR="00211189" w:rsidRPr="00211189" w:rsidRDefault="00211189" w:rsidP="00211189">
            <w:pPr>
              <w:suppressAutoHyphens w:val="0"/>
              <w:spacing w:before="40" w:after="40" w:line="220" w:lineRule="exact"/>
              <w:ind w:right="113"/>
              <w:rPr>
                <w:sz w:val="18"/>
              </w:rPr>
            </w:pPr>
            <w:r w:rsidRPr="00211189">
              <w:rPr>
                <w:sz w:val="18"/>
              </w:rPr>
              <w:t>Pacific peoples</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54.9</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48.3</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52.4</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58.4</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54.0</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62.7</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54.3</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32.6</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6.7</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5.7</w:t>
            </w:r>
          </w:p>
        </w:tc>
      </w:tr>
      <w:tr w:rsidR="00211189" w:rsidRPr="00211189" w:rsidTr="00A65E3D">
        <w:tc>
          <w:tcPr>
            <w:tcW w:w="1466" w:type="dxa"/>
            <w:shd w:val="clear" w:color="auto" w:fill="auto"/>
          </w:tcPr>
          <w:p w:rsidR="00211189" w:rsidRPr="00211189" w:rsidRDefault="00211189" w:rsidP="00211189">
            <w:pPr>
              <w:suppressAutoHyphens w:val="0"/>
              <w:spacing w:before="40" w:after="40" w:line="220" w:lineRule="exact"/>
              <w:ind w:right="113"/>
              <w:rPr>
                <w:sz w:val="18"/>
              </w:rPr>
            </w:pPr>
            <w:r w:rsidRPr="00211189">
              <w:rPr>
                <w:sz w:val="18"/>
              </w:rPr>
              <w:t>Asian</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5.1</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4.7</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6.0</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3.9</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5.1</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3.9</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5.1</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1.5</w:t>
            </w:r>
          </w:p>
        </w:tc>
        <w:tc>
          <w:tcPr>
            <w:tcW w:w="590"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x</w:t>
            </w:r>
          </w:p>
        </w:tc>
        <w:tc>
          <w:tcPr>
            <w:tcW w:w="591" w:type="dxa"/>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x</w:t>
            </w:r>
          </w:p>
        </w:tc>
      </w:tr>
      <w:tr w:rsidR="00211189" w:rsidRPr="00211189" w:rsidTr="00A65E3D">
        <w:tc>
          <w:tcPr>
            <w:tcW w:w="1466" w:type="dxa"/>
            <w:tcBorders>
              <w:bottom w:val="single" w:sz="4" w:space="0" w:color="auto"/>
            </w:tcBorders>
            <w:shd w:val="clear" w:color="auto" w:fill="auto"/>
          </w:tcPr>
          <w:p w:rsidR="00211189" w:rsidRPr="00211189" w:rsidRDefault="00211189" w:rsidP="00211189">
            <w:pPr>
              <w:suppressAutoHyphens w:val="0"/>
              <w:spacing w:before="40" w:after="40" w:line="220" w:lineRule="exact"/>
              <w:ind w:right="113"/>
              <w:rPr>
                <w:sz w:val="18"/>
              </w:rPr>
            </w:pPr>
            <w:r w:rsidRPr="00211189">
              <w:rPr>
                <w:sz w:val="18"/>
              </w:rPr>
              <w:t>European/Pākehā</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48.6</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53.9</w:t>
            </w:r>
          </w:p>
        </w:tc>
        <w:tc>
          <w:tcPr>
            <w:tcW w:w="591"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55.3</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53.8</w:t>
            </w:r>
          </w:p>
        </w:tc>
        <w:tc>
          <w:tcPr>
            <w:tcW w:w="591"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55.7</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54.9</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48.8</w:t>
            </w:r>
          </w:p>
        </w:tc>
        <w:tc>
          <w:tcPr>
            <w:tcW w:w="591"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23.2</w:t>
            </w:r>
          </w:p>
        </w:tc>
        <w:tc>
          <w:tcPr>
            <w:tcW w:w="590"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8.3</w:t>
            </w:r>
          </w:p>
        </w:tc>
        <w:tc>
          <w:tcPr>
            <w:tcW w:w="591" w:type="dxa"/>
            <w:tcBorders>
              <w:bottom w:val="single" w:sz="4" w:space="0" w:color="auto"/>
            </w:tcBorders>
            <w:shd w:val="clear" w:color="auto" w:fill="auto"/>
            <w:vAlign w:val="bottom"/>
          </w:tcPr>
          <w:p w:rsidR="00211189" w:rsidRPr="00211189" w:rsidRDefault="00211189" w:rsidP="00211189">
            <w:pPr>
              <w:suppressAutoHyphens w:val="0"/>
              <w:spacing w:before="40" w:after="40" w:line="220" w:lineRule="exact"/>
              <w:ind w:right="113"/>
              <w:jc w:val="right"/>
              <w:rPr>
                <w:sz w:val="18"/>
              </w:rPr>
            </w:pPr>
            <w:r w:rsidRPr="00211189">
              <w:rPr>
                <w:sz w:val="18"/>
              </w:rPr>
              <w:t>7.6</w:t>
            </w:r>
          </w:p>
        </w:tc>
      </w:tr>
      <w:tr w:rsidR="00211189" w:rsidRPr="00A65E3D" w:rsidTr="00A65E3D">
        <w:tc>
          <w:tcPr>
            <w:tcW w:w="1466" w:type="dxa"/>
            <w:tcBorders>
              <w:top w:val="single" w:sz="4" w:space="0" w:color="auto"/>
              <w:bottom w:val="single" w:sz="12" w:space="0" w:color="auto"/>
            </w:tcBorders>
            <w:shd w:val="clear" w:color="auto" w:fill="auto"/>
          </w:tcPr>
          <w:p w:rsidR="00211189" w:rsidRPr="00A65E3D" w:rsidRDefault="00211189" w:rsidP="000C7DAB">
            <w:pPr>
              <w:suppressAutoHyphens w:val="0"/>
              <w:spacing w:before="80" w:after="80" w:line="220" w:lineRule="exact"/>
              <w:ind w:left="284" w:right="113"/>
              <w:rPr>
                <w:b/>
                <w:sz w:val="18"/>
              </w:rPr>
            </w:pPr>
            <w:r w:rsidRPr="00A65E3D">
              <w:rPr>
                <w:b/>
                <w:sz w:val="18"/>
              </w:rPr>
              <w:t>Total</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63.4</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66.4</w:t>
            </w:r>
          </w:p>
        </w:tc>
        <w:tc>
          <w:tcPr>
            <w:tcW w:w="591"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69.8</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68.9</w:t>
            </w:r>
          </w:p>
        </w:tc>
        <w:tc>
          <w:tcPr>
            <w:tcW w:w="591"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67.3</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71.1</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65.3</w:t>
            </w:r>
          </w:p>
        </w:tc>
        <w:tc>
          <w:tcPr>
            <w:tcW w:w="591"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32.4</w:t>
            </w:r>
          </w:p>
        </w:tc>
        <w:tc>
          <w:tcPr>
            <w:tcW w:w="590"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11.0</w:t>
            </w:r>
          </w:p>
        </w:tc>
        <w:tc>
          <w:tcPr>
            <w:tcW w:w="591" w:type="dxa"/>
            <w:tcBorders>
              <w:top w:val="single" w:sz="4" w:space="0" w:color="auto"/>
              <w:bottom w:val="single" w:sz="12" w:space="0" w:color="auto"/>
            </w:tcBorders>
            <w:shd w:val="clear" w:color="auto" w:fill="auto"/>
            <w:vAlign w:val="bottom"/>
          </w:tcPr>
          <w:p w:rsidR="00211189" w:rsidRPr="00A65E3D" w:rsidRDefault="00211189" w:rsidP="00A65E3D">
            <w:pPr>
              <w:suppressAutoHyphens w:val="0"/>
              <w:spacing w:before="80" w:after="80" w:line="220" w:lineRule="exact"/>
              <w:ind w:right="113"/>
              <w:jc w:val="right"/>
              <w:rPr>
                <w:b/>
                <w:sz w:val="18"/>
              </w:rPr>
            </w:pPr>
            <w:r w:rsidRPr="00A65E3D">
              <w:rPr>
                <w:b/>
                <w:sz w:val="18"/>
              </w:rPr>
              <w:t>9.6</w:t>
            </w:r>
          </w:p>
        </w:tc>
      </w:tr>
    </w:tbl>
    <w:p w:rsidR="00036FAC" w:rsidRPr="00A65E3D" w:rsidRDefault="00036FAC" w:rsidP="00B50FB5">
      <w:pPr>
        <w:spacing w:before="120" w:after="240"/>
        <w:ind w:left="1134" w:right="1134" w:firstLine="170"/>
        <w:rPr>
          <w:sz w:val="18"/>
          <w:szCs w:val="18"/>
        </w:rPr>
      </w:pPr>
      <w:r w:rsidRPr="00A65E3D">
        <w:rPr>
          <w:i/>
          <w:sz w:val="18"/>
          <w:szCs w:val="18"/>
        </w:rPr>
        <w:t>Source</w:t>
      </w:r>
      <w:r w:rsidRPr="00A65E3D">
        <w:rPr>
          <w:sz w:val="18"/>
          <w:szCs w:val="18"/>
        </w:rPr>
        <w:t>:</w:t>
      </w:r>
      <w:r w:rsidR="00907D8C" w:rsidRPr="00A65E3D">
        <w:rPr>
          <w:sz w:val="18"/>
          <w:szCs w:val="18"/>
        </w:rPr>
        <w:t xml:space="preserve"> </w:t>
      </w:r>
      <w:r w:rsidR="00211189" w:rsidRPr="00A65E3D">
        <w:rPr>
          <w:sz w:val="18"/>
          <w:szCs w:val="18"/>
        </w:rPr>
        <w:t xml:space="preserve"> </w:t>
      </w:r>
      <w:r w:rsidRPr="00A65E3D">
        <w:rPr>
          <w:sz w:val="18"/>
          <w:szCs w:val="18"/>
        </w:rPr>
        <w:t>Ministry</w:t>
      </w:r>
      <w:r w:rsidR="00907D8C" w:rsidRPr="00A65E3D">
        <w:rPr>
          <w:sz w:val="18"/>
          <w:szCs w:val="18"/>
        </w:rPr>
        <w:t xml:space="preserve"> </w:t>
      </w:r>
      <w:r w:rsidRPr="00A65E3D">
        <w:rPr>
          <w:sz w:val="18"/>
          <w:szCs w:val="18"/>
        </w:rPr>
        <w:t>of</w:t>
      </w:r>
      <w:r w:rsidR="00907D8C" w:rsidRPr="00A65E3D">
        <w:rPr>
          <w:sz w:val="18"/>
          <w:szCs w:val="18"/>
        </w:rPr>
        <w:t xml:space="preserve"> </w:t>
      </w:r>
      <w:r w:rsidRPr="00A65E3D">
        <w:rPr>
          <w:sz w:val="18"/>
          <w:szCs w:val="18"/>
        </w:rPr>
        <w:t>Education</w:t>
      </w:r>
      <w:r w:rsidR="00211189" w:rsidRPr="00A65E3D">
        <w:rPr>
          <w:sz w:val="18"/>
          <w:szCs w:val="18"/>
        </w:rPr>
        <w:t>.</w:t>
      </w:r>
    </w:p>
    <w:p w:rsidR="00211189" w:rsidRDefault="00036FAC" w:rsidP="00A65E3D">
      <w:pPr>
        <w:pStyle w:val="Heading1"/>
      </w:pPr>
      <w:bookmarkStart w:id="68" w:name="_Toc275331938"/>
      <w:r w:rsidRPr="00036FAC">
        <w:t>Table</w:t>
      </w:r>
      <w:r w:rsidR="00907D8C">
        <w:t xml:space="preserve"> </w:t>
      </w:r>
      <w:r w:rsidR="00211189">
        <w:t>37</w:t>
      </w:r>
    </w:p>
    <w:p w:rsidR="00036FAC" w:rsidRDefault="00036FAC" w:rsidP="00A65E3D">
      <w:pPr>
        <w:pStyle w:val="SingleTxtG"/>
        <w:jc w:val="left"/>
        <w:rPr>
          <w:b/>
        </w:rPr>
      </w:pPr>
      <w:r w:rsidRPr="00A65E3D">
        <w:rPr>
          <w:b/>
        </w:rPr>
        <w:t>Early</w:t>
      </w:r>
      <w:r w:rsidR="00907D8C" w:rsidRPr="00A65E3D">
        <w:rPr>
          <w:b/>
        </w:rPr>
        <w:t xml:space="preserve"> </w:t>
      </w:r>
      <w:r w:rsidRPr="00A65E3D">
        <w:rPr>
          <w:b/>
        </w:rPr>
        <w:t>leaving</w:t>
      </w:r>
      <w:r w:rsidR="00907D8C" w:rsidRPr="00A65E3D">
        <w:rPr>
          <w:b/>
        </w:rPr>
        <w:t xml:space="preserve"> </w:t>
      </w:r>
      <w:r w:rsidRPr="00A65E3D">
        <w:rPr>
          <w:b/>
        </w:rPr>
        <w:t>exemption</w:t>
      </w:r>
      <w:r w:rsidR="00907D8C" w:rsidRPr="00A65E3D">
        <w:rPr>
          <w:b/>
        </w:rPr>
        <w:t xml:space="preserve"> </w:t>
      </w:r>
      <w:r w:rsidRPr="00A65E3D">
        <w:rPr>
          <w:b/>
        </w:rPr>
        <w:t>rates</w:t>
      </w:r>
      <w:r w:rsidR="00907D8C" w:rsidRPr="00A65E3D">
        <w:rPr>
          <w:b/>
        </w:rPr>
        <w:t xml:space="preserve"> </w:t>
      </w:r>
      <w:r w:rsidRPr="00A65E3D">
        <w:rPr>
          <w:b/>
        </w:rPr>
        <w:t>per</w:t>
      </w:r>
      <w:r w:rsidR="00907D8C" w:rsidRPr="00A65E3D">
        <w:rPr>
          <w:b/>
        </w:rPr>
        <w:t xml:space="preserve"> </w:t>
      </w:r>
      <w:r w:rsidRPr="00A65E3D">
        <w:rPr>
          <w:b/>
        </w:rPr>
        <w:t>1,000</w:t>
      </w:r>
      <w:r w:rsidR="00907D8C" w:rsidRPr="00A65E3D">
        <w:rPr>
          <w:b/>
        </w:rPr>
        <w:t xml:space="preserve"> </w:t>
      </w:r>
      <w:r w:rsidRPr="00A65E3D">
        <w:rPr>
          <w:b/>
        </w:rPr>
        <w:t>15-year-old</w:t>
      </w:r>
      <w:r w:rsidR="00907D8C" w:rsidRPr="00A65E3D">
        <w:rPr>
          <w:b/>
        </w:rPr>
        <w:t xml:space="preserve"> </w:t>
      </w:r>
      <w:r w:rsidRPr="00A65E3D">
        <w:rPr>
          <w:b/>
        </w:rPr>
        <w:t>students,</w:t>
      </w:r>
      <w:r w:rsidR="00907D8C" w:rsidRPr="00A65E3D">
        <w:rPr>
          <w:b/>
        </w:rPr>
        <w:t xml:space="preserve"> </w:t>
      </w:r>
      <w:r w:rsidRPr="00A65E3D">
        <w:rPr>
          <w:b/>
        </w:rPr>
        <w:t>by</w:t>
      </w:r>
      <w:r w:rsidR="00907D8C" w:rsidRPr="00A65E3D">
        <w:rPr>
          <w:b/>
        </w:rPr>
        <w:t xml:space="preserve"> </w:t>
      </w:r>
      <w:r w:rsidRPr="00A65E3D">
        <w:rPr>
          <w:b/>
        </w:rPr>
        <w:t>gender</w:t>
      </w:r>
      <w:r w:rsidR="00907D8C" w:rsidRPr="00A65E3D">
        <w:rPr>
          <w:b/>
        </w:rPr>
        <w:t xml:space="preserve"> </w:t>
      </w:r>
      <w:r w:rsidRPr="00A65E3D">
        <w:rPr>
          <w:b/>
        </w:rPr>
        <w:t>and</w:t>
      </w:r>
      <w:r w:rsidR="00907D8C" w:rsidRPr="00A65E3D">
        <w:rPr>
          <w:b/>
        </w:rPr>
        <w:t xml:space="preserve"> </w:t>
      </w:r>
      <w:r w:rsidRPr="00A65E3D">
        <w:rPr>
          <w:b/>
        </w:rPr>
        <w:t>ethnic</w:t>
      </w:r>
      <w:r w:rsidR="00907D8C" w:rsidRPr="00A65E3D">
        <w:rPr>
          <w:b/>
        </w:rPr>
        <w:t xml:space="preserve"> </w:t>
      </w:r>
      <w:r w:rsidRPr="00A65E3D">
        <w:rPr>
          <w:b/>
        </w:rPr>
        <w:t>group</w:t>
      </w:r>
      <w:r w:rsidR="00907D8C" w:rsidRPr="00A65E3D">
        <w:rPr>
          <w:b/>
        </w:rPr>
        <w:t xml:space="preserve"> </w:t>
      </w:r>
      <w:r w:rsidRPr="00A65E3D">
        <w:rPr>
          <w:b/>
        </w:rPr>
        <w:t>(2009)</w:t>
      </w:r>
      <w:bookmarkEnd w:id="68"/>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A65E3D" w:rsidRPr="00A65E3D" w:rsidTr="00A65E3D">
        <w:tc>
          <w:tcPr>
            <w:tcW w:w="2456" w:type="dxa"/>
            <w:tcBorders>
              <w:top w:val="single" w:sz="4" w:space="0" w:color="auto"/>
              <w:bottom w:val="single" w:sz="12" w:space="0" w:color="auto"/>
            </w:tcBorders>
            <w:shd w:val="clear" w:color="auto" w:fill="auto"/>
            <w:vAlign w:val="bottom"/>
          </w:tcPr>
          <w:p w:rsidR="00A65E3D" w:rsidRPr="00A65E3D" w:rsidRDefault="00A65E3D" w:rsidP="000C7DAB">
            <w:pPr>
              <w:suppressAutoHyphens w:val="0"/>
              <w:spacing w:before="80" w:after="80" w:line="200" w:lineRule="exact"/>
              <w:ind w:right="113"/>
              <w:rPr>
                <w:i/>
                <w:sz w:val="16"/>
              </w:rPr>
            </w:pPr>
            <w:r w:rsidRPr="00A65E3D">
              <w:rPr>
                <w:i/>
                <w:sz w:val="16"/>
              </w:rPr>
              <w:t>Ethnic Group</w:t>
            </w:r>
          </w:p>
        </w:tc>
        <w:tc>
          <w:tcPr>
            <w:tcW w:w="2457" w:type="dxa"/>
            <w:tcBorders>
              <w:top w:val="single" w:sz="4" w:space="0" w:color="auto"/>
              <w:bottom w:val="single" w:sz="12" w:space="0" w:color="auto"/>
            </w:tcBorders>
            <w:shd w:val="clear" w:color="auto" w:fill="auto"/>
            <w:vAlign w:val="bottom"/>
          </w:tcPr>
          <w:p w:rsidR="00A65E3D" w:rsidRPr="00A65E3D" w:rsidRDefault="00A65E3D" w:rsidP="000C7DAB">
            <w:pPr>
              <w:suppressAutoHyphens w:val="0"/>
              <w:spacing w:before="80" w:after="80" w:line="200" w:lineRule="exact"/>
              <w:ind w:right="113"/>
              <w:jc w:val="right"/>
              <w:rPr>
                <w:i/>
                <w:sz w:val="16"/>
              </w:rPr>
            </w:pPr>
            <w:r w:rsidRPr="00A65E3D">
              <w:rPr>
                <w:i/>
                <w:sz w:val="16"/>
              </w:rPr>
              <w:t>Female</w:t>
            </w:r>
          </w:p>
        </w:tc>
        <w:tc>
          <w:tcPr>
            <w:tcW w:w="2457" w:type="dxa"/>
            <w:tcBorders>
              <w:top w:val="single" w:sz="4" w:space="0" w:color="auto"/>
              <w:bottom w:val="single" w:sz="12" w:space="0" w:color="auto"/>
            </w:tcBorders>
            <w:shd w:val="clear" w:color="auto" w:fill="auto"/>
            <w:vAlign w:val="bottom"/>
          </w:tcPr>
          <w:p w:rsidR="00A65E3D" w:rsidRPr="00A65E3D" w:rsidRDefault="00A65E3D" w:rsidP="000C7DAB">
            <w:pPr>
              <w:suppressAutoHyphens w:val="0"/>
              <w:spacing w:before="80" w:after="80" w:line="200" w:lineRule="exact"/>
              <w:ind w:right="113"/>
              <w:jc w:val="right"/>
              <w:rPr>
                <w:i/>
                <w:sz w:val="16"/>
              </w:rPr>
            </w:pPr>
            <w:r w:rsidRPr="00A65E3D">
              <w:rPr>
                <w:i/>
                <w:sz w:val="16"/>
              </w:rPr>
              <w:t>Male</w:t>
            </w:r>
          </w:p>
        </w:tc>
      </w:tr>
      <w:tr w:rsidR="00A65E3D" w:rsidRPr="00A65E3D" w:rsidTr="00895D47">
        <w:tc>
          <w:tcPr>
            <w:tcW w:w="2456" w:type="dxa"/>
            <w:tcBorders>
              <w:top w:val="single" w:sz="12" w:space="0" w:color="auto"/>
            </w:tcBorders>
            <w:shd w:val="clear" w:color="auto" w:fill="auto"/>
          </w:tcPr>
          <w:p w:rsidR="00A65E3D" w:rsidRPr="00A65E3D" w:rsidRDefault="00A65E3D" w:rsidP="00895D47">
            <w:pPr>
              <w:suppressAutoHyphens w:val="0"/>
              <w:spacing w:before="40" w:after="40" w:line="220" w:lineRule="exact"/>
              <w:ind w:right="113"/>
              <w:rPr>
                <w:sz w:val="18"/>
              </w:rPr>
            </w:pPr>
            <w:r w:rsidRPr="00A65E3D">
              <w:rPr>
                <w:sz w:val="18"/>
              </w:rPr>
              <w:t>Māori</w:t>
            </w:r>
          </w:p>
        </w:tc>
        <w:tc>
          <w:tcPr>
            <w:tcW w:w="2457" w:type="dxa"/>
            <w:tcBorders>
              <w:top w:val="single" w:sz="12" w:space="0" w:color="auto"/>
            </w:tcBorders>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15.2</w:t>
            </w:r>
          </w:p>
        </w:tc>
        <w:tc>
          <w:tcPr>
            <w:tcW w:w="2457" w:type="dxa"/>
            <w:tcBorders>
              <w:top w:val="single" w:sz="12" w:space="0" w:color="auto"/>
            </w:tcBorders>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26.8</w:t>
            </w:r>
          </w:p>
        </w:tc>
      </w:tr>
      <w:tr w:rsidR="00A65E3D" w:rsidRPr="00A65E3D" w:rsidTr="00895D47">
        <w:tc>
          <w:tcPr>
            <w:tcW w:w="2456" w:type="dxa"/>
            <w:shd w:val="clear" w:color="auto" w:fill="auto"/>
          </w:tcPr>
          <w:p w:rsidR="00A65E3D" w:rsidRPr="00A65E3D" w:rsidRDefault="00A65E3D" w:rsidP="00895D47">
            <w:pPr>
              <w:suppressAutoHyphens w:val="0"/>
              <w:spacing w:before="40" w:after="40" w:line="220" w:lineRule="exact"/>
              <w:ind w:right="113"/>
              <w:rPr>
                <w:sz w:val="18"/>
              </w:rPr>
            </w:pPr>
            <w:r w:rsidRPr="00A65E3D">
              <w:rPr>
                <w:sz w:val="18"/>
              </w:rPr>
              <w:t xml:space="preserve">Pacific peoples </w:t>
            </w:r>
          </w:p>
        </w:tc>
        <w:tc>
          <w:tcPr>
            <w:tcW w:w="2457" w:type="dxa"/>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3.5</w:t>
            </w:r>
          </w:p>
        </w:tc>
        <w:tc>
          <w:tcPr>
            <w:tcW w:w="2457" w:type="dxa"/>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7.9</w:t>
            </w:r>
          </w:p>
        </w:tc>
      </w:tr>
      <w:tr w:rsidR="00A65E3D" w:rsidRPr="00A65E3D" w:rsidTr="00895D47">
        <w:tc>
          <w:tcPr>
            <w:tcW w:w="2456" w:type="dxa"/>
            <w:shd w:val="clear" w:color="auto" w:fill="auto"/>
          </w:tcPr>
          <w:p w:rsidR="00A65E3D" w:rsidRPr="00A65E3D" w:rsidRDefault="00A65E3D" w:rsidP="00895D47">
            <w:pPr>
              <w:suppressAutoHyphens w:val="0"/>
              <w:spacing w:before="40" w:after="40" w:line="220" w:lineRule="exact"/>
              <w:ind w:right="113"/>
              <w:rPr>
                <w:sz w:val="18"/>
              </w:rPr>
            </w:pPr>
            <w:r w:rsidRPr="00A65E3D">
              <w:rPr>
                <w:sz w:val="18"/>
              </w:rPr>
              <w:t>Asian</w:t>
            </w:r>
          </w:p>
        </w:tc>
        <w:tc>
          <w:tcPr>
            <w:tcW w:w="2457" w:type="dxa"/>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x</w:t>
            </w:r>
          </w:p>
        </w:tc>
        <w:tc>
          <w:tcPr>
            <w:tcW w:w="2457" w:type="dxa"/>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x</w:t>
            </w:r>
          </w:p>
        </w:tc>
      </w:tr>
      <w:tr w:rsidR="00A65E3D" w:rsidRPr="00A65E3D" w:rsidTr="00895D47">
        <w:tc>
          <w:tcPr>
            <w:tcW w:w="2456" w:type="dxa"/>
            <w:tcBorders>
              <w:bottom w:val="single" w:sz="4" w:space="0" w:color="auto"/>
            </w:tcBorders>
            <w:shd w:val="clear" w:color="auto" w:fill="auto"/>
          </w:tcPr>
          <w:p w:rsidR="00A65E3D" w:rsidRPr="00A65E3D" w:rsidRDefault="00A65E3D" w:rsidP="00895D47">
            <w:pPr>
              <w:suppressAutoHyphens w:val="0"/>
              <w:spacing w:before="40" w:after="40" w:line="220" w:lineRule="exact"/>
              <w:ind w:right="113"/>
              <w:rPr>
                <w:sz w:val="18"/>
              </w:rPr>
            </w:pPr>
            <w:r w:rsidRPr="00A65E3D">
              <w:rPr>
                <w:sz w:val="18"/>
              </w:rPr>
              <w:t>Eu</w:t>
            </w:r>
            <w:r w:rsidR="000711F4">
              <w:rPr>
                <w:sz w:val="18"/>
              </w:rPr>
              <w:t>ropean/</w:t>
            </w:r>
            <w:r w:rsidRPr="00A65E3D">
              <w:rPr>
                <w:sz w:val="18"/>
              </w:rPr>
              <w:t>Pākehā</w:t>
            </w:r>
          </w:p>
        </w:tc>
        <w:tc>
          <w:tcPr>
            <w:tcW w:w="2457" w:type="dxa"/>
            <w:tcBorders>
              <w:bottom w:val="single" w:sz="4" w:space="0" w:color="auto"/>
            </w:tcBorders>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4.0</w:t>
            </w:r>
          </w:p>
        </w:tc>
        <w:tc>
          <w:tcPr>
            <w:tcW w:w="2457" w:type="dxa"/>
            <w:tcBorders>
              <w:bottom w:val="single" w:sz="4" w:space="0" w:color="auto"/>
            </w:tcBorders>
            <w:shd w:val="clear" w:color="auto" w:fill="auto"/>
            <w:vAlign w:val="bottom"/>
          </w:tcPr>
          <w:p w:rsidR="00A65E3D" w:rsidRPr="00A65E3D" w:rsidRDefault="00A65E3D" w:rsidP="00895D47">
            <w:pPr>
              <w:suppressAutoHyphens w:val="0"/>
              <w:spacing w:before="40" w:after="40" w:line="220" w:lineRule="exact"/>
              <w:ind w:right="113"/>
              <w:jc w:val="right"/>
              <w:rPr>
                <w:sz w:val="18"/>
              </w:rPr>
            </w:pPr>
            <w:r w:rsidRPr="00A65E3D">
              <w:rPr>
                <w:sz w:val="18"/>
              </w:rPr>
              <w:t>11.1</w:t>
            </w:r>
          </w:p>
        </w:tc>
      </w:tr>
      <w:tr w:rsidR="00A65E3D" w:rsidRPr="00A65E3D" w:rsidTr="00895D47">
        <w:tc>
          <w:tcPr>
            <w:tcW w:w="2456" w:type="dxa"/>
            <w:tcBorders>
              <w:top w:val="single" w:sz="4" w:space="0" w:color="auto"/>
              <w:bottom w:val="single" w:sz="12" w:space="0" w:color="auto"/>
            </w:tcBorders>
            <w:shd w:val="clear" w:color="auto" w:fill="auto"/>
          </w:tcPr>
          <w:p w:rsidR="00A65E3D" w:rsidRPr="00895D47" w:rsidRDefault="00A65E3D" w:rsidP="00895D47">
            <w:pPr>
              <w:suppressAutoHyphens w:val="0"/>
              <w:spacing w:before="80" w:after="80" w:line="220" w:lineRule="exact"/>
              <w:ind w:left="284" w:right="113"/>
              <w:rPr>
                <w:b/>
                <w:sz w:val="18"/>
              </w:rPr>
            </w:pPr>
            <w:r w:rsidRPr="00895D47">
              <w:rPr>
                <w:b/>
                <w:sz w:val="18"/>
              </w:rPr>
              <w:t>Total</w:t>
            </w:r>
          </w:p>
        </w:tc>
        <w:tc>
          <w:tcPr>
            <w:tcW w:w="2457" w:type="dxa"/>
            <w:tcBorders>
              <w:top w:val="single" w:sz="4" w:space="0" w:color="auto"/>
              <w:bottom w:val="single" w:sz="12" w:space="0" w:color="auto"/>
            </w:tcBorders>
            <w:shd w:val="clear" w:color="auto" w:fill="auto"/>
            <w:vAlign w:val="bottom"/>
          </w:tcPr>
          <w:p w:rsidR="00A65E3D" w:rsidRPr="00895D47" w:rsidRDefault="00A65E3D" w:rsidP="00895D47">
            <w:pPr>
              <w:suppressAutoHyphens w:val="0"/>
              <w:spacing w:before="80" w:after="80" w:line="220" w:lineRule="exact"/>
              <w:ind w:right="113"/>
              <w:jc w:val="right"/>
              <w:rPr>
                <w:b/>
                <w:sz w:val="18"/>
              </w:rPr>
            </w:pPr>
            <w:r w:rsidRPr="00895D47">
              <w:rPr>
                <w:b/>
                <w:sz w:val="18"/>
              </w:rPr>
              <w:t>5.9</w:t>
            </w:r>
          </w:p>
        </w:tc>
        <w:tc>
          <w:tcPr>
            <w:tcW w:w="2457" w:type="dxa"/>
            <w:tcBorders>
              <w:top w:val="single" w:sz="4" w:space="0" w:color="auto"/>
              <w:bottom w:val="single" w:sz="12" w:space="0" w:color="auto"/>
            </w:tcBorders>
            <w:shd w:val="clear" w:color="auto" w:fill="auto"/>
            <w:vAlign w:val="bottom"/>
          </w:tcPr>
          <w:p w:rsidR="00A65E3D" w:rsidRPr="00895D47" w:rsidRDefault="00A65E3D" w:rsidP="00895D47">
            <w:pPr>
              <w:suppressAutoHyphens w:val="0"/>
              <w:spacing w:before="80" w:after="80" w:line="220" w:lineRule="exact"/>
              <w:ind w:right="113"/>
              <w:jc w:val="right"/>
              <w:rPr>
                <w:b/>
                <w:sz w:val="18"/>
              </w:rPr>
            </w:pPr>
            <w:r w:rsidRPr="00895D47">
              <w:rPr>
                <w:b/>
                <w:sz w:val="18"/>
              </w:rPr>
              <w:t>13.1</w:t>
            </w:r>
          </w:p>
        </w:tc>
      </w:tr>
    </w:tbl>
    <w:p w:rsidR="00036FAC" w:rsidRPr="00A65E3D" w:rsidRDefault="00036FAC" w:rsidP="000C7DAB">
      <w:pPr>
        <w:spacing w:before="120"/>
        <w:ind w:left="1134" w:right="1134" w:firstLine="170"/>
        <w:rPr>
          <w:sz w:val="18"/>
          <w:szCs w:val="18"/>
        </w:rPr>
      </w:pPr>
      <w:r w:rsidRPr="003A1253">
        <w:rPr>
          <w:i/>
          <w:sz w:val="18"/>
          <w:szCs w:val="18"/>
        </w:rPr>
        <w:t>Source</w:t>
      </w:r>
      <w:r w:rsidRPr="00A65E3D">
        <w:rPr>
          <w:sz w:val="18"/>
          <w:szCs w:val="18"/>
        </w:rPr>
        <w:t>:</w:t>
      </w:r>
      <w:r w:rsidR="00A65E3D" w:rsidRPr="00A65E3D">
        <w:rPr>
          <w:sz w:val="18"/>
          <w:szCs w:val="18"/>
        </w:rPr>
        <w:t xml:space="preserve"> </w:t>
      </w:r>
      <w:r w:rsidR="00907D8C" w:rsidRPr="00A65E3D">
        <w:rPr>
          <w:sz w:val="18"/>
          <w:szCs w:val="18"/>
        </w:rPr>
        <w:t xml:space="preserve"> </w:t>
      </w:r>
      <w:r w:rsidRPr="00A65E3D">
        <w:rPr>
          <w:sz w:val="18"/>
          <w:szCs w:val="18"/>
        </w:rPr>
        <w:t>Ministry</w:t>
      </w:r>
      <w:r w:rsidR="00907D8C" w:rsidRPr="00A65E3D">
        <w:rPr>
          <w:sz w:val="18"/>
          <w:szCs w:val="18"/>
        </w:rPr>
        <w:t xml:space="preserve"> </w:t>
      </w:r>
      <w:r w:rsidRPr="00A65E3D">
        <w:rPr>
          <w:sz w:val="18"/>
          <w:szCs w:val="18"/>
        </w:rPr>
        <w:t>of</w:t>
      </w:r>
      <w:r w:rsidR="00907D8C" w:rsidRPr="00A65E3D">
        <w:rPr>
          <w:sz w:val="18"/>
          <w:szCs w:val="18"/>
        </w:rPr>
        <w:t xml:space="preserve"> </w:t>
      </w:r>
      <w:r w:rsidRPr="00A65E3D">
        <w:rPr>
          <w:sz w:val="18"/>
          <w:szCs w:val="18"/>
        </w:rPr>
        <w:t>Education</w:t>
      </w:r>
      <w:r w:rsidR="00A65E3D" w:rsidRPr="00A65E3D">
        <w:rPr>
          <w:sz w:val="18"/>
          <w:szCs w:val="18"/>
        </w:rPr>
        <w:t>.</w:t>
      </w:r>
    </w:p>
    <w:p w:rsidR="00036FAC" w:rsidRPr="00A65E3D" w:rsidRDefault="00036FAC" w:rsidP="003A1253">
      <w:pPr>
        <w:tabs>
          <w:tab w:val="left" w:pos="1900"/>
        </w:tabs>
        <w:ind w:left="1134" w:right="1134" w:firstLine="170"/>
        <w:rPr>
          <w:sz w:val="18"/>
          <w:szCs w:val="18"/>
        </w:rPr>
      </w:pPr>
      <w:r w:rsidRPr="003A1253">
        <w:rPr>
          <w:i/>
          <w:sz w:val="18"/>
          <w:szCs w:val="18"/>
        </w:rPr>
        <w:t>Notes</w:t>
      </w:r>
      <w:r w:rsidRPr="00A65E3D">
        <w:rPr>
          <w:sz w:val="18"/>
          <w:szCs w:val="18"/>
        </w:rPr>
        <w:t>:</w:t>
      </w:r>
      <w:r w:rsidR="003A1253">
        <w:rPr>
          <w:sz w:val="18"/>
          <w:szCs w:val="18"/>
        </w:rPr>
        <w:tab/>
      </w:r>
      <w:r w:rsidR="003A1253" w:rsidRPr="000711F4">
        <w:rPr>
          <w:sz w:val="18"/>
          <w:szCs w:val="18"/>
          <w:vertAlign w:val="superscript"/>
        </w:rPr>
        <w:t>(1)</w:t>
      </w:r>
      <w:r w:rsidR="003A1253">
        <w:rPr>
          <w:sz w:val="18"/>
          <w:szCs w:val="18"/>
          <w:vertAlign w:val="superscript"/>
        </w:rPr>
        <w:t xml:space="preserve"> </w:t>
      </w:r>
      <w:r w:rsidRPr="00A65E3D">
        <w:rPr>
          <w:sz w:val="18"/>
          <w:szCs w:val="18"/>
        </w:rPr>
        <w:t>The</w:t>
      </w:r>
      <w:r w:rsidR="00907D8C" w:rsidRPr="00A65E3D">
        <w:rPr>
          <w:sz w:val="18"/>
          <w:szCs w:val="18"/>
        </w:rPr>
        <w:t xml:space="preserve"> </w:t>
      </w:r>
      <w:r w:rsidRPr="00A65E3D">
        <w:rPr>
          <w:sz w:val="18"/>
          <w:szCs w:val="18"/>
        </w:rPr>
        <w:t>data</w:t>
      </w:r>
      <w:r w:rsidR="00907D8C" w:rsidRPr="00A65E3D">
        <w:rPr>
          <w:sz w:val="18"/>
          <w:szCs w:val="18"/>
        </w:rPr>
        <w:t xml:space="preserve"> </w:t>
      </w:r>
      <w:r w:rsidRPr="00A65E3D">
        <w:rPr>
          <w:sz w:val="18"/>
          <w:szCs w:val="18"/>
        </w:rPr>
        <w:t>(tables</w:t>
      </w:r>
      <w:r w:rsidR="00907D8C" w:rsidRPr="00A65E3D">
        <w:rPr>
          <w:sz w:val="18"/>
          <w:szCs w:val="18"/>
        </w:rPr>
        <w:t xml:space="preserve"> </w:t>
      </w:r>
      <w:r w:rsidRPr="00A65E3D">
        <w:rPr>
          <w:sz w:val="18"/>
          <w:szCs w:val="18"/>
        </w:rPr>
        <w:t>36</w:t>
      </w:r>
      <w:r w:rsidR="00907D8C" w:rsidRPr="00A65E3D">
        <w:rPr>
          <w:sz w:val="18"/>
          <w:szCs w:val="18"/>
        </w:rPr>
        <w:t xml:space="preserve"> </w:t>
      </w:r>
      <w:r w:rsidRPr="00A65E3D">
        <w:rPr>
          <w:sz w:val="18"/>
          <w:szCs w:val="18"/>
        </w:rPr>
        <w:t>and</w:t>
      </w:r>
      <w:r w:rsidR="00907D8C" w:rsidRPr="00A65E3D">
        <w:rPr>
          <w:sz w:val="18"/>
          <w:szCs w:val="18"/>
        </w:rPr>
        <w:t xml:space="preserve"> </w:t>
      </w:r>
      <w:r w:rsidRPr="00A65E3D">
        <w:rPr>
          <w:sz w:val="18"/>
          <w:szCs w:val="18"/>
        </w:rPr>
        <w:t>37)</w:t>
      </w:r>
      <w:r w:rsidR="00907D8C" w:rsidRPr="00A65E3D">
        <w:rPr>
          <w:sz w:val="18"/>
          <w:szCs w:val="18"/>
        </w:rPr>
        <w:t xml:space="preserve"> </w:t>
      </w:r>
      <w:r w:rsidRPr="00A65E3D">
        <w:rPr>
          <w:sz w:val="18"/>
          <w:szCs w:val="18"/>
        </w:rPr>
        <w:t>are</w:t>
      </w:r>
      <w:r w:rsidR="00907D8C" w:rsidRPr="00A65E3D">
        <w:rPr>
          <w:sz w:val="18"/>
          <w:szCs w:val="18"/>
        </w:rPr>
        <w:t xml:space="preserve"> </w:t>
      </w:r>
      <w:r w:rsidRPr="00A65E3D">
        <w:rPr>
          <w:sz w:val="18"/>
          <w:szCs w:val="18"/>
        </w:rPr>
        <w:t>expressed</w:t>
      </w:r>
      <w:r w:rsidR="00907D8C" w:rsidRPr="00A65E3D">
        <w:rPr>
          <w:sz w:val="18"/>
          <w:szCs w:val="18"/>
        </w:rPr>
        <w:t xml:space="preserve"> </w:t>
      </w:r>
      <w:r w:rsidRPr="00A65E3D">
        <w:rPr>
          <w:sz w:val="18"/>
          <w:szCs w:val="18"/>
        </w:rPr>
        <w:t>as</w:t>
      </w:r>
      <w:r w:rsidR="00907D8C" w:rsidRPr="00A65E3D">
        <w:rPr>
          <w:sz w:val="18"/>
          <w:szCs w:val="18"/>
        </w:rPr>
        <w:t xml:space="preserve"> </w:t>
      </w:r>
      <w:r w:rsidRPr="00A65E3D">
        <w:rPr>
          <w:sz w:val="18"/>
          <w:szCs w:val="18"/>
        </w:rPr>
        <w:t>a</w:t>
      </w:r>
      <w:r w:rsidR="00907D8C" w:rsidRPr="00A65E3D">
        <w:rPr>
          <w:sz w:val="18"/>
          <w:szCs w:val="18"/>
        </w:rPr>
        <w:t xml:space="preserve"> </w:t>
      </w:r>
      <w:r w:rsidRPr="00A65E3D">
        <w:rPr>
          <w:sz w:val="18"/>
          <w:szCs w:val="18"/>
        </w:rPr>
        <w:t>rate</w:t>
      </w:r>
      <w:r w:rsidR="00907D8C" w:rsidRPr="00A65E3D">
        <w:rPr>
          <w:sz w:val="18"/>
          <w:szCs w:val="18"/>
        </w:rPr>
        <w:t xml:space="preserve"> </w:t>
      </w:r>
      <w:r w:rsidRPr="00A65E3D">
        <w:rPr>
          <w:sz w:val="18"/>
          <w:szCs w:val="18"/>
        </w:rPr>
        <w:t>rather</w:t>
      </w:r>
      <w:r w:rsidR="00907D8C" w:rsidRPr="00A65E3D">
        <w:rPr>
          <w:sz w:val="18"/>
          <w:szCs w:val="18"/>
        </w:rPr>
        <w:t xml:space="preserve"> </w:t>
      </w:r>
      <w:r w:rsidRPr="00A65E3D">
        <w:rPr>
          <w:sz w:val="18"/>
          <w:szCs w:val="18"/>
        </w:rPr>
        <w:t>than</w:t>
      </w:r>
      <w:r w:rsidR="00907D8C" w:rsidRPr="00A65E3D">
        <w:rPr>
          <w:sz w:val="18"/>
          <w:szCs w:val="18"/>
        </w:rPr>
        <w:t xml:space="preserve"> </w:t>
      </w:r>
      <w:r w:rsidRPr="00A65E3D">
        <w:rPr>
          <w:sz w:val="18"/>
          <w:szCs w:val="18"/>
        </w:rPr>
        <w:t>as</w:t>
      </w:r>
      <w:r w:rsidR="00907D8C" w:rsidRPr="00A65E3D">
        <w:rPr>
          <w:sz w:val="18"/>
          <w:szCs w:val="18"/>
        </w:rPr>
        <w:t xml:space="preserve"> </w:t>
      </w:r>
      <w:r w:rsidRPr="00A65E3D">
        <w:rPr>
          <w:sz w:val="18"/>
          <w:szCs w:val="18"/>
        </w:rPr>
        <w:t>absolute</w:t>
      </w:r>
      <w:r w:rsidR="00907D8C" w:rsidRPr="00A65E3D">
        <w:rPr>
          <w:sz w:val="18"/>
          <w:szCs w:val="18"/>
        </w:rPr>
        <w:t xml:space="preserve"> </w:t>
      </w:r>
      <w:r w:rsidRPr="00A65E3D">
        <w:rPr>
          <w:sz w:val="18"/>
          <w:szCs w:val="18"/>
        </w:rPr>
        <w:t>numbers</w:t>
      </w:r>
      <w:r w:rsidR="00907D8C" w:rsidRPr="00A65E3D">
        <w:rPr>
          <w:sz w:val="18"/>
          <w:szCs w:val="18"/>
        </w:rPr>
        <w:t xml:space="preserve"> </w:t>
      </w:r>
      <w:r w:rsidRPr="00A65E3D">
        <w:rPr>
          <w:sz w:val="18"/>
          <w:szCs w:val="18"/>
        </w:rPr>
        <w:t>to</w:t>
      </w:r>
      <w:r w:rsidR="00907D8C" w:rsidRPr="00A65E3D">
        <w:rPr>
          <w:sz w:val="18"/>
          <w:szCs w:val="18"/>
        </w:rPr>
        <w:t xml:space="preserve"> </w:t>
      </w:r>
      <w:r w:rsidRPr="00A65E3D">
        <w:rPr>
          <w:sz w:val="18"/>
          <w:szCs w:val="18"/>
        </w:rPr>
        <w:t>allow</w:t>
      </w:r>
      <w:r w:rsidR="00907D8C" w:rsidRPr="00A65E3D">
        <w:rPr>
          <w:sz w:val="18"/>
          <w:szCs w:val="18"/>
        </w:rPr>
        <w:t xml:space="preserve"> </w:t>
      </w:r>
      <w:r w:rsidRPr="00A65E3D">
        <w:rPr>
          <w:sz w:val="18"/>
          <w:szCs w:val="18"/>
        </w:rPr>
        <w:t>comparison</w:t>
      </w:r>
      <w:r w:rsidR="00907D8C" w:rsidRPr="00A65E3D">
        <w:rPr>
          <w:sz w:val="18"/>
          <w:szCs w:val="18"/>
        </w:rPr>
        <w:t xml:space="preserve"> </w:t>
      </w:r>
      <w:r w:rsidRPr="00A65E3D">
        <w:rPr>
          <w:sz w:val="18"/>
          <w:szCs w:val="18"/>
        </w:rPr>
        <w:t>between</w:t>
      </w:r>
      <w:r w:rsidR="00907D8C" w:rsidRPr="00A65E3D">
        <w:rPr>
          <w:sz w:val="18"/>
          <w:szCs w:val="18"/>
        </w:rPr>
        <w:t xml:space="preserve"> </w:t>
      </w:r>
      <w:r w:rsidRPr="00A65E3D">
        <w:rPr>
          <w:sz w:val="18"/>
          <w:szCs w:val="18"/>
        </w:rPr>
        <w:t>groups.</w:t>
      </w:r>
    </w:p>
    <w:p w:rsidR="00036FAC" w:rsidRPr="00A65E3D" w:rsidRDefault="003A1253" w:rsidP="003A1253">
      <w:pPr>
        <w:tabs>
          <w:tab w:val="left" w:pos="1900"/>
        </w:tabs>
        <w:ind w:left="1134" w:right="1134" w:firstLine="170"/>
        <w:rPr>
          <w:sz w:val="18"/>
          <w:szCs w:val="18"/>
        </w:rPr>
      </w:pPr>
      <w:r>
        <w:rPr>
          <w:i/>
          <w:sz w:val="18"/>
          <w:szCs w:val="18"/>
          <w:vertAlign w:val="superscript"/>
        </w:rPr>
        <w:tab/>
      </w:r>
      <w:r w:rsidRPr="000711F4">
        <w:rPr>
          <w:sz w:val="18"/>
          <w:szCs w:val="18"/>
          <w:vertAlign w:val="superscript"/>
        </w:rPr>
        <w:t>(</w:t>
      </w:r>
      <w:r w:rsidR="00A65E3D" w:rsidRPr="000711F4">
        <w:rPr>
          <w:sz w:val="18"/>
          <w:szCs w:val="18"/>
          <w:vertAlign w:val="superscript"/>
        </w:rPr>
        <w:t>2</w:t>
      </w:r>
      <w:r w:rsidRPr="000711F4">
        <w:rPr>
          <w:sz w:val="18"/>
          <w:szCs w:val="18"/>
          <w:vertAlign w:val="superscript"/>
        </w:rPr>
        <w:t>)</w:t>
      </w:r>
      <w:r w:rsidRPr="000711F4">
        <w:rPr>
          <w:sz w:val="18"/>
          <w:szCs w:val="18"/>
        </w:rPr>
        <w:t xml:space="preserve"> </w:t>
      </w:r>
      <w:r w:rsidR="00036FAC" w:rsidRPr="00A65E3D">
        <w:rPr>
          <w:sz w:val="18"/>
          <w:szCs w:val="18"/>
        </w:rPr>
        <w:t>For</w:t>
      </w:r>
      <w:r w:rsidR="00907D8C" w:rsidRPr="00A65E3D">
        <w:rPr>
          <w:sz w:val="18"/>
          <w:szCs w:val="18"/>
        </w:rPr>
        <w:t xml:space="preserve"> </w:t>
      </w:r>
      <w:r w:rsidR="00036FAC" w:rsidRPr="00A65E3D">
        <w:rPr>
          <w:sz w:val="18"/>
          <w:szCs w:val="18"/>
        </w:rPr>
        <w:t>the</w:t>
      </w:r>
      <w:r w:rsidR="00907D8C" w:rsidRPr="00A65E3D">
        <w:rPr>
          <w:sz w:val="18"/>
          <w:szCs w:val="18"/>
        </w:rPr>
        <w:t xml:space="preserve"> </w:t>
      </w:r>
      <w:r w:rsidR="00036FAC" w:rsidRPr="00A65E3D">
        <w:rPr>
          <w:sz w:val="18"/>
          <w:szCs w:val="18"/>
        </w:rPr>
        <w:t>category</w:t>
      </w:r>
      <w:r w:rsidR="00907D8C" w:rsidRPr="00A65E3D">
        <w:rPr>
          <w:sz w:val="18"/>
          <w:szCs w:val="18"/>
        </w:rPr>
        <w:t xml:space="preserve"> </w:t>
      </w:r>
      <w:r w:rsidR="00036FAC" w:rsidRPr="00A65E3D">
        <w:rPr>
          <w:sz w:val="18"/>
          <w:szCs w:val="18"/>
        </w:rPr>
        <w:t>x</w:t>
      </w:r>
      <w:r w:rsidR="00907D8C" w:rsidRPr="00A65E3D">
        <w:rPr>
          <w:sz w:val="18"/>
          <w:szCs w:val="18"/>
        </w:rPr>
        <w:t xml:space="preserve"> </w:t>
      </w:r>
      <w:r w:rsidR="00036FAC" w:rsidRPr="00A65E3D">
        <w:rPr>
          <w:sz w:val="18"/>
          <w:szCs w:val="18"/>
        </w:rPr>
        <w:t>above</w:t>
      </w:r>
      <w:r w:rsidR="00907D8C" w:rsidRPr="00A65E3D">
        <w:rPr>
          <w:sz w:val="18"/>
          <w:szCs w:val="18"/>
        </w:rPr>
        <w:t xml:space="preserve"> </w:t>
      </w:r>
      <w:r w:rsidR="00036FAC" w:rsidRPr="00A65E3D">
        <w:rPr>
          <w:sz w:val="18"/>
          <w:szCs w:val="18"/>
        </w:rPr>
        <w:t>there</w:t>
      </w:r>
      <w:r w:rsidR="00907D8C" w:rsidRPr="00A65E3D">
        <w:rPr>
          <w:sz w:val="18"/>
          <w:szCs w:val="18"/>
        </w:rPr>
        <w:t xml:space="preserve"> </w:t>
      </w:r>
      <w:r w:rsidR="00036FAC" w:rsidRPr="00A65E3D">
        <w:rPr>
          <w:sz w:val="18"/>
          <w:szCs w:val="18"/>
        </w:rPr>
        <w:t>were</w:t>
      </w:r>
      <w:r w:rsidR="00907D8C" w:rsidRPr="00A65E3D">
        <w:rPr>
          <w:sz w:val="18"/>
          <w:szCs w:val="18"/>
        </w:rPr>
        <w:t xml:space="preserve"> </w:t>
      </w:r>
      <w:r w:rsidR="00036FAC" w:rsidRPr="00A65E3D">
        <w:rPr>
          <w:sz w:val="18"/>
          <w:szCs w:val="18"/>
        </w:rPr>
        <w:t>less</w:t>
      </w:r>
      <w:r w:rsidR="00907D8C" w:rsidRPr="00A65E3D">
        <w:rPr>
          <w:sz w:val="18"/>
          <w:szCs w:val="18"/>
        </w:rPr>
        <w:t xml:space="preserve"> </w:t>
      </w:r>
      <w:r w:rsidR="00036FAC" w:rsidRPr="00A65E3D">
        <w:rPr>
          <w:sz w:val="18"/>
          <w:szCs w:val="18"/>
        </w:rPr>
        <w:t>than</w:t>
      </w:r>
      <w:r w:rsidR="00907D8C" w:rsidRPr="00A65E3D">
        <w:rPr>
          <w:sz w:val="18"/>
          <w:szCs w:val="18"/>
        </w:rPr>
        <w:t xml:space="preserve"> </w:t>
      </w:r>
      <w:r w:rsidR="00036FAC" w:rsidRPr="00A65E3D">
        <w:rPr>
          <w:sz w:val="18"/>
          <w:szCs w:val="18"/>
        </w:rPr>
        <w:t>five</w:t>
      </w:r>
      <w:r w:rsidR="00907D8C" w:rsidRPr="00A65E3D">
        <w:rPr>
          <w:sz w:val="18"/>
          <w:szCs w:val="18"/>
        </w:rPr>
        <w:t xml:space="preserve"> </w:t>
      </w:r>
      <w:r w:rsidR="00036FAC" w:rsidRPr="00A65E3D">
        <w:rPr>
          <w:sz w:val="18"/>
          <w:szCs w:val="18"/>
        </w:rPr>
        <w:t>early</w:t>
      </w:r>
      <w:r w:rsidR="00907D8C" w:rsidRPr="00A65E3D">
        <w:rPr>
          <w:sz w:val="18"/>
          <w:szCs w:val="18"/>
        </w:rPr>
        <w:t xml:space="preserve"> </w:t>
      </w:r>
      <w:r w:rsidR="00036FAC" w:rsidRPr="00A65E3D">
        <w:rPr>
          <w:sz w:val="18"/>
          <w:szCs w:val="18"/>
        </w:rPr>
        <w:t>leaving</w:t>
      </w:r>
      <w:r w:rsidR="00907D8C" w:rsidRPr="00A65E3D">
        <w:rPr>
          <w:sz w:val="18"/>
          <w:szCs w:val="18"/>
        </w:rPr>
        <w:t xml:space="preserve"> </w:t>
      </w:r>
      <w:r w:rsidR="00036FAC" w:rsidRPr="00A65E3D">
        <w:rPr>
          <w:sz w:val="18"/>
          <w:szCs w:val="18"/>
        </w:rPr>
        <w:t>exemptions</w:t>
      </w:r>
      <w:r w:rsidR="00907D8C" w:rsidRPr="00A65E3D">
        <w:rPr>
          <w:sz w:val="18"/>
          <w:szCs w:val="18"/>
        </w:rPr>
        <w:t xml:space="preserve"> </w:t>
      </w:r>
      <w:r w:rsidR="00036FAC" w:rsidRPr="00A65E3D">
        <w:rPr>
          <w:sz w:val="18"/>
          <w:szCs w:val="18"/>
        </w:rPr>
        <w:t>and/or</w:t>
      </w:r>
      <w:r w:rsidR="00907D8C" w:rsidRPr="00A65E3D">
        <w:rPr>
          <w:sz w:val="18"/>
          <w:szCs w:val="18"/>
        </w:rPr>
        <w:t xml:space="preserve"> </w:t>
      </w:r>
      <w:r w:rsidR="00036FAC" w:rsidRPr="00A65E3D">
        <w:rPr>
          <w:sz w:val="18"/>
          <w:szCs w:val="18"/>
        </w:rPr>
        <w:t>students.</w:t>
      </w:r>
    </w:p>
    <w:p w:rsidR="00036FAC" w:rsidRPr="00A65E3D" w:rsidRDefault="003A1253" w:rsidP="003A1253">
      <w:pPr>
        <w:tabs>
          <w:tab w:val="left" w:pos="1900"/>
        </w:tabs>
        <w:spacing w:after="240"/>
        <w:ind w:left="1134" w:right="1134" w:firstLine="170"/>
        <w:rPr>
          <w:sz w:val="18"/>
          <w:szCs w:val="18"/>
        </w:rPr>
      </w:pPr>
      <w:r>
        <w:rPr>
          <w:i/>
          <w:sz w:val="18"/>
          <w:szCs w:val="18"/>
          <w:vertAlign w:val="superscript"/>
        </w:rPr>
        <w:tab/>
      </w:r>
      <w:r w:rsidRPr="000711F4">
        <w:rPr>
          <w:sz w:val="18"/>
          <w:szCs w:val="18"/>
          <w:vertAlign w:val="superscript"/>
        </w:rPr>
        <w:t xml:space="preserve">(3) </w:t>
      </w:r>
      <w:r w:rsidR="00036FAC" w:rsidRPr="00A65E3D">
        <w:rPr>
          <w:sz w:val="18"/>
          <w:szCs w:val="18"/>
        </w:rPr>
        <w:t>Ethnicity</w:t>
      </w:r>
      <w:r w:rsidR="00907D8C" w:rsidRPr="00A65E3D">
        <w:rPr>
          <w:sz w:val="18"/>
          <w:szCs w:val="18"/>
        </w:rPr>
        <w:t xml:space="preserve"> </w:t>
      </w:r>
      <w:r w:rsidR="00036FAC" w:rsidRPr="00A65E3D">
        <w:rPr>
          <w:sz w:val="18"/>
          <w:szCs w:val="18"/>
        </w:rPr>
        <w:t>is</w:t>
      </w:r>
      <w:r w:rsidR="00907D8C" w:rsidRPr="00A65E3D">
        <w:rPr>
          <w:sz w:val="18"/>
          <w:szCs w:val="18"/>
        </w:rPr>
        <w:t xml:space="preserve"> </w:t>
      </w:r>
      <w:r w:rsidR="00036FAC" w:rsidRPr="00A65E3D">
        <w:rPr>
          <w:sz w:val="18"/>
          <w:szCs w:val="18"/>
        </w:rPr>
        <w:t>prioritised</w:t>
      </w:r>
      <w:r w:rsidR="00907D8C" w:rsidRPr="00A65E3D">
        <w:rPr>
          <w:sz w:val="18"/>
          <w:szCs w:val="18"/>
        </w:rPr>
        <w:t xml:space="preserve"> </w:t>
      </w:r>
      <w:r w:rsidR="00036FAC" w:rsidRPr="00A65E3D">
        <w:rPr>
          <w:sz w:val="18"/>
          <w:szCs w:val="18"/>
        </w:rPr>
        <w:t>in</w:t>
      </w:r>
      <w:r w:rsidR="00907D8C" w:rsidRPr="00A65E3D">
        <w:rPr>
          <w:sz w:val="18"/>
          <w:szCs w:val="18"/>
        </w:rPr>
        <w:t xml:space="preserve"> </w:t>
      </w:r>
      <w:r w:rsidR="00036FAC" w:rsidRPr="00A65E3D">
        <w:rPr>
          <w:sz w:val="18"/>
          <w:szCs w:val="18"/>
        </w:rPr>
        <w:t>the</w:t>
      </w:r>
      <w:r w:rsidR="00907D8C" w:rsidRPr="00A65E3D">
        <w:rPr>
          <w:sz w:val="18"/>
          <w:szCs w:val="18"/>
        </w:rPr>
        <w:t xml:space="preserve"> </w:t>
      </w:r>
      <w:r w:rsidR="00036FAC" w:rsidRPr="00A65E3D">
        <w:rPr>
          <w:sz w:val="18"/>
          <w:szCs w:val="18"/>
        </w:rPr>
        <w:t>order</w:t>
      </w:r>
      <w:r w:rsidR="00907D8C" w:rsidRPr="00A65E3D">
        <w:rPr>
          <w:sz w:val="18"/>
          <w:szCs w:val="18"/>
        </w:rPr>
        <w:t xml:space="preserve"> </w:t>
      </w:r>
      <w:r w:rsidR="00036FAC" w:rsidRPr="00A65E3D">
        <w:rPr>
          <w:sz w:val="18"/>
          <w:szCs w:val="18"/>
        </w:rPr>
        <w:t>of</w:t>
      </w:r>
      <w:r w:rsidR="00907D8C" w:rsidRPr="00A65E3D">
        <w:rPr>
          <w:sz w:val="18"/>
          <w:szCs w:val="18"/>
        </w:rPr>
        <w:t xml:space="preserve"> </w:t>
      </w:r>
      <w:r w:rsidR="00036FAC" w:rsidRPr="00A65E3D">
        <w:rPr>
          <w:sz w:val="18"/>
          <w:szCs w:val="18"/>
        </w:rPr>
        <w:t>Māori,</w:t>
      </w:r>
      <w:r w:rsidR="00907D8C" w:rsidRPr="00A65E3D">
        <w:rPr>
          <w:sz w:val="18"/>
          <w:szCs w:val="18"/>
        </w:rPr>
        <w:t xml:space="preserve"> </w:t>
      </w:r>
      <w:r w:rsidR="00036FAC" w:rsidRPr="00A65E3D">
        <w:rPr>
          <w:sz w:val="18"/>
          <w:szCs w:val="18"/>
        </w:rPr>
        <w:t>Pacific</w:t>
      </w:r>
      <w:r w:rsidR="00907D8C" w:rsidRPr="00A65E3D">
        <w:rPr>
          <w:sz w:val="18"/>
          <w:szCs w:val="18"/>
        </w:rPr>
        <w:t xml:space="preserve"> </w:t>
      </w:r>
      <w:r w:rsidR="00036FAC" w:rsidRPr="00A65E3D">
        <w:rPr>
          <w:sz w:val="18"/>
          <w:szCs w:val="18"/>
        </w:rPr>
        <w:t>peoples,</w:t>
      </w:r>
      <w:r w:rsidR="00907D8C" w:rsidRPr="00A65E3D">
        <w:rPr>
          <w:sz w:val="18"/>
          <w:szCs w:val="18"/>
        </w:rPr>
        <w:t xml:space="preserve"> </w:t>
      </w:r>
      <w:r w:rsidR="00036FAC" w:rsidRPr="00A65E3D">
        <w:rPr>
          <w:sz w:val="18"/>
          <w:szCs w:val="18"/>
        </w:rPr>
        <w:t>Asian,</w:t>
      </w:r>
      <w:r w:rsidR="00907D8C" w:rsidRPr="00A65E3D">
        <w:rPr>
          <w:sz w:val="18"/>
          <w:szCs w:val="18"/>
        </w:rPr>
        <w:t xml:space="preserve"> </w:t>
      </w:r>
      <w:r w:rsidR="00036FAC" w:rsidRPr="00A65E3D">
        <w:rPr>
          <w:sz w:val="18"/>
          <w:szCs w:val="18"/>
        </w:rPr>
        <w:t>other</w:t>
      </w:r>
      <w:r w:rsidR="00907D8C" w:rsidRPr="00A65E3D">
        <w:rPr>
          <w:sz w:val="18"/>
          <w:szCs w:val="18"/>
        </w:rPr>
        <w:t xml:space="preserve"> </w:t>
      </w:r>
      <w:r w:rsidR="00036FAC" w:rsidRPr="00A65E3D">
        <w:rPr>
          <w:sz w:val="18"/>
          <w:szCs w:val="18"/>
        </w:rPr>
        <w:t>groups</w:t>
      </w:r>
      <w:r w:rsidR="00907D8C" w:rsidRPr="00A65E3D">
        <w:rPr>
          <w:sz w:val="18"/>
          <w:szCs w:val="18"/>
        </w:rPr>
        <w:t xml:space="preserve"> </w:t>
      </w:r>
      <w:r w:rsidR="00036FAC" w:rsidRPr="00A65E3D">
        <w:rPr>
          <w:sz w:val="18"/>
          <w:szCs w:val="18"/>
        </w:rPr>
        <w:t>except</w:t>
      </w:r>
      <w:r w:rsidR="00907D8C" w:rsidRPr="00A65E3D">
        <w:rPr>
          <w:sz w:val="18"/>
          <w:szCs w:val="18"/>
        </w:rPr>
        <w:t xml:space="preserve"> </w:t>
      </w:r>
      <w:r w:rsidR="00036FAC" w:rsidRPr="00A65E3D">
        <w:rPr>
          <w:sz w:val="18"/>
          <w:szCs w:val="18"/>
        </w:rPr>
        <w:t>European/Pākehā,</w:t>
      </w:r>
      <w:r w:rsidR="00907D8C" w:rsidRPr="00A65E3D">
        <w:rPr>
          <w:sz w:val="18"/>
          <w:szCs w:val="18"/>
        </w:rPr>
        <w:t xml:space="preserve"> </w:t>
      </w:r>
      <w:r w:rsidR="00036FAC" w:rsidRPr="00A65E3D">
        <w:rPr>
          <w:sz w:val="18"/>
          <w:szCs w:val="18"/>
        </w:rPr>
        <w:t>and</w:t>
      </w:r>
      <w:r w:rsidR="00907D8C" w:rsidRPr="00A65E3D">
        <w:rPr>
          <w:sz w:val="18"/>
          <w:szCs w:val="18"/>
        </w:rPr>
        <w:t xml:space="preserve"> </w:t>
      </w:r>
      <w:r w:rsidR="00036FAC" w:rsidRPr="00A65E3D">
        <w:rPr>
          <w:sz w:val="18"/>
          <w:szCs w:val="18"/>
        </w:rPr>
        <w:t>European/Pākehā.</w:t>
      </w:r>
      <w:r w:rsidR="00907D8C" w:rsidRPr="00A65E3D">
        <w:rPr>
          <w:sz w:val="18"/>
          <w:szCs w:val="18"/>
        </w:rPr>
        <w:t xml:space="preserve"> </w:t>
      </w:r>
      <w:r w:rsidR="00036FAC" w:rsidRPr="00A65E3D">
        <w:rPr>
          <w:sz w:val="18"/>
          <w:szCs w:val="18"/>
        </w:rPr>
        <w:t>Due</w:t>
      </w:r>
      <w:r w:rsidR="00907D8C" w:rsidRPr="00A65E3D">
        <w:rPr>
          <w:sz w:val="18"/>
          <w:szCs w:val="18"/>
        </w:rPr>
        <w:t xml:space="preserve"> </w:t>
      </w:r>
      <w:r w:rsidR="00036FAC" w:rsidRPr="00A65E3D">
        <w:rPr>
          <w:sz w:val="18"/>
          <w:szCs w:val="18"/>
        </w:rPr>
        <w:t>to</w:t>
      </w:r>
      <w:r w:rsidR="00907D8C" w:rsidRPr="00A65E3D">
        <w:rPr>
          <w:sz w:val="18"/>
          <w:szCs w:val="18"/>
        </w:rPr>
        <w:t xml:space="preserve"> </w:t>
      </w:r>
      <w:r w:rsidR="00036FAC" w:rsidRPr="00A65E3D">
        <w:rPr>
          <w:sz w:val="18"/>
          <w:szCs w:val="18"/>
        </w:rPr>
        <w:t>poor</w:t>
      </w:r>
      <w:r w:rsidR="00907D8C" w:rsidRPr="00A65E3D">
        <w:rPr>
          <w:sz w:val="18"/>
          <w:szCs w:val="18"/>
        </w:rPr>
        <w:t xml:space="preserve"> </w:t>
      </w:r>
      <w:r w:rsidR="00036FAC" w:rsidRPr="00A65E3D">
        <w:rPr>
          <w:sz w:val="18"/>
          <w:szCs w:val="18"/>
        </w:rPr>
        <w:t>coding</w:t>
      </w:r>
      <w:r w:rsidR="00907D8C" w:rsidRPr="00A65E3D">
        <w:rPr>
          <w:sz w:val="18"/>
          <w:szCs w:val="18"/>
        </w:rPr>
        <w:t xml:space="preserve"> </w:t>
      </w:r>
      <w:r w:rsidR="00036FAC" w:rsidRPr="00A65E3D">
        <w:rPr>
          <w:sz w:val="18"/>
          <w:szCs w:val="18"/>
        </w:rPr>
        <w:t>of</w:t>
      </w:r>
      <w:r w:rsidR="00907D8C" w:rsidRPr="00A65E3D">
        <w:rPr>
          <w:sz w:val="18"/>
          <w:szCs w:val="18"/>
        </w:rPr>
        <w:t xml:space="preserve"> </w:t>
      </w:r>
      <w:r w:rsidR="00036FAC" w:rsidRPr="00A65E3D">
        <w:rPr>
          <w:sz w:val="18"/>
          <w:szCs w:val="18"/>
        </w:rPr>
        <w:t>the</w:t>
      </w:r>
      <w:r w:rsidR="00907D8C" w:rsidRPr="00A65E3D">
        <w:rPr>
          <w:sz w:val="18"/>
          <w:szCs w:val="18"/>
        </w:rPr>
        <w:t xml:space="preserve"> </w:t>
      </w:r>
      <w:r w:rsidR="00036FAC" w:rsidRPr="00A65E3D">
        <w:rPr>
          <w:sz w:val="18"/>
          <w:szCs w:val="18"/>
        </w:rPr>
        <w:t>Other</w:t>
      </w:r>
      <w:r w:rsidR="00907D8C" w:rsidRPr="00A65E3D">
        <w:rPr>
          <w:sz w:val="18"/>
          <w:szCs w:val="18"/>
        </w:rPr>
        <w:t xml:space="preserve"> </w:t>
      </w:r>
      <w:r w:rsidR="00036FAC" w:rsidRPr="00A65E3D">
        <w:rPr>
          <w:sz w:val="18"/>
          <w:szCs w:val="18"/>
        </w:rPr>
        <w:t>ethnic</w:t>
      </w:r>
      <w:r w:rsidR="00907D8C" w:rsidRPr="00A65E3D">
        <w:rPr>
          <w:sz w:val="18"/>
          <w:szCs w:val="18"/>
        </w:rPr>
        <w:t xml:space="preserve"> </w:t>
      </w:r>
      <w:r w:rsidR="00036FAC" w:rsidRPr="00A65E3D">
        <w:rPr>
          <w:sz w:val="18"/>
          <w:szCs w:val="18"/>
        </w:rPr>
        <w:t>group</w:t>
      </w:r>
      <w:r w:rsidR="00907D8C" w:rsidRPr="00A65E3D">
        <w:rPr>
          <w:sz w:val="18"/>
          <w:szCs w:val="18"/>
        </w:rPr>
        <w:t xml:space="preserve"> </w:t>
      </w:r>
      <w:r w:rsidR="00036FAC" w:rsidRPr="00A65E3D">
        <w:rPr>
          <w:sz w:val="18"/>
          <w:szCs w:val="18"/>
        </w:rPr>
        <w:t>in</w:t>
      </w:r>
      <w:r w:rsidR="00907D8C" w:rsidRPr="00A65E3D">
        <w:rPr>
          <w:sz w:val="18"/>
          <w:szCs w:val="18"/>
        </w:rPr>
        <w:t xml:space="preserve"> </w:t>
      </w:r>
      <w:r w:rsidR="00036FAC" w:rsidRPr="00A65E3D">
        <w:rPr>
          <w:sz w:val="18"/>
          <w:szCs w:val="18"/>
        </w:rPr>
        <w:t>2000</w:t>
      </w:r>
      <w:r w:rsidR="00907D8C" w:rsidRPr="00A65E3D">
        <w:rPr>
          <w:sz w:val="18"/>
          <w:szCs w:val="18"/>
        </w:rPr>
        <w:t xml:space="preserve"> </w:t>
      </w:r>
      <w:r w:rsidR="00036FAC" w:rsidRPr="00A65E3D">
        <w:rPr>
          <w:sz w:val="18"/>
          <w:szCs w:val="18"/>
        </w:rPr>
        <w:t>and</w:t>
      </w:r>
      <w:r w:rsidR="00907D8C" w:rsidRPr="00A65E3D">
        <w:rPr>
          <w:sz w:val="18"/>
          <w:szCs w:val="18"/>
        </w:rPr>
        <w:t xml:space="preserve"> </w:t>
      </w:r>
      <w:r w:rsidR="00036FAC" w:rsidRPr="00A65E3D">
        <w:rPr>
          <w:sz w:val="18"/>
          <w:szCs w:val="18"/>
        </w:rPr>
        <w:t>2001,</w:t>
      </w:r>
      <w:r w:rsidR="00907D8C" w:rsidRPr="00A65E3D">
        <w:rPr>
          <w:sz w:val="18"/>
          <w:szCs w:val="18"/>
        </w:rPr>
        <w:t xml:space="preserve"> </w:t>
      </w:r>
      <w:r w:rsidR="00036FAC" w:rsidRPr="00A65E3D">
        <w:rPr>
          <w:sz w:val="18"/>
          <w:szCs w:val="18"/>
        </w:rPr>
        <w:t>the</w:t>
      </w:r>
      <w:r w:rsidR="00907D8C" w:rsidRPr="00A65E3D">
        <w:rPr>
          <w:sz w:val="18"/>
          <w:szCs w:val="18"/>
        </w:rPr>
        <w:t xml:space="preserve"> </w:t>
      </w:r>
      <w:r w:rsidR="00036FAC" w:rsidRPr="00A65E3D">
        <w:rPr>
          <w:sz w:val="18"/>
          <w:szCs w:val="18"/>
        </w:rPr>
        <w:t>ethnic</w:t>
      </w:r>
      <w:r w:rsidR="00907D8C" w:rsidRPr="00A65E3D">
        <w:rPr>
          <w:sz w:val="18"/>
          <w:szCs w:val="18"/>
        </w:rPr>
        <w:t xml:space="preserve"> </w:t>
      </w:r>
      <w:r w:rsidR="00036FAC" w:rsidRPr="00A65E3D">
        <w:rPr>
          <w:sz w:val="18"/>
          <w:szCs w:val="18"/>
        </w:rPr>
        <w:t>group</w:t>
      </w:r>
      <w:r w:rsidR="00907D8C" w:rsidRPr="00A65E3D">
        <w:rPr>
          <w:sz w:val="18"/>
          <w:szCs w:val="18"/>
        </w:rPr>
        <w:t xml:space="preserve"> </w:t>
      </w:r>
      <w:r w:rsidR="00036FAC" w:rsidRPr="00A65E3D">
        <w:rPr>
          <w:sz w:val="18"/>
          <w:szCs w:val="18"/>
        </w:rPr>
        <w:t>Other</w:t>
      </w:r>
      <w:r w:rsidR="00907D8C" w:rsidRPr="00A65E3D">
        <w:rPr>
          <w:sz w:val="18"/>
          <w:szCs w:val="18"/>
        </w:rPr>
        <w:t xml:space="preserve"> </w:t>
      </w:r>
      <w:r w:rsidR="00036FAC" w:rsidRPr="00A65E3D">
        <w:rPr>
          <w:sz w:val="18"/>
          <w:szCs w:val="18"/>
        </w:rPr>
        <w:t>is</w:t>
      </w:r>
      <w:r w:rsidR="00907D8C" w:rsidRPr="00A65E3D">
        <w:rPr>
          <w:sz w:val="18"/>
          <w:szCs w:val="18"/>
        </w:rPr>
        <w:t xml:space="preserve"> </w:t>
      </w:r>
      <w:r w:rsidR="00036FAC" w:rsidRPr="00A65E3D">
        <w:rPr>
          <w:sz w:val="18"/>
          <w:szCs w:val="18"/>
        </w:rPr>
        <w:t>not</w:t>
      </w:r>
      <w:r w:rsidR="00907D8C" w:rsidRPr="00A65E3D">
        <w:rPr>
          <w:sz w:val="18"/>
          <w:szCs w:val="18"/>
        </w:rPr>
        <w:t xml:space="preserve"> </w:t>
      </w:r>
      <w:r w:rsidR="00036FAC" w:rsidRPr="00A65E3D">
        <w:rPr>
          <w:sz w:val="18"/>
          <w:szCs w:val="18"/>
        </w:rPr>
        <w:t>shown</w:t>
      </w:r>
      <w:r w:rsidR="00907D8C" w:rsidRPr="00A65E3D">
        <w:rPr>
          <w:sz w:val="18"/>
          <w:szCs w:val="18"/>
        </w:rPr>
        <w:t xml:space="preserve"> </w:t>
      </w:r>
      <w:r w:rsidR="00036FAC" w:rsidRPr="00A65E3D">
        <w:rPr>
          <w:sz w:val="18"/>
          <w:szCs w:val="18"/>
        </w:rPr>
        <w:t>separately</w:t>
      </w:r>
      <w:r w:rsidR="00907D8C" w:rsidRPr="00A65E3D">
        <w:rPr>
          <w:sz w:val="18"/>
          <w:szCs w:val="18"/>
        </w:rPr>
        <w:t xml:space="preserve"> </w:t>
      </w:r>
      <w:r w:rsidR="00036FAC" w:rsidRPr="00A65E3D">
        <w:rPr>
          <w:sz w:val="18"/>
          <w:szCs w:val="18"/>
        </w:rPr>
        <w:t>but</w:t>
      </w:r>
      <w:r w:rsidR="00907D8C" w:rsidRPr="00A65E3D">
        <w:rPr>
          <w:sz w:val="18"/>
          <w:szCs w:val="18"/>
        </w:rPr>
        <w:t xml:space="preserve"> </w:t>
      </w:r>
      <w:r w:rsidR="00036FAC" w:rsidRPr="00A65E3D">
        <w:rPr>
          <w:sz w:val="18"/>
          <w:szCs w:val="18"/>
        </w:rPr>
        <w:t>is</w:t>
      </w:r>
      <w:r w:rsidR="00907D8C" w:rsidRPr="00A65E3D">
        <w:rPr>
          <w:sz w:val="18"/>
          <w:szCs w:val="18"/>
        </w:rPr>
        <w:t xml:space="preserve"> </w:t>
      </w:r>
      <w:r w:rsidR="00036FAC" w:rsidRPr="00A65E3D">
        <w:rPr>
          <w:sz w:val="18"/>
          <w:szCs w:val="18"/>
        </w:rPr>
        <w:t>included</w:t>
      </w:r>
      <w:r w:rsidR="00907D8C" w:rsidRPr="00A65E3D">
        <w:rPr>
          <w:sz w:val="18"/>
          <w:szCs w:val="18"/>
        </w:rPr>
        <w:t xml:space="preserve"> </w:t>
      </w:r>
      <w:r w:rsidR="00036FAC" w:rsidRPr="00A65E3D">
        <w:rPr>
          <w:sz w:val="18"/>
          <w:szCs w:val="18"/>
        </w:rPr>
        <w:t>under</w:t>
      </w:r>
      <w:r w:rsidR="00907D8C" w:rsidRPr="00A65E3D">
        <w:rPr>
          <w:sz w:val="18"/>
          <w:szCs w:val="18"/>
        </w:rPr>
        <w:t xml:space="preserve"> </w:t>
      </w:r>
      <w:r w:rsidR="00036FAC" w:rsidRPr="00A65E3D">
        <w:rPr>
          <w:sz w:val="18"/>
          <w:szCs w:val="18"/>
        </w:rPr>
        <w:t>Total.</w:t>
      </w:r>
      <w:r w:rsidR="00907D8C" w:rsidRPr="00A65E3D">
        <w:rPr>
          <w:sz w:val="18"/>
          <w:szCs w:val="18"/>
        </w:rPr>
        <w:t xml:space="preserve"> </w:t>
      </w:r>
      <w:r w:rsidR="00036FAC" w:rsidRPr="00A65E3D">
        <w:rPr>
          <w:sz w:val="18"/>
          <w:szCs w:val="18"/>
        </w:rPr>
        <w:t>European/Pākehā</w:t>
      </w:r>
      <w:r w:rsidR="00907D8C" w:rsidRPr="00A65E3D">
        <w:rPr>
          <w:sz w:val="18"/>
          <w:szCs w:val="18"/>
        </w:rPr>
        <w:t xml:space="preserve"> </w:t>
      </w:r>
      <w:r w:rsidR="00036FAC" w:rsidRPr="00A65E3D">
        <w:rPr>
          <w:sz w:val="18"/>
          <w:szCs w:val="18"/>
        </w:rPr>
        <w:t>refers</w:t>
      </w:r>
      <w:r w:rsidR="00907D8C" w:rsidRPr="00A65E3D">
        <w:rPr>
          <w:sz w:val="18"/>
          <w:szCs w:val="18"/>
        </w:rPr>
        <w:t xml:space="preserve"> </w:t>
      </w:r>
      <w:r w:rsidR="00036FAC" w:rsidRPr="00A65E3D">
        <w:rPr>
          <w:sz w:val="18"/>
          <w:szCs w:val="18"/>
        </w:rPr>
        <w:t>to</w:t>
      </w:r>
      <w:r w:rsidR="00907D8C" w:rsidRPr="00A65E3D">
        <w:rPr>
          <w:sz w:val="18"/>
          <w:szCs w:val="18"/>
        </w:rPr>
        <w:t xml:space="preserve"> </w:t>
      </w:r>
      <w:r w:rsidR="00036FAC" w:rsidRPr="00A65E3D">
        <w:rPr>
          <w:sz w:val="18"/>
          <w:szCs w:val="18"/>
        </w:rPr>
        <w:t>people</w:t>
      </w:r>
      <w:r w:rsidR="00907D8C" w:rsidRPr="00A65E3D">
        <w:rPr>
          <w:sz w:val="18"/>
          <w:szCs w:val="18"/>
        </w:rPr>
        <w:t xml:space="preserve"> </w:t>
      </w:r>
      <w:r w:rsidR="00036FAC" w:rsidRPr="00A65E3D">
        <w:rPr>
          <w:sz w:val="18"/>
          <w:szCs w:val="18"/>
        </w:rPr>
        <w:t>who</w:t>
      </w:r>
      <w:r w:rsidR="00907D8C" w:rsidRPr="00A65E3D">
        <w:rPr>
          <w:sz w:val="18"/>
          <w:szCs w:val="18"/>
        </w:rPr>
        <w:t xml:space="preserve"> </w:t>
      </w:r>
      <w:r w:rsidR="00036FAC" w:rsidRPr="00A65E3D">
        <w:rPr>
          <w:sz w:val="18"/>
          <w:szCs w:val="18"/>
        </w:rPr>
        <w:t>affiliate</w:t>
      </w:r>
      <w:r w:rsidR="00907D8C" w:rsidRPr="00A65E3D">
        <w:rPr>
          <w:sz w:val="18"/>
          <w:szCs w:val="18"/>
        </w:rPr>
        <w:t xml:space="preserve"> </w:t>
      </w:r>
      <w:r w:rsidR="00036FAC" w:rsidRPr="00A65E3D">
        <w:rPr>
          <w:sz w:val="18"/>
          <w:szCs w:val="18"/>
        </w:rPr>
        <w:t>as</w:t>
      </w:r>
      <w:r w:rsidR="00907D8C" w:rsidRPr="00A65E3D">
        <w:rPr>
          <w:sz w:val="18"/>
          <w:szCs w:val="18"/>
        </w:rPr>
        <w:t xml:space="preserve"> </w:t>
      </w:r>
      <w:r w:rsidR="00036FAC" w:rsidRPr="00A65E3D">
        <w:rPr>
          <w:sz w:val="18"/>
          <w:szCs w:val="18"/>
        </w:rPr>
        <w:t>New</w:t>
      </w:r>
      <w:r w:rsidR="00907D8C" w:rsidRPr="00A65E3D">
        <w:rPr>
          <w:sz w:val="18"/>
          <w:szCs w:val="18"/>
        </w:rPr>
        <w:t xml:space="preserve"> </w:t>
      </w:r>
      <w:r w:rsidR="00036FAC" w:rsidRPr="00A65E3D">
        <w:rPr>
          <w:sz w:val="18"/>
          <w:szCs w:val="18"/>
        </w:rPr>
        <w:t>Zealand</w:t>
      </w:r>
      <w:r w:rsidR="00907D8C" w:rsidRPr="00A65E3D">
        <w:rPr>
          <w:sz w:val="18"/>
          <w:szCs w:val="18"/>
        </w:rPr>
        <w:t xml:space="preserve"> </w:t>
      </w:r>
      <w:r w:rsidR="00036FAC" w:rsidRPr="00A65E3D">
        <w:rPr>
          <w:sz w:val="18"/>
          <w:szCs w:val="18"/>
        </w:rPr>
        <w:t>European,</w:t>
      </w:r>
      <w:r w:rsidR="00907D8C" w:rsidRPr="00A65E3D">
        <w:rPr>
          <w:sz w:val="18"/>
          <w:szCs w:val="18"/>
        </w:rPr>
        <w:t xml:space="preserve"> </w:t>
      </w:r>
      <w:r w:rsidR="00036FAC" w:rsidRPr="00A65E3D">
        <w:rPr>
          <w:sz w:val="18"/>
          <w:szCs w:val="18"/>
        </w:rPr>
        <w:t>Other</w:t>
      </w:r>
      <w:r w:rsidR="00907D8C" w:rsidRPr="00A65E3D">
        <w:rPr>
          <w:sz w:val="18"/>
          <w:szCs w:val="18"/>
        </w:rPr>
        <w:t xml:space="preserve"> </w:t>
      </w:r>
      <w:r w:rsidR="00036FAC" w:rsidRPr="00A65E3D">
        <w:rPr>
          <w:sz w:val="18"/>
          <w:szCs w:val="18"/>
        </w:rPr>
        <w:t>European,</w:t>
      </w:r>
      <w:r w:rsidR="00907D8C" w:rsidRPr="00A65E3D">
        <w:rPr>
          <w:sz w:val="18"/>
          <w:szCs w:val="18"/>
        </w:rPr>
        <w:t xml:space="preserve"> </w:t>
      </w:r>
      <w:r w:rsidR="00036FAC" w:rsidRPr="00A65E3D">
        <w:rPr>
          <w:sz w:val="18"/>
          <w:szCs w:val="18"/>
        </w:rPr>
        <w:t>or</w:t>
      </w:r>
      <w:r w:rsidR="00907D8C" w:rsidRPr="00A65E3D">
        <w:rPr>
          <w:sz w:val="18"/>
          <w:szCs w:val="18"/>
        </w:rPr>
        <w:t xml:space="preserve"> </w:t>
      </w:r>
      <w:r w:rsidR="00036FAC" w:rsidRPr="00A65E3D">
        <w:rPr>
          <w:sz w:val="18"/>
          <w:szCs w:val="18"/>
        </w:rPr>
        <w:t>European</w:t>
      </w:r>
      <w:r w:rsidR="00907D8C" w:rsidRPr="00A65E3D">
        <w:rPr>
          <w:sz w:val="18"/>
          <w:szCs w:val="18"/>
        </w:rPr>
        <w:t xml:space="preserve"> </w:t>
      </w:r>
      <w:r w:rsidR="00036FAC" w:rsidRPr="00A65E3D">
        <w:rPr>
          <w:sz w:val="18"/>
          <w:szCs w:val="18"/>
        </w:rPr>
        <w:t>(not</w:t>
      </w:r>
      <w:r w:rsidR="00907D8C" w:rsidRPr="00A65E3D">
        <w:rPr>
          <w:sz w:val="18"/>
          <w:szCs w:val="18"/>
        </w:rPr>
        <w:t xml:space="preserve"> </w:t>
      </w:r>
      <w:r w:rsidR="00036FAC" w:rsidRPr="00A65E3D">
        <w:rPr>
          <w:sz w:val="18"/>
          <w:szCs w:val="18"/>
        </w:rPr>
        <w:t>further</w:t>
      </w:r>
      <w:r w:rsidR="00907D8C" w:rsidRPr="00A65E3D">
        <w:rPr>
          <w:sz w:val="18"/>
          <w:szCs w:val="18"/>
        </w:rPr>
        <w:t xml:space="preserve"> </w:t>
      </w:r>
      <w:r w:rsidR="00036FAC" w:rsidRPr="00A65E3D">
        <w:rPr>
          <w:sz w:val="18"/>
          <w:szCs w:val="18"/>
        </w:rPr>
        <w:t>defined).</w:t>
      </w:r>
      <w:r w:rsidR="00907D8C" w:rsidRPr="00A65E3D">
        <w:rPr>
          <w:sz w:val="18"/>
          <w:szCs w:val="18"/>
        </w:rPr>
        <w:t xml:space="preserve"> </w:t>
      </w:r>
      <w:r w:rsidR="00036FAC" w:rsidRPr="00A65E3D">
        <w:rPr>
          <w:sz w:val="18"/>
          <w:szCs w:val="18"/>
        </w:rPr>
        <w:t>For</w:t>
      </w:r>
      <w:r w:rsidR="00907D8C" w:rsidRPr="00A65E3D">
        <w:rPr>
          <w:sz w:val="18"/>
          <w:szCs w:val="18"/>
        </w:rPr>
        <w:t xml:space="preserve"> </w:t>
      </w:r>
      <w:r w:rsidR="00036FAC" w:rsidRPr="00A65E3D">
        <w:rPr>
          <w:sz w:val="18"/>
          <w:szCs w:val="18"/>
        </w:rPr>
        <w:t>example,</w:t>
      </w:r>
      <w:r w:rsidR="00907D8C" w:rsidRPr="00A65E3D">
        <w:rPr>
          <w:sz w:val="18"/>
          <w:szCs w:val="18"/>
        </w:rPr>
        <w:t xml:space="preserve"> </w:t>
      </w:r>
      <w:r w:rsidR="00036FAC" w:rsidRPr="00A65E3D">
        <w:rPr>
          <w:sz w:val="18"/>
          <w:szCs w:val="18"/>
        </w:rPr>
        <w:t>this</w:t>
      </w:r>
      <w:r w:rsidR="00907D8C" w:rsidRPr="00A65E3D">
        <w:rPr>
          <w:sz w:val="18"/>
          <w:szCs w:val="18"/>
        </w:rPr>
        <w:t xml:space="preserve"> </w:t>
      </w:r>
      <w:r w:rsidR="00036FAC" w:rsidRPr="00A65E3D">
        <w:rPr>
          <w:sz w:val="18"/>
          <w:szCs w:val="18"/>
        </w:rPr>
        <w:t>includes</w:t>
      </w:r>
      <w:r w:rsidR="00907D8C" w:rsidRPr="00A65E3D">
        <w:rPr>
          <w:sz w:val="18"/>
          <w:szCs w:val="18"/>
        </w:rPr>
        <w:t xml:space="preserve"> </w:t>
      </w:r>
      <w:r w:rsidR="00036FAC" w:rsidRPr="00A65E3D">
        <w:rPr>
          <w:sz w:val="18"/>
          <w:szCs w:val="18"/>
        </w:rPr>
        <w:t>and</w:t>
      </w:r>
      <w:r w:rsidR="00907D8C" w:rsidRPr="00A65E3D">
        <w:rPr>
          <w:sz w:val="18"/>
          <w:szCs w:val="18"/>
        </w:rPr>
        <w:t xml:space="preserve"> </w:t>
      </w:r>
      <w:r w:rsidR="00036FAC" w:rsidRPr="00A65E3D">
        <w:rPr>
          <w:sz w:val="18"/>
          <w:szCs w:val="18"/>
        </w:rPr>
        <w:t>is</w:t>
      </w:r>
      <w:r w:rsidR="00907D8C" w:rsidRPr="00A65E3D">
        <w:rPr>
          <w:sz w:val="18"/>
          <w:szCs w:val="18"/>
        </w:rPr>
        <w:t xml:space="preserve"> </w:t>
      </w:r>
      <w:r w:rsidR="00036FAC" w:rsidRPr="00A65E3D">
        <w:rPr>
          <w:sz w:val="18"/>
          <w:szCs w:val="18"/>
        </w:rPr>
        <w:t>not</w:t>
      </w:r>
      <w:r w:rsidR="00907D8C" w:rsidRPr="00A65E3D">
        <w:rPr>
          <w:sz w:val="18"/>
          <w:szCs w:val="18"/>
        </w:rPr>
        <w:t xml:space="preserve"> </w:t>
      </w:r>
      <w:r w:rsidR="00036FAC" w:rsidRPr="00A65E3D">
        <w:rPr>
          <w:sz w:val="18"/>
          <w:szCs w:val="18"/>
        </w:rPr>
        <w:t>limited</w:t>
      </w:r>
      <w:r w:rsidR="00907D8C" w:rsidRPr="00A65E3D">
        <w:rPr>
          <w:sz w:val="18"/>
          <w:szCs w:val="18"/>
        </w:rPr>
        <w:t xml:space="preserve"> </w:t>
      </w:r>
      <w:r w:rsidR="00036FAC" w:rsidRPr="00A65E3D">
        <w:rPr>
          <w:sz w:val="18"/>
          <w:szCs w:val="18"/>
        </w:rPr>
        <w:t>to</w:t>
      </w:r>
      <w:r w:rsidR="00907D8C" w:rsidRPr="00A65E3D">
        <w:rPr>
          <w:sz w:val="18"/>
          <w:szCs w:val="18"/>
        </w:rPr>
        <w:t xml:space="preserve"> </w:t>
      </w:r>
      <w:r w:rsidR="00036FAC" w:rsidRPr="00A65E3D">
        <w:rPr>
          <w:sz w:val="18"/>
          <w:szCs w:val="18"/>
        </w:rPr>
        <w:t>people</w:t>
      </w:r>
      <w:r w:rsidR="00907D8C" w:rsidRPr="00A65E3D">
        <w:rPr>
          <w:sz w:val="18"/>
          <w:szCs w:val="18"/>
        </w:rPr>
        <w:t xml:space="preserve"> </w:t>
      </w:r>
      <w:r w:rsidR="00036FAC" w:rsidRPr="00A65E3D">
        <w:rPr>
          <w:sz w:val="18"/>
          <w:szCs w:val="18"/>
        </w:rPr>
        <w:t>who</w:t>
      </w:r>
      <w:r w:rsidR="00907D8C" w:rsidRPr="00A65E3D">
        <w:rPr>
          <w:sz w:val="18"/>
          <w:szCs w:val="18"/>
        </w:rPr>
        <w:t xml:space="preserve"> </w:t>
      </w:r>
      <w:r w:rsidR="00036FAC" w:rsidRPr="00A65E3D">
        <w:rPr>
          <w:sz w:val="18"/>
          <w:szCs w:val="18"/>
        </w:rPr>
        <w:t>consider</w:t>
      </w:r>
      <w:r w:rsidR="00907D8C" w:rsidRPr="00A65E3D">
        <w:rPr>
          <w:sz w:val="18"/>
          <w:szCs w:val="18"/>
        </w:rPr>
        <w:t xml:space="preserve"> </w:t>
      </w:r>
      <w:r w:rsidR="00036FAC" w:rsidRPr="00A65E3D">
        <w:rPr>
          <w:sz w:val="18"/>
          <w:szCs w:val="18"/>
        </w:rPr>
        <w:t>themselves</w:t>
      </w:r>
      <w:r w:rsidR="00907D8C" w:rsidRPr="00A65E3D">
        <w:rPr>
          <w:sz w:val="18"/>
          <w:szCs w:val="18"/>
        </w:rPr>
        <w:t xml:space="preserve"> </w:t>
      </w:r>
      <w:r w:rsidR="00036FAC" w:rsidRPr="00A65E3D">
        <w:rPr>
          <w:sz w:val="18"/>
          <w:szCs w:val="18"/>
        </w:rPr>
        <w:t>as</w:t>
      </w:r>
      <w:r w:rsidR="00907D8C" w:rsidRPr="00A65E3D">
        <w:rPr>
          <w:sz w:val="18"/>
          <w:szCs w:val="18"/>
        </w:rPr>
        <w:t xml:space="preserve"> </w:t>
      </w:r>
      <w:r w:rsidR="00036FAC" w:rsidRPr="00A65E3D">
        <w:rPr>
          <w:sz w:val="18"/>
          <w:szCs w:val="18"/>
        </w:rPr>
        <w:t>Australian</w:t>
      </w:r>
      <w:r w:rsidR="00907D8C" w:rsidRPr="00A65E3D">
        <w:rPr>
          <w:sz w:val="18"/>
          <w:szCs w:val="18"/>
        </w:rPr>
        <w:t xml:space="preserve"> </w:t>
      </w:r>
      <w:r w:rsidR="00036FAC" w:rsidRPr="00A65E3D">
        <w:rPr>
          <w:sz w:val="18"/>
          <w:szCs w:val="18"/>
        </w:rPr>
        <w:t>(excluding</w:t>
      </w:r>
      <w:r w:rsidR="00907D8C" w:rsidRPr="00A65E3D">
        <w:rPr>
          <w:sz w:val="18"/>
          <w:szCs w:val="18"/>
        </w:rPr>
        <w:t xml:space="preserve"> </w:t>
      </w:r>
      <w:r w:rsidR="00036FAC" w:rsidRPr="00A65E3D">
        <w:rPr>
          <w:sz w:val="18"/>
          <w:szCs w:val="18"/>
        </w:rPr>
        <w:t>Australian</w:t>
      </w:r>
      <w:r w:rsidR="00907D8C" w:rsidRPr="00A65E3D">
        <w:rPr>
          <w:sz w:val="18"/>
          <w:szCs w:val="18"/>
        </w:rPr>
        <w:t xml:space="preserve"> </w:t>
      </w:r>
      <w:r w:rsidR="00036FAC" w:rsidRPr="00A65E3D">
        <w:rPr>
          <w:sz w:val="18"/>
          <w:szCs w:val="18"/>
        </w:rPr>
        <w:t>Aborigines),</w:t>
      </w:r>
      <w:r w:rsidR="00907D8C" w:rsidRPr="00A65E3D">
        <w:rPr>
          <w:sz w:val="18"/>
          <w:szCs w:val="18"/>
        </w:rPr>
        <w:t xml:space="preserve"> </w:t>
      </w:r>
      <w:r w:rsidR="00036FAC" w:rsidRPr="00A65E3D">
        <w:rPr>
          <w:sz w:val="18"/>
          <w:szCs w:val="18"/>
        </w:rPr>
        <w:t>British</w:t>
      </w:r>
      <w:r w:rsidR="00907D8C" w:rsidRPr="00A65E3D">
        <w:rPr>
          <w:sz w:val="18"/>
          <w:szCs w:val="18"/>
        </w:rPr>
        <w:t xml:space="preserve"> </w:t>
      </w:r>
      <w:r w:rsidR="00036FAC" w:rsidRPr="00A65E3D">
        <w:rPr>
          <w:sz w:val="18"/>
          <w:szCs w:val="18"/>
        </w:rPr>
        <w:t>and</w:t>
      </w:r>
      <w:r w:rsidR="00A65E3D" w:rsidRPr="00A65E3D">
        <w:rPr>
          <w:sz w:val="18"/>
          <w:szCs w:val="18"/>
        </w:rPr>
        <w:t xml:space="preserve"> </w:t>
      </w:r>
      <w:r w:rsidR="00036FAC" w:rsidRPr="00A65E3D">
        <w:rPr>
          <w:sz w:val="18"/>
          <w:szCs w:val="18"/>
        </w:rPr>
        <w:t>Irish,</w:t>
      </w:r>
      <w:r w:rsidR="00907D8C" w:rsidRPr="00A65E3D">
        <w:rPr>
          <w:sz w:val="18"/>
          <w:szCs w:val="18"/>
        </w:rPr>
        <w:t xml:space="preserve"> </w:t>
      </w:r>
      <w:r w:rsidR="00036FAC" w:rsidRPr="00A65E3D">
        <w:rPr>
          <w:sz w:val="18"/>
          <w:szCs w:val="18"/>
        </w:rPr>
        <w:t>American,</w:t>
      </w:r>
      <w:r w:rsidR="00907D8C" w:rsidRPr="00A65E3D">
        <w:rPr>
          <w:sz w:val="18"/>
          <w:szCs w:val="18"/>
        </w:rPr>
        <w:t xml:space="preserve"> </w:t>
      </w:r>
      <w:r w:rsidR="00036FAC" w:rsidRPr="00A65E3D">
        <w:rPr>
          <w:sz w:val="18"/>
          <w:szCs w:val="18"/>
        </w:rPr>
        <w:t>Spanish,</w:t>
      </w:r>
      <w:r w:rsidR="00907D8C" w:rsidRPr="00A65E3D">
        <w:rPr>
          <w:sz w:val="18"/>
          <w:szCs w:val="18"/>
        </w:rPr>
        <w:t xml:space="preserve"> </w:t>
      </w:r>
      <w:r w:rsidR="00036FAC" w:rsidRPr="00A65E3D">
        <w:rPr>
          <w:sz w:val="18"/>
          <w:szCs w:val="18"/>
        </w:rPr>
        <w:t>and</w:t>
      </w:r>
      <w:r w:rsidR="00907D8C" w:rsidRPr="00A65E3D">
        <w:rPr>
          <w:sz w:val="18"/>
          <w:szCs w:val="18"/>
        </w:rPr>
        <w:t xml:space="preserve"> </w:t>
      </w:r>
      <w:r w:rsidR="00036FAC" w:rsidRPr="00A65E3D">
        <w:rPr>
          <w:sz w:val="18"/>
          <w:szCs w:val="18"/>
        </w:rPr>
        <w:t>Ukrainian.</w:t>
      </w:r>
    </w:p>
    <w:p w:rsidR="00036FAC" w:rsidRPr="00036FAC" w:rsidRDefault="00036FAC" w:rsidP="00A65E3D">
      <w:pPr>
        <w:pStyle w:val="SingleTxtG"/>
      </w:pPr>
      <w:r w:rsidRPr="00036FAC">
        <w:t>110.</w:t>
      </w:r>
      <w:r w:rsidRPr="00036FAC">
        <w:tab/>
        <w:t>The</w:t>
      </w:r>
      <w:r w:rsidR="00907D8C">
        <w:t xml:space="preserve"> </w:t>
      </w:r>
      <w:r w:rsidR="00AE58B5">
        <w:t>percent</w:t>
      </w:r>
      <w:r w:rsidRPr="00036FAC">
        <w:t>age</w:t>
      </w:r>
      <w:r w:rsidR="00907D8C">
        <w:t xml:space="preserve"> </w:t>
      </w:r>
      <w:r w:rsidRPr="00036FAC">
        <w:t>of</w:t>
      </w:r>
      <w:r w:rsidR="00907D8C">
        <w:t xml:space="preserve"> </w:t>
      </w:r>
      <w:r w:rsidRPr="00036FAC">
        <w:t>Māori</w:t>
      </w:r>
      <w:r w:rsidR="00907D8C">
        <w:t xml:space="preserve"> </w:t>
      </w:r>
      <w:r w:rsidRPr="00036FAC">
        <w:t>students</w:t>
      </w:r>
      <w:r w:rsidR="00907D8C">
        <w:t xml:space="preserve"> </w:t>
      </w:r>
      <w:r w:rsidRPr="00036FAC">
        <w:t>staying</w:t>
      </w:r>
      <w:r w:rsidR="00907D8C">
        <w:t xml:space="preserve"> </w:t>
      </w:r>
      <w:r w:rsidRPr="00036FAC">
        <w:t>at</w:t>
      </w:r>
      <w:r w:rsidR="00907D8C">
        <w:t xml:space="preserve"> </w:t>
      </w:r>
      <w:r w:rsidRPr="00036FAC">
        <w:t>school</w:t>
      </w:r>
      <w:r w:rsidR="00907D8C">
        <w:t xml:space="preserve"> </w:t>
      </w:r>
      <w:r w:rsidRPr="00036FAC">
        <w:t>until</w:t>
      </w:r>
      <w:r w:rsidR="00907D8C">
        <w:t xml:space="preserve"> </w:t>
      </w:r>
      <w:r w:rsidRPr="00036FAC">
        <w:t>at</w:t>
      </w:r>
      <w:r w:rsidR="00907D8C">
        <w:t xml:space="preserve"> </w:t>
      </w:r>
      <w:r w:rsidRPr="00036FAC">
        <w:t>least</w:t>
      </w:r>
      <w:r w:rsidR="00907D8C">
        <w:t xml:space="preserve"> </w:t>
      </w:r>
      <w:r w:rsidRPr="00036FAC">
        <w:t>17.5</w:t>
      </w:r>
      <w:r w:rsidR="00907D8C">
        <w:t xml:space="preserve"> </w:t>
      </w:r>
      <w:r w:rsidRPr="00036FAC">
        <w:t>years</w:t>
      </w:r>
      <w:r w:rsidR="00907D8C">
        <w:t xml:space="preserve"> </w:t>
      </w:r>
      <w:r w:rsidRPr="00036FAC">
        <w:t>increased</w:t>
      </w:r>
      <w:r w:rsidR="00907D8C">
        <w:t xml:space="preserve"> </w:t>
      </w:r>
      <w:r w:rsidRPr="00036FAC">
        <w:t>from</w:t>
      </w:r>
      <w:r w:rsidR="00907D8C">
        <w:t xml:space="preserve"> </w:t>
      </w:r>
      <w:r w:rsidRPr="00036FAC">
        <w:t>39.4</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2005</w:t>
      </w:r>
      <w:r w:rsidR="00907D8C">
        <w:t xml:space="preserve"> </w:t>
      </w:r>
      <w:r w:rsidRPr="00036FAC">
        <w:t>to</w:t>
      </w:r>
      <w:r w:rsidR="00907D8C">
        <w:t xml:space="preserve"> </w:t>
      </w:r>
      <w:r w:rsidRPr="00036FAC">
        <w:t>45.8</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p>
    <w:p w:rsidR="00036FAC" w:rsidRPr="00036FAC" w:rsidRDefault="00036FAC" w:rsidP="006C436C">
      <w:pPr>
        <w:pStyle w:val="H23G"/>
      </w:pPr>
      <w:r w:rsidRPr="00036FAC">
        <w:tab/>
        <w:t>(a)</w:t>
      </w:r>
      <w:r w:rsidRPr="00036FAC">
        <w:tab/>
        <w:t>Teacher</w:t>
      </w:r>
      <w:r w:rsidR="00A65E3D">
        <w:t>-</w:t>
      </w:r>
      <w:r w:rsidRPr="00036FAC">
        <w:t>student</w:t>
      </w:r>
      <w:r w:rsidR="00907D8C">
        <w:t xml:space="preserve"> </w:t>
      </w:r>
      <w:r w:rsidRPr="00036FAC">
        <w:t>ratios</w:t>
      </w:r>
    </w:p>
    <w:p w:rsidR="00C849D3" w:rsidRDefault="00036FAC" w:rsidP="00C849D3">
      <w:pPr>
        <w:pStyle w:val="Heading1"/>
      </w:pPr>
      <w:bookmarkStart w:id="69" w:name="_Toc275331939"/>
      <w:r w:rsidRPr="00036FAC">
        <w:t>Table</w:t>
      </w:r>
      <w:r w:rsidR="00907D8C">
        <w:t xml:space="preserve"> </w:t>
      </w:r>
      <w:r w:rsidR="00C849D3">
        <w:t>38</w:t>
      </w:r>
    </w:p>
    <w:p w:rsidR="00036FAC" w:rsidRPr="00C849D3" w:rsidRDefault="00036FAC" w:rsidP="00C849D3">
      <w:pPr>
        <w:pStyle w:val="SingleTxtG"/>
        <w:rPr>
          <w:b/>
        </w:rPr>
      </w:pPr>
      <w:r w:rsidRPr="00C849D3">
        <w:rPr>
          <w:b/>
        </w:rPr>
        <w:t>Ratio</w:t>
      </w:r>
      <w:r w:rsidRPr="00895D47">
        <w:t>*</w:t>
      </w:r>
      <w:r w:rsidR="00907D8C" w:rsidRPr="00C849D3">
        <w:rPr>
          <w:b/>
        </w:rPr>
        <w:t xml:space="preserve"> </w:t>
      </w:r>
      <w:r w:rsidRPr="00C849D3">
        <w:rPr>
          <w:b/>
        </w:rPr>
        <w:t>of</w:t>
      </w:r>
      <w:r w:rsidR="00907D8C" w:rsidRPr="00C849D3">
        <w:rPr>
          <w:b/>
        </w:rPr>
        <w:t xml:space="preserve"> </w:t>
      </w:r>
      <w:r w:rsidRPr="00C849D3">
        <w:rPr>
          <w:b/>
        </w:rPr>
        <w:t>students</w:t>
      </w:r>
      <w:r w:rsidR="00907D8C" w:rsidRPr="00C849D3">
        <w:rPr>
          <w:b/>
        </w:rPr>
        <w:t xml:space="preserve"> </w:t>
      </w:r>
      <w:r w:rsidRPr="00C849D3">
        <w:rPr>
          <w:b/>
        </w:rPr>
        <w:t>to</w:t>
      </w:r>
      <w:r w:rsidR="00907D8C" w:rsidRPr="00C849D3">
        <w:rPr>
          <w:b/>
        </w:rPr>
        <w:t xml:space="preserve"> </w:t>
      </w:r>
      <w:r w:rsidRPr="00C849D3">
        <w:rPr>
          <w:b/>
        </w:rPr>
        <w:t>teaching</w:t>
      </w:r>
      <w:r w:rsidR="00907D8C" w:rsidRPr="00C849D3">
        <w:rPr>
          <w:b/>
        </w:rPr>
        <w:t xml:space="preserve"> </w:t>
      </w:r>
      <w:r w:rsidRPr="00C849D3">
        <w:rPr>
          <w:b/>
        </w:rPr>
        <w:t>staff</w:t>
      </w:r>
      <w:r w:rsidR="00907D8C" w:rsidRPr="00C849D3">
        <w:rPr>
          <w:b/>
        </w:rPr>
        <w:t xml:space="preserve"> </w:t>
      </w:r>
      <w:r w:rsidRPr="00C849D3">
        <w:rPr>
          <w:b/>
        </w:rPr>
        <w:t>at</w:t>
      </w:r>
      <w:r w:rsidR="00907D8C" w:rsidRPr="00C849D3">
        <w:rPr>
          <w:b/>
        </w:rPr>
        <w:t xml:space="preserve"> </w:t>
      </w:r>
      <w:r w:rsidR="002F53EE">
        <w:rPr>
          <w:b/>
        </w:rPr>
        <w:t>S</w:t>
      </w:r>
      <w:r w:rsidRPr="00C849D3">
        <w:rPr>
          <w:b/>
        </w:rPr>
        <w:t>tate</w:t>
      </w:r>
      <w:r w:rsidR="00907D8C" w:rsidRPr="00C849D3">
        <w:rPr>
          <w:b/>
        </w:rPr>
        <w:t xml:space="preserve"> </w:t>
      </w:r>
      <w:r w:rsidRPr="00C849D3">
        <w:rPr>
          <w:b/>
        </w:rPr>
        <w:t>and</w:t>
      </w:r>
      <w:r w:rsidR="00907D8C" w:rsidRPr="00C849D3">
        <w:rPr>
          <w:b/>
        </w:rPr>
        <w:t xml:space="preserve"> </w:t>
      </w:r>
      <w:r w:rsidR="002F53EE">
        <w:rPr>
          <w:b/>
        </w:rPr>
        <w:t>S</w:t>
      </w:r>
      <w:r w:rsidRPr="00C849D3">
        <w:rPr>
          <w:b/>
        </w:rPr>
        <w:t>tate-integrated</w:t>
      </w:r>
      <w:r w:rsidR="00907D8C" w:rsidRPr="00C849D3">
        <w:rPr>
          <w:b/>
        </w:rPr>
        <w:t xml:space="preserve"> </w:t>
      </w:r>
      <w:r w:rsidRPr="00C849D3">
        <w:rPr>
          <w:b/>
        </w:rPr>
        <w:t>schools,</w:t>
      </w:r>
      <w:r w:rsidR="00907D8C" w:rsidRPr="00C849D3">
        <w:rPr>
          <w:b/>
        </w:rPr>
        <w:t xml:space="preserve"> </w:t>
      </w:r>
      <w:r w:rsidRPr="00C849D3">
        <w:rPr>
          <w:b/>
        </w:rPr>
        <w:t>2003–</w:t>
      </w:r>
      <w:r w:rsidR="00A65E3D" w:rsidRPr="00C849D3">
        <w:rPr>
          <w:b/>
        </w:rPr>
        <w:t>20</w:t>
      </w:r>
      <w:r w:rsidRPr="00C849D3">
        <w:rPr>
          <w:b/>
        </w:rPr>
        <w:t>09</w:t>
      </w:r>
      <w:bookmarkEnd w:id="6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12"/>
        <w:gridCol w:w="749"/>
        <w:gridCol w:w="749"/>
        <w:gridCol w:w="749"/>
        <w:gridCol w:w="749"/>
        <w:gridCol w:w="749"/>
        <w:gridCol w:w="669"/>
        <w:gridCol w:w="744"/>
      </w:tblGrid>
      <w:tr w:rsidR="00036FAC" w:rsidRPr="003A1253" w:rsidTr="003A1253">
        <w:trPr>
          <w:trHeight w:val="255"/>
          <w:tblHeader/>
        </w:trPr>
        <w:tc>
          <w:tcPr>
            <w:tcW w:w="1501" w:type="pct"/>
            <w:tcBorders>
              <w:top w:val="single" w:sz="4" w:space="0" w:color="auto"/>
              <w:bottom w:val="single" w:sz="12" w:space="0" w:color="auto"/>
            </w:tcBorders>
            <w:shd w:val="clear" w:color="auto" w:fill="auto"/>
            <w:noWrap/>
            <w:vAlign w:val="bottom"/>
          </w:tcPr>
          <w:p w:rsidR="00036FAC" w:rsidRPr="003A1253" w:rsidRDefault="00907D8C" w:rsidP="003A1253">
            <w:pPr>
              <w:suppressAutoHyphens w:val="0"/>
              <w:spacing w:before="80" w:after="80" w:line="200" w:lineRule="exact"/>
              <w:ind w:right="113"/>
              <w:rPr>
                <w:i/>
                <w:sz w:val="16"/>
              </w:rPr>
            </w:pPr>
            <w:r w:rsidRPr="003A1253">
              <w:rPr>
                <w:i/>
                <w:sz w:val="16"/>
              </w:rPr>
              <w:t xml:space="preserve"> </w:t>
            </w:r>
          </w:p>
        </w:tc>
        <w:tc>
          <w:tcPr>
            <w:tcW w:w="508"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2003</w:t>
            </w:r>
          </w:p>
        </w:tc>
        <w:tc>
          <w:tcPr>
            <w:tcW w:w="508"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2004</w:t>
            </w:r>
          </w:p>
        </w:tc>
        <w:tc>
          <w:tcPr>
            <w:tcW w:w="508"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2005</w:t>
            </w:r>
          </w:p>
        </w:tc>
        <w:tc>
          <w:tcPr>
            <w:tcW w:w="508"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2006</w:t>
            </w:r>
          </w:p>
        </w:tc>
        <w:tc>
          <w:tcPr>
            <w:tcW w:w="508"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2007</w:t>
            </w:r>
          </w:p>
        </w:tc>
        <w:tc>
          <w:tcPr>
            <w:tcW w:w="454"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2008</w:t>
            </w:r>
          </w:p>
        </w:tc>
        <w:tc>
          <w:tcPr>
            <w:tcW w:w="506" w:type="pct"/>
            <w:tcBorders>
              <w:top w:val="single" w:sz="4" w:space="0" w:color="auto"/>
              <w:bottom w:val="single" w:sz="12" w:space="0" w:color="auto"/>
            </w:tcBorders>
            <w:shd w:val="clear" w:color="auto" w:fill="auto"/>
            <w:noWrap/>
            <w:vAlign w:val="bottom"/>
          </w:tcPr>
          <w:p w:rsidR="00036FAC" w:rsidRPr="003A1253" w:rsidRDefault="00036FAC" w:rsidP="003A1253">
            <w:pPr>
              <w:suppressAutoHyphens w:val="0"/>
              <w:spacing w:before="80" w:after="80" w:line="200" w:lineRule="exact"/>
              <w:ind w:right="113"/>
              <w:jc w:val="right"/>
              <w:rPr>
                <w:i/>
                <w:sz w:val="16"/>
              </w:rPr>
            </w:pPr>
            <w:r w:rsidRPr="003A1253">
              <w:rPr>
                <w:i/>
                <w:sz w:val="16"/>
              </w:rPr>
              <w:t>2009</w:t>
            </w:r>
          </w:p>
        </w:tc>
      </w:tr>
      <w:tr w:rsidR="00036FAC" w:rsidRPr="003A1253" w:rsidTr="003A1253">
        <w:trPr>
          <w:trHeight w:val="255"/>
        </w:trPr>
        <w:tc>
          <w:tcPr>
            <w:tcW w:w="1501" w:type="pct"/>
            <w:tcBorders>
              <w:top w:val="single" w:sz="12" w:space="0" w:color="auto"/>
            </w:tcBorders>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Overall</w:t>
            </w:r>
            <w:r w:rsidR="00907D8C" w:rsidRPr="003A1253">
              <w:rPr>
                <w:sz w:val="18"/>
              </w:rPr>
              <w:t xml:space="preserve"> </w:t>
            </w:r>
            <w:r w:rsidRPr="003A1253">
              <w:rPr>
                <w:sz w:val="18"/>
              </w:rPr>
              <w:t>ratio</w:t>
            </w:r>
            <w:r w:rsidRPr="00895D47">
              <w:t>**</w:t>
            </w:r>
          </w:p>
        </w:tc>
        <w:tc>
          <w:tcPr>
            <w:tcW w:w="508"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454"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6" w:type="pct"/>
            <w:tcBorders>
              <w:top w:val="single" w:sz="12" w:space="0" w:color="auto"/>
            </w:tcBorders>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Primary/Intermediate</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19.1</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18.8</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18.8</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18.1</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17.9</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17.2</w:t>
            </w: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Composite</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13.5</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13.4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12.7</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12.3</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12.2</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12.1</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11.9</w:t>
            </w: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Secondary</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15.4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15.2</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14.8</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14.5</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14.4</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14.3</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14.4</w:t>
            </w: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General</w:t>
            </w:r>
            <w:r w:rsidR="00907D8C" w:rsidRPr="003A1253">
              <w:rPr>
                <w:sz w:val="18"/>
              </w:rPr>
              <w:t xml:space="preserve"> </w:t>
            </w:r>
            <w:r w:rsidRPr="003A1253">
              <w:rPr>
                <w:sz w:val="18"/>
              </w:rPr>
              <w:t>classroom</w:t>
            </w:r>
            <w:r w:rsidR="00907D8C" w:rsidRPr="003A1253">
              <w:rPr>
                <w:sz w:val="18"/>
              </w:rPr>
              <w:t xml:space="preserve"> </w:t>
            </w:r>
            <w:r w:rsidRPr="003A1253">
              <w:rPr>
                <w:sz w:val="18"/>
              </w:rPr>
              <w:t>ratio</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Primary/Intermediate</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22.7</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23.1</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23.9</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23.9</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23.2</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22.8</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23.8</w:t>
            </w: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Composite</w:t>
            </w:r>
            <w:r w:rsidRPr="00895D47">
              <w:t>***</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17.6</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16.7</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16.4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15.4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15.5</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14.4</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14.7</w:t>
            </w:r>
          </w:p>
        </w:tc>
      </w:tr>
      <w:tr w:rsidR="00036FAC" w:rsidRPr="003A1253" w:rsidTr="003A1253">
        <w:trPr>
          <w:trHeight w:val="255"/>
        </w:trPr>
        <w:tc>
          <w:tcPr>
            <w:tcW w:w="1501" w:type="pct"/>
            <w:shd w:val="clear" w:color="auto" w:fill="auto"/>
            <w:noWrap/>
          </w:tcPr>
          <w:p w:rsidR="00036FAC" w:rsidRPr="003A1253" w:rsidRDefault="00036FAC" w:rsidP="003A1253">
            <w:pPr>
              <w:suppressAutoHyphens w:val="0"/>
              <w:spacing w:before="40" w:after="40" w:line="220" w:lineRule="exact"/>
              <w:ind w:right="113"/>
              <w:rPr>
                <w:sz w:val="18"/>
              </w:rPr>
            </w:pPr>
            <w:r w:rsidRPr="003A1253">
              <w:rPr>
                <w:sz w:val="18"/>
              </w:rPr>
              <w:t>Secondary</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18.6</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18.4</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18.0</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17.7</w:t>
            </w:r>
          </w:p>
        </w:tc>
        <w:tc>
          <w:tcPr>
            <w:tcW w:w="508"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17.6</w:t>
            </w:r>
          </w:p>
        </w:tc>
        <w:tc>
          <w:tcPr>
            <w:tcW w:w="454"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17.3</w:t>
            </w:r>
          </w:p>
        </w:tc>
        <w:tc>
          <w:tcPr>
            <w:tcW w:w="506" w:type="pct"/>
            <w:shd w:val="clear" w:color="auto" w:fill="auto"/>
            <w:noWrap/>
            <w:vAlign w:val="bottom"/>
          </w:tcPr>
          <w:p w:rsidR="00036FAC" w:rsidRPr="003A1253" w:rsidRDefault="00036FAC" w:rsidP="003A1253">
            <w:pPr>
              <w:suppressAutoHyphens w:val="0"/>
              <w:spacing w:before="40" w:after="40" w:line="220" w:lineRule="exact"/>
              <w:ind w:right="113"/>
              <w:jc w:val="right"/>
              <w:rPr>
                <w:sz w:val="18"/>
              </w:rPr>
            </w:pPr>
            <w:r w:rsidRPr="003A1253">
              <w:rPr>
                <w:sz w:val="18"/>
              </w:rPr>
              <w:t>17.3</w:t>
            </w:r>
          </w:p>
        </w:tc>
      </w:tr>
    </w:tbl>
    <w:p w:rsidR="005113CF" w:rsidRDefault="00036FAC" w:rsidP="00B50FB5">
      <w:pPr>
        <w:spacing w:before="120"/>
        <w:ind w:left="1134" w:right="1134" w:firstLine="170"/>
        <w:rPr>
          <w:sz w:val="18"/>
          <w:szCs w:val="18"/>
        </w:rPr>
      </w:pPr>
      <w:r w:rsidRPr="005113CF">
        <w:rPr>
          <w:i/>
          <w:sz w:val="18"/>
          <w:szCs w:val="18"/>
        </w:rPr>
        <w:t>Source</w:t>
      </w:r>
      <w:r w:rsidRPr="00C849D3">
        <w:rPr>
          <w:sz w:val="18"/>
          <w:szCs w:val="18"/>
        </w:rPr>
        <w:t>:</w:t>
      </w:r>
      <w:r w:rsidR="00C849D3">
        <w:rPr>
          <w:sz w:val="18"/>
          <w:szCs w:val="18"/>
        </w:rPr>
        <w:t xml:space="preserve"> </w:t>
      </w:r>
      <w:r w:rsidR="00907D8C" w:rsidRPr="00C849D3">
        <w:rPr>
          <w:sz w:val="18"/>
          <w:szCs w:val="18"/>
        </w:rPr>
        <w:t xml:space="preserve"> </w:t>
      </w:r>
      <w:r w:rsidRPr="00C849D3">
        <w:rPr>
          <w:sz w:val="18"/>
          <w:szCs w:val="18"/>
        </w:rPr>
        <w:t>Ministry</w:t>
      </w:r>
      <w:r w:rsidR="00907D8C" w:rsidRPr="00C849D3">
        <w:rPr>
          <w:sz w:val="18"/>
          <w:szCs w:val="18"/>
        </w:rPr>
        <w:t xml:space="preserve"> </w:t>
      </w:r>
      <w:r w:rsidRPr="00C849D3">
        <w:rPr>
          <w:sz w:val="18"/>
          <w:szCs w:val="18"/>
        </w:rPr>
        <w:t>of</w:t>
      </w:r>
      <w:r w:rsidR="00907D8C" w:rsidRPr="00C849D3">
        <w:rPr>
          <w:sz w:val="18"/>
          <w:szCs w:val="18"/>
        </w:rPr>
        <w:t xml:space="preserve"> </w:t>
      </w:r>
      <w:r w:rsidRPr="00C849D3">
        <w:rPr>
          <w:sz w:val="18"/>
          <w:szCs w:val="18"/>
        </w:rPr>
        <w:t>Education</w:t>
      </w:r>
      <w:r w:rsidR="00C849D3" w:rsidRPr="00C849D3">
        <w:rPr>
          <w:sz w:val="18"/>
          <w:szCs w:val="18"/>
        </w:rPr>
        <w:t>.</w:t>
      </w:r>
    </w:p>
    <w:p w:rsidR="00D739FE" w:rsidRPr="00D739FE" w:rsidRDefault="00D739FE" w:rsidP="00C849D3">
      <w:pPr>
        <w:ind w:left="1134" w:right="1134" w:firstLine="170"/>
        <w:rPr>
          <w:i/>
        </w:rPr>
      </w:pPr>
      <w:r w:rsidRPr="00D739FE">
        <w:rPr>
          <w:i/>
        </w:rPr>
        <w:t>Notes</w:t>
      </w:r>
      <w:r>
        <w:rPr>
          <w:i/>
        </w:rPr>
        <w:t>:</w:t>
      </w:r>
    </w:p>
    <w:p w:rsidR="00036FAC" w:rsidRPr="00C849D3" w:rsidRDefault="00036FAC" w:rsidP="00C849D3">
      <w:pPr>
        <w:ind w:left="1134" w:right="1134" w:firstLine="170"/>
        <w:rPr>
          <w:sz w:val="18"/>
          <w:szCs w:val="18"/>
        </w:rPr>
      </w:pPr>
      <w:r w:rsidRPr="00895D47">
        <w:t>*</w:t>
      </w:r>
      <w:r w:rsidR="00FF1AEE">
        <w:t xml:space="preserve"> </w:t>
      </w:r>
      <w:r w:rsidR="000C7DAB">
        <w:t xml:space="preserve"> </w:t>
      </w:r>
      <w:r w:rsidRPr="00C849D3">
        <w:rPr>
          <w:sz w:val="18"/>
          <w:szCs w:val="18"/>
        </w:rPr>
        <w:t>The</w:t>
      </w:r>
      <w:r w:rsidR="00907D8C" w:rsidRPr="00C849D3">
        <w:rPr>
          <w:sz w:val="18"/>
          <w:szCs w:val="18"/>
        </w:rPr>
        <w:t xml:space="preserve"> </w:t>
      </w:r>
      <w:r w:rsidRPr="00C849D3">
        <w:rPr>
          <w:sz w:val="18"/>
          <w:szCs w:val="18"/>
        </w:rPr>
        <w:t>primary</w:t>
      </w:r>
      <w:r w:rsidR="00907D8C" w:rsidRPr="00C849D3">
        <w:rPr>
          <w:sz w:val="18"/>
          <w:szCs w:val="18"/>
        </w:rPr>
        <w:t xml:space="preserve"> </w:t>
      </w:r>
      <w:r w:rsidRPr="00C849D3">
        <w:rPr>
          <w:sz w:val="18"/>
          <w:szCs w:val="18"/>
        </w:rPr>
        <w:t>and</w:t>
      </w:r>
      <w:r w:rsidR="00907D8C" w:rsidRPr="00C849D3">
        <w:rPr>
          <w:sz w:val="18"/>
          <w:szCs w:val="18"/>
        </w:rPr>
        <w:t xml:space="preserve"> </w:t>
      </w:r>
      <w:r w:rsidRPr="00C849D3">
        <w:rPr>
          <w:sz w:val="18"/>
          <w:szCs w:val="18"/>
        </w:rPr>
        <w:t>intermediate</w:t>
      </w:r>
      <w:r w:rsidR="00907D8C" w:rsidRPr="00C849D3">
        <w:rPr>
          <w:sz w:val="18"/>
          <w:szCs w:val="18"/>
        </w:rPr>
        <w:t xml:space="preserve"> </w:t>
      </w:r>
      <w:r w:rsidRPr="00C849D3">
        <w:rPr>
          <w:sz w:val="18"/>
          <w:szCs w:val="18"/>
        </w:rPr>
        <w:t>ratios</w:t>
      </w:r>
      <w:r w:rsidR="00907D8C" w:rsidRPr="00C849D3">
        <w:rPr>
          <w:sz w:val="18"/>
          <w:szCs w:val="18"/>
        </w:rPr>
        <w:t xml:space="preserve"> </w:t>
      </w:r>
      <w:r w:rsidRPr="00C849D3">
        <w:rPr>
          <w:sz w:val="18"/>
          <w:szCs w:val="18"/>
        </w:rPr>
        <w:t>are</w:t>
      </w:r>
      <w:r w:rsidR="00907D8C" w:rsidRPr="00C849D3">
        <w:rPr>
          <w:sz w:val="18"/>
          <w:szCs w:val="18"/>
        </w:rPr>
        <w:t xml:space="preserve"> </w:t>
      </w:r>
      <w:r w:rsidRPr="00C849D3">
        <w:rPr>
          <w:sz w:val="18"/>
          <w:szCs w:val="18"/>
        </w:rPr>
        <w:t>based</w:t>
      </w:r>
      <w:r w:rsidR="00907D8C" w:rsidRPr="00C849D3">
        <w:rPr>
          <w:sz w:val="18"/>
          <w:szCs w:val="18"/>
        </w:rPr>
        <w:t xml:space="preserve"> </w:t>
      </w:r>
      <w:r w:rsidRPr="00C849D3">
        <w:rPr>
          <w:sz w:val="18"/>
          <w:szCs w:val="18"/>
        </w:rPr>
        <w:t>on</w:t>
      </w:r>
      <w:r w:rsidR="00907D8C" w:rsidRPr="00C849D3">
        <w:rPr>
          <w:sz w:val="18"/>
          <w:szCs w:val="18"/>
        </w:rPr>
        <w:t xml:space="preserve"> </w:t>
      </w:r>
      <w:r w:rsidRPr="00C849D3">
        <w:rPr>
          <w:sz w:val="18"/>
          <w:szCs w:val="18"/>
        </w:rPr>
        <w:t>July</w:t>
      </w:r>
      <w:r w:rsidR="00907D8C" w:rsidRPr="00C849D3">
        <w:rPr>
          <w:sz w:val="18"/>
          <w:szCs w:val="18"/>
        </w:rPr>
        <w:t xml:space="preserve"> </w:t>
      </w:r>
      <w:r w:rsidRPr="00C849D3">
        <w:rPr>
          <w:sz w:val="18"/>
          <w:szCs w:val="18"/>
        </w:rPr>
        <w:t>rolls</w:t>
      </w:r>
      <w:r w:rsidR="00907D8C" w:rsidRPr="00C849D3">
        <w:rPr>
          <w:sz w:val="18"/>
          <w:szCs w:val="18"/>
        </w:rPr>
        <w:t xml:space="preserve"> </w:t>
      </w:r>
      <w:r w:rsidRPr="00C849D3">
        <w:rPr>
          <w:sz w:val="18"/>
          <w:szCs w:val="18"/>
        </w:rPr>
        <w:t>–</w:t>
      </w:r>
      <w:r w:rsidR="00907D8C" w:rsidRPr="00C849D3">
        <w:rPr>
          <w:sz w:val="18"/>
          <w:szCs w:val="18"/>
        </w:rPr>
        <w:t xml:space="preserve"> </w:t>
      </w:r>
      <w:r w:rsidRPr="00C849D3">
        <w:rPr>
          <w:sz w:val="18"/>
          <w:szCs w:val="18"/>
        </w:rPr>
        <w:t>the</w:t>
      </w:r>
      <w:r w:rsidR="00907D8C" w:rsidRPr="00C849D3">
        <w:rPr>
          <w:sz w:val="18"/>
          <w:szCs w:val="18"/>
        </w:rPr>
        <w:t xml:space="preserve"> </w:t>
      </w:r>
      <w:r w:rsidRPr="00C849D3">
        <w:rPr>
          <w:sz w:val="18"/>
          <w:szCs w:val="18"/>
        </w:rPr>
        <w:t>secondary</w:t>
      </w:r>
      <w:r w:rsidR="00907D8C" w:rsidRPr="00C849D3">
        <w:rPr>
          <w:sz w:val="18"/>
          <w:szCs w:val="18"/>
        </w:rPr>
        <w:t xml:space="preserve"> </w:t>
      </w:r>
      <w:r w:rsidRPr="00C849D3">
        <w:rPr>
          <w:sz w:val="18"/>
          <w:szCs w:val="18"/>
        </w:rPr>
        <w:t>and</w:t>
      </w:r>
      <w:r w:rsidR="00907D8C" w:rsidRPr="00C849D3">
        <w:rPr>
          <w:sz w:val="18"/>
          <w:szCs w:val="18"/>
        </w:rPr>
        <w:t xml:space="preserve"> </w:t>
      </w:r>
      <w:r w:rsidRPr="00C849D3">
        <w:rPr>
          <w:sz w:val="18"/>
          <w:szCs w:val="18"/>
        </w:rPr>
        <w:t>composite</w:t>
      </w:r>
      <w:r w:rsidR="00907D8C" w:rsidRPr="00C849D3">
        <w:rPr>
          <w:sz w:val="18"/>
          <w:szCs w:val="18"/>
        </w:rPr>
        <w:t xml:space="preserve"> </w:t>
      </w:r>
      <w:r w:rsidRPr="00C849D3">
        <w:rPr>
          <w:sz w:val="18"/>
          <w:szCs w:val="18"/>
        </w:rPr>
        <w:t>ratios</w:t>
      </w:r>
      <w:r w:rsidR="00907D8C" w:rsidRPr="00C849D3">
        <w:rPr>
          <w:sz w:val="18"/>
          <w:szCs w:val="18"/>
        </w:rPr>
        <w:t xml:space="preserve"> </w:t>
      </w:r>
      <w:r w:rsidRPr="00C849D3">
        <w:rPr>
          <w:sz w:val="18"/>
          <w:szCs w:val="18"/>
        </w:rPr>
        <w:t>are</w:t>
      </w:r>
      <w:r w:rsidR="00907D8C" w:rsidRPr="00C849D3">
        <w:rPr>
          <w:sz w:val="18"/>
          <w:szCs w:val="18"/>
        </w:rPr>
        <w:t xml:space="preserve"> </w:t>
      </w:r>
      <w:r w:rsidRPr="00C849D3">
        <w:rPr>
          <w:sz w:val="18"/>
          <w:szCs w:val="18"/>
        </w:rPr>
        <w:t>based</w:t>
      </w:r>
      <w:r w:rsidR="00907D8C" w:rsidRPr="00C849D3">
        <w:rPr>
          <w:sz w:val="18"/>
          <w:szCs w:val="18"/>
        </w:rPr>
        <w:t xml:space="preserve"> </w:t>
      </w:r>
      <w:r w:rsidRPr="00C849D3">
        <w:rPr>
          <w:sz w:val="18"/>
          <w:szCs w:val="18"/>
        </w:rPr>
        <w:t>on</w:t>
      </w:r>
      <w:r w:rsidR="00907D8C" w:rsidRPr="00C849D3">
        <w:rPr>
          <w:sz w:val="18"/>
          <w:szCs w:val="18"/>
        </w:rPr>
        <w:t xml:space="preserve"> </w:t>
      </w:r>
      <w:r w:rsidRPr="00C849D3">
        <w:rPr>
          <w:sz w:val="18"/>
          <w:szCs w:val="18"/>
        </w:rPr>
        <w:t>March</w:t>
      </w:r>
      <w:r w:rsidR="00907D8C" w:rsidRPr="00C849D3">
        <w:rPr>
          <w:sz w:val="18"/>
          <w:szCs w:val="18"/>
        </w:rPr>
        <w:t xml:space="preserve"> </w:t>
      </w:r>
      <w:r w:rsidRPr="00C849D3">
        <w:rPr>
          <w:sz w:val="18"/>
          <w:szCs w:val="18"/>
        </w:rPr>
        <w:t>rolls.</w:t>
      </w:r>
    </w:p>
    <w:p w:rsidR="00036FAC" w:rsidRPr="00C849D3" w:rsidRDefault="00036FAC" w:rsidP="00C849D3">
      <w:pPr>
        <w:ind w:left="1134" w:right="1134" w:firstLine="170"/>
        <w:rPr>
          <w:sz w:val="18"/>
          <w:szCs w:val="18"/>
        </w:rPr>
      </w:pPr>
      <w:r w:rsidRPr="00895D47">
        <w:t>**</w:t>
      </w:r>
      <w:r w:rsidR="00FF1AEE">
        <w:t xml:space="preserve"> </w:t>
      </w:r>
      <w:r w:rsidR="000C7DAB">
        <w:t xml:space="preserve"> </w:t>
      </w:r>
      <w:r w:rsidRPr="00C849D3">
        <w:rPr>
          <w:sz w:val="18"/>
          <w:szCs w:val="18"/>
        </w:rPr>
        <w:t>Includes</w:t>
      </w:r>
      <w:r w:rsidR="00907D8C" w:rsidRPr="00C849D3">
        <w:rPr>
          <w:sz w:val="18"/>
          <w:szCs w:val="18"/>
        </w:rPr>
        <w:t xml:space="preserve"> </w:t>
      </w:r>
      <w:r w:rsidRPr="00C849D3">
        <w:rPr>
          <w:sz w:val="18"/>
          <w:szCs w:val="18"/>
        </w:rPr>
        <w:t>management,</w:t>
      </w:r>
      <w:r w:rsidR="00907D8C" w:rsidRPr="00C849D3">
        <w:rPr>
          <w:sz w:val="18"/>
          <w:szCs w:val="18"/>
        </w:rPr>
        <w:t xml:space="preserve"> </w:t>
      </w:r>
      <w:r w:rsidRPr="00C849D3">
        <w:rPr>
          <w:sz w:val="18"/>
          <w:szCs w:val="18"/>
        </w:rPr>
        <w:t>special</w:t>
      </w:r>
      <w:r w:rsidR="00907D8C" w:rsidRPr="00C849D3">
        <w:rPr>
          <w:sz w:val="18"/>
          <w:szCs w:val="18"/>
        </w:rPr>
        <w:t xml:space="preserve"> </w:t>
      </w:r>
      <w:r w:rsidRPr="00C849D3">
        <w:rPr>
          <w:sz w:val="18"/>
          <w:szCs w:val="18"/>
        </w:rPr>
        <w:t>education</w:t>
      </w:r>
      <w:r w:rsidR="00907D8C" w:rsidRPr="00C849D3">
        <w:rPr>
          <w:sz w:val="18"/>
          <w:szCs w:val="18"/>
        </w:rPr>
        <w:t xml:space="preserve"> </w:t>
      </w:r>
      <w:r w:rsidRPr="00C849D3">
        <w:rPr>
          <w:sz w:val="18"/>
          <w:szCs w:val="18"/>
        </w:rPr>
        <w:t>teachers,</w:t>
      </w:r>
      <w:r w:rsidR="00907D8C" w:rsidRPr="00C849D3">
        <w:rPr>
          <w:sz w:val="18"/>
          <w:szCs w:val="18"/>
        </w:rPr>
        <w:t xml:space="preserve"> </w:t>
      </w:r>
      <w:r w:rsidRPr="00C849D3">
        <w:rPr>
          <w:sz w:val="18"/>
          <w:szCs w:val="18"/>
        </w:rPr>
        <w:t>and</w:t>
      </w:r>
      <w:r w:rsidR="00907D8C" w:rsidRPr="00C849D3">
        <w:rPr>
          <w:sz w:val="18"/>
          <w:szCs w:val="18"/>
        </w:rPr>
        <w:t xml:space="preserve"> </w:t>
      </w:r>
      <w:r w:rsidRPr="00C849D3">
        <w:rPr>
          <w:sz w:val="18"/>
          <w:szCs w:val="18"/>
        </w:rPr>
        <w:t>other</w:t>
      </w:r>
      <w:r w:rsidR="00907D8C" w:rsidRPr="00C849D3">
        <w:rPr>
          <w:sz w:val="18"/>
          <w:szCs w:val="18"/>
        </w:rPr>
        <w:t xml:space="preserve"> </w:t>
      </w:r>
      <w:r w:rsidRPr="00C849D3">
        <w:rPr>
          <w:sz w:val="18"/>
          <w:szCs w:val="18"/>
        </w:rPr>
        <w:t>additional</w:t>
      </w:r>
      <w:r w:rsidR="00907D8C" w:rsidRPr="00C849D3">
        <w:rPr>
          <w:sz w:val="18"/>
          <w:szCs w:val="18"/>
        </w:rPr>
        <w:t xml:space="preserve"> </w:t>
      </w:r>
      <w:r w:rsidRPr="00C849D3">
        <w:rPr>
          <w:sz w:val="18"/>
          <w:szCs w:val="18"/>
        </w:rPr>
        <w:t>teachers.</w:t>
      </w:r>
    </w:p>
    <w:p w:rsidR="00036FAC" w:rsidRPr="00C849D3" w:rsidRDefault="00036FAC" w:rsidP="00B50FB5">
      <w:pPr>
        <w:spacing w:after="240"/>
        <w:ind w:left="1134" w:right="1134" w:firstLine="170"/>
        <w:rPr>
          <w:sz w:val="18"/>
          <w:szCs w:val="18"/>
        </w:rPr>
      </w:pPr>
      <w:r w:rsidRPr="00895D47">
        <w:t>***</w:t>
      </w:r>
      <w:r w:rsidR="00907D8C" w:rsidRPr="00C849D3">
        <w:rPr>
          <w:sz w:val="18"/>
          <w:szCs w:val="18"/>
        </w:rPr>
        <w:t xml:space="preserve"> </w:t>
      </w:r>
      <w:r w:rsidR="000C7DAB">
        <w:rPr>
          <w:sz w:val="18"/>
          <w:szCs w:val="18"/>
        </w:rPr>
        <w:t xml:space="preserve"> </w:t>
      </w:r>
      <w:r w:rsidRPr="00C849D3">
        <w:rPr>
          <w:sz w:val="18"/>
          <w:szCs w:val="18"/>
        </w:rPr>
        <w:t>A</w:t>
      </w:r>
      <w:r w:rsidR="00907D8C" w:rsidRPr="00C849D3">
        <w:rPr>
          <w:sz w:val="18"/>
          <w:szCs w:val="18"/>
        </w:rPr>
        <w:t xml:space="preserve"> </w:t>
      </w:r>
      <w:r w:rsidRPr="00C849D3">
        <w:rPr>
          <w:sz w:val="18"/>
          <w:szCs w:val="18"/>
        </w:rPr>
        <w:t>composite</w:t>
      </w:r>
      <w:r w:rsidR="00907D8C" w:rsidRPr="00C849D3">
        <w:rPr>
          <w:sz w:val="18"/>
          <w:szCs w:val="18"/>
        </w:rPr>
        <w:t xml:space="preserve"> </w:t>
      </w:r>
      <w:r w:rsidRPr="00C849D3">
        <w:rPr>
          <w:sz w:val="18"/>
          <w:szCs w:val="18"/>
        </w:rPr>
        <w:t>school</w:t>
      </w:r>
      <w:r w:rsidR="00907D8C" w:rsidRPr="00C849D3">
        <w:rPr>
          <w:sz w:val="18"/>
          <w:szCs w:val="18"/>
        </w:rPr>
        <w:t xml:space="preserve"> </w:t>
      </w:r>
      <w:r w:rsidRPr="00C849D3">
        <w:rPr>
          <w:sz w:val="18"/>
          <w:szCs w:val="18"/>
        </w:rPr>
        <w:t>provides</w:t>
      </w:r>
      <w:r w:rsidR="00907D8C" w:rsidRPr="00C849D3">
        <w:rPr>
          <w:sz w:val="18"/>
          <w:szCs w:val="18"/>
        </w:rPr>
        <w:t xml:space="preserve"> </w:t>
      </w:r>
      <w:r w:rsidRPr="00C849D3">
        <w:rPr>
          <w:sz w:val="18"/>
          <w:szCs w:val="18"/>
        </w:rPr>
        <w:t>both</w:t>
      </w:r>
      <w:r w:rsidR="00907D8C" w:rsidRPr="00C849D3">
        <w:rPr>
          <w:sz w:val="18"/>
          <w:szCs w:val="18"/>
        </w:rPr>
        <w:t xml:space="preserve"> </w:t>
      </w:r>
      <w:r w:rsidRPr="00C849D3">
        <w:rPr>
          <w:sz w:val="18"/>
          <w:szCs w:val="18"/>
        </w:rPr>
        <w:t>primary</w:t>
      </w:r>
      <w:r w:rsidR="00907D8C" w:rsidRPr="00C849D3">
        <w:rPr>
          <w:sz w:val="18"/>
          <w:szCs w:val="18"/>
        </w:rPr>
        <w:t xml:space="preserve"> </w:t>
      </w:r>
      <w:r w:rsidRPr="00C849D3">
        <w:rPr>
          <w:sz w:val="18"/>
          <w:szCs w:val="18"/>
        </w:rPr>
        <w:t>and</w:t>
      </w:r>
      <w:r w:rsidR="00907D8C" w:rsidRPr="00C849D3">
        <w:rPr>
          <w:sz w:val="18"/>
          <w:szCs w:val="18"/>
        </w:rPr>
        <w:t xml:space="preserve"> </w:t>
      </w:r>
      <w:r w:rsidRPr="00C849D3">
        <w:rPr>
          <w:sz w:val="18"/>
          <w:szCs w:val="18"/>
        </w:rPr>
        <w:t>secondary</w:t>
      </w:r>
      <w:r w:rsidR="00907D8C" w:rsidRPr="00C849D3">
        <w:rPr>
          <w:sz w:val="18"/>
          <w:szCs w:val="18"/>
        </w:rPr>
        <w:t xml:space="preserve"> </w:t>
      </w:r>
      <w:r w:rsidRPr="00C849D3">
        <w:rPr>
          <w:sz w:val="18"/>
          <w:szCs w:val="18"/>
        </w:rPr>
        <w:t>education</w:t>
      </w:r>
      <w:r w:rsidR="00907D8C" w:rsidRPr="00C849D3">
        <w:rPr>
          <w:sz w:val="18"/>
          <w:szCs w:val="18"/>
        </w:rPr>
        <w:t xml:space="preserve"> </w:t>
      </w:r>
      <w:r w:rsidRPr="00C849D3">
        <w:rPr>
          <w:sz w:val="18"/>
          <w:szCs w:val="18"/>
        </w:rPr>
        <w:t>and</w:t>
      </w:r>
      <w:r w:rsidR="00907D8C" w:rsidRPr="00C849D3">
        <w:rPr>
          <w:sz w:val="18"/>
          <w:szCs w:val="18"/>
        </w:rPr>
        <w:t xml:space="preserve"> </w:t>
      </w:r>
      <w:r w:rsidRPr="00C849D3">
        <w:rPr>
          <w:sz w:val="18"/>
          <w:szCs w:val="18"/>
        </w:rPr>
        <w:t>may</w:t>
      </w:r>
      <w:r w:rsidR="00907D8C" w:rsidRPr="00C849D3">
        <w:rPr>
          <w:sz w:val="18"/>
          <w:szCs w:val="18"/>
        </w:rPr>
        <w:t xml:space="preserve"> </w:t>
      </w:r>
      <w:r w:rsidRPr="00C849D3">
        <w:rPr>
          <w:sz w:val="18"/>
          <w:szCs w:val="18"/>
        </w:rPr>
        <w:t>not</w:t>
      </w:r>
      <w:r w:rsidR="00907D8C" w:rsidRPr="00C849D3">
        <w:rPr>
          <w:sz w:val="18"/>
          <w:szCs w:val="18"/>
        </w:rPr>
        <w:t xml:space="preserve"> </w:t>
      </w:r>
      <w:r w:rsidRPr="00C849D3">
        <w:rPr>
          <w:sz w:val="18"/>
          <w:szCs w:val="18"/>
        </w:rPr>
        <w:t>provide</w:t>
      </w:r>
      <w:r w:rsidR="00907D8C" w:rsidRPr="00C849D3">
        <w:rPr>
          <w:sz w:val="18"/>
          <w:szCs w:val="18"/>
        </w:rPr>
        <w:t xml:space="preserve"> </w:t>
      </w:r>
      <w:r w:rsidRPr="00C849D3">
        <w:rPr>
          <w:sz w:val="18"/>
          <w:szCs w:val="18"/>
        </w:rPr>
        <w:t>the</w:t>
      </w:r>
      <w:r w:rsidR="00907D8C" w:rsidRPr="00C849D3">
        <w:rPr>
          <w:sz w:val="18"/>
          <w:szCs w:val="18"/>
        </w:rPr>
        <w:t xml:space="preserve"> </w:t>
      </w:r>
      <w:r w:rsidRPr="00C849D3">
        <w:rPr>
          <w:sz w:val="18"/>
          <w:szCs w:val="18"/>
        </w:rPr>
        <w:t>full</w:t>
      </w:r>
      <w:r w:rsidR="00907D8C" w:rsidRPr="00C849D3">
        <w:rPr>
          <w:sz w:val="18"/>
          <w:szCs w:val="18"/>
        </w:rPr>
        <w:t xml:space="preserve"> </w:t>
      </w:r>
      <w:r w:rsidRPr="00C849D3">
        <w:rPr>
          <w:sz w:val="18"/>
          <w:szCs w:val="18"/>
        </w:rPr>
        <w:t>range</w:t>
      </w:r>
      <w:r w:rsidR="00907D8C" w:rsidRPr="00C849D3">
        <w:rPr>
          <w:sz w:val="18"/>
          <w:szCs w:val="18"/>
        </w:rPr>
        <w:t xml:space="preserve"> </w:t>
      </w:r>
      <w:r w:rsidRPr="00C849D3">
        <w:rPr>
          <w:sz w:val="18"/>
          <w:szCs w:val="18"/>
        </w:rPr>
        <w:t>of</w:t>
      </w:r>
      <w:r w:rsidR="00907D8C" w:rsidRPr="00C849D3">
        <w:rPr>
          <w:sz w:val="18"/>
          <w:szCs w:val="18"/>
        </w:rPr>
        <w:t xml:space="preserve"> </w:t>
      </w:r>
      <w:r w:rsidRPr="00C849D3">
        <w:rPr>
          <w:sz w:val="18"/>
          <w:szCs w:val="18"/>
        </w:rPr>
        <w:t>year</w:t>
      </w:r>
      <w:r w:rsidR="00907D8C" w:rsidRPr="00C849D3">
        <w:rPr>
          <w:sz w:val="18"/>
          <w:szCs w:val="18"/>
        </w:rPr>
        <w:t xml:space="preserve"> </w:t>
      </w:r>
      <w:r w:rsidRPr="00C849D3">
        <w:rPr>
          <w:sz w:val="18"/>
          <w:szCs w:val="18"/>
        </w:rPr>
        <w:t>levels</w:t>
      </w:r>
      <w:r w:rsidR="00907D8C" w:rsidRPr="00C849D3">
        <w:rPr>
          <w:sz w:val="18"/>
          <w:szCs w:val="18"/>
        </w:rPr>
        <w:t xml:space="preserve"> </w:t>
      </w:r>
      <w:r w:rsidRPr="00C849D3">
        <w:rPr>
          <w:sz w:val="18"/>
          <w:szCs w:val="18"/>
        </w:rPr>
        <w:t>to</w:t>
      </w:r>
      <w:r w:rsidR="00907D8C" w:rsidRPr="00C849D3">
        <w:rPr>
          <w:sz w:val="18"/>
          <w:szCs w:val="18"/>
        </w:rPr>
        <w:t xml:space="preserve"> </w:t>
      </w:r>
      <w:r w:rsidRPr="00C849D3">
        <w:rPr>
          <w:sz w:val="18"/>
          <w:szCs w:val="18"/>
        </w:rPr>
        <w:t>older</w:t>
      </w:r>
      <w:r w:rsidR="00907D8C" w:rsidRPr="00C849D3">
        <w:rPr>
          <w:sz w:val="18"/>
          <w:szCs w:val="18"/>
        </w:rPr>
        <w:t xml:space="preserve"> </w:t>
      </w:r>
      <w:r w:rsidRPr="00C849D3">
        <w:rPr>
          <w:sz w:val="18"/>
          <w:szCs w:val="18"/>
        </w:rPr>
        <w:t>students.</w:t>
      </w:r>
    </w:p>
    <w:p w:rsidR="00036FAC" w:rsidRPr="00036FAC" w:rsidRDefault="00036FAC" w:rsidP="006C436C">
      <w:pPr>
        <w:pStyle w:val="H23G"/>
      </w:pPr>
      <w:r w:rsidRPr="00036FAC">
        <w:tab/>
        <w:t>(b)</w:t>
      </w:r>
      <w:r w:rsidRPr="00036FAC">
        <w:tab/>
        <w:t>Literacy</w:t>
      </w:r>
    </w:p>
    <w:p w:rsidR="00036FAC" w:rsidRPr="00036FAC" w:rsidRDefault="00036FAC" w:rsidP="005113CF">
      <w:pPr>
        <w:pStyle w:val="SingleTxtG"/>
      </w:pPr>
      <w:r w:rsidRPr="00036FAC">
        <w:t>111.</w:t>
      </w:r>
      <w:r w:rsidRPr="00036FAC">
        <w:tab/>
        <w:t>The</w:t>
      </w:r>
      <w:r w:rsidR="00907D8C">
        <w:t xml:space="preserve"> </w:t>
      </w:r>
      <w:r w:rsidRPr="00036FAC">
        <w:t>reading</w:t>
      </w:r>
      <w:r w:rsidR="00907D8C">
        <w:t xml:space="preserve"> </w:t>
      </w:r>
      <w:r w:rsidRPr="00036FAC">
        <w:t>literacy</w:t>
      </w:r>
      <w:r w:rsidR="00907D8C">
        <w:t xml:space="preserve"> </w:t>
      </w:r>
      <w:r w:rsidRPr="00036FAC">
        <w:t>knowledge</w:t>
      </w:r>
      <w:r w:rsidR="00907D8C">
        <w:t xml:space="preserve"> </w:t>
      </w:r>
      <w:r w:rsidRPr="00036FAC">
        <w:t>and</w:t>
      </w:r>
      <w:r w:rsidR="00907D8C">
        <w:t xml:space="preserve"> </w:t>
      </w:r>
      <w:r w:rsidRPr="00036FAC">
        <w:t>skills</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15</w:t>
      </w:r>
      <w:r w:rsidR="00907D8C">
        <w:t xml:space="preserve"> </w:t>
      </w:r>
      <w:r w:rsidRPr="00036FAC">
        <w:t>year</w:t>
      </w:r>
      <w:r w:rsidR="00907D8C">
        <w:t xml:space="preserve"> </w:t>
      </w:r>
      <w:r w:rsidRPr="00036FAC">
        <w:t>olds</w:t>
      </w:r>
      <w:r w:rsidR="00907D8C">
        <w:t xml:space="preserve"> </w:t>
      </w:r>
      <w:r w:rsidRPr="00036FAC">
        <w:t>were</w:t>
      </w:r>
      <w:r w:rsidR="00907D8C">
        <w:t xml:space="preserve"> </w:t>
      </w:r>
      <w:r w:rsidRPr="00036FAC">
        <w:t>assessed</w:t>
      </w:r>
      <w:r w:rsidR="00907D8C">
        <w:t xml:space="preserve"> </w:t>
      </w:r>
      <w:r w:rsidRPr="00036FAC">
        <w:t>in</w:t>
      </w:r>
      <w:r w:rsidR="00907D8C">
        <w:t xml:space="preserve"> </w:t>
      </w:r>
      <w:r w:rsidRPr="00036FAC">
        <w:t>the</w:t>
      </w:r>
      <w:r w:rsidR="00907D8C">
        <w:t xml:space="preserve"> </w:t>
      </w:r>
      <w:r w:rsidRPr="00036FAC">
        <w:t>OECD</w:t>
      </w:r>
      <w:r w:rsidR="00907D8C">
        <w:t xml:space="preserve"> </w:t>
      </w:r>
      <w:r w:rsidRPr="00036FAC">
        <w:t>international</w:t>
      </w:r>
      <w:r w:rsidR="00907D8C">
        <w:t xml:space="preserve"> </w:t>
      </w:r>
      <w:r w:rsidRPr="00036FAC">
        <w:t>standardised</w:t>
      </w:r>
      <w:r w:rsidR="00907D8C">
        <w:t xml:space="preserve"> </w:t>
      </w:r>
      <w:r w:rsidRPr="00036FAC">
        <w:t>study,</w:t>
      </w:r>
      <w:r w:rsidR="00907D8C">
        <w:t xml:space="preserve"> </w:t>
      </w:r>
      <w:r w:rsidRPr="00036FAC">
        <w:t>which</w:t>
      </w:r>
      <w:r w:rsidR="00907D8C">
        <w:t xml:space="preserve"> </w:t>
      </w:r>
      <w:r w:rsidRPr="00036FAC">
        <w:t>is</w:t>
      </w:r>
      <w:r w:rsidR="00907D8C">
        <w:t xml:space="preserve"> </w:t>
      </w:r>
      <w:r w:rsidRPr="00036FAC">
        <w:t>the</w:t>
      </w:r>
      <w:r w:rsidR="00907D8C">
        <w:t xml:space="preserve"> </w:t>
      </w:r>
      <w:r w:rsidRPr="00036FAC">
        <w:t>Programme</w:t>
      </w:r>
      <w:r w:rsidR="00907D8C">
        <w:t xml:space="preserve"> </w:t>
      </w:r>
      <w:r w:rsidRPr="00036FAC">
        <w:t>for</w:t>
      </w:r>
      <w:r w:rsidR="00907D8C">
        <w:t xml:space="preserve"> </w:t>
      </w:r>
      <w:r w:rsidRPr="00036FAC">
        <w:t>International</w:t>
      </w:r>
      <w:r w:rsidR="00907D8C">
        <w:t xml:space="preserve"> </w:t>
      </w:r>
      <w:r w:rsidRPr="00036FAC">
        <w:t>Student</w:t>
      </w:r>
      <w:r w:rsidR="00907D8C">
        <w:t xml:space="preserve"> </w:t>
      </w:r>
      <w:r w:rsidRPr="00036FAC">
        <w:t>Assessment</w:t>
      </w:r>
      <w:r w:rsidR="00907D8C">
        <w:t xml:space="preserve"> </w:t>
      </w:r>
      <w:r w:rsidRPr="00036FAC">
        <w:t>(PISA).</w:t>
      </w:r>
      <w:r w:rsidR="00907D8C">
        <w:t xml:space="preserve"> </w:t>
      </w:r>
      <w:r w:rsidRPr="00036FAC">
        <w:t>In</w:t>
      </w:r>
      <w:r w:rsidR="00907D8C">
        <w:t xml:space="preserve"> </w:t>
      </w:r>
      <w:r w:rsidRPr="00036FAC">
        <w:t>PISA</w:t>
      </w:r>
      <w:r w:rsidR="00907D8C">
        <w:t xml:space="preserve"> </w:t>
      </w:r>
      <w:r w:rsidRPr="00036FAC">
        <w:t>2006,</w:t>
      </w:r>
      <w:r w:rsidR="00907D8C">
        <w:t xml:space="preserve"> </w:t>
      </w:r>
      <w:r w:rsidRPr="00036FAC">
        <w:t>the</w:t>
      </w:r>
      <w:r w:rsidR="00907D8C">
        <w:t xml:space="preserve"> </w:t>
      </w:r>
      <w:r w:rsidRPr="00036FAC">
        <w:t>average</w:t>
      </w:r>
      <w:r w:rsidR="00907D8C">
        <w:t xml:space="preserve"> </w:t>
      </w:r>
      <w:r w:rsidRPr="00036FAC">
        <w:t>reading</w:t>
      </w:r>
      <w:r w:rsidR="00907D8C">
        <w:t xml:space="preserve"> </w:t>
      </w:r>
      <w:r w:rsidRPr="00036FAC">
        <w:t>score</w:t>
      </w:r>
      <w:r w:rsidR="00907D8C">
        <w:t xml:space="preserve"> </w:t>
      </w:r>
      <w:r w:rsidRPr="00036FAC">
        <w:t>for</w:t>
      </w:r>
      <w:r w:rsidR="00907D8C">
        <w:t xml:space="preserve"> </w:t>
      </w:r>
      <w:r w:rsidRPr="00036FAC">
        <w:t>the</w:t>
      </w:r>
      <w:r w:rsidR="00907D8C">
        <w:t xml:space="preserve"> </w:t>
      </w:r>
      <w:r w:rsidRPr="00036FAC">
        <w:t>30</w:t>
      </w:r>
      <w:r w:rsidR="00907D8C">
        <w:t xml:space="preserve"> </w:t>
      </w:r>
      <w:r w:rsidRPr="00036FAC">
        <w:t>OECD</w:t>
      </w:r>
      <w:r w:rsidR="00907D8C">
        <w:t xml:space="preserve"> </w:t>
      </w:r>
      <w:r w:rsidRPr="00036FAC">
        <w:t>countries</w:t>
      </w:r>
      <w:r w:rsidR="00907D8C">
        <w:t xml:space="preserve"> </w:t>
      </w:r>
      <w:r w:rsidRPr="00036FAC">
        <w:t>was</w:t>
      </w:r>
      <w:r w:rsidR="00907D8C">
        <w:t xml:space="preserve"> </w:t>
      </w:r>
      <w:r w:rsidRPr="00036FAC">
        <w:t>492.</w:t>
      </w:r>
      <w:r w:rsidR="00907D8C">
        <w:t xml:space="preserve"> </w:t>
      </w:r>
      <w:r w:rsidRPr="00036FAC">
        <w:t>European</w:t>
      </w:r>
      <w:r w:rsidR="00907D8C">
        <w:t xml:space="preserve"> </w:t>
      </w:r>
      <w:r w:rsidRPr="00036FAC">
        <w:t>students</w:t>
      </w:r>
      <w:r w:rsidR="003E4D94">
        <w:t>’</w:t>
      </w:r>
      <w:r w:rsidR="00907D8C">
        <w:t xml:space="preserve"> </w:t>
      </w:r>
      <w:r w:rsidRPr="00036FAC">
        <w:t>average</w:t>
      </w:r>
      <w:r w:rsidR="00907D8C">
        <w:t xml:space="preserve"> </w:t>
      </w:r>
      <w:r w:rsidRPr="00036FAC">
        <w:t>reading</w:t>
      </w:r>
      <w:r w:rsidR="00907D8C">
        <w:t xml:space="preserve"> </w:t>
      </w:r>
      <w:r w:rsidRPr="00036FAC">
        <w:t>score</w:t>
      </w:r>
      <w:r w:rsidR="00907D8C">
        <w:t xml:space="preserve"> </w:t>
      </w:r>
      <w:r w:rsidRPr="00036FAC">
        <w:t>was</w:t>
      </w:r>
      <w:r w:rsidR="00907D8C">
        <w:t xml:space="preserve"> </w:t>
      </w:r>
      <w:r w:rsidRPr="00036FAC">
        <w:t>542,</w:t>
      </w:r>
      <w:r w:rsidR="00907D8C">
        <w:t xml:space="preserve"> </w:t>
      </w:r>
      <w:r w:rsidRPr="00036FAC">
        <w:t>a</w:t>
      </w:r>
      <w:r w:rsidR="00907D8C">
        <w:t xml:space="preserve"> </w:t>
      </w:r>
      <w:r w:rsidRPr="00036FAC">
        <w:t>score</w:t>
      </w:r>
      <w:r w:rsidR="00907D8C">
        <w:t xml:space="preserve"> </w:t>
      </w:r>
      <w:r w:rsidRPr="00036FAC">
        <w:t>that</w:t>
      </w:r>
      <w:r w:rsidR="00907D8C">
        <w:t xml:space="preserve"> </w:t>
      </w:r>
      <w:r w:rsidRPr="00036FAC">
        <w:t>was</w:t>
      </w:r>
      <w:r w:rsidR="00907D8C">
        <w:t xml:space="preserve"> </w:t>
      </w:r>
      <w:r w:rsidRPr="00036FAC">
        <w:t>significantly</w:t>
      </w:r>
      <w:r w:rsidR="00907D8C">
        <w:t xml:space="preserve"> </w:t>
      </w:r>
      <w:r w:rsidRPr="00036FAC">
        <w:t>higher</w:t>
      </w:r>
      <w:r w:rsidR="00907D8C">
        <w:t xml:space="preserve"> </w:t>
      </w:r>
      <w:r w:rsidRPr="00036FAC">
        <w:t>than</w:t>
      </w:r>
      <w:r w:rsidR="00907D8C">
        <w:t xml:space="preserve"> </w:t>
      </w:r>
      <w:r w:rsidRPr="00036FAC">
        <w:t>Asian</w:t>
      </w:r>
      <w:r w:rsidR="00907D8C">
        <w:t xml:space="preserve"> </w:t>
      </w:r>
      <w:r w:rsidRPr="00036FAC">
        <w:t>students</w:t>
      </w:r>
      <w:r w:rsidR="003E4D94">
        <w:t>’</w:t>
      </w:r>
      <w:r w:rsidR="00907D8C">
        <w:t xml:space="preserve"> </w:t>
      </w:r>
      <w:r w:rsidRPr="00036FAC">
        <w:t>reading</w:t>
      </w:r>
      <w:r w:rsidR="00907D8C">
        <w:t xml:space="preserve"> </w:t>
      </w:r>
      <w:r w:rsidRPr="00036FAC">
        <w:t>score</w:t>
      </w:r>
      <w:r w:rsidR="00907D8C">
        <w:t xml:space="preserve"> </w:t>
      </w:r>
      <w:r w:rsidRPr="00036FAC">
        <w:t>of</w:t>
      </w:r>
      <w:r w:rsidR="00907D8C">
        <w:t xml:space="preserve"> </w:t>
      </w:r>
      <w:r w:rsidRPr="00036FAC">
        <w:t>528.</w:t>
      </w:r>
      <w:r w:rsidR="00907D8C">
        <w:t xml:space="preserve"> </w:t>
      </w:r>
      <w:r w:rsidRPr="00036FAC">
        <w:t>Asian</w:t>
      </w:r>
      <w:r w:rsidR="00907D8C">
        <w:t xml:space="preserve"> </w:t>
      </w:r>
      <w:r w:rsidRPr="00036FAC">
        <w:t>students,</w:t>
      </w:r>
      <w:r w:rsidR="00907D8C">
        <w:t xml:space="preserve"> </w:t>
      </w:r>
      <w:r w:rsidRPr="00036FAC">
        <w:t>on</w:t>
      </w:r>
      <w:r w:rsidR="00907D8C">
        <w:t xml:space="preserve"> </w:t>
      </w:r>
      <w:r w:rsidRPr="00036FAC">
        <w:t>average,</w:t>
      </w:r>
      <w:r w:rsidR="00907D8C">
        <w:t xml:space="preserve"> </w:t>
      </w:r>
      <w:r w:rsidRPr="00036FAC">
        <w:t>achieved</w:t>
      </w:r>
      <w:r w:rsidR="00907D8C">
        <w:t xml:space="preserve"> </w:t>
      </w:r>
      <w:r w:rsidRPr="00036FAC">
        <w:t>a</w:t>
      </w:r>
      <w:r w:rsidR="00907D8C">
        <w:t xml:space="preserve"> </w:t>
      </w:r>
      <w:r w:rsidRPr="00036FAC">
        <w:t>significantly</w:t>
      </w:r>
      <w:r w:rsidR="00907D8C">
        <w:t xml:space="preserve"> </w:t>
      </w:r>
      <w:r w:rsidRPr="00036FAC">
        <w:t>better</w:t>
      </w:r>
      <w:r w:rsidR="00907D8C">
        <w:t xml:space="preserve"> </w:t>
      </w:r>
      <w:r w:rsidRPr="00036FAC">
        <w:t>reading</w:t>
      </w:r>
      <w:r w:rsidR="00907D8C">
        <w:t xml:space="preserve"> </w:t>
      </w:r>
      <w:r w:rsidRPr="00036FAC">
        <w:t>literacy</w:t>
      </w:r>
      <w:r w:rsidR="00907D8C">
        <w:t xml:space="preserve"> </w:t>
      </w:r>
      <w:r w:rsidRPr="00036FAC">
        <w:t>result</w:t>
      </w:r>
      <w:r w:rsidR="00907D8C">
        <w:t xml:space="preserve"> </w:t>
      </w:r>
      <w:r w:rsidRPr="00036FAC">
        <w:t>than</w:t>
      </w:r>
      <w:r w:rsidR="00907D8C">
        <w:t xml:space="preserve"> </w:t>
      </w:r>
      <w:r w:rsidRPr="00036FAC">
        <w:t>Māori</w:t>
      </w:r>
      <w:r w:rsidR="00907D8C">
        <w:t xml:space="preserve"> </w:t>
      </w:r>
      <w:r w:rsidRPr="00036FAC">
        <w:t>students</w:t>
      </w:r>
      <w:r w:rsidR="003E4D94">
        <w:t>’</w:t>
      </w:r>
      <w:r w:rsidR="00907D8C">
        <w:t xml:space="preserve"> </w:t>
      </w:r>
      <w:r w:rsidRPr="00036FAC">
        <w:t>average</w:t>
      </w:r>
      <w:r w:rsidR="00907D8C">
        <w:t xml:space="preserve"> </w:t>
      </w:r>
      <w:r w:rsidRPr="00036FAC">
        <w:t>score</w:t>
      </w:r>
      <w:r w:rsidR="00907D8C">
        <w:t xml:space="preserve"> </w:t>
      </w:r>
      <w:r w:rsidRPr="00036FAC">
        <w:t>of</w:t>
      </w:r>
      <w:r w:rsidR="00907D8C">
        <w:t xml:space="preserve"> </w:t>
      </w:r>
      <w:r w:rsidRPr="00036FAC">
        <w:t>477</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students</w:t>
      </w:r>
      <w:r w:rsidR="003E4D94">
        <w:t>’</w:t>
      </w:r>
      <w:r w:rsidR="00907D8C">
        <w:t xml:space="preserve"> </w:t>
      </w:r>
      <w:r w:rsidRPr="00036FAC">
        <w:t>average</w:t>
      </w:r>
      <w:r w:rsidR="00907D8C">
        <w:t xml:space="preserve"> </w:t>
      </w:r>
      <w:r w:rsidRPr="00036FAC">
        <w:t>score</w:t>
      </w:r>
      <w:r w:rsidR="00907D8C">
        <w:t xml:space="preserve"> </w:t>
      </w:r>
      <w:r w:rsidRPr="00036FAC">
        <w:t>of</w:t>
      </w:r>
      <w:r w:rsidR="00907D8C">
        <w:t xml:space="preserve"> </w:t>
      </w:r>
      <w:r w:rsidRPr="00036FAC">
        <w:t>461.</w:t>
      </w:r>
    </w:p>
    <w:p w:rsidR="00036FAC" w:rsidRPr="00036FAC" w:rsidRDefault="00036FAC" w:rsidP="005113CF">
      <w:pPr>
        <w:pStyle w:val="SingleTxtG"/>
      </w:pPr>
      <w:r w:rsidRPr="00036FAC">
        <w:t>112.</w:t>
      </w:r>
      <w:r w:rsidRPr="00036FAC">
        <w:tab/>
        <w:t>There</w:t>
      </w:r>
      <w:r w:rsidR="00907D8C">
        <w:t xml:space="preserve"> </w:t>
      </w:r>
      <w:r w:rsidRPr="00036FAC">
        <w:t>was</w:t>
      </w:r>
      <w:r w:rsidR="00907D8C">
        <w:t xml:space="preserve"> </w:t>
      </w:r>
      <w:r w:rsidRPr="00036FAC">
        <w:t>no</w:t>
      </w:r>
      <w:r w:rsidR="00907D8C">
        <w:t xml:space="preserve"> </w:t>
      </w:r>
      <w:r w:rsidRPr="00036FAC">
        <w:t>statistical</w:t>
      </w:r>
      <w:r w:rsidR="00907D8C">
        <w:t xml:space="preserve"> </w:t>
      </w:r>
      <w:r w:rsidRPr="00036FAC">
        <w:t>difference</w:t>
      </w:r>
      <w:r w:rsidR="00907D8C">
        <w:t xml:space="preserve"> </w:t>
      </w:r>
      <w:r w:rsidRPr="00036FAC">
        <w:t>in</w:t>
      </w:r>
      <w:r w:rsidR="00907D8C">
        <w:t xml:space="preserve"> </w:t>
      </w:r>
      <w:r w:rsidRPr="00036FAC">
        <w:t>the</w:t>
      </w:r>
      <w:r w:rsidR="00907D8C">
        <w:t xml:space="preserve"> </w:t>
      </w:r>
      <w:r w:rsidRPr="00036FAC">
        <w:t>average</w:t>
      </w:r>
      <w:r w:rsidR="00907D8C">
        <w:t xml:space="preserve"> </w:t>
      </w:r>
      <w:r w:rsidRPr="00036FAC">
        <w:t>achievement</w:t>
      </w:r>
      <w:r w:rsidR="00907D8C">
        <w:t xml:space="preserve"> </w:t>
      </w:r>
      <w:r w:rsidRPr="00036FAC">
        <w:t>of</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students.</w:t>
      </w:r>
      <w:r w:rsidR="00907D8C">
        <w:t xml:space="preserve"> </w:t>
      </w:r>
      <w:r w:rsidRPr="00036FAC">
        <w:t>While</w:t>
      </w:r>
      <w:r w:rsidR="00907D8C">
        <w:t xml:space="preserve"> </w:t>
      </w:r>
      <w:r w:rsidRPr="00036FAC">
        <w:t>European</w:t>
      </w:r>
      <w:r w:rsidR="00907D8C">
        <w:t xml:space="preserve"> </w:t>
      </w:r>
      <w:r w:rsidRPr="00036FAC">
        <w:t>and</w:t>
      </w:r>
      <w:r w:rsidR="00907D8C">
        <w:t xml:space="preserve"> </w:t>
      </w:r>
      <w:r w:rsidRPr="00036FAC">
        <w:t>Asian</w:t>
      </w:r>
      <w:r w:rsidR="00907D8C">
        <w:t xml:space="preserve"> </w:t>
      </w:r>
      <w:r w:rsidRPr="00036FAC">
        <w:t>students</w:t>
      </w:r>
      <w:r w:rsidR="003E4D94">
        <w:t>’</w:t>
      </w:r>
      <w:r w:rsidR="00907D8C">
        <w:t xml:space="preserve"> </w:t>
      </w:r>
      <w:r w:rsidRPr="00036FAC">
        <w:t>reading</w:t>
      </w:r>
      <w:r w:rsidR="00907D8C">
        <w:t xml:space="preserve"> </w:t>
      </w:r>
      <w:r w:rsidRPr="00036FAC">
        <w:t>literacy,</w:t>
      </w:r>
      <w:r w:rsidR="00907D8C">
        <w:t xml:space="preserve"> </w:t>
      </w:r>
      <w:r w:rsidRPr="00036FAC">
        <w:t>on</w:t>
      </w:r>
      <w:r w:rsidR="00907D8C">
        <w:t xml:space="preserve"> </w:t>
      </w:r>
      <w:r w:rsidRPr="00036FAC">
        <w:t>average,</w:t>
      </w:r>
      <w:r w:rsidR="00907D8C">
        <w:t xml:space="preserve"> </w:t>
      </w:r>
      <w:r w:rsidRPr="00036FAC">
        <w:t>was</w:t>
      </w:r>
      <w:r w:rsidR="00907D8C">
        <w:t xml:space="preserve"> </w:t>
      </w:r>
      <w:r w:rsidRPr="00036FAC">
        <w:t>significantly</w:t>
      </w:r>
      <w:r w:rsidR="00907D8C">
        <w:t xml:space="preserve"> </w:t>
      </w:r>
      <w:r w:rsidRPr="00036FAC">
        <w:t>stronger</w:t>
      </w:r>
      <w:r w:rsidR="00907D8C">
        <w:t xml:space="preserve"> </w:t>
      </w:r>
      <w:r w:rsidRPr="00036FAC">
        <w:t>than</w:t>
      </w:r>
      <w:r w:rsidR="00907D8C">
        <w:t xml:space="preserve"> </w:t>
      </w:r>
      <w:r w:rsidRPr="00036FAC">
        <w:t>the</w:t>
      </w:r>
      <w:r w:rsidR="00907D8C">
        <w:t xml:space="preserve"> </w:t>
      </w:r>
      <w:r w:rsidRPr="00036FAC">
        <w:t>average</w:t>
      </w:r>
      <w:r w:rsidR="00907D8C">
        <w:t xml:space="preserve"> </w:t>
      </w:r>
      <w:r w:rsidRPr="00036FAC">
        <w:t>for</w:t>
      </w:r>
      <w:r w:rsidR="00907D8C">
        <w:t xml:space="preserve"> </w:t>
      </w:r>
      <w:r w:rsidRPr="00036FAC">
        <w:t>the</w:t>
      </w:r>
      <w:r w:rsidR="00907D8C">
        <w:t xml:space="preserve"> </w:t>
      </w:r>
      <w:r w:rsidRPr="00036FAC">
        <w:t>30</w:t>
      </w:r>
      <w:r w:rsidR="00907D8C">
        <w:t xml:space="preserve"> </w:t>
      </w:r>
      <w:r w:rsidRPr="00036FAC">
        <w:t>OECD</w:t>
      </w:r>
      <w:r w:rsidR="00907D8C">
        <w:t xml:space="preserve"> </w:t>
      </w:r>
      <w:r w:rsidRPr="00036FAC">
        <w:t>countries,</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3E4D94">
        <w:t>’</w:t>
      </w:r>
      <w:r w:rsidR="00907D8C">
        <w:t xml:space="preserve"> </w:t>
      </w:r>
      <w:r w:rsidRPr="00036FAC">
        <w:t>students</w:t>
      </w:r>
      <w:r w:rsidR="00907D8C">
        <w:t xml:space="preserve"> </w:t>
      </w:r>
      <w:r w:rsidRPr="00036FAC">
        <w:t>reading</w:t>
      </w:r>
      <w:r w:rsidR="00907D8C">
        <w:t xml:space="preserve"> </w:t>
      </w:r>
      <w:r w:rsidRPr="00036FAC">
        <w:t>literacy</w:t>
      </w:r>
      <w:r w:rsidR="00907D8C">
        <w:t xml:space="preserve"> </w:t>
      </w:r>
      <w:r w:rsidRPr="00036FAC">
        <w:t>achievement,</w:t>
      </w:r>
      <w:r w:rsidR="00907D8C">
        <w:t xml:space="preserve"> </w:t>
      </w:r>
      <w:r w:rsidRPr="00036FAC">
        <w:t>on</w:t>
      </w:r>
      <w:r w:rsidR="00907D8C">
        <w:t xml:space="preserve"> </w:t>
      </w:r>
      <w:r w:rsidRPr="00036FAC">
        <w:t>average,</w:t>
      </w:r>
      <w:r w:rsidR="00907D8C">
        <w:t xml:space="preserve"> </w:t>
      </w:r>
      <w:r w:rsidRPr="00036FAC">
        <w:t>was</w:t>
      </w:r>
      <w:r w:rsidR="00907D8C">
        <w:t xml:space="preserve"> </w:t>
      </w:r>
      <w:r w:rsidRPr="00036FAC">
        <w:t>substantially</w:t>
      </w:r>
      <w:r w:rsidR="00907D8C">
        <w:t xml:space="preserve"> </w:t>
      </w:r>
      <w:r w:rsidRPr="00036FAC">
        <w:t>weaker</w:t>
      </w:r>
      <w:r w:rsidR="00907D8C">
        <w:t xml:space="preserve"> </w:t>
      </w:r>
      <w:r w:rsidRPr="00036FAC">
        <w:t>than</w:t>
      </w:r>
      <w:r w:rsidR="00907D8C">
        <w:t xml:space="preserve"> </w:t>
      </w:r>
      <w:r w:rsidRPr="00036FAC">
        <w:t>the</w:t>
      </w:r>
      <w:r w:rsidR="00907D8C">
        <w:t xml:space="preserve"> </w:t>
      </w:r>
      <w:r w:rsidRPr="00036FAC">
        <w:t>OECD</w:t>
      </w:r>
      <w:r w:rsidR="00907D8C">
        <w:t xml:space="preserve"> </w:t>
      </w:r>
      <w:r w:rsidRPr="00036FAC">
        <w:t>average.</w:t>
      </w:r>
      <w:r w:rsidR="00907D8C">
        <w:t xml:space="preserve"> </w:t>
      </w:r>
      <w:r w:rsidRPr="00036FAC">
        <w:t>The</w:t>
      </w:r>
      <w:r w:rsidR="00907D8C">
        <w:t xml:space="preserve"> </w:t>
      </w:r>
      <w:r w:rsidRPr="00036FAC">
        <w:t>data</w:t>
      </w:r>
      <w:r w:rsidR="00907D8C">
        <w:t xml:space="preserve"> </w:t>
      </w:r>
      <w:r w:rsidRPr="00036FAC">
        <w:t>show</w:t>
      </w:r>
      <w:r w:rsidR="00907D8C">
        <w:t xml:space="preserve"> </w:t>
      </w:r>
      <w:r w:rsidRPr="00036FAC">
        <w:t>that</w:t>
      </w:r>
      <w:r w:rsidR="00907D8C">
        <w:t xml:space="preserve"> </w:t>
      </w:r>
      <w:r w:rsidRPr="00036FAC">
        <w:t>low</w:t>
      </w:r>
      <w:r w:rsidR="00907D8C">
        <w:t xml:space="preserve"> </w:t>
      </w:r>
      <w:r w:rsidRPr="00036FAC">
        <w:t>proficiency</w:t>
      </w:r>
      <w:r w:rsidR="00907D8C">
        <w:t xml:space="preserve"> </w:t>
      </w:r>
      <w:r w:rsidRPr="00036FAC">
        <w:t>is</w:t>
      </w:r>
      <w:r w:rsidR="00907D8C">
        <w:t xml:space="preserve"> </w:t>
      </w:r>
      <w:r w:rsidRPr="00036FAC">
        <w:t>correlated</w:t>
      </w:r>
      <w:r w:rsidR="00907D8C">
        <w:t xml:space="preserve"> </w:t>
      </w:r>
      <w:r w:rsidRPr="00036FAC">
        <w:t>with</w:t>
      </w:r>
      <w:r w:rsidR="00907D8C">
        <w:t xml:space="preserve"> </w:t>
      </w:r>
      <w:r w:rsidRPr="00036FAC">
        <w:t>low</w:t>
      </w:r>
      <w:r w:rsidR="00907D8C">
        <w:t xml:space="preserve"> </w:t>
      </w:r>
      <w:r w:rsidRPr="00036FAC">
        <w:t>socio-economic</w:t>
      </w:r>
      <w:r w:rsidR="00907D8C">
        <w:t xml:space="preserve"> </w:t>
      </w:r>
      <w:r w:rsidRPr="00036FAC">
        <w:t>status.</w:t>
      </w:r>
    </w:p>
    <w:p w:rsidR="00036FAC" w:rsidRPr="00036FAC" w:rsidRDefault="00036FAC" w:rsidP="005113CF">
      <w:pPr>
        <w:pStyle w:val="SingleTxtG"/>
      </w:pPr>
      <w:r w:rsidRPr="00036FAC">
        <w:t>113.</w:t>
      </w:r>
      <w:r w:rsidRPr="00036FAC">
        <w:tab/>
        <w:t>In</w:t>
      </w:r>
      <w:r w:rsidR="00907D8C">
        <w:t xml:space="preserve"> </w:t>
      </w:r>
      <w:r w:rsidRPr="00036FAC">
        <w:t>2006,</w:t>
      </w:r>
      <w:r w:rsidR="00907D8C">
        <w:t xml:space="preserve"> </w:t>
      </w:r>
      <w:r w:rsidRPr="00036FAC">
        <w:t>New</w:t>
      </w:r>
      <w:r w:rsidR="00907D8C">
        <w:t xml:space="preserve"> </w:t>
      </w:r>
      <w:r w:rsidRPr="00036FAC">
        <w:t>Zealand</w:t>
      </w:r>
      <w:r w:rsidR="00907D8C">
        <w:t xml:space="preserve"> </w:t>
      </w:r>
      <w:r w:rsidRPr="00036FAC">
        <w:t>participated</w:t>
      </w:r>
      <w:r w:rsidR="00907D8C">
        <w:t xml:space="preserve"> </w:t>
      </w:r>
      <w:r w:rsidRPr="00036FAC">
        <w:t>in</w:t>
      </w:r>
      <w:r w:rsidR="00907D8C">
        <w:t xml:space="preserve"> </w:t>
      </w:r>
      <w:r w:rsidRPr="00036FAC">
        <w:t>the</w:t>
      </w:r>
      <w:r w:rsidR="00907D8C">
        <w:t xml:space="preserve"> </w:t>
      </w:r>
      <w:r w:rsidRPr="00036FAC">
        <w:t>Adult</w:t>
      </w:r>
      <w:r w:rsidR="00907D8C">
        <w:t xml:space="preserve"> </w:t>
      </w:r>
      <w:r w:rsidRPr="00036FAC">
        <w:t>Literacy</w:t>
      </w:r>
      <w:r w:rsidR="00907D8C">
        <w:t xml:space="preserve"> </w:t>
      </w:r>
      <w:r w:rsidRPr="00036FAC">
        <w:t>and</w:t>
      </w:r>
      <w:r w:rsidR="00907D8C">
        <w:t xml:space="preserve"> </w:t>
      </w:r>
      <w:r w:rsidRPr="00036FAC">
        <w:t>Life</w:t>
      </w:r>
      <w:r w:rsidR="00907D8C">
        <w:t xml:space="preserve"> </w:t>
      </w:r>
      <w:r w:rsidRPr="00036FAC">
        <w:t>Skills</w:t>
      </w:r>
      <w:r w:rsidR="00907D8C">
        <w:t xml:space="preserve"> </w:t>
      </w:r>
      <w:r w:rsidRPr="00036FAC">
        <w:t>Survey</w:t>
      </w:r>
      <w:r w:rsidR="00907D8C">
        <w:t xml:space="preserve"> </w:t>
      </w:r>
      <w:r w:rsidRPr="00036FAC">
        <w:t>(ALL),</w:t>
      </w:r>
      <w:r w:rsidR="00907D8C">
        <w:t xml:space="preserve"> </w:t>
      </w:r>
      <w:r w:rsidRPr="00036FAC">
        <w:t>an</w:t>
      </w:r>
      <w:r w:rsidR="00907D8C">
        <w:t xml:space="preserve"> </w:t>
      </w:r>
      <w:r w:rsidRPr="00036FAC">
        <w:t>international</w:t>
      </w:r>
      <w:r w:rsidR="00907D8C">
        <w:t xml:space="preserve"> </w:t>
      </w:r>
      <w:r w:rsidRPr="00036FAC">
        <w:t>comparative</w:t>
      </w:r>
      <w:r w:rsidR="00907D8C">
        <w:t xml:space="preserve"> </w:t>
      </w:r>
      <w:r w:rsidRPr="00036FAC">
        <w:t>survey.</w:t>
      </w:r>
      <w:r w:rsidR="00907D8C">
        <w:t xml:space="preserve"> </w:t>
      </w:r>
      <w:r w:rsidRPr="00036FAC">
        <w:t>ALL</w:t>
      </w:r>
      <w:r w:rsidR="00907D8C">
        <w:t xml:space="preserve"> </w:t>
      </w:r>
      <w:r w:rsidRPr="00036FAC">
        <w:t>measured</w:t>
      </w:r>
      <w:r w:rsidR="00907D8C">
        <w:t xml:space="preserve"> </w:t>
      </w:r>
      <w:r w:rsidRPr="00036FAC">
        <w:t>skills</w:t>
      </w:r>
      <w:r w:rsidR="00907D8C">
        <w:t xml:space="preserve"> </w:t>
      </w:r>
      <w:r w:rsidRPr="00036FAC">
        <w:t>of</w:t>
      </w:r>
      <w:r w:rsidR="00907D8C">
        <w:t xml:space="preserve"> </w:t>
      </w:r>
      <w:r w:rsidRPr="00036FAC">
        <w:t>16–65</w:t>
      </w:r>
      <w:r w:rsidR="005113CF">
        <w:t xml:space="preserve"> </w:t>
      </w:r>
      <w:r w:rsidRPr="00036FAC">
        <w:t>year</w:t>
      </w:r>
      <w:r w:rsidR="005113CF">
        <w:t xml:space="preserve"> </w:t>
      </w:r>
      <w:r w:rsidRPr="00036FAC">
        <w:t>olds,</w:t>
      </w:r>
      <w:r w:rsidR="00907D8C">
        <w:t xml:space="preserve"> </w:t>
      </w:r>
      <w:r w:rsidRPr="00036FAC">
        <w:t>including</w:t>
      </w:r>
      <w:r w:rsidR="00907D8C">
        <w:t xml:space="preserve"> </w:t>
      </w:r>
      <w:r w:rsidR="003E4D94">
        <w:t>“</w:t>
      </w:r>
      <w:r w:rsidRPr="00036FAC">
        <w:t>prose</w:t>
      </w:r>
      <w:r w:rsidR="00907D8C">
        <w:t xml:space="preserve"> </w:t>
      </w:r>
      <w:r w:rsidRPr="00036FAC">
        <w:t>literacy</w:t>
      </w:r>
      <w:r w:rsidR="003E4D94">
        <w:t>”</w:t>
      </w:r>
      <w:r w:rsidRPr="00036FAC">
        <w:t>,</w:t>
      </w:r>
      <w:r w:rsidR="00907D8C">
        <w:t xml:space="preserve"> </w:t>
      </w:r>
      <w:r w:rsidRPr="00036FAC">
        <w:t>which</w:t>
      </w:r>
      <w:r w:rsidR="00907D8C">
        <w:t xml:space="preserve"> </w:t>
      </w:r>
      <w:r w:rsidRPr="00036FAC">
        <w:t>is</w:t>
      </w:r>
      <w:r w:rsidR="00907D8C">
        <w:t xml:space="preserve"> </w:t>
      </w:r>
      <w:r w:rsidRPr="00036FAC">
        <w:t>reading</w:t>
      </w:r>
      <w:r w:rsidR="00907D8C">
        <w:t xml:space="preserve"> </w:t>
      </w:r>
      <w:r w:rsidRPr="00036FAC">
        <w:t>and</w:t>
      </w:r>
      <w:r w:rsidR="00907D8C">
        <w:t xml:space="preserve"> </w:t>
      </w:r>
      <w:r w:rsidRPr="00036FAC">
        <w:t>understanding</w:t>
      </w:r>
      <w:r w:rsidR="00907D8C">
        <w:t xml:space="preserve"> </w:t>
      </w:r>
      <w:r w:rsidRPr="00036FAC">
        <w:t>paragraphs</w:t>
      </w:r>
      <w:r w:rsidR="00907D8C">
        <w:t xml:space="preserve"> </w:t>
      </w:r>
      <w:r w:rsidRPr="00036FAC">
        <w:t>of</w:t>
      </w:r>
      <w:r w:rsidR="00907D8C">
        <w:t xml:space="preserve"> </w:t>
      </w:r>
      <w:r w:rsidRPr="00036FAC">
        <w:t>continuous</w:t>
      </w:r>
      <w:r w:rsidR="00907D8C">
        <w:t xml:space="preserve"> </w:t>
      </w:r>
      <w:r w:rsidRPr="00036FAC">
        <w:t>text</w:t>
      </w:r>
      <w:r w:rsidR="00907D8C">
        <w:t xml:space="preserve"> </w:t>
      </w:r>
      <w:r w:rsidRPr="00036FAC">
        <w:t>in</w:t>
      </w:r>
      <w:r w:rsidR="00907D8C">
        <w:t xml:space="preserve"> </w:t>
      </w:r>
      <w:r w:rsidRPr="00036FAC">
        <w:t>English.</w:t>
      </w:r>
      <w:r w:rsidR="00907D8C">
        <w:t xml:space="preserve"> </w:t>
      </w:r>
      <w:r w:rsidRPr="00036FAC">
        <w:t>ALL</w:t>
      </w:r>
      <w:r w:rsidR="00907D8C">
        <w:t xml:space="preserve"> </w:t>
      </w:r>
      <w:r w:rsidRPr="00036FAC">
        <w:t>results</w:t>
      </w:r>
      <w:r w:rsidR="00907D8C">
        <w:t xml:space="preserve"> </w:t>
      </w:r>
      <w:r w:rsidRPr="00036FAC">
        <w:t>showed</w:t>
      </w:r>
      <w:r w:rsidR="00907D8C">
        <w:t xml:space="preserve"> </w:t>
      </w:r>
      <w:r w:rsidRPr="00036FAC">
        <w:t>that</w:t>
      </w:r>
      <w:r w:rsidR="00907D8C">
        <w:t xml:space="preserve"> </w:t>
      </w:r>
      <w:r w:rsidRPr="00036FAC">
        <w:t>women</w:t>
      </w:r>
      <w:r w:rsidR="00907D8C">
        <w:t xml:space="preserve"> </w:t>
      </w:r>
      <w:r w:rsidRPr="00036FAC">
        <w:t>had</w:t>
      </w:r>
      <w:r w:rsidR="00907D8C">
        <w:t xml:space="preserve"> </w:t>
      </w:r>
      <w:r w:rsidRPr="00036FAC">
        <w:t>relative</w:t>
      </w:r>
      <w:r w:rsidR="00907D8C">
        <w:t xml:space="preserve"> </w:t>
      </w:r>
      <w:r w:rsidRPr="00036FAC">
        <w:t>strength</w:t>
      </w:r>
      <w:r w:rsidR="00907D8C">
        <w:t xml:space="preserve"> </w:t>
      </w:r>
      <w:r w:rsidRPr="00036FAC">
        <w:t>in</w:t>
      </w:r>
      <w:r w:rsidR="00907D8C">
        <w:t xml:space="preserve"> </w:t>
      </w:r>
      <w:r w:rsidRPr="00036FAC">
        <w:t>prose</w:t>
      </w:r>
      <w:r w:rsidR="00907D8C">
        <w:t xml:space="preserve"> </w:t>
      </w:r>
      <w:r w:rsidRPr="00036FAC">
        <w:t>literacy</w:t>
      </w:r>
      <w:r w:rsidR="00907D8C">
        <w:t xml:space="preserve"> </w:t>
      </w:r>
      <w:r w:rsidRPr="00036FAC">
        <w:t>compared</w:t>
      </w:r>
      <w:r w:rsidR="00907D8C">
        <w:t xml:space="preserve"> </w:t>
      </w:r>
      <w:r w:rsidRPr="00036FAC">
        <w:t>with</w:t>
      </w:r>
      <w:r w:rsidR="00907D8C">
        <w:t xml:space="preserve"> </w:t>
      </w:r>
      <w:r w:rsidRPr="00036FAC">
        <w:t>men.</w:t>
      </w:r>
      <w:r w:rsidR="00907D8C">
        <w:t xml:space="preserve"> </w:t>
      </w:r>
      <w:r w:rsidRPr="00036FAC">
        <w:t>Women</w:t>
      </w:r>
      <w:r w:rsidR="003E4D94">
        <w:t>’</w:t>
      </w:r>
      <w:r w:rsidRPr="00036FAC">
        <w:t>s</w:t>
      </w:r>
      <w:r w:rsidR="00907D8C">
        <w:t xml:space="preserve"> </w:t>
      </w:r>
      <w:r w:rsidRPr="00036FAC">
        <w:t>average</w:t>
      </w:r>
      <w:r w:rsidR="00907D8C">
        <w:t xml:space="preserve"> </w:t>
      </w:r>
      <w:r w:rsidRPr="00036FAC">
        <w:t>score</w:t>
      </w:r>
      <w:r w:rsidR="00907D8C">
        <w:t xml:space="preserve"> </w:t>
      </w:r>
      <w:r w:rsidRPr="00036FAC">
        <w:t>was</w:t>
      </w:r>
      <w:r w:rsidR="00907D8C">
        <w:t xml:space="preserve"> </w:t>
      </w:r>
      <w:r w:rsidRPr="00036FAC">
        <w:t>279</w:t>
      </w:r>
      <w:r w:rsidR="00907D8C">
        <w:t xml:space="preserve"> </w:t>
      </w:r>
      <w:r w:rsidRPr="00036FAC">
        <w:t>(on</w:t>
      </w:r>
      <w:r w:rsidR="00907D8C">
        <w:t xml:space="preserve"> </w:t>
      </w:r>
      <w:r w:rsidRPr="00036FAC">
        <w:t>a</w:t>
      </w:r>
      <w:r w:rsidR="00907D8C">
        <w:t xml:space="preserve"> </w:t>
      </w:r>
      <w:r w:rsidRPr="00036FAC">
        <w:t>0–500</w:t>
      </w:r>
      <w:r w:rsidR="00907D8C">
        <w:t xml:space="preserve"> </w:t>
      </w:r>
      <w:r w:rsidRPr="00036FAC">
        <w:t>scale)</w:t>
      </w:r>
      <w:r w:rsidR="00907D8C">
        <w:t xml:space="preserve"> </w:t>
      </w:r>
      <w:r w:rsidRPr="00036FAC">
        <w:t>compared</w:t>
      </w:r>
      <w:r w:rsidR="00907D8C">
        <w:t xml:space="preserve"> </w:t>
      </w:r>
      <w:r w:rsidRPr="00036FAC">
        <w:t>with</w:t>
      </w:r>
      <w:r w:rsidR="00907D8C">
        <w:t xml:space="preserve"> </w:t>
      </w:r>
      <w:r w:rsidRPr="00036FAC">
        <w:t>275</w:t>
      </w:r>
      <w:r w:rsidR="00907D8C">
        <w:t xml:space="preserve"> </w:t>
      </w:r>
      <w:r w:rsidRPr="00036FAC">
        <w:t>for</w:t>
      </w:r>
      <w:r w:rsidR="00907D8C">
        <w:t xml:space="preserve"> </w:t>
      </w:r>
      <w:r w:rsidRPr="00036FAC">
        <w:t>men.</w:t>
      </w:r>
    </w:p>
    <w:p w:rsidR="00036FAC" w:rsidRPr="00036FAC" w:rsidRDefault="00036FAC" w:rsidP="005113CF">
      <w:pPr>
        <w:pStyle w:val="SingleTxtG"/>
      </w:pPr>
      <w:r w:rsidRPr="00036FAC">
        <w:t>114.</w:t>
      </w:r>
      <w:r w:rsidRPr="00036FAC">
        <w:tab/>
        <w:t>On</w:t>
      </w:r>
      <w:r w:rsidR="00907D8C">
        <w:t xml:space="preserve"> </w:t>
      </w:r>
      <w:r w:rsidRPr="00036FAC">
        <w:t>average,</w:t>
      </w:r>
      <w:r w:rsidR="00907D8C">
        <w:t xml:space="preserve"> </w:t>
      </w:r>
      <w:r w:rsidRPr="00036FAC">
        <w:t>New</w:t>
      </w:r>
      <w:r w:rsidR="00907D8C">
        <w:t xml:space="preserve"> </w:t>
      </w:r>
      <w:r w:rsidRPr="00036FAC">
        <w:t>Zealand</w:t>
      </w:r>
      <w:r w:rsidR="00907D8C">
        <w:t xml:space="preserve"> </w:t>
      </w:r>
      <w:r w:rsidRPr="00036FAC">
        <w:t>European</w:t>
      </w:r>
      <w:r w:rsidR="00907D8C">
        <w:t xml:space="preserve"> </w:t>
      </w:r>
      <w:r w:rsidRPr="00036FAC">
        <w:t>adults</w:t>
      </w:r>
      <w:r w:rsidR="00907D8C">
        <w:t xml:space="preserve"> </w:t>
      </w:r>
      <w:r w:rsidRPr="00036FAC">
        <w:t>performed</w:t>
      </w:r>
      <w:r w:rsidR="00907D8C">
        <w:t xml:space="preserve"> </w:t>
      </w:r>
      <w:r w:rsidRPr="00036FAC">
        <w:t>substantially</w:t>
      </w:r>
      <w:r w:rsidR="00907D8C">
        <w:t xml:space="preserve"> </w:t>
      </w:r>
      <w:r w:rsidRPr="00036FAC">
        <w:t>better</w:t>
      </w:r>
      <w:r w:rsidR="00907D8C">
        <w:t xml:space="preserve"> </w:t>
      </w:r>
      <w:r w:rsidRPr="00036FAC">
        <w:t>in</w:t>
      </w:r>
      <w:r w:rsidR="00907D8C">
        <w:t xml:space="preserve"> </w:t>
      </w:r>
      <w:r w:rsidRPr="00036FAC">
        <w:t>prose</w:t>
      </w:r>
      <w:r w:rsidR="00907D8C">
        <w:t xml:space="preserve"> </w:t>
      </w:r>
      <w:r w:rsidRPr="00036FAC">
        <w:t>literacy</w:t>
      </w:r>
      <w:r w:rsidR="00907D8C">
        <w:t xml:space="preserve"> </w:t>
      </w:r>
      <w:r w:rsidRPr="00036FAC">
        <w:t>than</w:t>
      </w:r>
      <w:r w:rsidR="00907D8C">
        <w:t xml:space="preserve"> </w:t>
      </w:r>
      <w:r w:rsidRPr="00036FAC">
        <w:t>Māori,</w:t>
      </w:r>
      <w:r w:rsidR="00907D8C">
        <w:t xml:space="preserve"> </w:t>
      </w:r>
      <w:r w:rsidRPr="00036FAC">
        <w:t>Asian,</w:t>
      </w:r>
      <w:r w:rsidR="00907D8C">
        <w:t xml:space="preserve"> </w:t>
      </w:r>
      <w:r w:rsidRPr="00036FAC">
        <w:t>and</w:t>
      </w:r>
      <w:r w:rsidR="00907D8C">
        <w:t xml:space="preserve"> </w:t>
      </w:r>
      <w:r w:rsidRPr="00036FAC">
        <w:t>Pacific</w:t>
      </w:r>
      <w:r w:rsidR="00907D8C">
        <w:t xml:space="preserve"> </w:t>
      </w:r>
      <w:r w:rsidRPr="00036FAC">
        <w:t>adults.</w:t>
      </w:r>
      <w:r w:rsidR="00907D8C">
        <w:t xml:space="preserve"> </w:t>
      </w:r>
      <w:r w:rsidRPr="00036FAC">
        <w:t>The</w:t>
      </w:r>
      <w:r w:rsidR="00907D8C">
        <w:t xml:space="preserve"> </w:t>
      </w:r>
      <w:r w:rsidRPr="00036FAC">
        <w:t>average</w:t>
      </w:r>
      <w:r w:rsidR="00907D8C">
        <w:t xml:space="preserve"> </w:t>
      </w:r>
      <w:r w:rsidRPr="00036FAC">
        <w:t>scores</w:t>
      </w:r>
      <w:r w:rsidR="00907D8C">
        <w:t xml:space="preserve"> </w:t>
      </w:r>
      <w:r w:rsidRPr="00036FAC">
        <w:t>were:</w:t>
      </w:r>
      <w:r w:rsidR="00907D8C">
        <w:t xml:space="preserve"> </w:t>
      </w:r>
      <w:r w:rsidRPr="00036FAC">
        <w:t>287,</w:t>
      </w:r>
      <w:r w:rsidR="00907D8C">
        <w:t xml:space="preserve"> </w:t>
      </w:r>
      <w:r w:rsidRPr="00036FAC">
        <w:t>258,</w:t>
      </w:r>
      <w:r w:rsidR="00907D8C">
        <w:t xml:space="preserve"> </w:t>
      </w:r>
      <w:r w:rsidRPr="00036FAC">
        <w:t>248,</w:t>
      </w:r>
      <w:r w:rsidR="00907D8C">
        <w:t xml:space="preserve"> </w:t>
      </w:r>
      <w:r w:rsidRPr="00036FAC">
        <w:t>and</w:t>
      </w:r>
      <w:r w:rsidR="00907D8C">
        <w:t xml:space="preserve"> </w:t>
      </w:r>
      <w:r w:rsidRPr="00036FAC">
        <w:t>233,</w:t>
      </w:r>
      <w:r w:rsidR="00907D8C">
        <w:t xml:space="preserve"> </w:t>
      </w:r>
      <w:r w:rsidRPr="00036FAC">
        <w:t>respectively.</w:t>
      </w:r>
    </w:p>
    <w:p w:rsidR="00036FAC" w:rsidRPr="00036FAC" w:rsidRDefault="00036FAC" w:rsidP="006C436C">
      <w:pPr>
        <w:pStyle w:val="H23G"/>
      </w:pPr>
      <w:r w:rsidRPr="00036FAC">
        <w:tab/>
        <w:t>(c)</w:t>
      </w:r>
      <w:r w:rsidRPr="00036FAC">
        <w:tab/>
        <w:t>Achievement</w:t>
      </w:r>
    </w:p>
    <w:p w:rsidR="00036FAC" w:rsidRPr="00036FAC" w:rsidRDefault="00036FAC" w:rsidP="00895D47">
      <w:pPr>
        <w:pStyle w:val="SingleTxtG"/>
      </w:pPr>
      <w:r w:rsidRPr="00036FAC">
        <w:t>115.</w:t>
      </w:r>
      <w:r w:rsidRPr="00036FAC">
        <w:tab/>
        <w:t>Achievement</w:t>
      </w:r>
      <w:r w:rsidR="00907D8C">
        <w:t xml:space="preserve"> </w:t>
      </w:r>
      <w:r w:rsidRPr="00036FAC">
        <w:t>rates</w:t>
      </w:r>
      <w:r w:rsidR="00907D8C">
        <w:t xml:space="preserve"> </w:t>
      </w:r>
      <w:r w:rsidRPr="00036FAC">
        <w:t>in</w:t>
      </w:r>
      <w:r w:rsidR="00907D8C">
        <w:t xml:space="preserve"> </w:t>
      </w:r>
      <w:r w:rsidRPr="00036FAC">
        <w:t>secondary</w:t>
      </w:r>
      <w:r w:rsidR="00907D8C">
        <w:t xml:space="preserve"> </w:t>
      </w:r>
      <w:r w:rsidRPr="00036FAC">
        <w:t>school</w:t>
      </w:r>
      <w:r w:rsidR="00907D8C">
        <w:t xml:space="preserve"> </w:t>
      </w:r>
      <w:r w:rsidRPr="00036FAC">
        <w:t>have</w:t>
      </w:r>
      <w:r w:rsidR="00907D8C">
        <w:t xml:space="preserve"> </w:t>
      </w:r>
      <w:r w:rsidRPr="00036FAC">
        <w:t>been</w:t>
      </w:r>
      <w:r w:rsidR="00907D8C">
        <w:t xml:space="preserve"> </w:t>
      </w:r>
      <w:r w:rsidRPr="00036FAC">
        <w:t>improving</w:t>
      </w:r>
      <w:r w:rsidR="00907D8C">
        <w:t xml:space="preserve"> </w:t>
      </w:r>
      <w:r w:rsidRPr="00036FAC">
        <w:t>since</w:t>
      </w:r>
      <w:r w:rsidR="00907D8C">
        <w:t xml:space="preserve"> </w:t>
      </w:r>
      <w:r w:rsidRPr="00036FAC">
        <w:t>2002,</w:t>
      </w:r>
      <w:r w:rsidR="00907D8C">
        <w:t xml:space="preserve"> </w:t>
      </w:r>
      <w:r w:rsidRPr="00036FAC">
        <w:t>with</w:t>
      </w:r>
      <w:r w:rsidR="00907D8C">
        <w:t xml:space="preserve"> </w:t>
      </w:r>
      <w:r w:rsidRPr="00036FAC">
        <w:t>just</w:t>
      </w:r>
      <w:r w:rsidR="00907D8C">
        <w:t xml:space="preserve"> </w:t>
      </w:r>
      <w:r w:rsidRPr="00036FAC">
        <w:t>6.2</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all</w:t>
      </w:r>
      <w:r w:rsidR="00907D8C">
        <w:t xml:space="preserve"> </w:t>
      </w:r>
      <w:r w:rsidRPr="00036FAC">
        <w:t>school</w:t>
      </w:r>
      <w:r w:rsidR="00907D8C">
        <w:t xml:space="preserve"> </w:t>
      </w:r>
      <w:r w:rsidRPr="00036FAC">
        <w:t>leavers</w:t>
      </w:r>
      <w:r w:rsidR="00907D8C">
        <w:t xml:space="preserve"> </w:t>
      </w:r>
      <w:r w:rsidRPr="00036FAC">
        <w:t>leaving</w:t>
      </w:r>
      <w:r w:rsidR="00907D8C">
        <w:t xml:space="preserve"> </w:t>
      </w:r>
      <w:r w:rsidRPr="00036FAC">
        <w:t>school</w:t>
      </w:r>
      <w:r w:rsidR="00907D8C">
        <w:t xml:space="preserve"> </w:t>
      </w:r>
      <w:r w:rsidRPr="00036FAC">
        <w:t>with</w:t>
      </w:r>
      <w:r w:rsidR="00907D8C">
        <w:t xml:space="preserve"> </w:t>
      </w:r>
      <w:r w:rsidRPr="00036FAC">
        <w:t>little</w:t>
      </w:r>
      <w:r w:rsidR="00907D8C">
        <w:t xml:space="preserve"> </w:t>
      </w:r>
      <w:r w:rsidRPr="00036FAC">
        <w:t>or</w:t>
      </w:r>
      <w:r w:rsidR="00907D8C">
        <w:t xml:space="preserve"> </w:t>
      </w:r>
      <w:r w:rsidRPr="00036FAC">
        <w:t>no</w:t>
      </w:r>
      <w:r w:rsidR="00907D8C">
        <w:t xml:space="preserve"> </w:t>
      </w:r>
      <w:r w:rsidRPr="00036FAC">
        <w:t>formal</w:t>
      </w:r>
      <w:r w:rsidR="00907D8C">
        <w:t xml:space="preserve"> </w:t>
      </w:r>
      <w:r w:rsidRPr="00036FAC">
        <w:t>attainment</w:t>
      </w:r>
      <w:r w:rsidR="00907D8C">
        <w:t xml:space="preserve"> </w:t>
      </w:r>
      <w:r w:rsidRPr="00036FAC">
        <w:t>in</w:t>
      </w:r>
      <w:r w:rsidR="00907D8C">
        <w:t xml:space="preserve"> </w:t>
      </w:r>
      <w:r w:rsidRPr="00036FAC">
        <w:t>2008.</w:t>
      </w:r>
    </w:p>
    <w:p w:rsidR="00036FAC" w:rsidRPr="00036FAC" w:rsidRDefault="00036FAC" w:rsidP="00895D47">
      <w:pPr>
        <w:pStyle w:val="SingleTxtG"/>
      </w:pPr>
      <w:r w:rsidRPr="00036FAC">
        <w:t>116.</w:t>
      </w:r>
      <w:r w:rsidRPr="00036FAC">
        <w:tab/>
        <w:t>The</w:t>
      </w:r>
      <w:r w:rsidR="00907D8C">
        <w:t xml:space="preserve"> </w:t>
      </w:r>
      <w:r w:rsidRPr="00036FAC">
        <w:t>National</w:t>
      </w:r>
      <w:r w:rsidR="00907D8C">
        <w:t xml:space="preserve"> </w:t>
      </w:r>
      <w:r w:rsidRPr="00036FAC">
        <w:t>Certificate</w:t>
      </w:r>
      <w:r w:rsidR="00907D8C">
        <w:t xml:space="preserve"> </w:t>
      </w:r>
      <w:r w:rsidRPr="00036FAC">
        <w:t>of</w:t>
      </w:r>
      <w:r w:rsidR="00907D8C">
        <w:t xml:space="preserve"> </w:t>
      </w:r>
      <w:r w:rsidRPr="00036FAC">
        <w:t>Educational</w:t>
      </w:r>
      <w:r w:rsidR="00907D8C">
        <w:t xml:space="preserve"> </w:t>
      </w:r>
      <w:r w:rsidRPr="00036FAC">
        <w:t>Achievement</w:t>
      </w:r>
      <w:r w:rsidR="00907D8C">
        <w:t xml:space="preserve"> </w:t>
      </w:r>
      <w:r w:rsidRPr="00036FAC">
        <w:t>(NCEA)</w:t>
      </w:r>
      <w:r w:rsidR="00907D8C">
        <w:t xml:space="preserve"> </w:t>
      </w:r>
      <w:r w:rsidRPr="00036FAC">
        <w:t>has</w:t>
      </w:r>
      <w:r w:rsidR="00907D8C">
        <w:t xml:space="preserve"> </w:t>
      </w:r>
      <w:r w:rsidRPr="00036FAC">
        <w:t>been</w:t>
      </w:r>
      <w:r w:rsidR="00907D8C">
        <w:t xml:space="preserve"> </w:t>
      </w:r>
      <w:r w:rsidRPr="00036FAC">
        <w:t>in</w:t>
      </w:r>
      <w:r w:rsidR="00907D8C">
        <w:t xml:space="preserve"> </w:t>
      </w:r>
      <w:r w:rsidRPr="00036FAC">
        <w:t>place</w:t>
      </w:r>
      <w:r w:rsidR="00907D8C">
        <w:t xml:space="preserve"> </w:t>
      </w:r>
      <w:r w:rsidRPr="00036FAC">
        <w:t>since</w:t>
      </w:r>
      <w:r w:rsidR="00907D8C">
        <w:t xml:space="preserve"> </w:t>
      </w:r>
      <w:r w:rsidRPr="00036FAC">
        <w:t>2002.</w:t>
      </w:r>
      <w:r w:rsidR="00907D8C">
        <w:t xml:space="preserve"> </w:t>
      </w:r>
      <w:r w:rsidRPr="00036FAC">
        <w:t>Secondary</w:t>
      </w:r>
      <w:r w:rsidR="00907D8C">
        <w:t xml:space="preserve"> </w:t>
      </w:r>
      <w:r w:rsidRPr="00036FAC">
        <w:t>school</w:t>
      </w:r>
      <w:r w:rsidR="00907D8C">
        <w:t xml:space="preserve"> </w:t>
      </w:r>
      <w:r w:rsidRPr="00036FAC">
        <w:t>students</w:t>
      </w:r>
      <w:r w:rsidR="00907D8C">
        <w:t xml:space="preserve"> </w:t>
      </w:r>
      <w:r w:rsidRPr="00036FAC">
        <w:t>study</w:t>
      </w:r>
      <w:r w:rsidR="00907D8C">
        <w:t xml:space="preserve"> </w:t>
      </w:r>
      <w:r w:rsidRPr="00036FAC">
        <w:t>courses</w:t>
      </w:r>
      <w:r w:rsidR="00907D8C">
        <w:t xml:space="preserve"> </w:t>
      </w:r>
      <w:r w:rsidRPr="00036FAC">
        <w:t>based</w:t>
      </w:r>
      <w:r w:rsidR="00907D8C">
        <w:t xml:space="preserve"> </w:t>
      </w:r>
      <w:r w:rsidRPr="00036FAC">
        <w:t>on</w:t>
      </w:r>
      <w:r w:rsidR="00907D8C">
        <w:t xml:space="preserve"> </w:t>
      </w:r>
      <w:r w:rsidRPr="00036FAC">
        <w:t>achievement</w:t>
      </w:r>
      <w:r w:rsidR="00907D8C">
        <w:t xml:space="preserve"> </w:t>
      </w:r>
      <w:r w:rsidRPr="00036FAC">
        <w:t>and</w:t>
      </w:r>
      <w:r w:rsidR="00907D8C">
        <w:t xml:space="preserve"> </w:t>
      </w:r>
      <w:r w:rsidRPr="00036FAC">
        <w:t>unit</w:t>
      </w:r>
      <w:r w:rsidR="00907D8C">
        <w:t xml:space="preserve"> </w:t>
      </w:r>
      <w:r w:rsidRPr="00036FAC">
        <w:t>standards</w:t>
      </w:r>
      <w:r w:rsidR="00907D8C">
        <w:t xml:space="preserve"> </w:t>
      </w:r>
      <w:r w:rsidRPr="00036FAC">
        <w:t>at</w:t>
      </w:r>
      <w:r w:rsidR="00907D8C">
        <w:t xml:space="preserve"> </w:t>
      </w:r>
      <w:r w:rsidRPr="00036FAC">
        <w:t>Level</w:t>
      </w:r>
      <w:r w:rsidR="00907D8C">
        <w:t xml:space="preserve"> </w:t>
      </w:r>
      <w:r w:rsidRPr="00036FAC">
        <w:t>1,</w:t>
      </w:r>
      <w:r w:rsidR="00907D8C">
        <w:t xml:space="preserve"> </w:t>
      </w:r>
      <w:r w:rsidRPr="00036FAC">
        <w:t>2</w:t>
      </w:r>
      <w:r w:rsidR="00907D8C">
        <w:t xml:space="preserve"> </w:t>
      </w:r>
      <w:r w:rsidRPr="00036FAC">
        <w:t>and</w:t>
      </w:r>
      <w:r w:rsidR="00907D8C">
        <w:t xml:space="preserve"> </w:t>
      </w:r>
      <w:r w:rsidRPr="00036FAC">
        <w:t>3</w:t>
      </w:r>
      <w:r w:rsidR="00907D8C">
        <w:t xml:space="preserve"> </w:t>
      </w:r>
      <w:r w:rsidRPr="00036FAC">
        <w:t>to</w:t>
      </w:r>
      <w:r w:rsidR="00907D8C">
        <w:t xml:space="preserve"> </w:t>
      </w:r>
      <w:r w:rsidRPr="00036FAC">
        <w:t>attain</w:t>
      </w:r>
      <w:r w:rsidR="00907D8C">
        <w:t xml:space="preserve"> </w:t>
      </w:r>
      <w:r w:rsidRPr="00036FAC">
        <w:t>credits</w:t>
      </w:r>
      <w:r w:rsidR="00907D8C">
        <w:t xml:space="preserve"> </w:t>
      </w:r>
      <w:r w:rsidRPr="00036FAC">
        <w:t>towards</w:t>
      </w:r>
      <w:r w:rsidR="00907D8C">
        <w:t xml:space="preserve"> </w:t>
      </w:r>
      <w:r w:rsidRPr="00036FAC">
        <w:t>an</w:t>
      </w:r>
      <w:r w:rsidR="00907D8C">
        <w:t xml:space="preserve"> </w:t>
      </w:r>
      <w:r w:rsidRPr="00036FAC">
        <w:t>NCEA</w:t>
      </w:r>
      <w:r w:rsidR="00907D8C">
        <w:t xml:space="preserve"> </w:t>
      </w:r>
      <w:r w:rsidRPr="00036FAC">
        <w:t>qualification.</w:t>
      </w:r>
      <w:r w:rsidR="00907D8C">
        <w:t xml:space="preserve"> </w:t>
      </w:r>
      <w:r w:rsidRPr="00036FAC">
        <w:t>Credits</w:t>
      </w:r>
      <w:r w:rsidR="00907D8C">
        <w:t xml:space="preserve"> </w:t>
      </w:r>
      <w:r w:rsidRPr="00036FAC">
        <w:t>can</w:t>
      </w:r>
      <w:r w:rsidR="00907D8C">
        <w:t xml:space="preserve"> </w:t>
      </w:r>
      <w:r w:rsidRPr="00036FAC">
        <w:t>be</w:t>
      </w:r>
      <w:r w:rsidR="00907D8C">
        <w:t xml:space="preserve"> </w:t>
      </w:r>
      <w:r w:rsidRPr="00036FAC">
        <w:t>gained</w:t>
      </w:r>
      <w:r w:rsidR="00907D8C">
        <w:t xml:space="preserve"> </w:t>
      </w:r>
      <w:r w:rsidRPr="00036FAC">
        <w:t>through</w:t>
      </w:r>
      <w:r w:rsidR="00907D8C">
        <w:t xml:space="preserve"> </w:t>
      </w:r>
      <w:r w:rsidRPr="00036FAC">
        <w:t>internal</w:t>
      </w:r>
      <w:r w:rsidR="00907D8C">
        <w:t xml:space="preserve"> </w:t>
      </w:r>
      <w:r w:rsidRPr="00036FAC">
        <w:t>and</w:t>
      </w:r>
      <w:r w:rsidR="00907D8C">
        <w:t xml:space="preserve"> </w:t>
      </w:r>
      <w:r w:rsidRPr="00036FAC">
        <w:t>external</w:t>
      </w:r>
      <w:r w:rsidR="00907D8C">
        <w:t xml:space="preserve"> </w:t>
      </w:r>
      <w:r w:rsidRPr="00036FAC">
        <w:t>assessment.</w:t>
      </w:r>
    </w:p>
    <w:p w:rsidR="00036FAC" w:rsidRPr="00036FAC" w:rsidRDefault="00036FAC" w:rsidP="00895D47">
      <w:pPr>
        <w:pStyle w:val="SingleTxtG"/>
      </w:pPr>
      <w:r w:rsidRPr="00036FAC">
        <w:t>117.</w:t>
      </w:r>
      <w:r w:rsidRPr="00036FAC">
        <w:tab/>
        <w:t>In</w:t>
      </w:r>
      <w:r w:rsidR="00907D8C">
        <w:t xml:space="preserve"> </w:t>
      </w:r>
      <w:r w:rsidRPr="00036FAC">
        <w:t>2008,</w:t>
      </w:r>
      <w:r w:rsidR="00907D8C">
        <w:t xml:space="preserve"> </w:t>
      </w:r>
      <w:r w:rsidRPr="00036FAC">
        <w:t>69.9</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school</w:t>
      </w:r>
      <w:r w:rsidR="00907D8C">
        <w:t xml:space="preserve"> </w:t>
      </w:r>
      <w:r w:rsidRPr="00036FAC">
        <w:t>leavers</w:t>
      </w:r>
      <w:r w:rsidR="00907D8C">
        <w:t xml:space="preserve"> </w:t>
      </w:r>
      <w:r w:rsidRPr="00036FAC">
        <w:t>achieved</w:t>
      </w:r>
      <w:r w:rsidR="00907D8C">
        <w:t xml:space="preserve"> </w:t>
      </w:r>
      <w:r w:rsidRPr="00036FAC">
        <w:t>at</w:t>
      </w:r>
      <w:r w:rsidR="00907D8C">
        <w:t xml:space="preserve"> </w:t>
      </w:r>
      <w:r w:rsidRPr="00036FAC">
        <w:t>least</w:t>
      </w:r>
      <w:r w:rsidR="00907D8C">
        <w:t xml:space="preserve"> </w:t>
      </w:r>
      <w:r w:rsidRPr="00036FAC">
        <w:t>NCEA</w:t>
      </w:r>
      <w:r w:rsidR="00907D8C">
        <w:t xml:space="preserve"> </w:t>
      </w:r>
      <w:r w:rsidRPr="00036FAC">
        <w:t>Level</w:t>
      </w:r>
      <w:r w:rsidR="00907D8C">
        <w:t xml:space="preserve"> </w:t>
      </w:r>
      <w:r w:rsidRPr="00036FAC">
        <w:t>2,</w:t>
      </w:r>
      <w:r w:rsidR="00907D8C">
        <w:t xml:space="preserve"> </w:t>
      </w:r>
      <w:r w:rsidRPr="00036FAC">
        <w:t>a</w:t>
      </w:r>
      <w:r w:rsidR="00907D8C">
        <w:t xml:space="preserve"> </w:t>
      </w:r>
      <w:r w:rsidRPr="00036FAC">
        <w:t>33</w:t>
      </w:r>
      <w:r w:rsidR="00907D8C">
        <w:t xml:space="preserve"> </w:t>
      </w:r>
      <w:r w:rsidR="001B201B">
        <w:t>per</w:t>
      </w:r>
      <w:r w:rsidR="00907D8C">
        <w:t xml:space="preserve"> </w:t>
      </w:r>
      <w:r w:rsidR="001B201B">
        <w:t>cent</w:t>
      </w:r>
      <w:r w:rsidR="00907D8C">
        <w:t xml:space="preserve"> </w:t>
      </w:r>
      <w:r w:rsidRPr="00036FAC">
        <w:t>increase</w:t>
      </w:r>
      <w:r w:rsidR="00907D8C">
        <w:t xml:space="preserve"> </w:t>
      </w:r>
      <w:r w:rsidRPr="00036FAC">
        <w:t>from</w:t>
      </w:r>
      <w:r w:rsidR="00907D8C">
        <w:t xml:space="preserve"> </w:t>
      </w:r>
      <w:r w:rsidRPr="00036FAC">
        <w:t>2003.</w:t>
      </w:r>
      <w:r w:rsidR="00907D8C">
        <w:t xml:space="preserve"> </w:t>
      </w:r>
      <w:r w:rsidRPr="00036FAC">
        <w:t>The</w:t>
      </w:r>
      <w:r w:rsidR="00907D8C">
        <w:t xml:space="preserve"> </w:t>
      </w:r>
      <w:r w:rsidR="00AE58B5">
        <w:t>percent</w:t>
      </w:r>
      <w:r w:rsidRPr="00036FAC">
        <w:t>age</w:t>
      </w:r>
      <w:r w:rsidR="00907D8C">
        <w:t xml:space="preserve"> </w:t>
      </w:r>
      <w:r w:rsidRPr="00036FAC">
        <w:t>of</w:t>
      </w:r>
      <w:r w:rsidR="00907D8C">
        <w:t xml:space="preserve"> </w:t>
      </w:r>
      <w:r w:rsidRPr="00036FAC">
        <w:t>Asian</w:t>
      </w:r>
      <w:r w:rsidR="00907D8C">
        <w:t xml:space="preserve"> </w:t>
      </w:r>
      <w:r w:rsidRPr="00036FAC">
        <w:t>students</w:t>
      </w:r>
      <w:r w:rsidR="00907D8C">
        <w:t xml:space="preserve"> </w:t>
      </w:r>
      <w:r w:rsidRPr="00036FAC">
        <w:t>achieving</w:t>
      </w:r>
      <w:r w:rsidR="00907D8C">
        <w:t xml:space="preserve"> </w:t>
      </w:r>
      <w:r w:rsidRPr="00036FAC">
        <w:t>at</w:t>
      </w:r>
      <w:r w:rsidR="00907D8C">
        <w:t xml:space="preserve"> </w:t>
      </w:r>
      <w:r w:rsidRPr="00036FAC">
        <w:t>least</w:t>
      </w:r>
      <w:r w:rsidR="00907D8C">
        <w:t xml:space="preserve"> </w:t>
      </w:r>
      <w:r w:rsidRPr="00036FAC">
        <w:t>NCEA</w:t>
      </w:r>
      <w:r w:rsidR="00907D8C">
        <w:t xml:space="preserve"> </w:t>
      </w:r>
      <w:r w:rsidRPr="00036FAC">
        <w:t>Level</w:t>
      </w:r>
      <w:r w:rsidR="00907D8C">
        <w:t xml:space="preserve"> </w:t>
      </w:r>
      <w:r w:rsidRPr="00036FAC">
        <w:t>2</w:t>
      </w:r>
      <w:r w:rsidR="00907D8C">
        <w:t xml:space="preserve"> </w:t>
      </w:r>
      <w:r w:rsidRPr="00036FAC">
        <w:t>in</w:t>
      </w:r>
      <w:r w:rsidR="00907D8C">
        <w:t xml:space="preserve"> </w:t>
      </w:r>
      <w:r w:rsidRPr="00036FAC">
        <w:t>2008</w:t>
      </w:r>
      <w:r w:rsidR="00907D8C">
        <w:t xml:space="preserve"> </w:t>
      </w:r>
      <w:r w:rsidRPr="00036FAC">
        <w:t>was</w:t>
      </w:r>
      <w:r w:rsidR="00907D8C">
        <w:t xml:space="preserve"> </w:t>
      </w:r>
      <w:r w:rsidRPr="00036FAC">
        <w:t>84.2</w:t>
      </w:r>
      <w:r w:rsidR="00907D8C">
        <w:t xml:space="preserve"> </w:t>
      </w:r>
      <w:r w:rsidR="00AE58B5">
        <w:t>per</w:t>
      </w:r>
      <w:r w:rsidR="00907D8C">
        <w:t xml:space="preserve"> </w:t>
      </w:r>
      <w:r w:rsidR="00AE58B5">
        <w:t>cent</w:t>
      </w:r>
      <w:r w:rsidRPr="00036FAC">
        <w:t>,</w:t>
      </w:r>
      <w:r w:rsidR="00907D8C">
        <w:t xml:space="preserve"> </w:t>
      </w:r>
      <w:r w:rsidRPr="00036FAC">
        <w:t>with</w:t>
      </w:r>
      <w:r w:rsidR="00907D8C">
        <w:t xml:space="preserve"> </w:t>
      </w:r>
      <w:r w:rsidRPr="00036FAC">
        <w:t>European</w:t>
      </w:r>
      <w:r w:rsidR="00907D8C">
        <w:t xml:space="preserve"> </w:t>
      </w:r>
      <w:r w:rsidRPr="00036FAC">
        <w:t>at</w:t>
      </w:r>
      <w:r w:rsidR="00907D8C">
        <w:t xml:space="preserve"> </w:t>
      </w:r>
      <w:r w:rsidRPr="00036FAC">
        <w:t>74.5</w:t>
      </w:r>
      <w:r w:rsidR="00907D8C">
        <w:t xml:space="preserve"> </w:t>
      </w:r>
      <w:r w:rsidR="00AE58B5">
        <w:t>per</w:t>
      </w:r>
      <w:r w:rsidR="00907D8C">
        <w:t xml:space="preserve"> </w:t>
      </w:r>
      <w:r w:rsidR="00AE58B5">
        <w:t>cent</w:t>
      </w:r>
      <w:r w:rsidRPr="00036FAC">
        <w:t>.</w:t>
      </w:r>
      <w:r w:rsidR="00907D8C">
        <w:t xml:space="preserve"> </w:t>
      </w:r>
      <w:r w:rsidRPr="00036FAC">
        <w:t>This</w:t>
      </w:r>
      <w:r w:rsidR="00907D8C">
        <w:t xml:space="preserve"> </w:t>
      </w:r>
      <w:r w:rsidRPr="00036FAC">
        <w:t>compares</w:t>
      </w:r>
      <w:r w:rsidR="00907D8C">
        <w:t xml:space="preserve"> </w:t>
      </w:r>
      <w:r w:rsidRPr="00036FAC">
        <w:t>with</w:t>
      </w:r>
      <w:r w:rsidR="00907D8C">
        <w:t xml:space="preserve"> </w:t>
      </w:r>
      <w:r w:rsidRPr="00036FAC">
        <w:t>62.4</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Pacific</w:t>
      </w:r>
      <w:r w:rsidR="00907D8C">
        <w:t xml:space="preserve"> </w:t>
      </w:r>
      <w:r w:rsidRPr="00036FAC">
        <w:t>students</w:t>
      </w:r>
      <w:r w:rsidR="00907D8C">
        <w:t xml:space="preserve"> </w:t>
      </w:r>
      <w:r w:rsidRPr="00036FAC">
        <w:t>and</w:t>
      </w:r>
      <w:r w:rsidR="00907D8C">
        <w:t xml:space="preserve"> </w:t>
      </w:r>
      <w:r w:rsidRPr="00036FAC">
        <w:t>49.3</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Māori</w:t>
      </w:r>
      <w:r w:rsidR="00907D8C">
        <w:t xml:space="preserve"> </w:t>
      </w:r>
      <w:r w:rsidRPr="00036FAC">
        <w:t>students</w:t>
      </w:r>
      <w:r w:rsidR="00907D8C">
        <w:t xml:space="preserve"> </w:t>
      </w:r>
      <w:r w:rsidRPr="00036FAC">
        <w:t>attaining</w:t>
      </w:r>
      <w:r w:rsidR="00907D8C">
        <w:t xml:space="preserve"> </w:t>
      </w:r>
      <w:r w:rsidRPr="00036FAC">
        <w:t>at</w:t>
      </w:r>
      <w:r w:rsidR="00907D8C">
        <w:t xml:space="preserve"> </w:t>
      </w:r>
      <w:r w:rsidRPr="00036FAC">
        <w:t>least</w:t>
      </w:r>
      <w:r w:rsidR="00907D8C">
        <w:t xml:space="preserve"> </w:t>
      </w:r>
      <w:r w:rsidRPr="00036FAC">
        <w:t>NCEA</w:t>
      </w:r>
      <w:r w:rsidR="00907D8C">
        <w:t xml:space="preserve"> </w:t>
      </w:r>
      <w:r w:rsidRPr="00036FAC">
        <w:t>Level</w:t>
      </w:r>
      <w:r w:rsidR="00907D8C">
        <w:t xml:space="preserve"> </w:t>
      </w:r>
      <w:r w:rsidRPr="00036FAC">
        <w:t>2.</w:t>
      </w:r>
    </w:p>
    <w:p w:rsidR="00036FAC" w:rsidRPr="00036FAC" w:rsidRDefault="00036FAC" w:rsidP="00895D47">
      <w:pPr>
        <w:pStyle w:val="SingleTxtG"/>
      </w:pPr>
      <w:r w:rsidRPr="00036FAC">
        <w:t>118.</w:t>
      </w:r>
      <w:r w:rsidRPr="00036FAC">
        <w:tab/>
        <w:t>In</w:t>
      </w:r>
      <w:r w:rsidR="00907D8C">
        <w:t xml:space="preserve"> </w:t>
      </w:r>
      <w:r w:rsidRPr="00036FAC">
        <w:t>2008,</w:t>
      </w:r>
      <w:r w:rsidR="00907D8C">
        <w:t xml:space="preserve"> </w:t>
      </w:r>
      <w:r w:rsidRPr="00036FAC">
        <w:t>42.8</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school</w:t>
      </w:r>
      <w:r w:rsidR="00907D8C">
        <w:t xml:space="preserve"> </w:t>
      </w:r>
      <w:r w:rsidRPr="00036FAC">
        <w:t>leavers</w:t>
      </w:r>
      <w:r w:rsidR="00907D8C">
        <w:t xml:space="preserve"> </w:t>
      </w:r>
      <w:r w:rsidRPr="00036FAC">
        <w:t>achieved</w:t>
      </w:r>
      <w:r w:rsidR="00907D8C">
        <w:t xml:space="preserve"> </w:t>
      </w:r>
      <w:r w:rsidRPr="00036FAC">
        <w:t>at</w:t>
      </w:r>
      <w:r w:rsidR="00907D8C">
        <w:t xml:space="preserve"> </w:t>
      </w:r>
      <w:r w:rsidRPr="00036FAC">
        <w:t>least</w:t>
      </w:r>
      <w:r w:rsidR="00907D8C">
        <w:t xml:space="preserve"> </w:t>
      </w:r>
      <w:r w:rsidRPr="00036FAC">
        <w:t>a</w:t>
      </w:r>
      <w:r w:rsidR="00907D8C">
        <w:t xml:space="preserve"> </w:t>
      </w:r>
      <w:r w:rsidRPr="00036FAC">
        <w:t>university</w:t>
      </w:r>
      <w:r w:rsidR="00907D8C">
        <w:t xml:space="preserve"> </w:t>
      </w:r>
      <w:r w:rsidRPr="00036FAC">
        <w:t>entrance</w:t>
      </w:r>
      <w:r w:rsidR="00907D8C">
        <w:t xml:space="preserve"> </w:t>
      </w:r>
      <w:r w:rsidRPr="00036FAC">
        <w:t>standard</w:t>
      </w:r>
      <w:r w:rsidR="00907D8C">
        <w:t xml:space="preserve"> </w:t>
      </w:r>
      <w:r w:rsidRPr="00036FAC">
        <w:t>that</w:t>
      </w:r>
      <w:r w:rsidR="00907D8C">
        <w:t xml:space="preserve"> </w:t>
      </w:r>
      <w:r w:rsidRPr="00036FAC">
        <w:t>would</w:t>
      </w:r>
      <w:r w:rsidR="00907D8C">
        <w:t xml:space="preserve"> </w:t>
      </w:r>
      <w:r w:rsidRPr="00036FAC">
        <w:t>allow</w:t>
      </w:r>
      <w:r w:rsidR="00907D8C">
        <w:t xml:space="preserve"> </w:t>
      </w:r>
      <w:r w:rsidRPr="00036FAC">
        <w:t>them</w:t>
      </w:r>
      <w:r w:rsidR="00907D8C">
        <w:t xml:space="preserve"> </w:t>
      </w:r>
      <w:r w:rsidRPr="00036FAC">
        <w:t>to</w:t>
      </w:r>
      <w:r w:rsidR="00907D8C">
        <w:t xml:space="preserve"> </w:t>
      </w:r>
      <w:r w:rsidRPr="00036FAC">
        <w:t>go</w:t>
      </w:r>
      <w:r w:rsidR="00907D8C">
        <w:t xml:space="preserve"> </w:t>
      </w:r>
      <w:r w:rsidRPr="00036FAC">
        <w:t>directly</w:t>
      </w:r>
      <w:r w:rsidR="00907D8C">
        <w:t xml:space="preserve"> </w:t>
      </w:r>
      <w:r w:rsidRPr="00036FAC">
        <w:t>into</w:t>
      </w:r>
      <w:r w:rsidR="00907D8C">
        <w:t xml:space="preserve"> </w:t>
      </w:r>
      <w:r w:rsidRPr="00036FAC">
        <w:t>tertiary</w:t>
      </w:r>
      <w:r w:rsidR="00907D8C">
        <w:t xml:space="preserve"> </w:t>
      </w:r>
      <w:r w:rsidRPr="00036FAC">
        <w:t>study</w:t>
      </w:r>
      <w:r w:rsidR="00907D8C">
        <w:t xml:space="preserve"> </w:t>
      </w:r>
      <w:r w:rsidRPr="00036FAC">
        <w:t>at</w:t>
      </w:r>
      <w:r w:rsidR="00907D8C">
        <w:t xml:space="preserve"> </w:t>
      </w:r>
      <w:r w:rsidRPr="00036FAC">
        <w:t>degree</w:t>
      </w:r>
      <w:r w:rsidR="00907D8C">
        <w:t xml:space="preserve"> </w:t>
      </w:r>
      <w:r w:rsidRPr="00036FAC">
        <w:t>level,</w:t>
      </w:r>
      <w:r w:rsidR="00907D8C">
        <w:t xml:space="preserve"> </w:t>
      </w:r>
      <w:r w:rsidRPr="00036FAC">
        <w:t>a</w:t>
      </w:r>
      <w:r w:rsidR="00907D8C">
        <w:t xml:space="preserve"> </w:t>
      </w:r>
      <w:r w:rsidRPr="00036FAC">
        <w:t>49</w:t>
      </w:r>
      <w:r w:rsidR="00907D8C">
        <w:t xml:space="preserve"> </w:t>
      </w:r>
      <w:r w:rsidR="001B201B">
        <w:t>per</w:t>
      </w:r>
      <w:r w:rsidR="00907D8C">
        <w:t xml:space="preserve"> </w:t>
      </w:r>
      <w:r w:rsidR="001B201B">
        <w:t>cent</w:t>
      </w:r>
      <w:r w:rsidR="00907D8C">
        <w:t xml:space="preserve"> </w:t>
      </w:r>
      <w:r w:rsidRPr="00036FAC">
        <w:t>increase</w:t>
      </w:r>
      <w:r w:rsidR="00907D8C">
        <w:t xml:space="preserve"> </w:t>
      </w:r>
      <w:r w:rsidRPr="00036FAC">
        <w:t>from</w:t>
      </w:r>
      <w:r w:rsidR="00907D8C">
        <w:t xml:space="preserve"> </w:t>
      </w:r>
      <w:r w:rsidRPr="00036FAC">
        <w:t>2003.</w:t>
      </w:r>
      <w:r w:rsidR="00907D8C">
        <w:t xml:space="preserve"> </w:t>
      </w:r>
      <w:r w:rsidRPr="00036FAC">
        <w:t>In</w:t>
      </w:r>
      <w:r w:rsidR="00907D8C">
        <w:t xml:space="preserve"> </w:t>
      </w:r>
      <w:r w:rsidRPr="00036FAC">
        <w:t>2008,</w:t>
      </w:r>
      <w:r w:rsidR="00907D8C">
        <w:t xml:space="preserve"> </w:t>
      </w:r>
      <w:r w:rsidRPr="00036FAC">
        <w:t>65.3</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Asian</w:t>
      </w:r>
      <w:r w:rsidR="00907D8C">
        <w:t xml:space="preserve"> </w:t>
      </w:r>
      <w:r w:rsidRPr="00036FAC">
        <w:t>students,</w:t>
      </w:r>
      <w:r w:rsidR="00907D8C">
        <w:t xml:space="preserve"> </w:t>
      </w:r>
      <w:r w:rsidRPr="00036FAC">
        <w:t>48.3</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European</w:t>
      </w:r>
      <w:r w:rsidR="00907D8C">
        <w:t xml:space="preserve"> </w:t>
      </w:r>
      <w:r w:rsidRPr="00036FAC">
        <w:t>students,</w:t>
      </w:r>
      <w:r w:rsidR="00907D8C">
        <w:t xml:space="preserve"> </w:t>
      </w:r>
      <w:r w:rsidRPr="00036FAC">
        <w:t>22.8</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Pacific</w:t>
      </w:r>
      <w:r w:rsidR="00907D8C">
        <w:t xml:space="preserve"> </w:t>
      </w:r>
      <w:r w:rsidRPr="00036FAC">
        <w:t>peoples</w:t>
      </w:r>
      <w:r w:rsidR="00907D8C">
        <w:t xml:space="preserve"> </w:t>
      </w:r>
      <w:r w:rsidRPr="00036FAC">
        <w:t>students,</w:t>
      </w:r>
      <w:r w:rsidR="00907D8C">
        <w:t xml:space="preserve"> </w:t>
      </w:r>
      <w:r w:rsidRPr="00036FAC">
        <w:t>and</w:t>
      </w:r>
      <w:r w:rsidR="00907D8C">
        <w:t xml:space="preserve"> </w:t>
      </w:r>
      <w:r w:rsidRPr="00036FAC">
        <w:t>20.3</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Māori</w:t>
      </w:r>
      <w:r w:rsidR="00907D8C">
        <w:t xml:space="preserve"> </w:t>
      </w:r>
      <w:r w:rsidRPr="00036FAC">
        <w:t>students</w:t>
      </w:r>
      <w:r w:rsidR="00907D8C">
        <w:t xml:space="preserve"> </w:t>
      </w:r>
      <w:r w:rsidRPr="00036FAC">
        <w:t>attained</w:t>
      </w:r>
      <w:r w:rsidR="00907D8C">
        <w:t xml:space="preserve"> </w:t>
      </w:r>
      <w:r w:rsidRPr="00036FAC">
        <w:t>a</w:t>
      </w:r>
      <w:r w:rsidR="00907D8C">
        <w:t xml:space="preserve"> </w:t>
      </w:r>
      <w:r w:rsidRPr="00036FAC">
        <w:t>university</w:t>
      </w:r>
      <w:r w:rsidR="00907D8C">
        <w:t xml:space="preserve"> </w:t>
      </w:r>
      <w:r w:rsidRPr="00036FAC">
        <w:t>entrance</w:t>
      </w:r>
      <w:r w:rsidR="00907D8C">
        <w:t xml:space="preserve"> </w:t>
      </w:r>
      <w:r w:rsidRPr="00036FAC">
        <w:t>standard.</w:t>
      </w:r>
    </w:p>
    <w:p w:rsidR="00036FAC" w:rsidRPr="00036FAC" w:rsidRDefault="00036FAC" w:rsidP="006C436C">
      <w:pPr>
        <w:pStyle w:val="H23G"/>
      </w:pPr>
      <w:r w:rsidRPr="00036FAC">
        <w:tab/>
        <w:t>16.</w:t>
      </w:r>
      <w:r w:rsidRPr="00036FAC">
        <w:tab/>
        <w:t>Political</w:t>
      </w:r>
      <w:r w:rsidR="00907D8C">
        <w:t xml:space="preserve"> </w:t>
      </w:r>
      <w:r w:rsidRPr="00036FAC">
        <w:t>processes</w:t>
      </w:r>
    </w:p>
    <w:p w:rsidR="00036FAC" w:rsidRPr="00036FAC" w:rsidRDefault="00036FAC" w:rsidP="00895D47">
      <w:pPr>
        <w:pStyle w:val="SingleTxtG"/>
      </w:pPr>
      <w:r w:rsidRPr="00036FAC">
        <w:t>119.</w:t>
      </w:r>
      <w:r w:rsidRPr="00036FAC">
        <w:tab/>
        <w:t>On</w:t>
      </w:r>
      <w:r w:rsidR="00907D8C">
        <w:t xml:space="preserve"> </w:t>
      </w:r>
      <w:r w:rsidRPr="00036FAC">
        <w:t>parliamentary</w:t>
      </w:r>
      <w:r w:rsidR="00907D8C">
        <w:t xml:space="preserve"> </w:t>
      </w:r>
      <w:r w:rsidRPr="00036FAC">
        <w:t>election</w:t>
      </w:r>
      <w:r w:rsidR="00907D8C">
        <w:t xml:space="preserve"> </w:t>
      </w:r>
      <w:r w:rsidRPr="00036FAC">
        <w:t>day,</w:t>
      </w:r>
      <w:r w:rsidR="00907D8C">
        <w:t xml:space="preserve"> </w:t>
      </w:r>
      <w:r w:rsidRPr="00036FAC">
        <w:t>8</w:t>
      </w:r>
      <w:r w:rsidR="00907D8C">
        <w:t xml:space="preserve"> </w:t>
      </w:r>
      <w:r w:rsidRPr="00036FAC">
        <w:t>November</w:t>
      </w:r>
      <w:r w:rsidR="00907D8C">
        <w:t xml:space="preserve"> </w:t>
      </w:r>
      <w:r w:rsidRPr="00036FAC">
        <w:t>2008,</w:t>
      </w:r>
      <w:r w:rsidR="00907D8C">
        <w:t xml:space="preserve"> </w:t>
      </w:r>
      <w:r w:rsidRPr="00036FAC">
        <w:t>2,991</w:t>
      </w:r>
      <w:r w:rsidR="00907D8C">
        <w:t xml:space="preserve"> </w:t>
      </w:r>
      <w:r w:rsidRPr="00036FAC">
        <w:t>million</w:t>
      </w:r>
      <w:r w:rsidR="00907D8C">
        <w:t xml:space="preserve"> </w:t>
      </w:r>
      <w:r w:rsidRPr="00036FAC">
        <w:t>people,</w:t>
      </w:r>
      <w:r w:rsidR="00907D8C">
        <w:t xml:space="preserve"> </w:t>
      </w:r>
      <w:r w:rsidRPr="00036FAC">
        <w:t>or</w:t>
      </w:r>
      <w:r w:rsidR="00907D8C">
        <w:t xml:space="preserve"> </w:t>
      </w:r>
      <w:r w:rsidRPr="00036FAC">
        <w:t>95.31</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those</w:t>
      </w:r>
      <w:r w:rsidR="00907D8C">
        <w:t xml:space="preserve"> </w:t>
      </w:r>
      <w:r w:rsidRPr="00036FAC">
        <w:t>eligible,</w:t>
      </w:r>
      <w:r w:rsidR="00907D8C">
        <w:t xml:space="preserve"> </w:t>
      </w:r>
      <w:r w:rsidRPr="00036FAC">
        <w:t>were</w:t>
      </w:r>
      <w:r w:rsidR="00907D8C">
        <w:t xml:space="preserve"> </w:t>
      </w:r>
      <w:r w:rsidRPr="00036FAC">
        <w:t>enrolled</w:t>
      </w:r>
      <w:r w:rsidR="00907D8C">
        <w:t xml:space="preserve"> </w:t>
      </w:r>
      <w:r w:rsidRPr="00036FAC">
        <w:t>to</w:t>
      </w:r>
      <w:r w:rsidR="00907D8C">
        <w:t xml:space="preserve"> </w:t>
      </w:r>
      <w:r w:rsidRPr="00036FAC">
        <w:t>vote.</w:t>
      </w:r>
      <w:r w:rsidR="00907D8C">
        <w:t xml:space="preserve"> </w:t>
      </w:r>
      <w:r w:rsidRPr="00036FAC">
        <w:t>To</w:t>
      </w:r>
      <w:r w:rsidR="00907D8C">
        <w:t xml:space="preserve"> </w:t>
      </w:r>
      <w:r w:rsidRPr="00036FAC">
        <w:t>qualify</w:t>
      </w:r>
      <w:r w:rsidR="00907D8C">
        <w:t xml:space="preserve"> </w:t>
      </w:r>
      <w:r w:rsidRPr="00036FAC">
        <w:t>to</w:t>
      </w:r>
      <w:r w:rsidR="00907D8C">
        <w:t xml:space="preserve"> </w:t>
      </w:r>
      <w:r w:rsidRPr="00036FAC">
        <w:t>vote</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one</w:t>
      </w:r>
      <w:r w:rsidR="00907D8C">
        <w:t xml:space="preserve"> </w:t>
      </w:r>
      <w:r w:rsidRPr="00036FAC">
        <w:t>must</w:t>
      </w:r>
      <w:r w:rsidR="00907D8C">
        <w:t xml:space="preserve"> </w:t>
      </w:r>
      <w:r w:rsidRPr="00036FAC">
        <w:t>be</w:t>
      </w:r>
      <w:r w:rsidR="00907D8C">
        <w:t xml:space="preserve"> </w:t>
      </w:r>
      <w:r w:rsidRPr="00036FAC">
        <w:t>18</w:t>
      </w:r>
      <w:r w:rsidR="00907D8C">
        <w:t xml:space="preserve"> </w:t>
      </w:r>
      <w:r w:rsidRPr="00036FAC">
        <w:t>years</w:t>
      </w:r>
      <w:r w:rsidR="00907D8C">
        <w:t xml:space="preserve"> </w:t>
      </w:r>
      <w:r w:rsidRPr="00036FAC">
        <w:t>of</w:t>
      </w:r>
      <w:r w:rsidR="00907D8C">
        <w:t xml:space="preserve"> </w:t>
      </w:r>
      <w:r w:rsidRPr="00036FAC">
        <w:t>age</w:t>
      </w:r>
      <w:r w:rsidR="00907D8C">
        <w:t xml:space="preserve"> </w:t>
      </w:r>
      <w:r w:rsidRPr="00036FAC">
        <w:t>or</w:t>
      </w:r>
      <w:r w:rsidR="00907D8C">
        <w:t xml:space="preserve"> </w:t>
      </w:r>
      <w:r w:rsidRPr="00036FAC">
        <w:t>older,</w:t>
      </w:r>
      <w:r w:rsidR="00907D8C">
        <w:t xml:space="preserve"> </w:t>
      </w:r>
      <w:r w:rsidRPr="00036FAC">
        <w:t>a</w:t>
      </w:r>
      <w:r w:rsidR="00907D8C">
        <w:t xml:space="preserve"> </w:t>
      </w:r>
      <w:r w:rsidRPr="00036FAC">
        <w:t>New</w:t>
      </w:r>
      <w:r w:rsidR="00907D8C">
        <w:t xml:space="preserve"> </w:t>
      </w:r>
      <w:r w:rsidRPr="00036FAC">
        <w:t>Zealand</w:t>
      </w:r>
      <w:r w:rsidR="00907D8C">
        <w:t xml:space="preserve"> </w:t>
      </w:r>
      <w:r w:rsidRPr="00036FAC">
        <w:t>citizen</w:t>
      </w:r>
      <w:r w:rsidR="00907D8C">
        <w:t xml:space="preserve"> </w:t>
      </w:r>
      <w:r w:rsidRPr="00036FAC">
        <w:t>or</w:t>
      </w:r>
      <w:r w:rsidR="00907D8C">
        <w:t xml:space="preserve"> </w:t>
      </w:r>
      <w:r w:rsidRPr="00036FAC">
        <w:t>permanent</w:t>
      </w:r>
      <w:r w:rsidR="00907D8C">
        <w:t xml:space="preserve"> </w:t>
      </w:r>
      <w:r w:rsidRPr="00036FAC">
        <w:t>resident,</w:t>
      </w:r>
      <w:r w:rsidR="00907D8C">
        <w:t xml:space="preserve"> </w:t>
      </w:r>
      <w:r w:rsidRPr="00036FAC">
        <w:t>and</w:t>
      </w:r>
      <w:r w:rsidR="00907D8C">
        <w:t xml:space="preserve"> </w:t>
      </w:r>
      <w:r w:rsidRPr="00036FAC">
        <w:t>have</w:t>
      </w:r>
      <w:r w:rsidR="00907D8C">
        <w:t xml:space="preserve"> </w:t>
      </w:r>
      <w:r w:rsidRPr="00036FAC">
        <w:t>lived</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for</w:t>
      </w:r>
      <w:r w:rsidR="00907D8C">
        <w:t xml:space="preserve"> </w:t>
      </w:r>
      <w:r w:rsidRPr="00036FAC">
        <w:t>more</w:t>
      </w:r>
      <w:r w:rsidR="00907D8C">
        <w:t xml:space="preserve"> </w:t>
      </w:r>
      <w:r w:rsidRPr="00036FAC">
        <w:t>than</w:t>
      </w:r>
      <w:r w:rsidR="00907D8C">
        <w:t xml:space="preserve"> </w:t>
      </w:r>
      <w:r w:rsidRPr="00036FAC">
        <w:t>one</w:t>
      </w:r>
      <w:r w:rsidR="00907D8C">
        <w:t xml:space="preserve"> </w:t>
      </w:r>
      <w:r w:rsidRPr="00036FAC">
        <w:t>year</w:t>
      </w:r>
      <w:r w:rsidR="00907D8C">
        <w:t xml:space="preserve"> </w:t>
      </w:r>
      <w:r w:rsidRPr="00036FAC">
        <w:t>continuously.</w:t>
      </w:r>
    </w:p>
    <w:p w:rsidR="00036FAC" w:rsidRPr="00036FAC" w:rsidRDefault="00036FAC" w:rsidP="00895D47">
      <w:pPr>
        <w:pStyle w:val="SingleTxtG"/>
      </w:pPr>
      <w:r w:rsidRPr="00036FAC">
        <w:t>120.</w:t>
      </w:r>
      <w:r w:rsidRPr="00036FAC">
        <w:tab/>
        <w:t>For</w:t>
      </w:r>
      <w:r w:rsidR="00907D8C">
        <w:t xml:space="preserve"> </w:t>
      </w:r>
      <w:r w:rsidRPr="00036FAC">
        <w:t>the</w:t>
      </w:r>
      <w:r w:rsidR="00907D8C">
        <w:t xml:space="preserve"> </w:t>
      </w:r>
      <w:r w:rsidRPr="00036FAC">
        <w:t>2008</w:t>
      </w:r>
      <w:r w:rsidR="00907D8C">
        <w:t xml:space="preserve"> </w:t>
      </w:r>
      <w:r w:rsidRPr="00036FAC">
        <w:t>parliamentary</w:t>
      </w:r>
      <w:r w:rsidR="00907D8C">
        <w:t xml:space="preserve"> </w:t>
      </w:r>
      <w:r w:rsidRPr="00036FAC">
        <w:t>election,</w:t>
      </w:r>
      <w:r w:rsidR="00907D8C">
        <w:t xml:space="preserve"> </w:t>
      </w:r>
      <w:r w:rsidRPr="00036FAC">
        <w:t>464</w:t>
      </w:r>
      <w:r w:rsidR="00907D8C">
        <w:t xml:space="preserve"> </w:t>
      </w:r>
      <w:r w:rsidRPr="00036FAC">
        <w:t>complaints</w:t>
      </w:r>
      <w:r w:rsidR="00907D8C">
        <w:t xml:space="preserve"> </w:t>
      </w:r>
      <w:r w:rsidRPr="00036FAC">
        <w:t>were</w:t>
      </w:r>
      <w:r w:rsidR="00907D8C">
        <w:t xml:space="preserve"> </w:t>
      </w:r>
      <w:r w:rsidRPr="00036FAC">
        <w:t>registered.</w:t>
      </w:r>
      <w:r w:rsidR="00907D8C">
        <w:t xml:space="preserve"> </w:t>
      </w:r>
      <w:r w:rsidRPr="00036FAC">
        <w:t>Of</w:t>
      </w:r>
      <w:r w:rsidR="00907D8C">
        <w:t xml:space="preserve"> </w:t>
      </w:r>
      <w:r w:rsidRPr="00036FAC">
        <w:t>these,</w:t>
      </w:r>
      <w:r w:rsidR="00907D8C">
        <w:t xml:space="preserve"> </w:t>
      </w:r>
      <w:r w:rsidRPr="00036FAC">
        <w:t>44</w:t>
      </w:r>
      <w:r w:rsidR="00907D8C">
        <w:t xml:space="preserve"> </w:t>
      </w:r>
      <w:r w:rsidRPr="00036FAC">
        <w:t>related</w:t>
      </w:r>
      <w:r w:rsidR="00907D8C">
        <w:t xml:space="preserve"> </w:t>
      </w:r>
      <w:r w:rsidRPr="00036FAC">
        <w:t>to</w:t>
      </w:r>
      <w:r w:rsidR="00907D8C">
        <w:t xml:space="preserve"> </w:t>
      </w:r>
      <w:r w:rsidRPr="00036FAC">
        <w:t>administration,</w:t>
      </w:r>
      <w:r w:rsidR="00907D8C">
        <w:t xml:space="preserve"> </w:t>
      </w:r>
      <w:r w:rsidRPr="00036FAC">
        <w:t>223</w:t>
      </w:r>
      <w:r w:rsidR="00907D8C">
        <w:t xml:space="preserve"> </w:t>
      </w:r>
      <w:r w:rsidRPr="00036FAC">
        <w:t>related</w:t>
      </w:r>
      <w:r w:rsidR="00907D8C">
        <w:t xml:space="preserve"> </w:t>
      </w:r>
      <w:r w:rsidRPr="00036FAC">
        <w:t>to</w:t>
      </w:r>
      <w:r w:rsidR="00907D8C">
        <w:t xml:space="preserve"> </w:t>
      </w:r>
      <w:r w:rsidRPr="00036FAC">
        <w:t>an</w:t>
      </w:r>
      <w:r w:rsidR="00907D8C">
        <w:t xml:space="preserve"> </w:t>
      </w:r>
      <w:r w:rsidRPr="00036FAC">
        <w:t>alleged</w:t>
      </w:r>
      <w:r w:rsidR="00907D8C">
        <w:t xml:space="preserve"> </w:t>
      </w:r>
      <w:r w:rsidRPr="00036FAC">
        <w:t>breach</w:t>
      </w:r>
      <w:r w:rsidR="00907D8C">
        <w:t xml:space="preserve"> </w:t>
      </w:r>
      <w:r w:rsidRPr="00036FAC">
        <w:t>by</w:t>
      </w:r>
      <w:r w:rsidR="00907D8C">
        <w:t xml:space="preserve"> </w:t>
      </w:r>
      <w:r w:rsidRPr="00036FAC">
        <w:t>a</w:t>
      </w:r>
      <w:r w:rsidR="00907D8C">
        <w:t xml:space="preserve"> </w:t>
      </w:r>
      <w:r w:rsidRPr="00036FAC">
        <w:t>political</w:t>
      </w:r>
      <w:r w:rsidR="00907D8C">
        <w:t xml:space="preserve"> </w:t>
      </w:r>
      <w:r w:rsidRPr="00036FAC">
        <w:t>party,</w:t>
      </w:r>
      <w:r w:rsidR="00907D8C">
        <w:t xml:space="preserve"> </w:t>
      </w:r>
      <w:r w:rsidRPr="00036FAC">
        <w:t>candidate</w:t>
      </w:r>
      <w:r w:rsidR="00907D8C">
        <w:t xml:space="preserve"> </w:t>
      </w:r>
      <w:r w:rsidRPr="00036FAC">
        <w:t>or</w:t>
      </w:r>
      <w:r w:rsidR="00907D8C">
        <w:t xml:space="preserve"> </w:t>
      </w:r>
      <w:r w:rsidRPr="00036FAC">
        <w:t>third</w:t>
      </w:r>
      <w:r w:rsidR="00907D8C">
        <w:t xml:space="preserve"> </w:t>
      </w:r>
      <w:r w:rsidRPr="00036FAC">
        <w:t>party,</w:t>
      </w:r>
      <w:r w:rsidR="00907D8C">
        <w:t xml:space="preserve"> </w:t>
      </w:r>
      <w:r w:rsidRPr="00036FAC">
        <w:t>189</w:t>
      </w:r>
      <w:r w:rsidR="00907D8C">
        <w:t xml:space="preserve"> </w:t>
      </w:r>
      <w:r w:rsidRPr="00036FAC">
        <w:t>related</w:t>
      </w:r>
      <w:r w:rsidR="00907D8C">
        <w:t xml:space="preserve"> </w:t>
      </w:r>
      <w:r w:rsidRPr="00036FAC">
        <w:t>to</w:t>
      </w:r>
      <w:r w:rsidR="00907D8C">
        <w:t xml:space="preserve"> </w:t>
      </w:r>
      <w:r w:rsidRPr="00036FAC">
        <w:t>general</w:t>
      </w:r>
      <w:r w:rsidR="00907D8C">
        <w:t xml:space="preserve"> </w:t>
      </w:r>
      <w:r w:rsidRPr="00036FAC">
        <w:t>legislative</w:t>
      </w:r>
      <w:r w:rsidR="00907D8C">
        <w:t xml:space="preserve"> </w:t>
      </w:r>
      <w:r w:rsidRPr="00036FAC">
        <w:t>issues,</w:t>
      </w:r>
      <w:r w:rsidR="00907D8C">
        <w:t xml:space="preserve"> </w:t>
      </w:r>
      <w:r w:rsidRPr="00036FAC">
        <w:t>and</w:t>
      </w:r>
      <w:r w:rsidR="00907D8C">
        <w:t xml:space="preserve"> </w:t>
      </w:r>
      <w:r w:rsidRPr="00036FAC">
        <w:t>eight</w:t>
      </w:r>
      <w:r w:rsidR="00907D8C">
        <w:t xml:space="preserve"> </w:t>
      </w:r>
      <w:r w:rsidRPr="00036FAC">
        <w:t>were</w:t>
      </w:r>
      <w:r w:rsidR="00907D8C">
        <w:t xml:space="preserve"> </w:t>
      </w:r>
      <w:r w:rsidRPr="00036FAC">
        <w:t>classified</w:t>
      </w:r>
      <w:r w:rsidR="00907D8C">
        <w:t xml:space="preserve"> </w:t>
      </w:r>
      <w:r w:rsidRPr="00036FAC">
        <w:t>as</w:t>
      </w:r>
      <w:r w:rsidR="00907D8C">
        <w:t xml:space="preserve"> </w:t>
      </w:r>
      <w:r w:rsidR="003E4D94">
        <w:t>“</w:t>
      </w:r>
      <w:r w:rsidRPr="00036FAC">
        <w:t>other</w:t>
      </w:r>
      <w:r w:rsidR="003E4D94">
        <w:t>”</w:t>
      </w:r>
      <w:r w:rsidR="00907D8C">
        <w:t xml:space="preserve"> </w:t>
      </w:r>
      <w:r w:rsidRPr="00036FAC">
        <w:t>complaints.</w:t>
      </w:r>
      <w:r w:rsidR="00907D8C">
        <w:t xml:space="preserve"> </w:t>
      </w:r>
      <w:r w:rsidRPr="00036FAC">
        <w:t>Many</w:t>
      </w:r>
      <w:r w:rsidR="00907D8C">
        <w:t xml:space="preserve"> </w:t>
      </w:r>
      <w:r w:rsidRPr="00036FAC">
        <w:t>complaints</w:t>
      </w:r>
      <w:r w:rsidR="00907D8C">
        <w:t xml:space="preserve"> </w:t>
      </w:r>
      <w:r w:rsidRPr="00036FAC">
        <w:t>received</w:t>
      </w:r>
      <w:r w:rsidR="00907D8C">
        <w:t xml:space="preserve"> </w:t>
      </w:r>
      <w:r w:rsidRPr="00036FAC">
        <w:t>at</w:t>
      </w:r>
      <w:r w:rsidR="00907D8C">
        <w:t xml:space="preserve"> </w:t>
      </w:r>
      <w:r w:rsidRPr="00036FAC">
        <w:t>the</w:t>
      </w:r>
      <w:r w:rsidR="00907D8C">
        <w:t xml:space="preserve"> </w:t>
      </w:r>
      <w:r w:rsidRPr="00036FAC">
        <w:t>Chief</w:t>
      </w:r>
      <w:r w:rsidR="00907D8C">
        <w:t xml:space="preserve"> </w:t>
      </w:r>
      <w:r w:rsidRPr="00036FAC">
        <w:t>Electoral</w:t>
      </w:r>
      <w:r w:rsidR="00907D8C">
        <w:t xml:space="preserve"> </w:t>
      </w:r>
      <w:r w:rsidRPr="00036FAC">
        <w:t>Office</w:t>
      </w:r>
      <w:r w:rsidR="00907D8C">
        <w:t xml:space="preserve"> </w:t>
      </w:r>
      <w:r w:rsidRPr="00036FAC">
        <w:t>(CEO)</w:t>
      </w:r>
      <w:r w:rsidR="00907D8C">
        <w:t xml:space="preserve"> </w:t>
      </w:r>
      <w:r w:rsidRPr="00036FAC">
        <w:t>were</w:t>
      </w:r>
      <w:r w:rsidR="00907D8C">
        <w:t xml:space="preserve"> </w:t>
      </w:r>
      <w:r w:rsidRPr="00036FAC">
        <w:t>not</w:t>
      </w:r>
      <w:r w:rsidR="00907D8C">
        <w:t xml:space="preserve"> </w:t>
      </w:r>
      <w:r w:rsidRPr="00036FAC">
        <w:t>breaches</w:t>
      </w:r>
      <w:r w:rsidR="00907D8C">
        <w:t xml:space="preserve"> </w:t>
      </w:r>
      <w:r w:rsidRPr="00036FAC">
        <w:t>of</w:t>
      </w:r>
      <w:r w:rsidR="00907D8C">
        <w:t xml:space="preserve"> </w:t>
      </w:r>
      <w:r w:rsidRPr="00036FAC">
        <w:t>electoral</w:t>
      </w:r>
      <w:r w:rsidR="00907D8C">
        <w:t xml:space="preserve"> </w:t>
      </w:r>
      <w:r w:rsidRPr="00036FAC">
        <w:t>law</w:t>
      </w:r>
      <w:r w:rsidR="00907D8C">
        <w:t xml:space="preserve"> </w:t>
      </w:r>
      <w:r w:rsidRPr="00036FAC">
        <w:t>and</w:t>
      </w:r>
      <w:r w:rsidR="00907D8C">
        <w:t xml:space="preserve"> </w:t>
      </w:r>
      <w:r w:rsidRPr="00036FAC">
        <w:t>these</w:t>
      </w:r>
      <w:r w:rsidR="00907D8C">
        <w:t xml:space="preserve"> </w:t>
      </w:r>
      <w:r w:rsidRPr="00036FAC">
        <w:t>cases</w:t>
      </w:r>
      <w:r w:rsidR="00907D8C">
        <w:t xml:space="preserve"> </w:t>
      </w:r>
      <w:r w:rsidRPr="00036FAC">
        <w:t>were</w:t>
      </w:r>
      <w:r w:rsidR="00907D8C">
        <w:t xml:space="preserve"> </w:t>
      </w:r>
      <w:r w:rsidRPr="00036FAC">
        <w:t>resolved</w:t>
      </w:r>
      <w:r w:rsidR="00907D8C">
        <w:t xml:space="preserve"> </w:t>
      </w:r>
      <w:r w:rsidRPr="00036FAC">
        <w:t>by</w:t>
      </w:r>
      <w:r w:rsidR="00907D8C">
        <w:t xml:space="preserve"> </w:t>
      </w:r>
      <w:r w:rsidRPr="00036FAC">
        <w:t>providing</w:t>
      </w:r>
      <w:r w:rsidR="00907D8C">
        <w:t xml:space="preserve"> </w:t>
      </w:r>
      <w:r w:rsidRPr="00036FAC">
        <w:t>clarification</w:t>
      </w:r>
      <w:r w:rsidR="00907D8C">
        <w:t xml:space="preserve"> </w:t>
      </w:r>
      <w:r w:rsidRPr="00036FAC">
        <w:t>of</w:t>
      </w:r>
      <w:r w:rsidR="00907D8C">
        <w:t xml:space="preserve"> </w:t>
      </w:r>
      <w:r w:rsidRPr="00036FAC">
        <w:t>the</w:t>
      </w:r>
      <w:r w:rsidR="00907D8C">
        <w:t xml:space="preserve"> </w:t>
      </w:r>
      <w:r w:rsidRPr="00036FAC">
        <w:t>law.</w:t>
      </w:r>
      <w:r w:rsidR="00907D8C">
        <w:t xml:space="preserve"> </w:t>
      </w:r>
      <w:r w:rsidRPr="00036FAC">
        <w:t>In</w:t>
      </w:r>
      <w:r w:rsidR="00907D8C">
        <w:t xml:space="preserve"> </w:t>
      </w:r>
      <w:r w:rsidRPr="00036FAC">
        <w:t>these</w:t>
      </w:r>
      <w:r w:rsidR="00907D8C">
        <w:t xml:space="preserve"> </w:t>
      </w:r>
      <w:r w:rsidRPr="00036FAC">
        <w:t>cases,</w:t>
      </w:r>
      <w:r w:rsidR="00907D8C">
        <w:t xml:space="preserve"> </w:t>
      </w:r>
      <w:r w:rsidRPr="00036FAC">
        <w:t>complainants</w:t>
      </w:r>
      <w:r w:rsidR="00907D8C">
        <w:t xml:space="preserve"> </w:t>
      </w:r>
      <w:r w:rsidRPr="00036FAC">
        <w:t>were</w:t>
      </w:r>
      <w:r w:rsidR="00907D8C">
        <w:t xml:space="preserve"> </w:t>
      </w:r>
      <w:r w:rsidRPr="00036FAC">
        <w:t>usually</w:t>
      </w:r>
      <w:r w:rsidR="00907D8C">
        <w:t xml:space="preserve"> </w:t>
      </w:r>
      <w:r w:rsidRPr="00036FAC">
        <w:t>advised</w:t>
      </w:r>
      <w:r w:rsidR="00907D8C">
        <w:t xml:space="preserve"> </w:t>
      </w:r>
      <w:r w:rsidRPr="00036FAC">
        <w:t>how</w:t>
      </w:r>
      <w:r w:rsidR="00907D8C">
        <w:t xml:space="preserve"> </w:t>
      </w:r>
      <w:r w:rsidRPr="00036FAC">
        <w:t>to</w:t>
      </w:r>
      <w:r w:rsidR="00907D8C">
        <w:t xml:space="preserve"> </w:t>
      </w:r>
      <w:r w:rsidRPr="00036FAC">
        <w:t>make</w:t>
      </w:r>
      <w:r w:rsidR="00907D8C">
        <w:t xml:space="preserve"> </w:t>
      </w:r>
      <w:r w:rsidRPr="00036FAC">
        <w:t>a</w:t>
      </w:r>
      <w:r w:rsidR="00907D8C">
        <w:t xml:space="preserve"> </w:t>
      </w:r>
      <w:r w:rsidRPr="00036FAC">
        <w:t>submission</w:t>
      </w:r>
      <w:r w:rsidR="00907D8C">
        <w:t xml:space="preserve"> </w:t>
      </w:r>
      <w:r w:rsidRPr="00036FAC">
        <w:t>to</w:t>
      </w:r>
      <w:r w:rsidR="00907D8C">
        <w:t xml:space="preserve"> </w:t>
      </w:r>
      <w:r w:rsidRPr="00036FAC">
        <w:t>the</w:t>
      </w:r>
      <w:r w:rsidR="00907D8C">
        <w:t xml:space="preserve"> </w:t>
      </w:r>
      <w:r w:rsidRPr="00036FAC">
        <w:t>Justice</w:t>
      </w:r>
      <w:r w:rsidR="00907D8C">
        <w:t xml:space="preserve"> </w:t>
      </w:r>
      <w:r w:rsidRPr="00036FAC">
        <w:t>and</w:t>
      </w:r>
      <w:r w:rsidR="00907D8C">
        <w:t xml:space="preserve"> </w:t>
      </w:r>
      <w:r w:rsidRPr="00036FAC">
        <w:t>Electoral</w:t>
      </w:r>
      <w:r w:rsidR="00907D8C">
        <w:t xml:space="preserve"> </w:t>
      </w:r>
      <w:r w:rsidRPr="00036FAC">
        <w:t>Select</w:t>
      </w:r>
      <w:r w:rsidR="00907D8C">
        <w:t xml:space="preserve"> </w:t>
      </w:r>
      <w:r w:rsidRPr="00036FAC">
        <w:t>Committee</w:t>
      </w:r>
      <w:r w:rsidR="00907D8C">
        <w:t xml:space="preserve"> </w:t>
      </w:r>
      <w:r w:rsidRPr="00036FAC">
        <w:t>during</w:t>
      </w:r>
      <w:r w:rsidR="00907D8C">
        <w:t xml:space="preserve"> </w:t>
      </w:r>
      <w:r w:rsidRPr="00036FAC">
        <w:t>its</w:t>
      </w:r>
      <w:r w:rsidR="00907D8C">
        <w:t xml:space="preserve"> </w:t>
      </w:r>
      <w:r w:rsidRPr="00036FAC">
        <w:t>review</w:t>
      </w:r>
      <w:r w:rsidR="00907D8C">
        <w:t xml:space="preserve"> </w:t>
      </w:r>
      <w:r w:rsidRPr="00036FAC">
        <w:t>of</w:t>
      </w:r>
      <w:r w:rsidR="00907D8C">
        <w:t xml:space="preserve"> </w:t>
      </w:r>
      <w:r w:rsidRPr="00036FAC">
        <w:t>the</w:t>
      </w:r>
      <w:r w:rsidR="00907D8C">
        <w:t xml:space="preserve"> </w:t>
      </w:r>
      <w:r w:rsidRPr="00036FAC">
        <w:t>general</w:t>
      </w:r>
      <w:r w:rsidR="00907D8C">
        <w:t xml:space="preserve"> </w:t>
      </w:r>
      <w:r w:rsidRPr="00036FAC">
        <w:t>election.</w:t>
      </w:r>
    </w:p>
    <w:p w:rsidR="00036FAC" w:rsidRPr="00036FAC" w:rsidRDefault="00036FAC" w:rsidP="00895D47">
      <w:pPr>
        <w:pStyle w:val="SingleTxtG"/>
      </w:pPr>
      <w:r w:rsidRPr="00036FAC">
        <w:t>121.</w:t>
      </w:r>
      <w:r w:rsidRPr="00036FAC">
        <w:tab/>
        <w:t>Of</w:t>
      </w:r>
      <w:r w:rsidR="00907D8C">
        <w:t xml:space="preserve"> </w:t>
      </w:r>
      <w:r w:rsidRPr="00036FAC">
        <w:t>all</w:t>
      </w:r>
      <w:r w:rsidR="00907D8C">
        <w:t xml:space="preserve"> </w:t>
      </w:r>
      <w:r w:rsidRPr="00036FAC">
        <w:t>the</w:t>
      </w:r>
      <w:r w:rsidR="00907D8C">
        <w:t xml:space="preserve"> </w:t>
      </w:r>
      <w:r w:rsidRPr="00036FAC">
        <w:t>complaints</w:t>
      </w:r>
      <w:r w:rsidR="00907D8C">
        <w:t xml:space="preserve"> </w:t>
      </w:r>
      <w:r w:rsidRPr="00036FAC">
        <w:t>received</w:t>
      </w:r>
      <w:r w:rsidR="00907D8C">
        <w:t xml:space="preserve"> </w:t>
      </w:r>
      <w:r w:rsidRPr="00036FAC">
        <w:t>about</w:t>
      </w:r>
      <w:r w:rsidR="00907D8C">
        <w:t xml:space="preserve"> </w:t>
      </w:r>
      <w:r w:rsidRPr="00036FAC">
        <w:t>an</w:t>
      </w:r>
      <w:r w:rsidR="00907D8C">
        <w:t xml:space="preserve"> </w:t>
      </w:r>
      <w:r w:rsidRPr="00036FAC">
        <w:t>alleged</w:t>
      </w:r>
      <w:r w:rsidR="00907D8C">
        <w:t xml:space="preserve"> </w:t>
      </w:r>
      <w:r w:rsidRPr="00036FAC">
        <w:t>breach,</w:t>
      </w:r>
      <w:r w:rsidR="00907D8C">
        <w:t xml:space="preserve"> </w:t>
      </w:r>
      <w:r w:rsidRPr="00036FAC">
        <w:t>81</w:t>
      </w:r>
      <w:r w:rsidR="00907D8C">
        <w:t xml:space="preserve"> </w:t>
      </w:r>
      <w:r w:rsidRPr="00036FAC">
        <w:t>investigations</w:t>
      </w:r>
      <w:r w:rsidR="00907D8C">
        <w:t xml:space="preserve"> </w:t>
      </w:r>
      <w:r w:rsidRPr="00036FAC">
        <w:t>were</w:t>
      </w:r>
      <w:r w:rsidR="00907D8C">
        <w:t xml:space="preserve"> </w:t>
      </w:r>
      <w:r w:rsidRPr="00036FAC">
        <w:t>conducted</w:t>
      </w:r>
      <w:r w:rsidR="00907D8C">
        <w:t xml:space="preserve"> </w:t>
      </w:r>
      <w:r w:rsidRPr="00036FAC">
        <w:t>by</w:t>
      </w:r>
      <w:r w:rsidR="00907D8C">
        <w:t xml:space="preserve"> </w:t>
      </w:r>
      <w:r w:rsidRPr="00036FAC">
        <w:t>the</w:t>
      </w:r>
      <w:r w:rsidR="00907D8C">
        <w:t xml:space="preserve"> </w:t>
      </w:r>
      <w:r w:rsidRPr="00036FAC">
        <w:t>CEO</w:t>
      </w:r>
      <w:r w:rsidR="00907D8C">
        <w:t xml:space="preserve"> </w:t>
      </w:r>
      <w:r w:rsidRPr="00036FAC">
        <w:t>and</w:t>
      </w:r>
      <w:r w:rsidR="00907D8C">
        <w:t xml:space="preserve"> </w:t>
      </w:r>
      <w:r w:rsidRPr="00036FAC">
        <w:t>three</w:t>
      </w:r>
      <w:r w:rsidR="00907D8C">
        <w:t xml:space="preserve"> </w:t>
      </w:r>
      <w:r w:rsidRPr="00036FAC">
        <w:t>were</w:t>
      </w:r>
      <w:r w:rsidR="00907D8C">
        <w:t xml:space="preserve"> </w:t>
      </w:r>
      <w:r w:rsidRPr="00036FAC">
        <w:t>referred</w:t>
      </w:r>
      <w:r w:rsidR="00907D8C">
        <w:t xml:space="preserve"> </w:t>
      </w:r>
      <w:r w:rsidRPr="00036FAC">
        <w:t>to</w:t>
      </w:r>
      <w:r w:rsidR="00907D8C">
        <w:t xml:space="preserve"> </w:t>
      </w:r>
      <w:r w:rsidRPr="00036FAC">
        <w:t>the</w:t>
      </w:r>
      <w:r w:rsidR="00907D8C">
        <w:t xml:space="preserve"> </w:t>
      </w:r>
      <w:r w:rsidRPr="00036FAC">
        <w:t>Police.</w:t>
      </w:r>
      <w:r w:rsidR="00907D8C">
        <w:t xml:space="preserve"> </w:t>
      </w:r>
      <w:r w:rsidRPr="00036FAC">
        <w:t>No</w:t>
      </w:r>
      <w:r w:rsidR="00907D8C">
        <w:t xml:space="preserve"> </w:t>
      </w:r>
      <w:r w:rsidRPr="00036FAC">
        <w:t>prosecutions</w:t>
      </w:r>
      <w:r w:rsidR="00907D8C">
        <w:t xml:space="preserve"> </w:t>
      </w:r>
      <w:r w:rsidRPr="00036FAC">
        <w:t>proceeded.</w:t>
      </w:r>
      <w:r w:rsidR="00907D8C">
        <w:t xml:space="preserve"> </w:t>
      </w:r>
      <w:r w:rsidRPr="00036FAC">
        <w:t>In</w:t>
      </w:r>
      <w:r w:rsidR="00907D8C">
        <w:t xml:space="preserve"> </w:t>
      </w:r>
      <w:r w:rsidRPr="00036FAC">
        <w:t>addition,</w:t>
      </w:r>
      <w:r w:rsidR="00907D8C">
        <w:t xml:space="preserve"> </w:t>
      </w:r>
      <w:r w:rsidRPr="00036FAC">
        <w:t>the</w:t>
      </w:r>
      <w:r w:rsidR="00907D8C">
        <w:t xml:space="preserve"> </w:t>
      </w:r>
      <w:r w:rsidRPr="00036FAC">
        <w:t>CEO</w:t>
      </w:r>
      <w:r w:rsidR="00907D8C">
        <w:t xml:space="preserve"> </w:t>
      </w:r>
      <w:r w:rsidRPr="00036FAC">
        <w:t>initiated</w:t>
      </w:r>
      <w:r w:rsidR="00907D8C">
        <w:t xml:space="preserve"> </w:t>
      </w:r>
      <w:r w:rsidRPr="00036FAC">
        <w:t>investigations</w:t>
      </w:r>
      <w:r w:rsidR="00907D8C">
        <w:t xml:space="preserve"> </w:t>
      </w:r>
      <w:r w:rsidRPr="00036FAC">
        <w:t>into</w:t>
      </w:r>
      <w:r w:rsidR="00907D8C">
        <w:t xml:space="preserve"> </w:t>
      </w:r>
      <w:r w:rsidRPr="00036FAC">
        <w:t>suspected</w:t>
      </w:r>
      <w:r w:rsidR="00907D8C">
        <w:t xml:space="preserve"> </w:t>
      </w:r>
      <w:r w:rsidRPr="00036FAC">
        <w:t>cases</w:t>
      </w:r>
      <w:r w:rsidR="00907D8C">
        <w:t xml:space="preserve"> </w:t>
      </w:r>
      <w:r w:rsidRPr="00036FAC">
        <w:t>of</w:t>
      </w:r>
      <w:r w:rsidR="00907D8C">
        <w:t xml:space="preserve"> </w:t>
      </w:r>
      <w:r w:rsidRPr="00036FAC">
        <w:t>dual</w:t>
      </w:r>
      <w:r w:rsidR="00907D8C">
        <w:t xml:space="preserve"> </w:t>
      </w:r>
      <w:r w:rsidRPr="00036FAC">
        <w:t>voting</w:t>
      </w:r>
      <w:r w:rsidR="00907D8C">
        <w:t xml:space="preserve"> </w:t>
      </w:r>
      <w:r w:rsidRPr="00036FAC">
        <w:t>and</w:t>
      </w:r>
      <w:r w:rsidR="00907D8C">
        <w:t xml:space="preserve"> </w:t>
      </w:r>
      <w:r w:rsidRPr="00036FAC">
        <w:t>failure</w:t>
      </w:r>
      <w:r w:rsidR="00907D8C">
        <w:t xml:space="preserve"> </w:t>
      </w:r>
      <w:r w:rsidRPr="00036FAC">
        <w:t>to</w:t>
      </w:r>
      <w:r w:rsidR="00907D8C">
        <w:t xml:space="preserve"> </w:t>
      </w:r>
      <w:r w:rsidRPr="00036FAC">
        <w:t>file</w:t>
      </w:r>
      <w:r w:rsidR="00907D8C">
        <w:t xml:space="preserve"> </w:t>
      </w:r>
      <w:r w:rsidRPr="00036FAC">
        <w:t>candidate</w:t>
      </w:r>
      <w:r w:rsidR="00907D8C">
        <w:t xml:space="preserve"> </w:t>
      </w:r>
      <w:r w:rsidRPr="00036FAC">
        <w:t>returns</w:t>
      </w:r>
      <w:r w:rsidR="00907D8C">
        <w:t xml:space="preserve"> </w:t>
      </w:r>
      <w:r w:rsidRPr="00036FAC">
        <w:t>of</w:t>
      </w:r>
      <w:r w:rsidR="00907D8C">
        <w:t xml:space="preserve"> </w:t>
      </w:r>
      <w:r w:rsidRPr="00036FAC">
        <w:t>election</w:t>
      </w:r>
      <w:r w:rsidR="00907D8C">
        <w:t xml:space="preserve"> </w:t>
      </w:r>
      <w:r w:rsidRPr="00036FAC">
        <w:t>expenses</w:t>
      </w:r>
      <w:r w:rsidR="00907D8C">
        <w:t xml:space="preserve"> </w:t>
      </w:r>
      <w:r w:rsidRPr="00036FAC">
        <w:t>and</w:t>
      </w:r>
      <w:r w:rsidR="00907D8C">
        <w:t xml:space="preserve"> </w:t>
      </w:r>
      <w:r w:rsidRPr="00036FAC">
        <w:t>donations.</w:t>
      </w:r>
      <w:r w:rsidR="00907D8C">
        <w:t xml:space="preserve"> </w:t>
      </w:r>
      <w:r w:rsidR="003E4D94">
        <w:t>Fifty-</w:t>
      </w:r>
      <w:r w:rsidRPr="00036FAC">
        <w:t>eight</w:t>
      </w:r>
      <w:r w:rsidR="00907D8C">
        <w:t xml:space="preserve"> </w:t>
      </w:r>
      <w:r w:rsidRPr="00036FAC">
        <w:t>cases</w:t>
      </w:r>
      <w:r w:rsidR="00907D8C">
        <w:t xml:space="preserve"> </w:t>
      </w:r>
      <w:r w:rsidRPr="00036FAC">
        <w:t>of</w:t>
      </w:r>
      <w:r w:rsidR="00907D8C">
        <w:t xml:space="preserve"> </w:t>
      </w:r>
      <w:r w:rsidRPr="00036FAC">
        <w:t>apparent</w:t>
      </w:r>
      <w:r w:rsidR="00907D8C">
        <w:t xml:space="preserve"> </w:t>
      </w:r>
      <w:r w:rsidRPr="00036FAC">
        <w:t>dual</w:t>
      </w:r>
      <w:r w:rsidR="00907D8C">
        <w:t xml:space="preserve"> </w:t>
      </w:r>
      <w:r w:rsidRPr="00036FAC">
        <w:t>voting</w:t>
      </w:r>
      <w:r w:rsidR="00907D8C">
        <w:t xml:space="preserve"> </w:t>
      </w:r>
      <w:r w:rsidRPr="00036FAC">
        <w:t>were</w:t>
      </w:r>
      <w:r w:rsidR="00907D8C">
        <w:t xml:space="preserve"> </w:t>
      </w:r>
      <w:r w:rsidRPr="00036FAC">
        <w:t>referred</w:t>
      </w:r>
      <w:r w:rsidR="00907D8C">
        <w:t xml:space="preserve"> </w:t>
      </w:r>
      <w:r w:rsidRPr="00036FAC">
        <w:t>to</w:t>
      </w:r>
      <w:r w:rsidR="00907D8C">
        <w:t xml:space="preserve"> </w:t>
      </w:r>
      <w:r w:rsidRPr="00036FAC">
        <w:t>the</w:t>
      </w:r>
      <w:r w:rsidR="00907D8C">
        <w:t xml:space="preserve"> </w:t>
      </w:r>
      <w:r w:rsidRPr="00036FAC">
        <w:t>Police</w:t>
      </w:r>
      <w:r w:rsidR="00907D8C">
        <w:t xml:space="preserve"> </w:t>
      </w:r>
      <w:r w:rsidRPr="00036FAC">
        <w:t>for</w:t>
      </w:r>
      <w:r w:rsidR="00907D8C">
        <w:t xml:space="preserve"> </w:t>
      </w:r>
      <w:r w:rsidRPr="00036FAC">
        <w:t>further</w:t>
      </w:r>
      <w:r w:rsidR="00907D8C">
        <w:t xml:space="preserve"> </w:t>
      </w:r>
      <w:r w:rsidRPr="00036FAC">
        <w:t>investigation,</w:t>
      </w:r>
      <w:r w:rsidR="00907D8C">
        <w:t xml:space="preserve"> </w:t>
      </w:r>
      <w:r w:rsidRPr="00036FAC">
        <w:t>resulting</w:t>
      </w:r>
      <w:r w:rsidR="00907D8C">
        <w:t xml:space="preserve"> </w:t>
      </w:r>
      <w:r w:rsidRPr="00036FAC">
        <w:t>in</w:t>
      </w:r>
      <w:r w:rsidR="00907D8C">
        <w:t xml:space="preserve"> </w:t>
      </w:r>
      <w:r w:rsidRPr="00036FAC">
        <w:t>two</w:t>
      </w:r>
      <w:r w:rsidR="00907D8C">
        <w:t xml:space="preserve"> </w:t>
      </w:r>
      <w:r w:rsidRPr="00036FAC">
        <w:t>prosecutions.</w:t>
      </w:r>
      <w:r w:rsidR="00907D8C">
        <w:t xml:space="preserve"> </w:t>
      </w:r>
      <w:r w:rsidRPr="00036FAC">
        <w:t>Nine</w:t>
      </w:r>
      <w:r w:rsidR="00907D8C">
        <w:t xml:space="preserve"> </w:t>
      </w:r>
      <w:r w:rsidRPr="00036FAC">
        <w:t>cases</w:t>
      </w:r>
      <w:r w:rsidR="00907D8C">
        <w:t xml:space="preserve"> </w:t>
      </w:r>
      <w:r w:rsidRPr="00036FAC">
        <w:t>of</w:t>
      </w:r>
      <w:r w:rsidR="00907D8C">
        <w:t xml:space="preserve"> </w:t>
      </w:r>
      <w:r w:rsidRPr="00036FAC">
        <w:t>failure</w:t>
      </w:r>
      <w:r w:rsidR="00907D8C">
        <w:t xml:space="preserve"> </w:t>
      </w:r>
      <w:r w:rsidRPr="00036FAC">
        <w:t>to</w:t>
      </w:r>
      <w:r w:rsidR="00907D8C">
        <w:t xml:space="preserve"> </w:t>
      </w:r>
      <w:r w:rsidRPr="00036FAC">
        <w:t>file</w:t>
      </w:r>
      <w:r w:rsidR="00907D8C">
        <w:t xml:space="preserve"> </w:t>
      </w:r>
      <w:r w:rsidRPr="00036FAC">
        <w:t>candidate</w:t>
      </w:r>
      <w:r w:rsidR="00907D8C">
        <w:t xml:space="preserve"> </w:t>
      </w:r>
      <w:r w:rsidRPr="00036FAC">
        <w:t>returns</w:t>
      </w:r>
      <w:r w:rsidR="00907D8C">
        <w:t xml:space="preserve"> </w:t>
      </w:r>
      <w:r w:rsidRPr="00036FAC">
        <w:t>were</w:t>
      </w:r>
      <w:r w:rsidR="00907D8C">
        <w:t xml:space="preserve"> </w:t>
      </w:r>
      <w:r w:rsidRPr="00036FAC">
        <w:t>referred</w:t>
      </w:r>
      <w:r w:rsidR="00907D8C">
        <w:t xml:space="preserve"> </w:t>
      </w:r>
      <w:r w:rsidRPr="00036FAC">
        <w:t>to</w:t>
      </w:r>
      <w:r w:rsidR="00907D8C">
        <w:t xml:space="preserve"> </w:t>
      </w:r>
      <w:r w:rsidRPr="00036FAC">
        <w:t>the</w:t>
      </w:r>
      <w:r w:rsidR="00907D8C">
        <w:t xml:space="preserve"> </w:t>
      </w:r>
      <w:r w:rsidRPr="00036FAC">
        <w:t>Police,</w:t>
      </w:r>
      <w:r w:rsidR="00907D8C">
        <w:t xml:space="preserve"> </w:t>
      </w:r>
      <w:r w:rsidRPr="00036FAC">
        <w:t>resulting</w:t>
      </w:r>
      <w:r w:rsidR="00907D8C">
        <w:t xml:space="preserve"> </w:t>
      </w:r>
      <w:r w:rsidRPr="00036FAC">
        <w:t>in</w:t>
      </w:r>
      <w:r w:rsidR="00907D8C">
        <w:t xml:space="preserve"> </w:t>
      </w:r>
      <w:r w:rsidRPr="00036FAC">
        <w:t>two</w:t>
      </w:r>
      <w:r w:rsidR="00907D8C">
        <w:t xml:space="preserve"> </w:t>
      </w:r>
      <w:r w:rsidRPr="00036FAC">
        <w:t>prosecutions.</w:t>
      </w:r>
    </w:p>
    <w:p w:rsidR="00036FAC" w:rsidRPr="00036FAC" w:rsidRDefault="00036FAC" w:rsidP="00895D47">
      <w:pPr>
        <w:pStyle w:val="SingleTxtG"/>
      </w:pPr>
      <w:r w:rsidRPr="00036FAC">
        <w:t>122.</w:t>
      </w:r>
      <w:r w:rsidRPr="00036FAC">
        <w:tab/>
        <w:t>The</w:t>
      </w:r>
      <w:r w:rsidR="00907D8C">
        <w:t xml:space="preserve"> </w:t>
      </w:r>
      <w:r w:rsidRPr="00036FAC">
        <w:t>turnout</w:t>
      </w:r>
      <w:r w:rsidR="00907D8C">
        <w:t xml:space="preserve"> </w:t>
      </w:r>
      <w:r w:rsidRPr="00036FAC">
        <w:t>for</w:t>
      </w:r>
      <w:r w:rsidR="00907D8C">
        <w:t xml:space="preserve"> </w:t>
      </w:r>
      <w:r w:rsidRPr="00036FAC">
        <w:t>the</w:t>
      </w:r>
      <w:r w:rsidR="00907D8C">
        <w:t xml:space="preserve"> </w:t>
      </w:r>
      <w:r w:rsidRPr="00036FAC">
        <w:t>2008</w:t>
      </w:r>
      <w:r w:rsidR="00907D8C">
        <w:t xml:space="preserve"> </w:t>
      </w:r>
      <w:r w:rsidRPr="00036FAC">
        <w:t>general</w:t>
      </w:r>
      <w:r w:rsidR="00907D8C">
        <w:t xml:space="preserve"> </w:t>
      </w:r>
      <w:r w:rsidRPr="00036FAC">
        <w:t>election</w:t>
      </w:r>
      <w:r w:rsidR="00907D8C">
        <w:t xml:space="preserve"> </w:t>
      </w:r>
      <w:r w:rsidRPr="00036FAC">
        <w:t>was</w:t>
      </w:r>
      <w:r w:rsidR="00907D8C">
        <w:t xml:space="preserve"> </w:t>
      </w:r>
      <w:r w:rsidRPr="00036FAC">
        <w:t>79.46</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enrolled</w:t>
      </w:r>
      <w:r w:rsidR="00907D8C">
        <w:t xml:space="preserve"> </w:t>
      </w:r>
      <w:r w:rsidRPr="00036FAC">
        <w:t>voters.</w:t>
      </w:r>
      <w:r w:rsidR="00907D8C">
        <w:t xml:space="preserve"> </w:t>
      </w:r>
      <w:r w:rsidRPr="00036FAC">
        <w:t>Voter</w:t>
      </w:r>
      <w:r w:rsidR="00907D8C">
        <w:t xml:space="preserve"> </w:t>
      </w:r>
      <w:r w:rsidRPr="00036FAC">
        <w:t>turnout</w:t>
      </w:r>
      <w:r w:rsidR="00907D8C">
        <w:t xml:space="preserve"> </w:t>
      </w:r>
      <w:r w:rsidRPr="00036FAC">
        <w:t>in</w:t>
      </w:r>
      <w:r w:rsidR="00907D8C">
        <w:t xml:space="preserve"> </w:t>
      </w:r>
      <w:r w:rsidRPr="00036FAC">
        <w:t>the</w:t>
      </w:r>
      <w:r w:rsidR="00907D8C">
        <w:t xml:space="preserve"> </w:t>
      </w:r>
      <w:r w:rsidRPr="00036FAC">
        <w:t>2007</w:t>
      </w:r>
      <w:r w:rsidR="00907D8C">
        <w:t xml:space="preserve"> </w:t>
      </w:r>
      <w:r w:rsidRPr="00036FAC">
        <w:t>local</w:t>
      </w:r>
      <w:r w:rsidR="00907D8C">
        <w:t xml:space="preserve"> </w:t>
      </w:r>
      <w:r w:rsidRPr="00036FAC">
        <w:t>authority</w:t>
      </w:r>
      <w:r w:rsidR="00907D8C">
        <w:t xml:space="preserve"> </w:t>
      </w:r>
      <w:r w:rsidRPr="00036FAC">
        <w:t>elections</w:t>
      </w:r>
      <w:r w:rsidR="00907D8C">
        <w:t xml:space="preserve"> </w:t>
      </w:r>
      <w:r w:rsidRPr="00036FAC">
        <w:t>was</w:t>
      </w:r>
      <w:r w:rsidR="00907D8C">
        <w:t xml:space="preserve"> </w:t>
      </w:r>
      <w:r w:rsidRPr="00036FAC">
        <w:t>44</w:t>
      </w:r>
      <w:r w:rsidR="00907D8C">
        <w:t xml:space="preserve"> </w:t>
      </w:r>
      <w:r w:rsidR="00AE58B5">
        <w:t>per</w:t>
      </w:r>
      <w:r w:rsidR="00907D8C">
        <w:t xml:space="preserve"> </w:t>
      </w:r>
      <w:r w:rsidR="00AE58B5">
        <w:t>cent</w:t>
      </w:r>
      <w:r w:rsidRPr="00036FAC">
        <w:t>.</w:t>
      </w:r>
      <w:r w:rsidR="00907D8C">
        <w:t xml:space="preserve"> </w:t>
      </w:r>
      <w:r w:rsidRPr="00036FAC">
        <w:t>National</w:t>
      </w:r>
      <w:r w:rsidR="00907D8C">
        <w:t xml:space="preserve"> </w:t>
      </w:r>
      <w:r w:rsidRPr="00036FAC">
        <w:t>and</w:t>
      </w:r>
      <w:r w:rsidR="00907D8C">
        <w:t xml:space="preserve"> </w:t>
      </w:r>
      <w:r w:rsidR="003E4D94">
        <w:t>sub-</w:t>
      </w:r>
      <w:r w:rsidRPr="00036FAC">
        <w:t>national</w:t>
      </w:r>
      <w:r w:rsidR="00907D8C">
        <w:t xml:space="preserve"> </w:t>
      </w:r>
      <w:r w:rsidRPr="00036FAC">
        <w:t>elections</w:t>
      </w:r>
      <w:r w:rsidR="00907D8C">
        <w:t xml:space="preserve"> </w:t>
      </w:r>
      <w:r w:rsidRPr="00036FAC">
        <w:t>are</w:t>
      </w:r>
      <w:r w:rsidR="00907D8C">
        <w:t xml:space="preserve"> </w:t>
      </w:r>
      <w:r w:rsidRPr="00036FAC">
        <w:t>held</w:t>
      </w:r>
      <w:r w:rsidR="00907D8C">
        <w:t xml:space="preserve"> </w:t>
      </w:r>
      <w:r w:rsidRPr="00036FAC">
        <w:t>within</w:t>
      </w:r>
      <w:r w:rsidR="00907D8C">
        <w:t xml:space="preserve"> </w:t>
      </w:r>
      <w:r w:rsidRPr="00036FAC">
        <w:t>schedules</w:t>
      </w:r>
      <w:r w:rsidR="00907D8C">
        <w:t xml:space="preserve"> </w:t>
      </w:r>
      <w:r w:rsidRPr="00036FAC">
        <w:t>laid</w:t>
      </w:r>
      <w:r w:rsidR="00907D8C">
        <w:t xml:space="preserve"> </w:t>
      </w:r>
      <w:r w:rsidRPr="00036FAC">
        <w:t>out</w:t>
      </w:r>
      <w:r w:rsidR="00907D8C">
        <w:t xml:space="preserve"> </w:t>
      </w:r>
      <w:r w:rsidRPr="00036FAC">
        <w:t>by</w:t>
      </w:r>
      <w:r w:rsidR="00907D8C">
        <w:t xml:space="preserve"> </w:t>
      </w:r>
      <w:r w:rsidRPr="00036FAC">
        <w:t>law.</w:t>
      </w:r>
    </w:p>
    <w:p w:rsidR="00036FAC" w:rsidRPr="00036FAC" w:rsidRDefault="00036FAC" w:rsidP="00895D47">
      <w:pPr>
        <w:pStyle w:val="SingleTxtG"/>
      </w:pPr>
      <w:r w:rsidRPr="00036FAC">
        <w:t>123.</w:t>
      </w:r>
      <w:r w:rsidRPr="00036FAC">
        <w:tab/>
        <w:t>Parliamentary</w:t>
      </w:r>
      <w:r w:rsidR="00907D8C">
        <w:t xml:space="preserve"> </w:t>
      </w:r>
      <w:r w:rsidRPr="00036FAC">
        <w:t>seats</w:t>
      </w:r>
      <w:r w:rsidR="00907D8C">
        <w:t xml:space="preserve"> </w:t>
      </w:r>
      <w:r w:rsidRPr="00036FAC">
        <w:t>are</w:t>
      </w:r>
      <w:r w:rsidR="00907D8C">
        <w:t xml:space="preserve"> </w:t>
      </w:r>
      <w:r w:rsidRPr="00036FAC">
        <w:t>currently</w:t>
      </w:r>
      <w:r w:rsidR="00907D8C">
        <w:t xml:space="preserve"> </w:t>
      </w:r>
      <w:r w:rsidRPr="00036FAC">
        <w:t>distributed</w:t>
      </w:r>
      <w:r w:rsidR="00907D8C">
        <w:t xml:space="preserve"> </w:t>
      </w:r>
      <w:r w:rsidRPr="00036FAC">
        <w:t>as</w:t>
      </w:r>
      <w:r w:rsidR="00907D8C">
        <w:t xml:space="preserve"> </w:t>
      </w:r>
      <w:r w:rsidRPr="00036FAC">
        <w:t>follows:</w:t>
      </w:r>
      <w:r w:rsidR="00907D8C">
        <w:t xml:space="preserve"> </w:t>
      </w:r>
      <w:r w:rsidRPr="00036FAC">
        <w:t>National</w:t>
      </w:r>
      <w:r w:rsidR="00907D8C">
        <w:t xml:space="preserve"> </w:t>
      </w:r>
      <w:r w:rsidRPr="00036FAC">
        <w:t>Party</w:t>
      </w:r>
      <w:r w:rsidR="00907D8C">
        <w:t xml:space="preserve"> </w:t>
      </w:r>
      <w:r w:rsidRPr="00036FAC">
        <w:t>58,</w:t>
      </w:r>
      <w:r w:rsidR="00907D8C">
        <w:t xml:space="preserve"> </w:t>
      </w:r>
      <w:r w:rsidRPr="00036FAC">
        <w:t>Labour</w:t>
      </w:r>
      <w:r w:rsidR="00907D8C">
        <w:t xml:space="preserve"> </w:t>
      </w:r>
      <w:r w:rsidRPr="00036FAC">
        <w:t>Party</w:t>
      </w:r>
      <w:r w:rsidR="00907D8C">
        <w:t xml:space="preserve"> </w:t>
      </w:r>
      <w:r w:rsidRPr="00036FAC">
        <w:t>43,</w:t>
      </w:r>
      <w:r w:rsidR="00907D8C">
        <w:t xml:space="preserve"> </w:t>
      </w:r>
      <w:r w:rsidRPr="00036FAC">
        <w:t>Green</w:t>
      </w:r>
      <w:r w:rsidR="00907D8C">
        <w:t xml:space="preserve"> </w:t>
      </w:r>
      <w:r w:rsidRPr="00036FAC">
        <w:t>Party</w:t>
      </w:r>
      <w:r w:rsidR="00907D8C">
        <w:t xml:space="preserve"> </w:t>
      </w:r>
      <w:r w:rsidRPr="00036FAC">
        <w:t>9,</w:t>
      </w:r>
      <w:r w:rsidR="00907D8C">
        <w:t xml:space="preserve"> </w:t>
      </w:r>
      <w:r w:rsidRPr="00036FAC">
        <w:t>ACT</w:t>
      </w:r>
      <w:r w:rsidR="00907D8C">
        <w:t xml:space="preserve"> </w:t>
      </w:r>
      <w:r w:rsidRPr="00036FAC">
        <w:t>New</w:t>
      </w:r>
      <w:r w:rsidR="00907D8C">
        <w:t xml:space="preserve"> </w:t>
      </w:r>
      <w:r w:rsidRPr="00036FAC">
        <w:t>Zealand</w:t>
      </w:r>
      <w:r w:rsidR="00907D8C">
        <w:t xml:space="preserve"> </w:t>
      </w:r>
      <w:r w:rsidRPr="00036FAC">
        <w:t>5,</w:t>
      </w:r>
      <w:r w:rsidR="00907D8C">
        <w:t xml:space="preserve"> </w:t>
      </w:r>
      <w:r w:rsidRPr="00036FAC">
        <w:t>Māori</w:t>
      </w:r>
      <w:r w:rsidR="00907D8C">
        <w:t xml:space="preserve"> </w:t>
      </w:r>
      <w:r w:rsidRPr="00036FAC">
        <w:t>Party</w:t>
      </w:r>
      <w:r w:rsidR="00907D8C">
        <w:t xml:space="preserve"> </w:t>
      </w:r>
      <w:r w:rsidRPr="00036FAC">
        <w:t>5,</w:t>
      </w:r>
      <w:r w:rsidR="00907D8C">
        <w:t xml:space="preserve"> </w:t>
      </w:r>
      <w:r w:rsidRPr="00036FAC">
        <w:t>Jim</w:t>
      </w:r>
      <w:r w:rsidR="00907D8C">
        <w:t xml:space="preserve"> </w:t>
      </w:r>
      <w:r w:rsidRPr="00036FAC">
        <w:t>Anderton</w:t>
      </w:r>
      <w:r w:rsidR="003E4D94">
        <w:t>’</w:t>
      </w:r>
      <w:r w:rsidRPr="00036FAC">
        <w:t>s</w:t>
      </w:r>
      <w:r w:rsidR="00907D8C">
        <w:t xml:space="preserve"> </w:t>
      </w:r>
      <w:r w:rsidRPr="00036FAC">
        <w:t>Progressive</w:t>
      </w:r>
      <w:r w:rsidR="00907D8C">
        <w:t xml:space="preserve"> </w:t>
      </w:r>
      <w:r w:rsidRPr="00036FAC">
        <w:t>Party</w:t>
      </w:r>
      <w:r w:rsidR="00907D8C">
        <w:t xml:space="preserve"> </w:t>
      </w:r>
      <w:r w:rsidRPr="00036FAC">
        <w:t>1,</w:t>
      </w:r>
      <w:r w:rsidR="00907D8C">
        <w:t xml:space="preserve"> </w:t>
      </w:r>
      <w:r w:rsidRPr="00036FAC">
        <w:t>and</w:t>
      </w:r>
      <w:r w:rsidR="00907D8C">
        <w:t xml:space="preserve"> </w:t>
      </w:r>
      <w:r w:rsidRPr="00036FAC">
        <w:t>United</w:t>
      </w:r>
      <w:r w:rsidR="00907D8C">
        <w:t xml:space="preserve"> </w:t>
      </w:r>
      <w:r w:rsidRPr="00036FAC">
        <w:t>Future</w:t>
      </w:r>
      <w:r w:rsidR="00907D8C">
        <w:t xml:space="preserve"> </w:t>
      </w:r>
      <w:r w:rsidRPr="00036FAC">
        <w:t>1.</w:t>
      </w:r>
    </w:p>
    <w:p w:rsidR="00036FAC" w:rsidRPr="00036FAC" w:rsidRDefault="00036FAC" w:rsidP="006C436C">
      <w:pPr>
        <w:pStyle w:val="H23G"/>
      </w:pPr>
      <w:r w:rsidRPr="00036FAC">
        <w:tab/>
        <w:t>17.</w:t>
      </w:r>
      <w:r w:rsidRPr="00036FAC">
        <w:tab/>
        <w:t>Media</w:t>
      </w:r>
      <w:r w:rsidR="00907D8C">
        <w:t xml:space="preserve"> </w:t>
      </w:r>
      <w:r w:rsidRPr="00036FAC">
        <w:t>ownership</w:t>
      </w:r>
    </w:p>
    <w:p w:rsidR="00036FAC" w:rsidRPr="00036FAC" w:rsidRDefault="00036FAC" w:rsidP="00895D47">
      <w:pPr>
        <w:pStyle w:val="SingleTxtG"/>
      </w:pPr>
      <w:r w:rsidRPr="00036FAC">
        <w:t>124.</w:t>
      </w:r>
      <w:r w:rsidRPr="00036FAC">
        <w:tab/>
        <w:t>Of</w:t>
      </w:r>
      <w:r w:rsidR="00907D8C">
        <w:t xml:space="preserve"> </w:t>
      </w:r>
      <w:r w:rsidRPr="00036FAC">
        <w:t>the</w:t>
      </w:r>
      <w:r w:rsidR="00907D8C">
        <w:t xml:space="preserve"> </w:t>
      </w:r>
      <w:r w:rsidRPr="00036FAC">
        <w:t>six</w:t>
      </w:r>
      <w:r w:rsidR="00907D8C">
        <w:t xml:space="preserve"> </w:t>
      </w:r>
      <w:r w:rsidRPr="00036FAC">
        <w:t>main</w:t>
      </w:r>
      <w:r w:rsidR="00907D8C">
        <w:t xml:space="preserve"> </w:t>
      </w:r>
      <w:r w:rsidRPr="00036FAC">
        <w:t>free-to-air</w:t>
      </w:r>
      <w:r w:rsidR="00907D8C">
        <w:t xml:space="preserve"> </w:t>
      </w:r>
      <w:r w:rsidRPr="00036FAC">
        <w:t>television</w:t>
      </w:r>
      <w:r w:rsidR="00907D8C">
        <w:t xml:space="preserve"> </w:t>
      </w:r>
      <w:r w:rsidRPr="00036FAC">
        <w:t>channels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three</w:t>
      </w:r>
      <w:r w:rsidR="00907D8C">
        <w:t xml:space="preserve"> </w:t>
      </w:r>
      <w:r w:rsidRPr="00036FAC">
        <w:t>(TV</w:t>
      </w:r>
      <w:r w:rsidR="00907D8C">
        <w:t xml:space="preserve"> </w:t>
      </w:r>
      <w:r w:rsidRPr="00036FAC">
        <w:t>One,</w:t>
      </w:r>
      <w:r w:rsidR="00907D8C">
        <w:t xml:space="preserve"> </w:t>
      </w:r>
      <w:r w:rsidRPr="00036FAC">
        <w:t>TV2,</w:t>
      </w:r>
      <w:r w:rsidR="00907D8C">
        <w:t xml:space="preserve"> </w:t>
      </w:r>
      <w:r w:rsidRPr="00036FAC">
        <w:t>and</w:t>
      </w:r>
      <w:r w:rsidR="00907D8C">
        <w:t xml:space="preserve"> </w:t>
      </w:r>
      <w:r w:rsidRPr="00036FAC">
        <w:t>Māori</w:t>
      </w:r>
      <w:r w:rsidR="00907D8C">
        <w:t xml:space="preserve"> </w:t>
      </w:r>
      <w:r w:rsidRPr="00036FAC">
        <w:t>Television)</w:t>
      </w:r>
      <w:r w:rsidR="00907D8C">
        <w:t xml:space="preserve"> </w:t>
      </w:r>
      <w:r w:rsidRPr="00036FAC">
        <w:t>are</w:t>
      </w:r>
      <w:r w:rsidR="00907D8C">
        <w:t xml:space="preserve"> </w:t>
      </w:r>
      <w:r w:rsidRPr="00036FAC">
        <w:t>government-owned</w:t>
      </w:r>
      <w:r w:rsidR="00907D8C">
        <w:t xml:space="preserve"> </w:t>
      </w:r>
      <w:r w:rsidRPr="00036FAC">
        <w:t>and</w:t>
      </w:r>
      <w:r w:rsidR="00907D8C">
        <w:t xml:space="preserve"> </w:t>
      </w:r>
      <w:r w:rsidRPr="00036FAC">
        <w:t>three</w:t>
      </w:r>
      <w:r w:rsidR="00907D8C">
        <w:t xml:space="preserve"> </w:t>
      </w:r>
      <w:r w:rsidRPr="00036FAC">
        <w:t>(TV3,</w:t>
      </w:r>
      <w:r w:rsidR="00907D8C">
        <w:t xml:space="preserve"> </w:t>
      </w:r>
      <w:r w:rsidRPr="00036FAC">
        <w:t>C4,</w:t>
      </w:r>
      <w:r w:rsidR="00907D8C">
        <w:t xml:space="preserve"> </w:t>
      </w:r>
      <w:r w:rsidRPr="00036FAC">
        <w:t>and</w:t>
      </w:r>
      <w:r w:rsidR="00907D8C">
        <w:t xml:space="preserve"> </w:t>
      </w:r>
      <w:r w:rsidRPr="00036FAC">
        <w:t>Prime)</w:t>
      </w:r>
      <w:r w:rsidR="00907D8C">
        <w:t xml:space="preserve"> </w:t>
      </w:r>
      <w:r w:rsidRPr="00036FAC">
        <w:t>are</w:t>
      </w:r>
      <w:r w:rsidR="00907D8C">
        <w:t xml:space="preserve"> </w:t>
      </w:r>
      <w:r w:rsidRPr="00036FAC">
        <w:t>private</w:t>
      </w:r>
      <w:r w:rsidR="00907D8C">
        <w:t xml:space="preserve"> </w:t>
      </w:r>
      <w:r w:rsidRPr="00036FAC">
        <w:t>operations.</w:t>
      </w:r>
      <w:r w:rsidR="00907D8C">
        <w:t xml:space="preserve"> </w:t>
      </w:r>
      <w:r w:rsidRPr="00036FAC">
        <w:t>TV</w:t>
      </w:r>
      <w:r w:rsidR="00907D8C">
        <w:t xml:space="preserve"> </w:t>
      </w:r>
      <w:r w:rsidRPr="00036FAC">
        <w:t>One</w:t>
      </w:r>
      <w:r w:rsidR="00907D8C">
        <w:t xml:space="preserve"> </w:t>
      </w:r>
      <w:r w:rsidRPr="00036FAC">
        <w:t>and</w:t>
      </w:r>
      <w:r w:rsidR="00907D8C">
        <w:t xml:space="preserve"> </w:t>
      </w:r>
      <w:r w:rsidRPr="00036FAC">
        <w:t>TV2</w:t>
      </w:r>
      <w:r w:rsidR="00907D8C">
        <w:t xml:space="preserve"> </w:t>
      </w:r>
      <w:r w:rsidRPr="00036FAC">
        <w:t>rely</w:t>
      </w:r>
      <w:r w:rsidR="00907D8C">
        <w:t xml:space="preserve"> </w:t>
      </w:r>
      <w:r w:rsidRPr="00036FAC">
        <w:t>on</w:t>
      </w:r>
      <w:r w:rsidR="00907D8C">
        <w:t xml:space="preserve"> </w:t>
      </w:r>
      <w:r w:rsidRPr="00036FAC">
        <w:t>advertising</w:t>
      </w:r>
      <w:r w:rsidR="00907D8C">
        <w:t xml:space="preserve"> </w:t>
      </w:r>
      <w:r w:rsidRPr="00036FAC">
        <w:t>revenue</w:t>
      </w:r>
      <w:r w:rsidR="00907D8C">
        <w:t xml:space="preserve"> </w:t>
      </w:r>
      <w:r w:rsidRPr="00036FAC">
        <w:t>for</w:t>
      </w:r>
      <w:r w:rsidR="00907D8C">
        <w:t xml:space="preserve"> </w:t>
      </w:r>
      <w:r w:rsidRPr="00036FAC">
        <w:t>the</w:t>
      </w:r>
      <w:r w:rsidR="00907D8C">
        <w:t xml:space="preserve"> </w:t>
      </w:r>
      <w:r w:rsidRPr="00036FAC">
        <w:t>bulk</w:t>
      </w:r>
      <w:r w:rsidR="00907D8C">
        <w:t xml:space="preserve"> </w:t>
      </w:r>
      <w:r w:rsidRPr="00036FAC">
        <w:t>of</w:t>
      </w:r>
      <w:r w:rsidR="00907D8C">
        <w:t xml:space="preserve"> </w:t>
      </w:r>
      <w:r w:rsidRPr="00036FAC">
        <w:t>their</w:t>
      </w:r>
      <w:r w:rsidR="00907D8C">
        <w:t xml:space="preserve"> </w:t>
      </w:r>
      <w:r w:rsidRPr="00036FAC">
        <w:t>income.</w:t>
      </w:r>
      <w:r w:rsidR="00907D8C">
        <w:t xml:space="preserve"> </w:t>
      </w:r>
      <w:r w:rsidRPr="00036FAC">
        <w:t>The</w:t>
      </w:r>
      <w:r w:rsidR="00907D8C">
        <w:t xml:space="preserve"> </w:t>
      </w:r>
      <w:r w:rsidRPr="00036FAC">
        <w:t>Māori</w:t>
      </w:r>
      <w:r w:rsidR="00907D8C">
        <w:t xml:space="preserve"> </w:t>
      </w:r>
      <w:r w:rsidRPr="00036FAC">
        <w:t>Television</w:t>
      </w:r>
      <w:r w:rsidR="00907D8C">
        <w:t xml:space="preserve"> </w:t>
      </w:r>
      <w:r w:rsidRPr="00036FAC">
        <w:t>Service,</w:t>
      </w:r>
      <w:r w:rsidR="00907D8C">
        <w:t xml:space="preserve"> </w:t>
      </w:r>
      <w:r w:rsidRPr="00036FAC">
        <w:t>launched</w:t>
      </w:r>
      <w:r w:rsidR="00907D8C">
        <w:t xml:space="preserve"> </w:t>
      </w:r>
      <w:r w:rsidRPr="00036FAC">
        <w:t>in</w:t>
      </w:r>
      <w:r w:rsidR="00907D8C">
        <w:t xml:space="preserve"> </w:t>
      </w:r>
      <w:r w:rsidRPr="00036FAC">
        <w:t>2004,</w:t>
      </w:r>
      <w:r w:rsidR="00907D8C">
        <w:t xml:space="preserve"> </w:t>
      </w:r>
      <w:r w:rsidRPr="00036FAC">
        <w:t>is</w:t>
      </w:r>
      <w:r w:rsidR="00907D8C">
        <w:t xml:space="preserve"> </w:t>
      </w:r>
      <w:r w:rsidRPr="00036FAC">
        <w:t>substantially</w:t>
      </w:r>
      <w:r w:rsidR="00907D8C">
        <w:t xml:space="preserve"> </w:t>
      </w:r>
      <w:r w:rsidRPr="00036FAC">
        <w:t>government-funded.</w:t>
      </w:r>
      <w:r w:rsidR="00907D8C">
        <w:t xml:space="preserve"> </w:t>
      </w:r>
      <w:r w:rsidRPr="00036FAC">
        <w:t>It</w:t>
      </w:r>
      <w:r w:rsidR="00907D8C">
        <w:t xml:space="preserve"> </w:t>
      </w:r>
      <w:r w:rsidRPr="00036FAC">
        <w:t>attracts</w:t>
      </w:r>
      <w:r w:rsidR="00907D8C">
        <w:t xml:space="preserve"> </w:t>
      </w:r>
      <w:r w:rsidRPr="00036FAC">
        <w:t>many</w:t>
      </w:r>
      <w:r w:rsidR="00907D8C">
        <w:t xml:space="preserve"> </w:t>
      </w:r>
      <w:r w:rsidRPr="00036FAC">
        <w:t>non-Māori</w:t>
      </w:r>
      <w:r w:rsidR="00907D8C">
        <w:t xml:space="preserve"> </w:t>
      </w:r>
      <w:r w:rsidRPr="00036FAC">
        <w:t>viewers.</w:t>
      </w:r>
      <w:r w:rsidR="00907D8C">
        <w:t xml:space="preserve"> </w:t>
      </w:r>
      <w:r w:rsidRPr="00036FAC">
        <w:t>Two</w:t>
      </w:r>
      <w:r w:rsidR="00907D8C">
        <w:t xml:space="preserve"> </w:t>
      </w:r>
      <w:r w:rsidRPr="00036FAC">
        <w:t>large</w:t>
      </w:r>
      <w:r w:rsidR="00907D8C">
        <w:t xml:space="preserve"> </w:t>
      </w:r>
      <w:r w:rsidRPr="00036FAC">
        <w:t>privately</w:t>
      </w:r>
      <w:r w:rsidR="00907D8C">
        <w:t xml:space="preserve"> </w:t>
      </w:r>
      <w:r w:rsidRPr="00036FAC">
        <w:t>owned</w:t>
      </w:r>
      <w:r w:rsidR="00907D8C">
        <w:t xml:space="preserve"> </w:t>
      </w:r>
      <w:r w:rsidRPr="00036FAC">
        <w:t>radio</w:t>
      </w:r>
      <w:r w:rsidR="00907D8C">
        <w:t xml:space="preserve"> </w:t>
      </w:r>
      <w:r w:rsidRPr="00036FAC">
        <w:t>networks</w:t>
      </w:r>
      <w:r w:rsidR="00907D8C">
        <w:t xml:space="preserve"> </w:t>
      </w:r>
      <w:r w:rsidRPr="00036FAC">
        <w:t>attract</w:t>
      </w:r>
      <w:r w:rsidR="00907D8C">
        <w:t xml:space="preserve"> </w:t>
      </w:r>
      <w:r w:rsidRPr="00036FAC">
        <w:t>the</w:t>
      </w:r>
      <w:r w:rsidR="00907D8C">
        <w:t xml:space="preserve"> </w:t>
      </w:r>
      <w:r w:rsidRPr="00036FAC">
        <w:t>majority</w:t>
      </w:r>
      <w:r w:rsidR="00907D8C">
        <w:t xml:space="preserve"> </w:t>
      </w:r>
      <w:r w:rsidRPr="00036FAC">
        <w:t>of</w:t>
      </w:r>
      <w:r w:rsidR="00907D8C">
        <w:t xml:space="preserve"> </w:t>
      </w:r>
      <w:r w:rsidRPr="00036FAC">
        <w:t>radio</w:t>
      </w:r>
      <w:r w:rsidR="00907D8C">
        <w:t xml:space="preserve"> </w:t>
      </w:r>
      <w:r w:rsidRPr="00036FAC">
        <w:t>listeners.</w:t>
      </w:r>
      <w:r w:rsidR="00907D8C">
        <w:t xml:space="preserve"> </w:t>
      </w:r>
      <w:r w:rsidRPr="00036FAC">
        <w:t>Non-commercial</w:t>
      </w:r>
      <w:r w:rsidR="00907D8C">
        <w:t xml:space="preserve"> </w:t>
      </w:r>
      <w:r w:rsidRPr="00036FAC">
        <w:t>and</w:t>
      </w:r>
      <w:r w:rsidR="00907D8C">
        <w:t xml:space="preserve"> </w:t>
      </w:r>
      <w:r w:rsidRPr="00036FAC">
        <w:t>public</w:t>
      </w:r>
      <w:r w:rsidR="00907D8C">
        <w:t xml:space="preserve"> </w:t>
      </w:r>
      <w:r w:rsidRPr="00036FAC">
        <w:t>radio</w:t>
      </w:r>
      <w:r w:rsidR="00907D8C">
        <w:t xml:space="preserve"> </w:t>
      </w:r>
      <w:r w:rsidRPr="00036FAC">
        <w:t>networks</w:t>
      </w:r>
      <w:r w:rsidR="00907D8C">
        <w:t xml:space="preserve"> </w:t>
      </w:r>
      <w:r w:rsidRPr="00036FAC">
        <w:t>are</w:t>
      </w:r>
      <w:r w:rsidR="00907D8C">
        <w:t xml:space="preserve"> </w:t>
      </w:r>
      <w:r w:rsidRPr="00036FAC">
        <w:t>government-funded</w:t>
      </w:r>
      <w:r w:rsidR="00907D8C">
        <w:t xml:space="preserve"> </w:t>
      </w:r>
      <w:r w:rsidRPr="00036FAC">
        <w:t>through</w:t>
      </w:r>
      <w:r w:rsidR="00907D8C">
        <w:t xml:space="preserve"> </w:t>
      </w:r>
      <w:r w:rsidRPr="00036FAC">
        <w:t>New</w:t>
      </w:r>
      <w:r w:rsidR="00907D8C">
        <w:t xml:space="preserve"> </w:t>
      </w:r>
      <w:r w:rsidRPr="00036FAC">
        <w:t>Zealand</w:t>
      </w:r>
      <w:r w:rsidR="00907D8C">
        <w:t xml:space="preserve"> </w:t>
      </w:r>
      <w:r w:rsidRPr="00036FAC">
        <w:t>On</w:t>
      </w:r>
      <w:r w:rsidR="00907D8C">
        <w:t xml:space="preserve"> </w:t>
      </w:r>
      <w:r w:rsidRPr="00036FAC">
        <w:t>Air,</w:t>
      </w:r>
      <w:r w:rsidR="00907D8C">
        <w:t xml:space="preserve"> </w:t>
      </w:r>
      <w:r w:rsidRPr="00036FAC">
        <w:t>an</w:t>
      </w:r>
      <w:r w:rsidR="00907D8C">
        <w:t xml:space="preserve"> </w:t>
      </w:r>
      <w:r w:rsidRPr="00036FAC">
        <w:t>arm</w:t>
      </w:r>
      <w:r w:rsidR="003E4D94">
        <w:t>’</w:t>
      </w:r>
      <w:r w:rsidRPr="00036FAC">
        <w:t>s-length</w:t>
      </w:r>
      <w:r w:rsidR="00907D8C">
        <w:t xml:space="preserve"> </w:t>
      </w:r>
      <w:r w:rsidRPr="00036FAC">
        <w:t>Crown</w:t>
      </w:r>
      <w:r w:rsidR="00907D8C">
        <w:t xml:space="preserve"> </w:t>
      </w:r>
      <w:r w:rsidRPr="00036FAC">
        <w:t>entity,</w:t>
      </w:r>
      <w:r w:rsidR="00907D8C">
        <w:t xml:space="preserve"> </w:t>
      </w:r>
      <w:r w:rsidRPr="00036FAC">
        <w:t>which</w:t>
      </w:r>
      <w:r w:rsidR="00907D8C">
        <w:t xml:space="preserve"> </w:t>
      </w:r>
      <w:r w:rsidRPr="00036FAC">
        <w:t>also</w:t>
      </w:r>
      <w:r w:rsidR="00907D8C">
        <w:t xml:space="preserve"> </w:t>
      </w:r>
      <w:r w:rsidRPr="00036FAC">
        <w:t>allocates</w:t>
      </w:r>
      <w:r w:rsidR="00907D8C">
        <w:t xml:space="preserve"> </w:t>
      </w:r>
      <w:r w:rsidRPr="00036FAC">
        <w:t>funding</w:t>
      </w:r>
      <w:r w:rsidR="00907D8C">
        <w:t xml:space="preserve"> </w:t>
      </w:r>
      <w:r w:rsidRPr="00036FAC">
        <w:t>contestably</w:t>
      </w:r>
      <w:r w:rsidR="00907D8C">
        <w:t xml:space="preserve"> </w:t>
      </w:r>
      <w:r w:rsidRPr="00036FAC">
        <w:t>for</w:t>
      </w:r>
      <w:r w:rsidR="00907D8C">
        <w:t xml:space="preserve"> </w:t>
      </w:r>
      <w:r w:rsidRPr="00036FAC">
        <w:t>the</w:t>
      </w:r>
      <w:r w:rsidR="00907D8C">
        <w:t xml:space="preserve"> </w:t>
      </w:r>
      <w:r w:rsidRPr="00036FAC">
        <w:t>production</w:t>
      </w:r>
      <w:r w:rsidR="00907D8C">
        <w:t xml:space="preserve"> </w:t>
      </w:r>
      <w:r w:rsidRPr="00036FAC">
        <w:t>of</w:t>
      </w:r>
      <w:r w:rsidR="00907D8C">
        <w:t xml:space="preserve"> </w:t>
      </w:r>
      <w:r w:rsidRPr="00036FAC">
        <w:t>local</w:t>
      </w:r>
      <w:r w:rsidR="00907D8C">
        <w:t xml:space="preserve"> </w:t>
      </w:r>
      <w:r w:rsidRPr="00036FAC">
        <w:t>programmes</w:t>
      </w:r>
      <w:r w:rsidR="00907D8C">
        <w:t xml:space="preserve"> </w:t>
      </w:r>
      <w:r w:rsidRPr="00036FAC">
        <w:t>screened</w:t>
      </w:r>
      <w:r w:rsidR="00907D8C">
        <w:t xml:space="preserve"> </w:t>
      </w:r>
      <w:r w:rsidRPr="00036FAC">
        <w:t>on</w:t>
      </w:r>
      <w:r w:rsidR="00907D8C">
        <w:t xml:space="preserve"> </w:t>
      </w:r>
      <w:r w:rsidRPr="00036FAC">
        <w:t>all</w:t>
      </w:r>
      <w:r w:rsidR="00907D8C">
        <w:t xml:space="preserve"> </w:t>
      </w:r>
      <w:r w:rsidRPr="00036FAC">
        <w:t>the</w:t>
      </w:r>
      <w:r w:rsidR="00907D8C">
        <w:t xml:space="preserve"> </w:t>
      </w:r>
      <w:r w:rsidRPr="00036FAC">
        <w:t>main</w:t>
      </w:r>
      <w:r w:rsidR="00907D8C">
        <w:t xml:space="preserve"> </w:t>
      </w:r>
      <w:r w:rsidRPr="00036FAC">
        <w:t>free-to-air</w:t>
      </w:r>
      <w:r w:rsidR="00907D8C">
        <w:t xml:space="preserve"> </w:t>
      </w:r>
      <w:r w:rsidRPr="00036FAC">
        <w:t>television</w:t>
      </w:r>
      <w:r w:rsidR="00907D8C">
        <w:t xml:space="preserve"> </w:t>
      </w:r>
      <w:r w:rsidRPr="00036FAC">
        <w:t>channels.</w:t>
      </w:r>
      <w:r w:rsidR="00907D8C">
        <w:t xml:space="preserve"> </w:t>
      </w:r>
      <w:r w:rsidRPr="00036FAC">
        <w:t>Two</w:t>
      </w:r>
      <w:r w:rsidR="00907D8C">
        <w:t xml:space="preserve"> </w:t>
      </w:r>
      <w:r w:rsidRPr="00036FAC">
        <w:t>large</w:t>
      </w:r>
      <w:r w:rsidR="00907D8C">
        <w:t xml:space="preserve"> </w:t>
      </w:r>
      <w:r w:rsidRPr="00036FAC">
        <w:t>Australian-based</w:t>
      </w:r>
      <w:r w:rsidR="00907D8C">
        <w:t xml:space="preserve"> </w:t>
      </w:r>
      <w:r w:rsidRPr="00036FAC">
        <w:t>companies</w:t>
      </w:r>
      <w:r w:rsidR="00907D8C">
        <w:t xml:space="preserve"> </w:t>
      </w:r>
      <w:r w:rsidRPr="00036FAC">
        <w:t>own</w:t>
      </w:r>
      <w:r w:rsidR="00907D8C">
        <w:t xml:space="preserve"> </w:t>
      </w:r>
      <w:r w:rsidRPr="00036FAC">
        <w:t>most</w:t>
      </w:r>
      <w:r w:rsidR="00907D8C">
        <w:t xml:space="preserve"> </w:t>
      </w:r>
      <w:r w:rsidRPr="00036FAC">
        <w:t>daily</w:t>
      </w:r>
      <w:r w:rsidR="00907D8C">
        <w:t xml:space="preserve"> </w:t>
      </w:r>
      <w:r w:rsidRPr="00036FAC">
        <w:t>and</w:t>
      </w:r>
      <w:r w:rsidR="00907D8C">
        <w:t xml:space="preserve"> </w:t>
      </w:r>
      <w:r w:rsidRPr="00036FAC">
        <w:t>weekly</w:t>
      </w:r>
      <w:r w:rsidR="00907D8C">
        <w:t xml:space="preserve"> </w:t>
      </w:r>
      <w:r w:rsidRPr="00036FAC">
        <w:t>newspapers.</w:t>
      </w:r>
    </w:p>
    <w:p w:rsidR="00036FAC" w:rsidRPr="00036FAC" w:rsidRDefault="00036FAC" w:rsidP="006C436C">
      <w:pPr>
        <w:pStyle w:val="H23G"/>
      </w:pPr>
      <w:r w:rsidRPr="00036FAC">
        <w:tab/>
        <w:t>18.</w:t>
      </w:r>
      <w:r w:rsidRPr="00036FAC">
        <w:tab/>
        <w:t>Crime</w:t>
      </w:r>
    </w:p>
    <w:p w:rsidR="00036FAC" w:rsidRPr="00036FAC" w:rsidRDefault="00036FAC" w:rsidP="00895D47">
      <w:pPr>
        <w:pStyle w:val="SingleTxtG"/>
      </w:pPr>
      <w:r w:rsidRPr="00036FAC">
        <w:t>125.</w:t>
      </w:r>
      <w:r w:rsidRPr="00036FAC">
        <w:tab/>
        <w:t>Table</w:t>
      </w:r>
      <w:r w:rsidR="00907D8C">
        <w:t xml:space="preserve"> </w:t>
      </w:r>
      <w:r w:rsidRPr="00036FAC">
        <w:t>39</w:t>
      </w:r>
      <w:r w:rsidR="00907D8C">
        <w:t xml:space="preserve"> </w:t>
      </w:r>
      <w:r w:rsidRPr="00036FAC">
        <w:t>provides</w:t>
      </w:r>
      <w:r w:rsidR="00907D8C">
        <w:t xml:space="preserve"> </w:t>
      </w:r>
      <w:r w:rsidRPr="00036FAC">
        <w:t>data</w:t>
      </w:r>
      <w:r w:rsidR="00907D8C">
        <w:t xml:space="preserve"> </w:t>
      </w:r>
      <w:r w:rsidRPr="00036FAC">
        <w:t>on</w:t>
      </w:r>
      <w:r w:rsidR="00907D8C">
        <w:t xml:space="preserve"> </w:t>
      </w:r>
      <w:r w:rsidRPr="00036FAC">
        <w:t>recorded</w:t>
      </w:r>
      <w:r w:rsidR="00907D8C">
        <w:t xml:space="preserve"> </w:t>
      </w:r>
      <w:r w:rsidRPr="00036FAC">
        <w:t>offences,</w:t>
      </w:r>
      <w:r w:rsidR="00907D8C">
        <w:t xml:space="preserve"> </w:t>
      </w:r>
      <w:r w:rsidRPr="00036FAC">
        <w:t>rather</w:t>
      </w:r>
      <w:r w:rsidR="00907D8C">
        <w:t xml:space="preserve"> </w:t>
      </w:r>
      <w:r w:rsidRPr="00036FAC">
        <w:t>than</w:t>
      </w:r>
      <w:r w:rsidR="00907D8C">
        <w:t xml:space="preserve"> </w:t>
      </w:r>
      <w:r w:rsidRPr="00036FAC">
        <w:t>prosecutions.</w:t>
      </w:r>
    </w:p>
    <w:p w:rsidR="00895D47" w:rsidRDefault="00036FAC" w:rsidP="00895D47">
      <w:pPr>
        <w:pStyle w:val="Heading1"/>
      </w:pPr>
      <w:bookmarkStart w:id="70" w:name="_Toc275331940"/>
      <w:r w:rsidRPr="00036FAC">
        <w:t>Table</w:t>
      </w:r>
      <w:r w:rsidR="00907D8C">
        <w:t xml:space="preserve"> </w:t>
      </w:r>
      <w:r w:rsidR="00895D47">
        <w:t>39</w:t>
      </w:r>
    </w:p>
    <w:p w:rsidR="00036FAC" w:rsidRPr="00895D47" w:rsidRDefault="00036FAC" w:rsidP="00895D47">
      <w:pPr>
        <w:pStyle w:val="SingleTxtG"/>
        <w:rPr>
          <w:b/>
        </w:rPr>
      </w:pPr>
      <w:r w:rsidRPr="00895D47">
        <w:rPr>
          <w:b/>
        </w:rPr>
        <w:t>Recorded</w:t>
      </w:r>
      <w:r w:rsidR="00907D8C" w:rsidRPr="00895D47">
        <w:rPr>
          <w:b/>
        </w:rPr>
        <w:t xml:space="preserve"> </w:t>
      </w:r>
      <w:r w:rsidRPr="00895D47">
        <w:rPr>
          <w:b/>
        </w:rPr>
        <w:t>offences</w:t>
      </w:r>
      <w:bookmarkEnd w:id="70"/>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00"/>
        <w:gridCol w:w="954"/>
        <w:gridCol w:w="955"/>
        <w:gridCol w:w="955"/>
        <w:gridCol w:w="955"/>
        <w:gridCol w:w="955"/>
        <w:gridCol w:w="955"/>
        <w:gridCol w:w="955"/>
        <w:gridCol w:w="955"/>
      </w:tblGrid>
      <w:tr w:rsidR="00FF1AEE" w:rsidRPr="00FF1AEE" w:rsidTr="007D5716">
        <w:trPr>
          <w:trHeight w:val="240"/>
          <w:tblHeader/>
        </w:trPr>
        <w:tc>
          <w:tcPr>
            <w:tcW w:w="2000"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rPr>
                <w:i/>
                <w:sz w:val="16"/>
              </w:rPr>
            </w:pPr>
          </w:p>
        </w:tc>
        <w:tc>
          <w:tcPr>
            <w:tcW w:w="954"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2005</w:t>
            </w:r>
            <w:r w:rsidR="007D5716">
              <w:rPr>
                <w:i/>
                <w:sz w:val="16"/>
              </w:rPr>
              <w:br/>
            </w:r>
            <w:r w:rsidRPr="00FF1AEE">
              <w:rPr>
                <w:i/>
                <w:sz w:val="16"/>
              </w:rPr>
              <w:t>total</w:t>
            </w:r>
            <w:r w:rsidR="00907D8C" w:rsidRPr="00FF1AEE">
              <w:rPr>
                <w:i/>
                <w:sz w:val="16"/>
              </w:rPr>
              <w:t xml:space="preserve"> </w:t>
            </w:r>
            <w:r w:rsidRPr="00FF1AEE">
              <w:rPr>
                <w:i/>
                <w:sz w:val="16"/>
              </w:rPr>
              <w:t>number</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2005</w:t>
            </w:r>
            <w:r w:rsidR="00FF1AEE">
              <w:rPr>
                <w:i/>
                <w:sz w:val="16"/>
              </w:rPr>
              <w:t xml:space="preserve"> </w:t>
            </w:r>
            <w:r w:rsidRPr="00FF1AEE">
              <w:rPr>
                <w:i/>
                <w:sz w:val="16"/>
              </w:rPr>
              <w:t>rate</w:t>
            </w:r>
            <w:r w:rsidR="00907D8C" w:rsidRPr="00FF1AEE">
              <w:rPr>
                <w:i/>
                <w:sz w:val="16"/>
              </w:rPr>
              <w:t xml:space="preserve"> </w:t>
            </w:r>
            <w:r w:rsidRPr="00FF1AEE">
              <w:rPr>
                <w:i/>
                <w:sz w:val="16"/>
              </w:rPr>
              <w:t>per</w:t>
            </w:r>
            <w:r w:rsidR="00907D8C" w:rsidRPr="00FF1AEE">
              <w:rPr>
                <w:i/>
                <w:sz w:val="16"/>
              </w:rPr>
              <w:t xml:space="preserve"> </w:t>
            </w:r>
            <w:r w:rsidRPr="00FF1AEE">
              <w:rPr>
                <w:i/>
                <w:sz w:val="16"/>
              </w:rPr>
              <w:t>100,000</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2006</w:t>
            </w:r>
            <w:r w:rsidR="00907D8C" w:rsidRPr="00FF1AEE">
              <w:rPr>
                <w:i/>
                <w:sz w:val="16"/>
              </w:rPr>
              <w:t xml:space="preserve"> </w:t>
            </w:r>
            <w:r w:rsidR="007D5716">
              <w:rPr>
                <w:i/>
                <w:sz w:val="16"/>
              </w:rPr>
              <w:br/>
            </w:r>
            <w:r w:rsidRPr="00FF1AEE">
              <w:rPr>
                <w:i/>
                <w:sz w:val="16"/>
              </w:rPr>
              <w:t>total</w:t>
            </w:r>
            <w:r w:rsidR="00907D8C" w:rsidRPr="00FF1AEE">
              <w:rPr>
                <w:i/>
                <w:sz w:val="16"/>
              </w:rPr>
              <w:t xml:space="preserve"> </w:t>
            </w:r>
            <w:r w:rsidRPr="00FF1AEE">
              <w:rPr>
                <w:i/>
                <w:sz w:val="16"/>
              </w:rPr>
              <w:t>number</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2006</w:t>
            </w:r>
            <w:r w:rsidR="00FF1AEE">
              <w:rPr>
                <w:i/>
                <w:sz w:val="16"/>
              </w:rPr>
              <w:t xml:space="preserve"> </w:t>
            </w:r>
            <w:r w:rsidRPr="00FF1AEE">
              <w:rPr>
                <w:i/>
                <w:sz w:val="16"/>
              </w:rPr>
              <w:t>rate</w:t>
            </w:r>
            <w:r w:rsidR="00907D8C" w:rsidRPr="00FF1AEE">
              <w:rPr>
                <w:i/>
                <w:sz w:val="16"/>
              </w:rPr>
              <w:t xml:space="preserve"> </w:t>
            </w:r>
            <w:r w:rsidRPr="00FF1AEE">
              <w:rPr>
                <w:i/>
                <w:sz w:val="16"/>
              </w:rPr>
              <w:t>per</w:t>
            </w:r>
            <w:r w:rsidR="00907D8C" w:rsidRPr="00FF1AEE">
              <w:rPr>
                <w:i/>
                <w:sz w:val="16"/>
              </w:rPr>
              <w:t xml:space="preserve"> </w:t>
            </w:r>
            <w:r w:rsidRPr="00FF1AEE">
              <w:rPr>
                <w:i/>
                <w:sz w:val="16"/>
              </w:rPr>
              <w:t>100,000</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2007</w:t>
            </w:r>
            <w:r w:rsidR="007D5716">
              <w:rPr>
                <w:i/>
                <w:sz w:val="16"/>
              </w:rPr>
              <w:br/>
            </w:r>
            <w:r w:rsidRPr="00FF1AEE">
              <w:rPr>
                <w:i/>
                <w:sz w:val="16"/>
              </w:rPr>
              <w:t>total</w:t>
            </w:r>
            <w:r w:rsidR="00907D8C" w:rsidRPr="00FF1AEE">
              <w:rPr>
                <w:i/>
                <w:sz w:val="16"/>
              </w:rPr>
              <w:t xml:space="preserve"> </w:t>
            </w:r>
            <w:r w:rsidRPr="00FF1AEE">
              <w:rPr>
                <w:i/>
                <w:sz w:val="16"/>
              </w:rPr>
              <w:t>number</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2007</w:t>
            </w:r>
            <w:r w:rsidR="00FF1AEE">
              <w:rPr>
                <w:i/>
                <w:sz w:val="16"/>
              </w:rPr>
              <w:t xml:space="preserve"> </w:t>
            </w:r>
            <w:r w:rsidRPr="00FF1AEE">
              <w:rPr>
                <w:i/>
                <w:sz w:val="16"/>
              </w:rPr>
              <w:t>rate</w:t>
            </w:r>
            <w:r w:rsidR="00907D8C" w:rsidRPr="00FF1AEE">
              <w:rPr>
                <w:i/>
                <w:sz w:val="16"/>
              </w:rPr>
              <w:t xml:space="preserve"> </w:t>
            </w:r>
            <w:r w:rsidRPr="00FF1AEE">
              <w:rPr>
                <w:i/>
                <w:sz w:val="16"/>
              </w:rPr>
              <w:t>per</w:t>
            </w:r>
            <w:r w:rsidR="00907D8C" w:rsidRPr="00FF1AEE">
              <w:rPr>
                <w:i/>
                <w:sz w:val="16"/>
              </w:rPr>
              <w:t xml:space="preserve"> </w:t>
            </w:r>
            <w:r w:rsidRPr="00FF1AEE">
              <w:rPr>
                <w:i/>
                <w:sz w:val="16"/>
              </w:rPr>
              <w:t>100,000</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2008</w:t>
            </w:r>
            <w:r w:rsidR="007D5716">
              <w:rPr>
                <w:i/>
                <w:sz w:val="16"/>
              </w:rPr>
              <w:br/>
            </w:r>
            <w:r w:rsidRPr="00FF1AEE">
              <w:rPr>
                <w:i/>
                <w:sz w:val="16"/>
              </w:rPr>
              <w:t>total</w:t>
            </w:r>
            <w:r w:rsidR="00907D8C" w:rsidRPr="00FF1AEE">
              <w:rPr>
                <w:i/>
                <w:sz w:val="16"/>
              </w:rPr>
              <w:t xml:space="preserve"> </w:t>
            </w:r>
            <w:r w:rsidRPr="00FF1AEE">
              <w:rPr>
                <w:i/>
                <w:sz w:val="16"/>
              </w:rPr>
              <w:t>number</w:t>
            </w:r>
          </w:p>
        </w:tc>
        <w:tc>
          <w:tcPr>
            <w:tcW w:w="955" w:type="dxa"/>
            <w:tcBorders>
              <w:top w:val="single" w:sz="4" w:space="0" w:color="auto"/>
              <w:bottom w:val="single" w:sz="12" w:space="0" w:color="auto"/>
            </w:tcBorders>
            <w:shd w:val="clear" w:color="auto" w:fill="auto"/>
            <w:vAlign w:val="bottom"/>
          </w:tcPr>
          <w:p w:rsidR="00036FAC" w:rsidRPr="00FF1AEE" w:rsidRDefault="00036FAC" w:rsidP="00FF1AEE">
            <w:pPr>
              <w:suppressAutoHyphens w:val="0"/>
              <w:spacing w:before="80" w:after="80" w:line="200" w:lineRule="exact"/>
              <w:ind w:right="113"/>
              <w:jc w:val="right"/>
              <w:rPr>
                <w:i/>
                <w:sz w:val="16"/>
              </w:rPr>
            </w:pPr>
            <w:r w:rsidRPr="00FF1AEE">
              <w:rPr>
                <w:i/>
                <w:sz w:val="16"/>
              </w:rPr>
              <w:t>2008</w:t>
            </w:r>
            <w:r w:rsidR="00FF1AEE">
              <w:rPr>
                <w:i/>
                <w:sz w:val="16"/>
              </w:rPr>
              <w:t xml:space="preserve"> </w:t>
            </w:r>
            <w:r w:rsidRPr="00FF1AEE">
              <w:rPr>
                <w:i/>
                <w:sz w:val="16"/>
              </w:rPr>
              <w:t>rate</w:t>
            </w:r>
            <w:r w:rsidR="00907D8C" w:rsidRPr="00FF1AEE">
              <w:rPr>
                <w:i/>
                <w:sz w:val="16"/>
              </w:rPr>
              <w:t xml:space="preserve"> </w:t>
            </w:r>
            <w:r w:rsidRPr="00FF1AEE">
              <w:rPr>
                <w:i/>
                <w:sz w:val="16"/>
              </w:rPr>
              <w:t>per</w:t>
            </w:r>
            <w:r w:rsidR="00907D8C" w:rsidRPr="00FF1AEE">
              <w:rPr>
                <w:i/>
                <w:sz w:val="16"/>
              </w:rPr>
              <w:t xml:space="preserve"> </w:t>
            </w:r>
            <w:r w:rsidRPr="00FF1AEE">
              <w:rPr>
                <w:i/>
                <w:sz w:val="16"/>
              </w:rPr>
              <w:t>100,000</w:t>
            </w:r>
          </w:p>
        </w:tc>
      </w:tr>
      <w:tr w:rsidR="00FF1AEE" w:rsidRPr="00FF1AEE" w:rsidTr="007D5716">
        <w:trPr>
          <w:trHeight w:val="240"/>
        </w:trPr>
        <w:tc>
          <w:tcPr>
            <w:tcW w:w="2000"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rPr>
                <w:sz w:val="18"/>
              </w:rPr>
            </w:pPr>
            <w:r w:rsidRPr="00FF1AEE">
              <w:rPr>
                <w:sz w:val="18"/>
              </w:rPr>
              <w:t>Intentional</w:t>
            </w:r>
            <w:r w:rsidR="00907D8C" w:rsidRPr="00FF1AEE">
              <w:rPr>
                <w:sz w:val="18"/>
              </w:rPr>
              <w:t xml:space="preserve"> </w:t>
            </w:r>
            <w:r w:rsidRPr="00FF1AEE">
              <w:rPr>
                <w:sz w:val="18"/>
              </w:rPr>
              <w:t>homicide</w:t>
            </w:r>
          </w:p>
        </w:tc>
        <w:tc>
          <w:tcPr>
            <w:tcW w:w="954"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61</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1.46</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49</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1.16</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48</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1.12</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53</w:t>
            </w:r>
          </w:p>
        </w:tc>
        <w:tc>
          <w:tcPr>
            <w:tcW w:w="955" w:type="dxa"/>
            <w:tcBorders>
              <w:top w:val="single" w:sz="12" w:space="0" w:color="auto"/>
            </w:tcBorders>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1.23</w:t>
            </w:r>
          </w:p>
        </w:tc>
      </w:tr>
      <w:tr w:rsidR="00FF1AEE" w:rsidRPr="00FF1AEE" w:rsidTr="007D5716">
        <w:trPr>
          <w:trHeight w:val="240"/>
        </w:trPr>
        <w:tc>
          <w:tcPr>
            <w:tcW w:w="2000" w:type="dxa"/>
            <w:shd w:val="clear" w:color="auto" w:fill="auto"/>
            <w:vAlign w:val="bottom"/>
          </w:tcPr>
          <w:p w:rsidR="00036FAC" w:rsidRPr="00FF1AEE" w:rsidRDefault="00036FAC" w:rsidP="00FF1AEE">
            <w:pPr>
              <w:suppressAutoHyphens w:val="0"/>
              <w:spacing w:before="40" w:after="40" w:line="220" w:lineRule="exact"/>
              <w:ind w:right="113"/>
              <w:rPr>
                <w:sz w:val="18"/>
              </w:rPr>
            </w:pPr>
            <w:r w:rsidRPr="00FF1AEE">
              <w:rPr>
                <w:sz w:val="18"/>
              </w:rPr>
              <w:t>Assault</w:t>
            </w:r>
          </w:p>
        </w:tc>
        <w:tc>
          <w:tcPr>
            <w:tcW w:w="954"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000</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23.51</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998</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23.25</w:t>
            </w:r>
          </w:p>
        </w:tc>
      </w:tr>
      <w:tr w:rsidR="00FF1AEE" w:rsidRPr="00FF1AEE" w:rsidTr="007D5716">
        <w:trPr>
          <w:trHeight w:val="240"/>
        </w:trPr>
        <w:tc>
          <w:tcPr>
            <w:tcW w:w="2000" w:type="dxa"/>
            <w:shd w:val="clear" w:color="auto" w:fill="auto"/>
            <w:vAlign w:val="bottom"/>
          </w:tcPr>
          <w:p w:rsidR="00036FAC" w:rsidRPr="00FF1AEE" w:rsidRDefault="00036FAC" w:rsidP="00FF1AEE">
            <w:pPr>
              <w:suppressAutoHyphens w:val="0"/>
              <w:spacing w:before="40" w:after="40" w:line="220" w:lineRule="exact"/>
              <w:ind w:right="113"/>
              <w:rPr>
                <w:sz w:val="18"/>
              </w:rPr>
            </w:pPr>
            <w:r w:rsidRPr="00FF1AEE">
              <w:rPr>
                <w:sz w:val="18"/>
              </w:rPr>
              <w:t>Rape</w:t>
            </w:r>
          </w:p>
        </w:tc>
        <w:tc>
          <w:tcPr>
            <w:tcW w:w="954"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127</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27.08</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336</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31.72</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314</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30.89</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308</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30.47</w:t>
            </w:r>
          </w:p>
        </w:tc>
      </w:tr>
      <w:tr w:rsidR="00FF1AEE" w:rsidRPr="00FF1AEE" w:rsidTr="007D5716">
        <w:trPr>
          <w:trHeight w:val="240"/>
        </w:trPr>
        <w:tc>
          <w:tcPr>
            <w:tcW w:w="2000" w:type="dxa"/>
            <w:shd w:val="clear" w:color="auto" w:fill="auto"/>
            <w:vAlign w:val="bottom"/>
          </w:tcPr>
          <w:p w:rsidR="00036FAC" w:rsidRPr="00FF1AEE" w:rsidRDefault="00036FAC" w:rsidP="00FF1AEE">
            <w:pPr>
              <w:suppressAutoHyphens w:val="0"/>
              <w:spacing w:before="40" w:after="40" w:line="220" w:lineRule="exact"/>
              <w:ind w:right="113"/>
              <w:rPr>
                <w:sz w:val="18"/>
              </w:rPr>
            </w:pPr>
            <w:r w:rsidRPr="00FF1AEE">
              <w:rPr>
                <w:sz w:val="18"/>
              </w:rPr>
              <w:t>Sexual</w:t>
            </w:r>
            <w:r w:rsidR="00907D8C" w:rsidRPr="00FF1AEE">
              <w:rPr>
                <w:sz w:val="18"/>
              </w:rPr>
              <w:t xml:space="preserve"> </w:t>
            </w:r>
            <w:r w:rsidRPr="00FF1AEE">
              <w:rPr>
                <w:sz w:val="18"/>
              </w:rPr>
              <w:t>violence</w:t>
            </w:r>
            <w:r w:rsidR="00907D8C" w:rsidRPr="00FF1AEE">
              <w:rPr>
                <w:sz w:val="18"/>
              </w:rPr>
              <w:t xml:space="preserve"> </w:t>
            </w:r>
            <w:r w:rsidRPr="00FF1AEE">
              <w:rPr>
                <w:sz w:val="18"/>
              </w:rPr>
              <w:t>offences</w:t>
            </w:r>
            <w:r w:rsidR="008E6F43">
              <w:rPr>
                <w:sz w:val="18"/>
              </w:rPr>
              <w:br/>
            </w:r>
            <w:r w:rsidRPr="00FF1AEE">
              <w:rPr>
                <w:sz w:val="18"/>
              </w:rPr>
              <w:t>against</w:t>
            </w:r>
            <w:r w:rsidR="00907D8C" w:rsidRPr="00FF1AEE">
              <w:rPr>
                <w:sz w:val="18"/>
              </w:rPr>
              <w:t xml:space="preserve"> </w:t>
            </w:r>
            <w:r w:rsidRPr="00FF1AEE">
              <w:rPr>
                <w:sz w:val="18"/>
              </w:rPr>
              <w:t>children</w:t>
            </w:r>
          </w:p>
        </w:tc>
        <w:tc>
          <w:tcPr>
            <w:tcW w:w="954"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057</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24.85</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1 </w:t>
            </w:r>
            <w:r w:rsidR="00036FAC" w:rsidRPr="00FF1AEE">
              <w:rPr>
                <w:sz w:val="18"/>
              </w:rPr>
              <w:t>414</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32.94</w:t>
            </w:r>
          </w:p>
        </w:tc>
      </w:tr>
      <w:tr w:rsidR="00FF1AEE" w:rsidRPr="00FF1AEE" w:rsidTr="007D5716">
        <w:trPr>
          <w:trHeight w:val="240"/>
        </w:trPr>
        <w:tc>
          <w:tcPr>
            <w:tcW w:w="2000" w:type="dxa"/>
            <w:shd w:val="clear" w:color="auto" w:fill="auto"/>
            <w:vAlign w:val="bottom"/>
          </w:tcPr>
          <w:p w:rsidR="00036FAC" w:rsidRPr="00FF1AEE" w:rsidRDefault="00036FAC" w:rsidP="00FF1AEE">
            <w:pPr>
              <w:suppressAutoHyphens w:val="0"/>
              <w:spacing w:before="40" w:after="40" w:line="220" w:lineRule="exact"/>
              <w:ind w:right="113"/>
              <w:rPr>
                <w:sz w:val="18"/>
              </w:rPr>
            </w:pPr>
            <w:r w:rsidRPr="00FF1AEE">
              <w:rPr>
                <w:sz w:val="18"/>
              </w:rPr>
              <w:t>Robbery</w:t>
            </w:r>
          </w:p>
        </w:tc>
        <w:tc>
          <w:tcPr>
            <w:tcW w:w="954"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2 </w:t>
            </w:r>
            <w:r w:rsidR="00036FAC" w:rsidRPr="00FF1AEE">
              <w:rPr>
                <w:sz w:val="18"/>
              </w:rPr>
              <w:t>019</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48.52</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2 </w:t>
            </w:r>
            <w:r w:rsidR="00036FAC" w:rsidRPr="00FF1AEE">
              <w:rPr>
                <w:sz w:val="18"/>
              </w:rPr>
              <w:t>481</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58.91</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2 </w:t>
            </w:r>
            <w:r w:rsidR="00036FAC" w:rsidRPr="00FF1AEE">
              <w:rPr>
                <w:sz w:val="18"/>
              </w:rPr>
              <w:t>294</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53.94</w:t>
            </w:r>
          </w:p>
        </w:tc>
        <w:tc>
          <w:tcPr>
            <w:tcW w:w="955" w:type="dxa"/>
            <w:shd w:val="clear" w:color="auto" w:fill="auto"/>
            <w:vAlign w:val="bottom"/>
          </w:tcPr>
          <w:p w:rsidR="00036FAC" w:rsidRPr="00FF1AEE" w:rsidRDefault="00FF1AEE" w:rsidP="00FF1AEE">
            <w:pPr>
              <w:suppressAutoHyphens w:val="0"/>
              <w:spacing w:before="40" w:after="40" w:line="220" w:lineRule="exact"/>
              <w:ind w:right="113"/>
              <w:jc w:val="right"/>
              <w:rPr>
                <w:sz w:val="18"/>
              </w:rPr>
            </w:pPr>
            <w:r>
              <w:rPr>
                <w:sz w:val="18"/>
              </w:rPr>
              <w:t xml:space="preserve">2 </w:t>
            </w:r>
            <w:r w:rsidR="00036FAC" w:rsidRPr="00FF1AEE">
              <w:rPr>
                <w:sz w:val="18"/>
              </w:rPr>
              <w:t>234</w:t>
            </w:r>
          </w:p>
        </w:tc>
        <w:tc>
          <w:tcPr>
            <w:tcW w:w="955" w:type="dxa"/>
            <w:shd w:val="clear" w:color="auto" w:fill="auto"/>
            <w:vAlign w:val="bottom"/>
          </w:tcPr>
          <w:p w:rsidR="00036FAC" w:rsidRPr="00FF1AEE" w:rsidRDefault="00036FAC" w:rsidP="00FF1AEE">
            <w:pPr>
              <w:suppressAutoHyphens w:val="0"/>
              <w:spacing w:before="40" w:after="40" w:line="220" w:lineRule="exact"/>
              <w:ind w:right="113"/>
              <w:jc w:val="right"/>
              <w:rPr>
                <w:sz w:val="18"/>
              </w:rPr>
            </w:pPr>
            <w:r w:rsidRPr="00FF1AEE">
              <w:rPr>
                <w:sz w:val="18"/>
              </w:rPr>
              <w:t>52.05</w:t>
            </w:r>
          </w:p>
        </w:tc>
      </w:tr>
    </w:tbl>
    <w:p w:rsidR="00036FAC" w:rsidRPr="00FF1AEE" w:rsidRDefault="00036FAC" w:rsidP="00BD0DB3">
      <w:pPr>
        <w:spacing w:before="120" w:after="240"/>
        <w:ind w:right="1134" w:firstLine="170"/>
        <w:rPr>
          <w:sz w:val="18"/>
          <w:szCs w:val="18"/>
        </w:rPr>
      </w:pPr>
      <w:r w:rsidRPr="00FF1AEE">
        <w:rPr>
          <w:i/>
          <w:sz w:val="18"/>
          <w:szCs w:val="18"/>
        </w:rPr>
        <w:t>Source</w:t>
      </w:r>
      <w:r w:rsidRPr="00FF1AEE">
        <w:rPr>
          <w:sz w:val="18"/>
          <w:szCs w:val="18"/>
        </w:rPr>
        <w:t>:</w:t>
      </w:r>
      <w:r w:rsidR="00FF1AEE">
        <w:rPr>
          <w:sz w:val="18"/>
          <w:szCs w:val="18"/>
        </w:rPr>
        <w:t xml:space="preserve"> </w:t>
      </w:r>
      <w:r w:rsidR="00907D8C" w:rsidRPr="00FF1AEE">
        <w:rPr>
          <w:sz w:val="18"/>
          <w:szCs w:val="18"/>
        </w:rPr>
        <w:t xml:space="preserve"> </w:t>
      </w:r>
      <w:r w:rsidRPr="00FF1AEE">
        <w:rPr>
          <w:sz w:val="18"/>
          <w:szCs w:val="18"/>
        </w:rPr>
        <w:t>New</w:t>
      </w:r>
      <w:r w:rsidR="00907D8C" w:rsidRPr="00FF1AEE">
        <w:rPr>
          <w:sz w:val="18"/>
          <w:szCs w:val="18"/>
        </w:rPr>
        <w:t xml:space="preserve"> </w:t>
      </w:r>
      <w:r w:rsidRPr="00FF1AEE">
        <w:rPr>
          <w:sz w:val="18"/>
          <w:szCs w:val="18"/>
        </w:rPr>
        <w:t>Zealand</w:t>
      </w:r>
      <w:r w:rsidR="00907D8C" w:rsidRPr="00FF1AEE">
        <w:rPr>
          <w:sz w:val="18"/>
          <w:szCs w:val="18"/>
        </w:rPr>
        <w:t xml:space="preserve"> </w:t>
      </w:r>
      <w:r w:rsidR="00C23F6E">
        <w:rPr>
          <w:sz w:val="18"/>
          <w:szCs w:val="18"/>
        </w:rPr>
        <w:t>P</w:t>
      </w:r>
      <w:r w:rsidRPr="00FF1AEE">
        <w:rPr>
          <w:sz w:val="18"/>
          <w:szCs w:val="18"/>
        </w:rPr>
        <w:t>olice</w:t>
      </w:r>
      <w:r w:rsidR="00FF1AEE" w:rsidRPr="00FF1AEE">
        <w:rPr>
          <w:sz w:val="18"/>
          <w:szCs w:val="18"/>
        </w:rPr>
        <w:t>.</w:t>
      </w:r>
    </w:p>
    <w:p w:rsidR="00036FAC" w:rsidRPr="00036FAC" w:rsidRDefault="00036FAC" w:rsidP="00895D47">
      <w:pPr>
        <w:pStyle w:val="SingleTxtG"/>
      </w:pPr>
      <w:r w:rsidRPr="00036FAC">
        <w:t>126.</w:t>
      </w:r>
      <w:r w:rsidRPr="00036FAC">
        <w:tab/>
        <w:t>The</w:t>
      </w:r>
      <w:r w:rsidR="00907D8C">
        <w:t xml:space="preserve"> </w:t>
      </w:r>
      <w:r w:rsidRPr="00036FAC">
        <w:t>definition</w:t>
      </w:r>
      <w:r w:rsidR="00907D8C">
        <w:t xml:space="preserve"> </w:t>
      </w:r>
      <w:r w:rsidRPr="00036FAC">
        <w:t>of</w:t>
      </w:r>
      <w:r w:rsidR="00907D8C">
        <w:t xml:space="preserve"> </w:t>
      </w:r>
      <w:r w:rsidRPr="00036FAC">
        <w:t>assault</w:t>
      </w:r>
      <w:r w:rsidR="00907D8C">
        <w:t xml:space="preserve"> </w:t>
      </w:r>
      <w:r w:rsidRPr="00036FAC">
        <w:t>changed</w:t>
      </w:r>
      <w:r w:rsidR="00907D8C">
        <w:t xml:space="preserve"> </w:t>
      </w:r>
      <w:r w:rsidRPr="00036FAC">
        <w:t>from</w:t>
      </w:r>
      <w:r w:rsidR="00907D8C">
        <w:t xml:space="preserve"> </w:t>
      </w:r>
      <w:r w:rsidRPr="00036FAC">
        <w:t>2006</w:t>
      </w:r>
      <w:r w:rsidR="00907D8C">
        <w:t xml:space="preserve"> </w:t>
      </w:r>
      <w:r w:rsidRPr="00036FAC">
        <w:t>to</w:t>
      </w:r>
      <w:r w:rsidR="00907D8C">
        <w:t xml:space="preserve"> </w:t>
      </w:r>
      <w:r w:rsidRPr="00036FAC">
        <w:t>exclude</w:t>
      </w:r>
      <w:r w:rsidR="00907D8C">
        <w:t xml:space="preserve"> </w:t>
      </w:r>
      <w:r w:rsidRPr="00036FAC">
        <w:t>common</w:t>
      </w:r>
      <w:r w:rsidR="00907D8C">
        <w:t xml:space="preserve"> </w:t>
      </w:r>
      <w:r w:rsidRPr="00036FAC">
        <w:t>assault.</w:t>
      </w:r>
      <w:r w:rsidR="00907D8C">
        <w:t xml:space="preserve"> </w:t>
      </w:r>
      <w:r w:rsidRPr="00036FAC">
        <w:t>The</w:t>
      </w:r>
      <w:r w:rsidR="00907D8C">
        <w:t xml:space="preserve"> </w:t>
      </w:r>
      <w:r w:rsidRPr="00036FAC">
        <w:t>2007/</w:t>
      </w:r>
      <w:r w:rsidR="00895D47">
        <w:t>20</w:t>
      </w:r>
      <w:r w:rsidRPr="00036FAC">
        <w:t>08</w:t>
      </w:r>
      <w:r w:rsidR="00907D8C">
        <w:t xml:space="preserve"> </w:t>
      </w:r>
      <w:r w:rsidRPr="00036FAC">
        <w:t>numbers</w:t>
      </w:r>
      <w:r w:rsidR="00907D8C">
        <w:t xml:space="preserve"> </w:t>
      </w:r>
      <w:r w:rsidRPr="00036FAC">
        <w:t>refer</w:t>
      </w:r>
      <w:r w:rsidR="00907D8C">
        <w:t xml:space="preserve"> </w:t>
      </w:r>
      <w:r w:rsidRPr="00036FAC">
        <w:t>to</w:t>
      </w:r>
      <w:r w:rsidR="00907D8C">
        <w:t xml:space="preserve"> </w:t>
      </w:r>
      <w:r w:rsidRPr="00036FAC">
        <w:t>all</w:t>
      </w:r>
      <w:r w:rsidR="00907D8C">
        <w:t xml:space="preserve"> </w:t>
      </w:r>
      <w:r w:rsidRPr="00036FAC">
        <w:t>offences</w:t>
      </w:r>
      <w:r w:rsidR="00907D8C">
        <w:t xml:space="preserve"> </w:t>
      </w:r>
      <w:r w:rsidRPr="00036FAC">
        <w:t>where</w:t>
      </w:r>
      <w:r w:rsidR="00907D8C">
        <w:t xml:space="preserve"> </w:t>
      </w:r>
      <w:r w:rsidRPr="00036FAC">
        <w:t>either</w:t>
      </w:r>
      <w:r w:rsidR="00907D8C">
        <w:t xml:space="preserve"> </w:t>
      </w:r>
      <w:r w:rsidRPr="00036FAC">
        <w:t>the</w:t>
      </w:r>
      <w:r w:rsidR="00907D8C">
        <w:t xml:space="preserve"> </w:t>
      </w:r>
      <w:r w:rsidRPr="00036FAC">
        <w:t>intent</w:t>
      </w:r>
      <w:r w:rsidR="00907D8C">
        <w:t xml:space="preserve"> </w:t>
      </w:r>
      <w:r w:rsidRPr="00036FAC">
        <w:t>to</w:t>
      </w:r>
      <w:r w:rsidR="00907D8C">
        <w:t xml:space="preserve"> </w:t>
      </w:r>
      <w:r w:rsidRPr="00036FAC">
        <w:t>cause</w:t>
      </w:r>
      <w:r w:rsidR="00907D8C">
        <w:t xml:space="preserve"> </w:t>
      </w:r>
      <w:r w:rsidRPr="00036FAC">
        <w:t>grievous</w:t>
      </w:r>
      <w:r w:rsidR="00907D8C">
        <w:t xml:space="preserve"> </w:t>
      </w:r>
      <w:r w:rsidRPr="00036FAC">
        <w:t>bodily</w:t>
      </w:r>
      <w:r w:rsidR="00907D8C">
        <w:t xml:space="preserve"> </w:t>
      </w:r>
      <w:r w:rsidRPr="00036FAC">
        <w:t>harm</w:t>
      </w:r>
      <w:r w:rsidR="00907D8C">
        <w:t xml:space="preserve"> </w:t>
      </w:r>
      <w:r w:rsidRPr="00036FAC">
        <w:t>(GHB)</w:t>
      </w:r>
      <w:r w:rsidR="00907D8C">
        <w:t xml:space="preserve"> </w:t>
      </w:r>
      <w:r w:rsidRPr="00036FAC">
        <w:t>or</w:t>
      </w:r>
      <w:r w:rsidR="00907D8C">
        <w:t xml:space="preserve"> </w:t>
      </w:r>
      <w:r w:rsidRPr="00036FAC">
        <w:t>the</w:t>
      </w:r>
      <w:r w:rsidR="00907D8C">
        <w:t xml:space="preserve"> </w:t>
      </w:r>
      <w:r w:rsidRPr="00036FAC">
        <w:t>consequences</w:t>
      </w:r>
      <w:r w:rsidR="00907D8C">
        <w:t xml:space="preserve"> </w:t>
      </w:r>
      <w:r w:rsidRPr="00036FAC">
        <w:t>of</w:t>
      </w:r>
      <w:r w:rsidR="00907D8C">
        <w:t xml:space="preserve"> </w:t>
      </w:r>
      <w:r w:rsidRPr="00036FAC">
        <w:t>the</w:t>
      </w:r>
      <w:r w:rsidR="00907D8C">
        <w:t xml:space="preserve"> </w:t>
      </w:r>
      <w:r w:rsidRPr="00036FAC">
        <w:t>assault</w:t>
      </w:r>
      <w:r w:rsidR="00907D8C">
        <w:t xml:space="preserve"> </w:t>
      </w:r>
      <w:r w:rsidRPr="00036FAC">
        <w:t>equated</w:t>
      </w:r>
      <w:r w:rsidR="00907D8C">
        <w:t xml:space="preserve"> </w:t>
      </w:r>
      <w:r w:rsidRPr="00036FAC">
        <w:t>to</w:t>
      </w:r>
      <w:r w:rsidR="00907D8C">
        <w:t xml:space="preserve"> </w:t>
      </w:r>
      <w:r w:rsidRPr="00036FAC">
        <w:t>GBH</w:t>
      </w:r>
      <w:r w:rsidR="00907D8C">
        <w:t xml:space="preserve"> </w:t>
      </w:r>
      <w:r w:rsidRPr="00036FAC">
        <w:t>regardless</w:t>
      </w:r>
      <w:r w:rsidR="00907D8C">
        <w:t xml:space="preserve"> </w:t>
      </w:r>
      <w:r w:rsidRPr="00036FAC">
        <w:t>of</w:t>
      </w:r>
      <w:r w:rsidR="00907D8C">
        <w:t xml:space="preserve"> </w:t>
      </w:r>
      <w:r w:rsidRPr="00036FAC">
        <w:t>intent.</w:t>
      </w:r>
    </w:p>
    <w:p w:rsidR="00036FAC" w:rsidRPr="00036FAC" w:rsidRDefault="00036FAC" w:rsidP="00895D47">
      <w:pPr>
        <w:pStyle w:val="SingleTxtG"/>
      </w:pPr>
      <w:r w:rsidRPr="00036FAC">
        <w:t>127.</w:t>
      </w:r>
      <w:r w:rsidRPr="00036FAC">
        <w:tab/>
        <w:t>There</w:t>
      </w:r>
      <w:r w:rsidR="00907D8C">
        <w:t xml:space="preserve"> </w:t>
      </w:r>
      <w:r w:rsidRPr="00036FAC">
        <w:t>are</w:t>
      </w:r>
      <w:r w:rsidR="00907D8C">
        <w:t xml:space="preserve"> </w:t>
      </w:r>
      <w:r w:rsidRPr="00036FAC">
        <w:t>no</w:t>
      </w:r>
      <w:r w:rsidR="00907D8C">
        <w:t xml:space="preserve"> </w:t>
      </w:r>
      <w:r w:rsidRPr="00036FAC">
        <w:t>recorded</w:t>
      </w:r>
      <w:r w:rsidR="00907D8C">
        <w:t xml:space="preserve"> </w:t>
      </w:r>
      <w:r w:rsidRPr="00036FAC">
        <w:t>cases</w:t>
      </w:r>
      <w:r w:rsidR="00907D8C">
        <w:t xml:space="preserve"> </w:t>
      </w:r>
      <w:r w:rsidRPr="00036FAC">
        <w:t>of</w:t>
      </w:r>
      <w:r w:rsidR="00907D8C">
        <w:t xml:space="preserve"> </w:t>
      </w:r>
      <w:r w:rsidRPr="00036FAC">
        <w:t>trafficking</w:t>
      </w:r>
      <w:r w:rsidR="00907D8C">
        <w:t xml:space="preserve"> </w:t>
      </w:r>
      <w:r w:rsidRPr="00036FAC">
        <w:t>in</w:t>
      </w:r>
      <w:r w:rsidR="00907D8C">
        <w:t xml:space="preserve"> </w:t>
      </w:r>
      <w:r w:rsidRPr="00036FAC">
        <w:t>persons</w:t>
      </w:r>
      <w:r w:rsidR="00907D8C">
        <w:t xml:space="preserve"> </w:t>
      </w:r>
      <w:r w:rsidRPr="00036FAC">
        <w:t>to</w:t>
      </w:r>
      <w:r w:rsidR="00907D8C">
        <w:t xml:space="preserve"> </w:t>
      </w:r>
      <w:r w:rsidRPr="00036FAC">
        <w:t>date</w:t>
      </w:r>
      <w:r w:rsidR="00907D8C">
        <w:t xml:space="preserve"> </w:t>
      </w:r>
      <w:r w:rsidRPr="00036FAC">
        <w:t>in</w:t>
      </w:r>
      <w:r w:rsidR="00907D8C">
        <w:t xml:space="preserve"> </w:t>
      </w:r>
      <w:r w:rsidRPr="00036FAC">
        <w:t>New</w:t>
      </w:r>
      <w:r w:rsidR="00907D8C">
        <w:t xml:space="preserve"> </w:t>
      </w:r>
      <w:r w:rsidRPr="00036FAC">
        <w:t>Zealand.</w:t>
      </w:r>
    </w:p>
    <w:p w:rsidR="00036FAC" w:rsidRPr="00036FAC" w:rsidRDefault="00036FAC" w:rsidP="00895D47">
      <w:pPr>
        <w:pStyle w:val="SingleTxtG"/>
      </w:pPr>
      <w:r w:rsidRPr="00036FAC">
        <w:t>128.</w:t>
      </w:r>
      <w:r w:rsidRPr="00036FAC">
        <w:tab/>
        <w:t>Female</w:t>
      </w:r>
      <w:r w:rsidR="00907D8C">
        <w:t xml:space="preserve"> </w:t>
      </w:r>
      <w:r w:rsidRPr="00036FAC">
        <w:t>genital</w:t>
      </w:r>
      <w:r w:rsidR="00907D8C">
        <w:t xml:space="preserve"> </w:t>
      </w:r>
      <w:r w:rsidRPr="00036FAC">
        <w:t>mutilation</w:t>
      </w:r>
      <w:r w:rsidR="00907D8C">
        <w:t xml:space="preserve"> </w:t>
      </w:r>
      <w:r w:rsidRPr="00036FAC">
        <w:t>is</w:t>
      </w:r>
      <w:r w:rsidR="00907D8C">
        <w:t xml:space="preserve"> </w:t>
      </w:r>
      <w:r w:rsidRPr="00036FAC">
        <w:t>illegal</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there</w:t>
      </w:r>
      <w:r w:rsidR="00907D8C">
        <w:t xml:space="preserve"> </w:t>
      </w:r>
      <w:r w:rsidRPr="00036FAC">
        <w:t>is</w:t>
      </w:r>
      <w:r w:rsidR="00907D8C">
        <w:t xml:space="preserve"> </w:t>
      </w:r>
      <w:r w:rsidRPr="00036FAC">
        <w:t>no</w:t>
      </w:r>
      <w:r w:rsidR="00907D8C">
        <w:t xml:space="preserve"> </w:t>
      </w:r>
      <w:r w:rsidRPr="00036FAC">
        <w:t>documented</w:t>
      </w:r>
      <w:r w:rsidR="00907D8C">
        <w:t xml:space="preserve"> </w:t>
      </w:r>
      <w:r w:rsidRPr="00036FAC">
        <w:t>evidence</w:t>
      </w:r>
      <w:r w:rsidR="00907D8C">
        <w:t xml:space="preserve"> </w:t>
      </w:r>
      <w:r w:rsidRPr="00036FAC">
        <w:t>of</w:t>
      </w:r>
      <w:r w:rsidR="00907D8C">
        <w:t xml:space="preserve"> </w:t>
      </w:r>
      <w:r w:rsidRPr="00036FAC">
        <w:t>cases</w:t>
      </w:r>
      <w:r w:rsidR="00907D8C">
        <w:t xml:space="preserve"> </w:t>
      </w:r>
      <w:r w:rsidRPr="00036FAC">
        <w:t>performed</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There</w:t>
      </w:r>
      <w:r w:rsidR="00907D8C">
        <w:t xml:space="preserve"> </w:t>
      </w:r>
      <w:r w:rsidRPr="00036FAC">
        <w:t>is</w:t>
      </w:r>
      <w:r w:rsidR="00907D8C">
        <w:t xml:space="preserve"> </w:t>
      </w:r>
      <w:r w:rsidRPr="00036FAC">
        <w:t>anecdotal</w:t>
      </w:r>
      <w:r w:rsidR="00907D8C">
        <w:t xml:space="preserve"> </w:t>
      </w:r>
      <w:r w:rsidRPr="00036FAC">
        <w:t>evidence</w:t>
      </w:r>
      <w:r w:rsidR="00907D8C">
        <w:t xml:space="preserve"> </w:t>
      </w:r>
      <w:r w:rsidRPr="00036FAC">
        <w:t>of</w:t>
      </w:r>
      <w:r w:rsidR="00907D8C">
        <w:t xml:space="preserve"> </w:t>
      </w:r>
      <w:r w:rsidRPr="00036FAC">
        <w:t>families</w:t>
      </w:r>
      <w:r w:rsidR="00907D8C">
        <w:t xml:space="preserve"> </w:t>
      </w:r>
      <w:r w:rsidRPr="00036FAC">
        <w:t>sending</w:t>
      </w:r>
      <w:r w:rsidR="00907D8C">
        <w:t xml:space="preserve"> </w:t>
      </w:r>
      <w:r w:rsidRPr="00036FAC">
        <w:t>daughters</w:t>
      </w:r>
      <w:r w:rsidR="00907D8C">
        <w:t xml:space="preserve"> </w:t>
      </w:r>
      <w:r w:rsidRPr="00036FAC">
        <w:t>offshore</w:t>
      </w:r>
      <w:r w:rsidR="00907D8C">
        <w:t xml:space="preserve"> </w:t>
      </w:r>
      <w:r w:rsidRPr="00036FAC">
        <w:t>for</w:t>
      </w:r>
      <w:r w:rsidR="00907D8C">
        <w:t xml:space="preserve"> </w:t>
      </w:r>
      <w:r w:rsidRPr="00036FAC">
        <w:t>this</w:t>
      </w:r>
      <w:r w:rsidR="00907D8C">
        <w:t xml:space="preserve"> </w:t>
      </w:r>
      <w:r w:rsidRPr="00036FAC">
        <w:t>procedure.</w:t>
      </w:r>
      <w:r w:rsidR="00907D8C">
        <w:t xml:space="preserve"> </w:t>
      </w:r>
      <w:r w:rsidRPr="00036FAC">
        <w:t>Honour</w:t>
      </w:r>
      <w:r w:rsidR="00907D8C">
        <w:t xml:space="preserve"> </w:t>
      </w:r>
      <w:r w:rsidRPr="00036FAC">
        <w:t>crimes</w:t>
      </w:r>
      <w:r w:rsidR="00907D8C">
        <w:t xml:space="preserve"> </w:t>
      </w:r>
      <w:r w:rsidRPr="00036FAC">
        <w:t>and</w:t>
      </w:r>
      <w:r w:rsidR="00907D8C">
        <w:t xml:space="preserve"> </w:t>
      </w:r>
      <w:r w:rsidRPr="00036FAC">
        <w:t>acid</w:t>
      </w:r>
      <w:r w:rsidR="00907D8C">
        <w:t xml:space="preserve"> </w:t>
      </w:r>
      <w:r w:rsidRPr="00036FAC">
        <w:t>attacks</w:t>
      </w:r>
      <w:r w:rsidR="00907D8C">
        <w:t xml:space="preserve"> </w:t>
      </w:r>
      <w:r w:rsidRPr="00036FAC">
        <w:t>are</w:t>
      </w:r>
      <w:r w:rsidR="00907D8C">
        <w:t xml:space="preserve"> </w:t>
      </w:r>
      <w:r w:rsidRPr="00036FAC">
        <w:t>extremely</w:t>
      </w:r>
      <w:r w:rsidR="00907D8C">
        <w:t xml:space="preserve"> </w:t>
      </w:r>
      <w:r w:rsidRPr="00036FAC">
        <w:t>uncommon.</w:t>
      </w:r>
    </w:p>
    <w:p w:rsidR="00036FAC" w:rsidRPr="00036FAC" w:rsidRDefault="000711F4" w:rsidP="006C436C">
      <w:pPr>
        <w:pStyle w:val="H23G"/>
      </w:pPr>
      <w:r>
        <w:tab/>
        <w:t>(a)</w:t>
      </w:r>
      <w:r>
        <w:tab/>
        <w:t>Pre</w:t>
      </w:r>
      <w:r w:rsidR="00036FAC" w:rsidRPr="00036FAC">
        <w:t>trial</w:t>
      </w:r>
      <w:r w:rsidR="00907D8C">
        <w:t xml:space="preserve"> </w:t>
      </w:r>
      <w:r w:rsidR="00036FAC" w:rsidRPr="00036FAC">
        <w:t>detention</w:t>
      </w:r>
    </w:p>
    <w:p w:rsidR="00895D47" w:rsidRDefault="00036FAC" w:rsidP="00895D47">
      <w:pPr>
        <w:pStyle w:val="Heading1"/>
      </w:pPr>
      <w:bookmarkStart w:id="71" w:name="_Toc275331941"/>
      <w:r w:rsidRPr="00036FAC">
        <w:t>Table</w:t>
      </w:r>
      <w:r w:rsidR="00907D8C">
        <w:t xml:space="preserve"> </w:t>
      </w:r>
      <w:r w:rsidR="00895D47">
        <w:t>40</w:t>
      </w:r>
    </w:p>
    <w:p w:rsidR="00036FAC" w:rsidRPr="00895D47" w:rsidRDefault="00036FAC" w:rsidP="00895D47">
      <w:pPr>
        <w:pStyle w:val="SingleTxtG"/>
        <w:rPr>
          <w:b/>
        </w:rPr>
      </w:pPr>
      <w:r w:rsidRPr="00895D47">
        <w:rPr>
          <w:b/>
        </w:rPr>
        <w:t>Average</w:t>
      </w:r>
      <w:r w:rsidR="00907D8C" w:rsidRPr="00895D47">
        <w:rPr>
          <w:b/>
        </w:rPr>
        <w:t xml:space="preserve"> </w:t>
      </w:r>
      <w:r w:rsidRPr="00895D47">
        <w:rPr>
          <w:b/>
        </w:rPr>
        <w:t>time</w:t>
      </w:r>
      <w:r w:rsidR="00907D8C" w:rsidRPr="00895D47">
        <w:rPr>
          <w:b/>
        </w:rPr>
        <w:t xml:space="preserve"> </w:t>
      </w:r>
      <w:r w:rsidRPr="00895D47">
        <w:rPr>
          <w:b/>
        </w:rPr>
        <w:t>of</w:t>
      </w:r>
      <w:r w:rsidR="00907D8C" w:rsidRPr="00895D47">
        <w:rPr>
          <w:b/>
        </w:rPr>
        <w:t xml:space="preserve"> </w:t>
      </w:r>
      <w:r w:rsidRPr="00895D47">
        <w:rPr>
          <w:b/>
        </w:rPr>
        <w:t>pre</w:t>
      </w:r>
      <w:r w:rsidR="00895D47">
        <w:rPr>
          <w:b/>
        </w:rPr>
        <w:t>t</w:t>
      </w:r>
      <w:r w:rsidRPr="00895D47">
        <w:rPr>
          <w:b/>
        </w:rPr>
        <w:t>rial</w:t>
      </w:r>
      <w:r w:rsidR="00907D8C" w:rsidRPr="00895D47">
        <w:rPr>
          <w:b/>
        </w:rPr>
        <w:t xml:space="preserve"> </w:t>
      </w:r>
      <w:r w:rsidRPr="00895D47">
        <w:rPr>
          <w:b/>
        </w:rPr>
        <w:t>detention</w:t>
      </w:r>
      <w:bookmarkEnd w:id="7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16"/>
        <w:gridCol w:w="2254"/>
      </w:tblGrid>
      <w:tr w:rsidR="00036FAC" w:rsidRPr="00895D47" w:rsidTr="00895D47">
        <w:trPr>
          <w:trHeight w:val="240"/>
          <w:tblHeader/>
        </w:trPr>
        <w:tc>
          <w:tcPr>
            <w:tcW w:w="1425" w:type="dxa"/>
            <w:tcBorders>
              <w:top w:val="single" w:sz="4" w:space="0" w:color="auto"/>
              <w:bottom w:val="single" w:sz="12" w:space="0" w:color="auto"/>
            </w:tcBorders>
            <w:shd w:val="clear" w:color="auto" w:fill="auto"/>
            <w:vAlign w:val="bottom"/>
          </w:tcPr>
          <w:p w:rsidR="00036FAC" w:rsidRPr="00895D47" w:rsidRDefault="00036FAC" w:rsidP="00895D47">
            <w:pPr>
              <w:suppressAutoHyphens w:val="0"/>
              <w:spacing w:before="80" w:after="80" w:line="200" w:lineRule="exact"/>
              <w:ind w:right="113"/>
              <w:rPr>
                <w:i/>
                <w:sz w:val="16"/>
              </w:rPr>
            </w:pPr>
            <w:r w:rsidRPr="00895D47">
              <w:rPr>
                <w:i/>
                <w:sz w:val="16"/>
              </w:rPr>
              <w:t>Year</w:t>
            </w:r>
            <w:r w:rsidR="00907D8C" w:rsidRPr="00895D47">
              <w:rPr>
                <w:i/>
                <w:sz w:val="16"/>
              </w:rPr>
              <w:t xml:space="preserve"> </w:t>
            </w:r>
            <w:r w:rsidR="00895D47" w:rsidRPr="00895D47">
              <w:rPr>
                <w:i/>
                <w:sz w:val="16"/>
              </w:rPr>
              <w:t>ending</w:t>
            </w:r>
          </w:p>
        </w:tc>
        <w:tc>
          <w:tcPr>
            <w:tcW w:w="628" w:type="dxa"/>
            <w:tcBorders>
              <w:top w:val="single" w:sz="4" w:space="0" w:color="auto"/>
              <w:bottom w:val="single" w:sz="12" w:space="0" w:color="auto"/>
            </w:tcBorders>
            <w:shd w:val="clear" w:color="auto" w:fill="auto"/>
            <w:vAlign w:val="bottom"/>
          </w:tcPr>
          <w:p w:rsidR="00036FAC" w:rsidRPr="00895D47" w:rsidRDefault="00036FAC" w:rsidP="00895D47">
            <w:pPr>
              <w:suppressAutoHyphens w:val="0"/>
              <w:spacing w:before="80" w:after="80" w:line="200" w:lineRule="exact"/>
              <w:ind w:right="113"/>
              <w:jc w:val="right"/>
              <w:rPr>
                <w:i/>
                <w:sz w:val="16"/>
              </w:rPr>
            </w:pPr>
            <w:r w:rsidRPr="00895D47">
              <w:rPr>
                <w:i/>
                <w:sz w:val="16"/>
              </w:rPr>
              <w:t>Days</w:t>
            </w:r>
          </w:p>
        </w:tc>
      </w:tr>
      <w:tr w:rsidR="00036FAC" w:rsidRPr="00895D47" w:rsidTr="00895D47">
        <w:trPr>
          <w:trHeight w:val="240"/>
        </w:trPr>
        <w:tc>
          <w:tcPr>
            <w:tcW w:w="1425" w:type="dxa"/>
            <w:tcBorders>
              <w:top w:val="single" w:sz="12" w:space="0" w:color="auto"/>
            </w:tcBorders>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2004</w:t>
            </w:r>
          </w:p>
        </w:tc>
        <w:tc>
          <w:tcPr>
            <w:tcW w:w="628" w:type="dxa"/>
            <w:tcBorders>
              <w:top w:val="single" w:sz="12" w:space="0" w:color="auto"/>
            </w:tcBorders>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45.8</w:t>
            </w:r>
          </w:p>
        </w:tc>
      </w:tr>
      <w:tr w:rsidR="00036FAC" w:rsidRPr="00895D47" w:rsidTr="00895D47">
        <w:trPr>
          <w:trHeight w:val="240"/>
        </w:trPr>
        <w:tc>
          <w:tcPr>
            <w:tcW w:w="1425" w:type="dxa"/>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2005</w:t>
            </w:r>
          </w:p>
        </w:tc>
        <w:tc>
          <w:tcPr>
            <w:tcW w:w="628" w:type="dxa"/>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44.5</w:t>
            </w:r>
          </w:p>
        </w:tc>
      </w:tr>
      <w:tr w:rsidR="00036FAC" w:rsidRPr="00895D47" w:rsidTr="00895D47">
        <w:trPr>
          <w:trHeight w:val="240"/>
        </w:trPr>
        <w:tc>
          <w:tcPr>
            <w:tcW w:w="1425" w:type="dxa"/>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2006</w:t>
            </w:r>
          </w:p>
        </w:tc>
        <w:tc>
          <w:tcPr>
            <w:tcW w:w="628" w:type="dxa"/>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48.8</w:t>
            </w:r>
          </w:p>
        </w:tc>
      </w:tr>
      <w:tr w:rsidR="00036FAC" w:rsidRPr="00895D47" w:rsidTr="00895D47">
        <w:trPr>
          <w:trHeight w:val="240"/>
        </w:trPr>
        <w:tc>
          <w:tcPr>
            <w:tcW w:w="1425" w:type="dxa"/>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2007</w:t>
            </w:r>
          </w:p>
        </w:tc>
        <w:tc>
          <w:tcPr>
            <w:tcW w:w="628" w:type="dxa"/>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51.6</w:t>
            </w:r>
          </w:p>
        </w:tc>
      </w:tr>
      <w:tr w:rsidR="00036FAC" w:rsidRPr="00895D47" w:rsidTr="00895D47">
        <w:trPr>
          <w:trHeight w:val="240"/>
        </w:trPr>
        <w:tc>
          <w:tcPr>
            <w:tcW w:w="1425" w:type="dxa"/>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2008</w:t>
            </w:r>
          </w:p>
        </w:tc>
        <w:tc>
          <w:tcPr>
            <w:tcW w:w="628" w:type="dxa"/>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56.1</w:t>
            </w:r>
          </w:p>
        </w:tc>
      </w:tr>
      <w:tr w:rsidR="00036FAC" w:rsidRPr="00895D47" w:rsidTr="00895D47">
        <w:trPr>
          <w:trHeight w:val="240"/>
        </w:trPr>
        <w:tc>
          <w:tcPr>
            <w:tcW w:w="1425" w:type="dxa"/>
            <w:shd w:val="clear" w:color="auto" w:fill="auto"/>
          </w:tcPr>
          <w:p w:rsidR="00036FAC" w:rsidRPr="00895D47" w:rsidRDefault="00036FAC" w:rsidP="00895D47">
            <w:pPr>
              <w:suppressAutoHyphens w:val="0"/>
              <w:spacing w:before="40" w:after="40" w:line="220" w:lineRule="exact"/>
              <w:ind w:right="113"/>
              <w:rPr>
                <w:sz w:val="18"/>
              </w:rPr>
            </w:pPr>
            <w:r w:rsidRPr="00895D47">
              <w:rPr>
                <w:sz w:val="18"/>
              </w:rPr>
              <w:t>June</w:t>
            </w:r>
            <w:r w:rsidR="00907D8C" w:rsidRPr="00895D47">
              <w:rPr>
                <w:sz w:val="18"/>
              </w:rPr>
              <w:t xml:space="preserve"> </w:t>
            </w:r>
            <w:r w:rsidRPr="00895D47">
              <w:rPr>
                <w:sz w:val="18"/>
              </w:rPr>
              <w:t>2009</w:t>
            </w:r>
          </w:p>
        </w:tc>
        <w:tc>
          <w:tcPr>
            <w:tcW w:w="628" w:type="dxa"/>
            <w:shd w:val="clear" w:color="auto" w:fill="auto"/>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56.2</w:t>
            </w:r>
          </w:p>
        </w:tc>
      </w:tr>
    </w:tbl>
    <w:p w:rsidR="00036FAC" w:rsidRPr="00AE2D92" w:rsidRDefault="00036FAC" w:rsidP="00B50FB5">
      <w:pPr>
        <w:spacing w:before="120" w:after="240"/>
        <w:ind w:left="1134" w:right="1134" w:firstLine="170"/>
        <w:rPr>
          <w:sz w:val="18"/>
          <w:szCs w:val="18"/>
        </w:rPr>
      </w:pPr>
      <w:r w:rsidRPr="00AE2D92">
        <w:rPr>
          <w:i/>
          <w:sz w:val="18"/>
          <w:szCs w:val="18"/>
        </w:rPr>
        <w:t>Source</w:t>
      </w:r>
      <w:r w:rsidRPr="00AE2D92">
        <w:rPr>
          <w:sz w:val="18"/>
          <w:szCs w:val="18"/>
        </w:rPr>
        <w:t>:</w:t>
      </w:r>
      <w:r w:rsidR="00AE2D92">
        <w:rPr>
          <w:sz w:val="18"/>
          <w:szCs w:val="18"/>
        </w:rPr>
        <w:t xml:space="preserve"> </w:t>
      </w:r>
      <w:r w:rsidR="00907D8C" w:rsidRPr="00AE2D92">
        <w:rPr>
          <w:sz w:val="18"/>
          <w:szCs w:val="18"/>
        </w:rPr>
        <w:t xml:space="preserve"> </w:t>
      </w:r>
      <w:r w:rsidRPr="00AE2D92">
        <w:rPr>
          <w:sz w:val="18"/>
          <w:szCs w:val="18"/>
        </w:rPr>
        <w:t>Ministry</w:t>
      </w:r>
      <w:r w:rsidR="00907D8C" w:rsidRPr="00AE2D92">
        <w:rPr>
          <w:sz w:val="18"/>
          <w:szCs w:val="18"/>
        </w:rPr>
        <w:t xml:space="preserve"> </w:t>
      </w:r>
      <w:r w:rsidRPr="00AE2D92">
        <w:rPr>
          <w:sz w:val="18"/>
          <w:szCs w:val="18"/>
        </w:rPr>
        <w:t>of</w:t>
      </w:r>
      <w:r w:rsidR="00907D8C" w:rsidRPr="00AE2D92">
        <w:rPr>
          <w:sz w:val="18"/>
          <w:szCs w:val="18"/>
        </w:rPr>
        <w:t xml:space="preserve"> </w:t>
      </w:r>
      <w:r w:rsidRPr="00AE2D92">
        <w:rPr>
          <w:sz w:val="18"/>
          <w:szCs w:val="18"/>
        </w:rPr>
        <w:t>Justice</w:t>
      </w:r>
      <w:r w:rsidR="00FF1AEE" w:rsidRPr="00AE2D92">
        <w:rPr>
          <w:sz w:val="18"/>
          <w:szCs w:val="18"/>
        </w:rPr>
        <w:t>.</w:t>
      </w:r>
    </w:p>
    <w:p w:rsidR="00036FAC" w:rsidRPr="00036FAC" w:rsidRDefault="00036FAC" w:rsidP="006C436C">
      <w:pPr>
        <w:pStyle w:val="H23G"/>
      </w:pPr>
      <w:r w:rsidRPr="00036FAC">
        <w:tab/>
        <w:t>(b)</w:t>
      </w:r>
      <w:r w:rsidRPr="00036FAC">
        <w:tab/>
        <w:t>Prison</w:t>
      </w:r>
      <w:r w:rsidR="00907D8C">
        <w:t xml:space="preserve"> </w:t>
      </w:r>
      <w:r w:rsidRPr="00036FAC">
        <w:t>population</w:t>
      </w:r>
      <w:r w:rsidR="00907D8C">
        <w:t xml:space="preserve"> </w:t>
      </w:r>
    </w:p>
    <w:p w:rsidR="00036FAC" w:rsidRPr="00036FAC" w:rsidRDefault="00036FAC" w:rsidP="00895D47">
      <w:pPr>
        <w:pStyle w:val="SingleTxtG"/>
      </w:pPr>
      <w:r w:rsidRPr="00036FAC">
        <w:t>129.</w:t>
      </w:r>
      <w:r w:rsidRPr="00036FAC">
        <w:tab/>
        <w:t>In</w:t>
      </w:r>
      <w:r w:rsidR="00907D8C">
        <w:t xml:space="preserve"> </w:t>
      </w:r>
      <w:r w:rsidRPr="00036FAC">
        <w:t>2007,</w:t>
      </w:r>
      <w:r w:rsidR="00907D8C">
        <w:t xml:space="preserve"> </w:t>
      </w:r>
      <w:r w:rsidRPr="00036FAC">
        <w:t>7,534</w:t>
      </w:r>
      <w:r w:rsidR="00907D8C">
        <w:t xml:space="preserve"> </w:t>
      </w:r>
      <w:r w:rsidRPr="00036FAC">
        <w:t>people</w:t>
      </w:r>
      <w:r w:rsidR="00907D8C">
        <w:t xml:space="preserve"> </w:t>
      </w:r>
      <w:r w:rsidRPr="00036FAC">
        <w:t>were</w:t>
      </w:r>
      <w:r w:rsidR="00907D8C">
        <w:t xml:space="preserve"> </w:t>
      </w:r>
      <w:r w:rsidRPr="00036FAC">
        <w:t>held</w:t>
      </w:r>
      <w:r w:rsidR="00907D8C">
        <w:t xml:space="preserve"> </w:t>
      </w:r>
      <w:r w:rsidRPr="00036FAC">
        <w:t>in</w:t>
      </w:r>
      <w:r w:rsidR="00907D8C">
        <w:t xml:space="preserve"> </w:t>
      </w:r>
      <w:r w:rsidRPr="00036FAC">
        <w:t>prison,</w:t>
      </w:r>
      <w:r w:rsidR="00907D8C">
        <w:t xml:space="preserve"> </w:t>
      </w:r>
      <w:r w:rsidRPr="00036FAC">
        <w:t>which</w:t>
      </w:r>
      <w:r w:rsidR="00907D8C">
        <w:t xml:space="preserve"> </w:t>
      </w:r>
      <w:r w:rsidRPr="00036FAC">
        <w:t>is</w:t>
      </w:r>
      <w:r w:rsidR="00907D8C">
        <w:t xml:space="preserve"> </w:t>
      </w:r>
      <w:r w:rsidRPr="00036FAC">
        <w:t>177.16</w:t>
      </w:r>
      <w:r w:rsidR="00907D8C">
        <w:t xml:space="preserve"> </w:t>
      </w:r>
      <w:r w:rsidRPr="00036FAC">
        <w:t>per</w:t>
      </w:r>
      <w:r w:rsidR="00907D8C">
        <w:t xml:space="preserve"> </w:t>
      </w:r>
      <w:r w:rsidRPr="00036FAC">
        <w:t>100,000</w:t>
      </w:r>
      <w:r w:rsidR="00907D8C">
        <w:t xml:space="preserve"> </w:t>
      </w:r>
      <w:r w:rsidRPr="00036FAC">
        <w:t>persons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In</w:t>
      </w:r>
      <w:r w:rsidR="00907D8C">
        <w:t xml:space="preserve"> </w:t>
      </w:r>
      <w:r w:rsidRPr="00036FAC">
        <w:t>2008,</w:t>
      </w:r>
      <w:r w:rsidR="00907D8C">
        <w:t xml:space="preserve"> </w:t>
      </w:r>
      <w:r w:rsidRPr="00036FAC">
        <w:t>7,860</w:t>
      </w:r>
      <w:r w:rsidR="00907D8C">
        <w:t xml:space="preserve"> </w:t>
      </w:r>
      <w:r w:rsidRPr="00036FAC">
        <w:t>people</w:t>
      </w:r>
      <w:r w:rsidR="00907D8C">
        <w:t xml:space="preserve"> </w:t>
      </w:r>
      <w:r w:rsidRPr="00036FAC">
        <w:t>were</w:t>
      </w:r>
      <w:r w:rsidR="00907D8C">
        <w:t xml:space="preserve"> </w:t>
      </w:r>
      <w:r w:rsidRPr="00036FAC">
        <w:t>held</w:t>
      </w:r>
      <w:r w:rsidR="00907D8C">
        <w:t xml:space="preserve"> </w:t>
      </w:r>
      <w:r w:rsidRPr="00036FAC">
        <w:t>(183.15</w:t>
      </w:r>
      <w:r w:rsidR="00907D8C">
        <w:t xml:space="preserve"> </w:t>
      </w:r>
      <w:r w:rsidRPr="00036FAC">
        <w:t>per</w:t>
      </w:r>
      <w:r w:rsidR="00907D8C">
        <w:t xml:space="preserve"> </w:t>
      </w:r>
      <w:r w:rsidRPr="00036FAC">
        <w:t>100,000</w:t>
      </w:r>
      <w:r w:rsidR="00907D8C">
        <w:t xml:space="preserve"> </w:t>
      </w:r>
      <w:r w:rsidRPr="00036FAC">
        <w:t>persons)</w:t>
      </w:r>
      <w:r w:rsidR="00907D8C">
        <w:t xml:space="preserve"> </w:t>
      </w:r>
      <w:r w:rsidRPr="00036FAC">
        <w:t>and</w:t>
      </w:r>
      <w:r w:rsidR="00907D8C">
        <w:t xml:space="preserve"> </w:t>
      </w:r>
      <w:r w:rsidRPr="00036FAC">
        <w:t>in</w:t>
      </w:r>
      <w:r w:rsidR="00907D8C">
        <w:t xml:space="preserve"> </w:t>
      </w:r>
      <w:r w:rsidRPr="00036FAC">
        <w:t>2009,</w:t>
      </w:r>
      <w:r w:rsidR="00907D8C">
        <w:t xml:space="preserve"> </w:t>
      </w:r>
      <w:r w:rsidRPr="00036FAC">
        <w:t>8,244</w:t>
      </w:r>
      <w:r w:rsidR="00907D8C">
        <w:t xml:space="preserve"> </w:t>
      </w:r>
      <w:r w:rsidRPr="00036FAC">
        <w:t>people</w:t>
      </w:r>
      <w:r w:rsidR="00907D8C">
        <w:t xml:space="preserve"> </w:t>
      </w:r>
      <w:r w:rsidRPr="00036FAC">
        <w:t>were</w:t>
      </w:r>
      <w:r w:rsidR="00907D8C">
        <w:t xml:space="preserve"> </w:t>
      </w:r>
      <w:r w:rsidRPr="00036FAC">
        <w:t>held</w:t>
      </w:r>
      <w:r w:rsidR="00907D8C">
        <w:t xml:space="preserve"> </w:t>
      </w:r>
      <w:r w:rsidRPr="00036FAC">
        <w:t>(189.64</w:t>
      </w:r>
      <w:r w:rsidR="00907D8C">
        <w:t xml:space="preserve"> </w:t>
      </w:r>
      <w:r w:rsidRPr="00036FAC">
        <w:t>per</w:t>
      </w:r>
      <w:r w:rsidR="00907D8C">
        <w:t xml:space="preserve"> </w:t>
      </w:r>
      <w:r w:rsidRPr="00036FAC">
        <w:t>100,000).</w:t>
      </w:r>
      <w:r w:rsidR="00907D8C">
        <w:t xml:space="preserve"> </w:t>
      </w:r>
      <w:r w:rsidRPr="00036FAC">
        <w:t>This</w:t>
      </w:r>
      <w:r w:rsidR="00907D8C">
        <w:t xml:space="preserve"> </w:t>
      </w:r>
      <w:r w:rsidRPr="00036FAC">
        <w:t>population</w:t>
      </w:r>
      <w:r w:rsidR="00907D8C">
        <w:t xml:space="preserve"> </w:t>
      </w:r>
      <w:r w:rsidRPr="00036FAC">
        <w:t>includes</w:t>
      </w:r>
      <w:r w:rsidR="00907D8C">
        <w:t xml:space="preserve"> </w:t>
      </w:r>
      <w:r w:rsidRPr="00036FAC">
        <w:t>people</w:t>
      </w:r>
      <w:r w:rsidR="00907D8C">
        <w:t xml:space="preserve"> </w:t>
      </w:r>
      <w:r w:rsidRPr="00036FAC">
        <w:t>held</w:t>
      </w:r>
      <w:r w:rsidR="00907D8C">
        <w:t xml:space="preserve"> </w:t>
      </w:r>
      <w:r w:rsidRPr="00036FAC">
        <w:t>in</w:t>
      </w:r>
      <w:r w:rsidR="00907D8C">
        <w:t xml:space="preserve"> </w:t>
      </w:r>
      <w:r w:rsidRPr="00036FAC">
        <w:t>prisons,</w:t>
      </w:r>
      <w:r w:rsidR="00907D8C">
        <w:t xml:space="preserve"> </w:t>
      </w:r>
      <w:r w:rsidRPr="00036FAC">
        <w:t>penal</w:t>
      </w:r>
      <w:r w:rsidR="00907D8C">
        <w:t xml:space="preserve"> </w:t>
      </w:r>
      <w:r w:rsidRPr="00036FAC">
        <w:t>institutions,</w:t>
      </w:r>
      <w:r w:rsidR="00907D8C">
        <w:t xml:space="preserve"> </w:t>
      </w:r>
      <w:r w:rsidRPr="00036FAC">
        <w:t>or</w:t>
      </w:r>
      <w:r w:rsidR="00907D8C">
        <w:t xml:space="preserve"> </w:t>
      </w:r>
      <w:r w:rsidRPr="00036FAC">
        <w:t>correctional</w:t>
      </w:r>
      <w:r w:rsidR="00907D8C">
        <w:t xml:space="preserve"> </w:t>
      </w:r>
      <w:r w:rsidRPr="00036FAC">
        <w:t>institutions</w:t>
      </w:r>
      <w:r w:rsidR="00907D8C">
        <w:t xml:space="preserve"> </w:t>
      </w:r>
      <w:r w:rsidRPr="00036FAC">
        <w:t>and</w:t>
      </w:r>
      <w:r w:rsidR="00907D8C">
        <w:t xml:space="preserve"> </w:t>
      </w:r>
      <w:r w:rsidRPr="00036FAC">
        <w:t>excludes</w:t>
      </w:r>
      <w:r w:rsidR="00907D8C">
        <w:t xml:space="preserve"> </w:t>
      </w:r>
      <w:r w:rsidRPr="00036FAC">
        <w:t>non-criminal</w:t>
      </w:r>
      <w:r w:rsidR="00907D8C">
        <w:t xml:space="preserve"> </w:t>
      </w:r>
      <w:r w:rsidRPr="00036FAC">
        <w:t>prisoners</w:t>
      </w:r>
      <w:r w:rsidR="00907D8C">
        <w:t xml:space="preserve"> </w:t>
      </w:r>
      <w:r w:rsidRPr="00036FAC">
        <w:t>held</w:t>
      </w:r>
      <w:r w:rsidR="00907D8C">
        <w:t xml:space="preserve"> </w:t>
      </w:r>
      <w:r w:rsidRPr="00036FAC">
        <w:t>for</w:t>
      </w:r>
      <w:r w:rsidR="00907D8C">
        <w:t xml:space="preserve"> </w:t>
      </w:r>
      <w:r w:rsidRPr="00036FAC">
        <w:t>administrative</w:t>
      </w:r>
      <w:r w:rsidR="00907D8C">
        <w:t xml:space="preserve"> </w:t>
      </w:r>
      <w:r w:rsidRPr="00036FAC">
        <w:t>purposes,</w:t>
      </w:r>
      <w:r w:rsidR="00907D8C">
        <w:t xml:space="preserve"> </w:t>
      </w:r>
      <w:r w:rsidRPr="00036FAC">
        <w:t>including</w:t>
      </w:r>
      <w:r w:rsidR="00907D8C">
        <w:t xml:space="preserve"> </w:t>
      </w:r>
      <w:r w:rsidRPr="00036FAC">
        <w:t>people</w:t>
      </w:r>
      <w:r w:rsidR="00907D8C">
        <w:t xml:space="preserve"> </w:t>
      </w:r>
      <w:r w:rsidRPr="00036FAC">
        <w:t>held</w:t>
      </w:r>
      <w:r w:rsidR="00907D8C">
        <w:t xml:space="preserve"> </w:t>
      </w:r>
      <w:r w:rsidRPr="00036FAC">
        <w:t>pending</w:t>
      </w:r>
      <w:r w:rsidR="00907D8C">
        <w:t xml:space="preserve"> </w:t>
      </w:r>
      <w:r w:rsidRPr="00036FAC">
        <w:t>investigation</w:t>
      </w:r>
      <w:r w:rsidR="00907D8C">
        <w:t xml:space="preserve"> </w:t>
      </w:r>
      <w:r w:rsidRPr="00036FAC">
        <w:t>into</w:t>
      </w:r>
      <w:r w:rsidR="00907D8C">
        <w:t xml:space="preserve"> </w:t>
      </w:r>
      <w:r w:rsidRPr="00036FAC">
        <w:t>their</w:t>
      </w:r>
      <w:r w:rsidR="00907D8C">
        <w:t xml:space="preserve"> </w:t>
      </w:r>
      <w:r w:rsidRPr="00036FAC">
        <w:t>immigration</w:t>
      </w:r>
      <w:r w:rsidR="00907D8C">
        <w:t xml:space="preserve"> </w:t>
      </w:r>
      <w:r w:rsidRPr="00036FAC">
        <w:t>status.</w:t>
      </w:r>
      <w:r w:rsidR="00907D8C">
        <w:t xml:space="preserve"> </w:t>
      </w:r>
      <w:r w:rsidRPr="00036FAC">
        <w:t>In</w:t>
      </w:r>
      <w:r w:rsidR="00907D8C">
        <w:t xml:space="preserve"> </w:t>
      </w:r>
      <w:r w:rsidRPr="00036FAC">
        <w:t>February</w:t>
      </w:r>
      <w:r w:rsidR="00907D8C">
        <w:t xml:space="preserve"> </w:t>
      </w:r>
      <w:r w:rsidRPr="00036FAC">
        <w:t>2010,</w:t>
      </w:r>
      <w:r w:rsidR="00907D8C">
        <w:t xml:space="preserve"> </w:t>
      </w:r>
      <w:r w:rsidRPr="00036FAC">
        <w:t>Māori</w:t>
      </w:r>
      <w:r w:rsidR="00907D8C">
        <w:t xml:space="preserve"> </w:t>
      </w:r>
      <w:r w:rsidRPr="00036FAC">
        <w:t>made</w:t>
      </w:r>
      <w:r w:rsidR="00907D8C">
        <w:t xml:space="preserve"> </w:t>
      </w:r>
      <w:r w:rsidRPr="00036FAC">
        <w:t>up</w:t>
      </w:r>
      <w:r w:rsidR="00907D8C">
        <w:t xml:space="preserve"> </w:t>
      </w:r>
      <w:r w:rsidRPr="00036FAC">
        <w:t>just</w:t>
      </w:r>
      <w:r w:rsidR="00907D8C">
        <w:t xml:space="preserve"> </w:t>
      </w:r>
      <w:r w:rsidRPr="00036FAC">
        <w:t>over</w:t>
      </w:r>
      <w:r w:rsidR="00907D8C">
        <w:t xml:space="preserve"> </w:t>
      </w:r>
      <w:r w:rsidRPr="00036FAC">
        <w:t>51</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prison</w:t>
      </w:r>
      <w:r w:rsidR="00907D8C">
        <w:t xml:space="preserve"> </w:t>
      </w:r>
      <w:r w:rsidRPr="00036FAC">
        <w:t>population</w:t>
      </w:r>
      <w:r w:rsidR="00907D8C">
        <w:t xml:space="preserve"> </w:t>
      </w:r>
      <w:r w:rsidRPr="00036FAC">
        <w:t>and</w:t>
      </w:r>
      <w:r w:rsidR="00907D8C">
        <w:t xml:space="preserve"> </w:t>
      </w:r>
      <w:r w:rsidRPr="00036FAC">
        <w:t>Māori</w:t>
      </w:r>
      <w:r w:rsidR="00907D8C">
        <w:t xml:space="preserve"> </w:t>
      </w:r>
      <w:r w:rsidRPr="00036FAC">
        <w:t>women</w:t>
      </w:r>
      <w:r w:rsidR="00907D8C">
        <w:t xml:space="preserve"> </w:t>
      </w:r>
      <w:r w:rsidRPr="00036FAC">
        <w:t>made</w:t>
      </w:r>
      <w:r w:rsidR="00907D8C">
        <w:t xml:space="preserve"> </w:t>
      </w:r>
      <w:r w:rsidRPr="00036FAC">
        <w:t>up</w:t>
      </w:r>
      <w:r w:rsidR="00907D8C">
        <w:t xml:space="preserve"> </w:t>
      </w:r>
      <w:r w:rsidRPr="00036FAC">
        <w:t>nearly</w:t>
      </w:r>
      <w:r w:rsidR="00907D8C">
        <w:t xml:space="preserve"> </w:t>
      </w:r>
      <w:r w:rsidRPr="00036FAC">
        <w:t>60</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female</w:t>
      </w:r>
      <w:r w:rsidR="00907D8C">
        <w:t xml:space="preserve"> </w:t>
      </w:r>
      <w:r w:rsidRPr="00036FAC">
        <w:t>prison</w:t>
      </w:r>
      <w:r w:rsidR="00907D8C">
        <w:t xml:space="preserve"> </w:t>
      </w:r>
      <w:r w:rsidRPr="00036FAC">
        <w:t>population.</w:t>
      </w:r>
      <w:r w:rsidR="00907D8C">
        <w:t xml:space="preserve"> </w:t>
      </w:r>
      <w:r w:rsidRPr="00036FAC">
        <w:t>This</w:t>
      </w:r>
      <w:r w:rsidR="00907D8C">
        <w:t xml:space="preserve"> </w:t>
      </w:r>
      <w:r w:rsidRPr="00036FAC">
        <w:t>over-representation</w:t>
      </w:r>
      <w:r w:rsidR="00907D8C">
        <w:t xml:space="preserve"> </w:t>
      </w:r>
      <w:r w:rsidRPr="00036FAC">
        <w:t>of</w:t>
      </w:r>
      <w:r w:rsidR="00907D8C">
        <w:t xml:space="preserve"> </w:t>
      </w:r>
      <w:r w:rsidRPr="00036FAC">
        <w:t>Māori</w:t>
      </w:r>
      <w:r w:rsidR="00907D8C">
        <w:t xml:space="preserve"> </w:t>
      </w:r>
      <w:r w:rsidRPr="00036FAC">
        <w:t>in</w:t>
      </w:r>
      <w:r w:rsidR="00907D8C">
        <w:t xml:space="preserve"> </w:t>
      </w:r>
      <w:r w:rsidRPr="00036FAC">
        <w:t>the</w:t>
      </w:r>
      <w:r w:rsidR="00907D8C">
        <w:t xml:space="preserve"> </w:t>
      </w:r>
      <w:r w:rsidRPr="00036FAC">
        <w:t>prison</w:t>
      </w:r>
      <w:r w:rsidR="00907D8C">
        <w:t xml:space="preserve"> </w:t>
      </w:r>
      <w:r w:rsidRPr="00036FAC">
        <w:t>population</w:t>
      </w:r>
      <w:r w:rsidR="00907D8C">
        <w:t xml:space="preserve"> </w:t>
      </w:r>
      <w:r w:rsidRPr="00036FAC">
        <w:t>has</w:t>
      </w:r>
      <w:r w:rsidR="00907D8C">
        <w:t xml:space="preserve"> </w:t>
      </w:r>
      <w:r w:rsidRPr="00036FAC">
        <w:t>not</w:t>
      </w:r>
      <w:r w:rsidR="00907D8C">
        <w:t xml:space="preserve"> </w:t>
      </w:r>
      <w:r w:rsidRPr="00036FAC">
        <w:t>changed</w:t>
      </w:r>
      <w:r w:rsidR="00907D8C">
        <w:t xml:space="preserve"> </w:t>
      </w:r>
      <w:r w:rsidRPr="00036FAC">
        <w:t>significantly</w:t>
      </w:r>
      <w:r w:rsidR="00907D8C">
        <w:t xml:space="preserve"> </w:t>
      </w:r>
      <w:r w:rsidRPr="00036FAC">
        <w:t>over</w:t>
      </w:r>
      <w:r w:rsidR="00907D8C">
        <w:t xml:space="preserve"> </w:t>
      </w:r>
      <w:r w:rsidRPr="00036FAC">
        <w:t>the</w:t>
      </w:r>
      <w:r w:rsidR="00907D8C">
        <w:t xml:space="preserve"> </w:t>
      </w:r>
      <w:r w:rsidRPr="00036FAC">
        <w:t>past</w:t>
      </w:r>
      <w:r w:rsidR="00907D8C">
        <w:t xml:space="preserve"> </w:t>
      </w:r>
      <w:r w:rsidRPr="00036FAC">
        <w:t>five</w:t>
      </w:r>
      <w:r w:rsidR="00907D8C">
        <w:t xml:space="preserve"> </w:t>
      </w:r>
      <w:r w:rsidRPr="00036FAC">
        <w:t>years.</w:t>
      </w:r>
    </w:p>
    <w:p w:rsidR="00036FAC" w:rsidRPr="00036FAC" w:rsidRDefault="00036FAC" w:rsidP="00895D47">
      <w:pPr>
        <w:pStyle w:val="SingleTxtG"/>
      </w:pPr>
      <w:r w:rsidRPr="00036FAC">
        <w:t>130.</w:t>
      </w:r>
      <w:r w:rsidRPr="00036FAC">
        <w:tab/>
        <w:t>The</w:t>
      </w:r>
      <w:r w:rsidR="00907D8C">
        <w:t xml:space="preserve"> </w:t>
      </w:r>
      <w:r w:rsidR="003E4D94">
        <w:t>“</w:t>
      </w:r>
      <w:r w:rsidRPr="00036FAC">
        <w:t>prison</w:t>
      </w:r>
      <w:r w:rsidR="00907D8C">
        <w:t xml:space="preserve"> </w:t>
      </w:r>
      <w:r w:rsidRPr="00036FAC">
        <w:t>population</w:t>
      </w:r>
      <w:r w:rsidR="003E4D94">
        <w:t>”</w:t>
      </w:r>
      <w:r w:rsidR="00907D8C">
        <w:t xml:space="preserve"> </w:t>
      </w:r>
      <w:r w:rsidRPr="00036FAC">
        <w:t>described</w:t>
      </w:r>
      <w:r w:rsidR="00907D8C">
        <w:t xml:space="preserve"> </w:t>
      </w:r>
      <w:r w:rsidRPr="00036FAC">
        <w:t>in</w:t>
      </w:r>
      <w:r w:rsidR="00907D8C">
        <w:t xml:space="preserve"> </w:t>
      </w:r>
      <w:r w:rsidRPr="00036FAC">
        <w:t>Table</w:t>
      </w:r>
      <w:r w:rsidR="00907D8C">
        <w:t xml:space="preserve"> </w:t>
      </w:r>
      <w:r w:rsidRPr="00036FAC">
        <w:t>41</w:t>
      </w:r>
      <w:r w:rsidR="00907D8C">
        <w:t xml:space="preserve"> </w:t>
      </w:r>
      <w:r w:rsidRPr="00036FAC">
        <w:t>includes</w:t>
      </w:r>
      <w:r w:rsidR="00907D8C">
        <w:t xml:space="preserve"> </w:t>
      </w:r>
      <w:r w:rsidRPr="00036FAC">
        <w:t>remand</w:t>
      </w:r>
      <w:r w:rsidR="00907D8C">
        <w:t xml:space="preserve"> </w:t>
      </w:r>
      <w:r w:rsidRPr="00036FAC">
        <w:t>prisoners.</w:t>
      </w:r>
      <w:r w:rsidR="00907D8C">
        <w:t xml:space="preserve"> </w:t>
      </w:r>
      <w:r w:rsidRPr="00036FAC">
        <w:t>The</w:t>
      </w:r>
      <w:r w:rsidR="00907D8C">
        <w:t xml:space="preserve"> </w:t>
      </w:r>
      <w:r w:rsidR="003E4D94">
        <w:t>“</w:t>
      </w:r>
      <w:r w:rsidRPr="00036FAC">
        <w:t>sentenced</w:t>
      </w:r>
      <w:r w:rsidR="00907D8C">
        <w:t xml:space="preserve"> </w:t>
      </w:r>
      <w:r w:rsidRPr="00036FAC">
        <w:t>population</w:t>
      </w:r>
      <w:r w:rsidR="003E4D94">
        <w:t>”</w:t>
      </w:r>
      <w:r w:rsidR="00907D8C">
        <w:t xml:space="preserve"> </w:t>
      </w:r>
      <w:r w:rsidRPr="00036FAC">
        <w:t>is</w:t>
      </w:r>
      <w:r w:rsidR="00907D8C">
        <w:t xml:space="preserve"> </w:t>
      </w:r>
      <w:r w:rsidRPr="00036FAC">
        <w:t>convicted</w:t>
      </w:r>
      <w:r w:rsidR="00907D8C">
        <w:t xml:space="preserve"> </w:t>
      </w:r>
      <w:r w:rsidRPr="00036FAC">
        <w:t>prisoners</w:t>
      </w:r>
      <w:r w:rsidR="00907D8C">
        <w:t xml:space="preserve"> </w:t>
      </w:r>
      <w:r w:rsidRPr="00036FAC">
        <w:t>only.</w:t>
      </w:r>
      <w:r w:rsidR="00907D8C">
        <w:t xml:space="preserve"> </w:t>
      </w:r>
      <w:r w:rsidRPr="00036FAC">
        <w:t>The</w:t>
      </w:r>
      <w:r w:rsidR="00907D8C">
        <w:t xml:space="preserve"> </w:t>
      </w:r>
      <w:r w:rsidRPr="00036FAC">
        <w:t>indeterminate</w:t>
      </w:r>
      <w:r w:rsidR="00907D8C">
        <w:t xml:space="preserve"> </w:t>
      </w:r>
      <w:r w:rsidRPr="00036FAC">
        <w:t>sentence</w:t>
      </w:r>
      <w:r w:rsidR="00907D8C">
        <w:t xml:space="preserve"> </w:t>
      </w:r>
      <w:r w:rsidRPr="00036FAC">
        <w:t>is</w:t>
      </w:r>
      <w:r w:rsidR="00907D8C">
        <w:t xml:space="preserve"> </w:t>
      </w:r>
      <w:r w:rsidRPr="00036FAC">
        <w:t>preventive</w:t>
      </w:r>
      <w:r w:rsidR="00907D8C">
        <w:t xml:space="preserve"> </w:t>
      </w:r>
      <w:r w:rsidRPr="00036FAC">
        <w:t>detention</w:t>
      </w:r>
      <w:r w:rsidR="00907D8C">
        <w:t xml:space="preserve"> </w:t>
      </w:r>
      <w:r w:rsidRPr="00036FAC">
        <w:t>and</w:t>
      </w:r>
      <w:r w:rsidR="00907D8C">
        <w:t xml:space="preserve"> </w:t>
      </w:r>
      <w:r w:rsidRPr="00036FAC">
        <w:t>life</w:t>
      </w:r>
      <w:r w:rsidR="00907D8C">
        <w:t xml:space="preserve"> </w:t>
      </w:r>
      <w:r w:rsidRPr="00036FAC">
        <w:t>sentences.</w:t>
      </w:r>
    </w:p>
    <w:p w:rsidR="00895D47" w:rsidRDefault="00036FAC" w:rsidP="00895D47">
      <w:pPr>
        <w:pStyle w:val="Heading1"/>
      </w:pPr>
      <w:bookmarkStart w:id="72" w:name="_Toc275331942"/>
      <w:r w:rsidRPr="00036FAC">
        <w:t>Table</w:t>
      </w:r>
      <w:r w:rsidR="00907D8C">
        <w:t xml:space="preserve"> </w:t>
      </w:r>
      <w:r w:rsidR="00895D47">
        <w:t>41</w:t>
      </w:r>
    </w:p>
    <w:p w:rsidR="00036FAC" w:rsidRPr="00895D47" w:rsidRDefault="00036FAC" w:rsidP="00895D47">
      <w:pPr>
        <w:pStyle w:val="SingleTxtG"/>
        <w:rPr>
          <w:b/>
        </w:rPr>
      </w:pPr>
      <w:r w:rsidRPr="00895D47">
        <w:rPr>
          <w:b/>
        </w:rPr>
        <w:t>Prison</w:t>
      </w:r>
      <w:r w:rsidR="00907D8C" w:rsidRPr="00895D47">
        <w:rPr>
          <w:b/>
        </w:rPr>
        <w:t xml:space="preserve"> </w:t>
      </w:r>
      <w:r w:rsidRPr="00895D47">
        <w:rPr>
          <w:b/>
        </w:rPr>
        <w:t>population</w:t>
      </w:r>
      <w:r w:rsidR="00907D8C" w:rsidRPr="00895D47">
        <w:rPr>
          <w:b/>
        </w:rPr>
        <w:t xml:space="preserve"> </w:t>
      </w:r>
      <w:r w:rsidRPr="00895D47">
        <w:rPr>
          <w:b/>
        </w:rPr>
        <w:t>with</w:t>
      </w:r>
      <w:r w:rsidR="00907D8C" w:rsidRPr="00895D47">
        <w:rPr>
          <w:b/>
        </w:rPr>
        <w:t xml:space="preserve"> </w:t>
      </w:r>
      <w:r w:rsidRPr="00895D47">
        <w:rPr>
          <w:b/>
        </w:rPr>
        <w:t>breakdown</w:t>
      </w:r>
      <w:r w:rsidR="00907D8C" w:rsidRPr="00895D47">
        <w:rPr>
          <w:b/>
        </w:rPr>
        <w:t xml:space="preserve"> </w:t>
      </w:r>
      <w:r w:rsidRPr="00895D47">
        <w:rPr>
          <w:b/>
        </w:rPr>
        <w:t>of</w:t>
      </w:r>
      <w:r w:rsidR="00907D8C" w:rsidRPr="00895D47">
        <w:rPr>
          <w:b/>
        </w:rPr>
        <w:t xml:space="preserve"> </w:t>
      </w:r>
      <w:r w:rsidRPr="00895D47">
        <w:rPr>
          <w:b/>
        </w:rPr>
        <w:t>offence</w:t>
      </w:r>
      <w:r w:rsidR="00907D8C" w:rsidRPr="00895D47">
        <w:rPr>
          <w:b/>
        </w:rPr>
        <w:t xml:space="preserve"> </w:t>
      </w:r>
      <w:r w:rsidRPr="00895D47">
        <w:rPr>
          <w:b/>
        </w:rPr>
        <w:t>and</w:t>
      </w:r>
      <w:r w:rsidR="00907D8C" w:rsidRPr="00895D47">
        <w:rPr>
          <w:b/>
        </w:rPr>
        <w:t xml:space="preserve"> </w:t>
      </w:r>
      <w:r w:rsidRPr="00895D47">
        <w:rPr>
          <w:b/>
        </w:rPr>
        <w:t>length</w:t>
      </w:r>
      <w:r w:rsidR="00907D8C" w:rsidRPr="00895D47">
        <w:rPr>
          <w:b/>
        </w:rPr>
        <w:t xml:space="preserve"> </w:t>
      </w:r>
      <w:r w:rsidRPr="00895D47">
        <w:rPr>
          <w:b/>
        </w:rPr>
        <w:t>of</w:t>
      </w:r>
      <w:r w:rsidR="00907D8C" w:rsidRPr="00895D47">
        <w:rPr>
          <w:b/>
        </w:rPr>
        <w:t xml:space="preserve"> </w:t>
      </w:r>
      <w:r w:rsidRPr="00895D47">
        <w:rPr>
          <w:b/>
        </w:rPr>
        <w:t>sentence</w:t>
      </w:r>
      <w:r w:rsidR="00907D8C" w:rsidRPr="00895D47">
        <w:rPr>
          <w:b/>
        </w:rPr>
        <w:t xml:space="preserve"> </w:t>
      </w:r>
      <w:r w:rsidRPr="00895D47">
        <w:rPr>
          <w:b/>
        </w:rPr>
        <w:t>at</w:t>
      </w:r>
      <w:r w:rsidR="00907D8C" w:rsidRPr="00895D47">
        <w:rPr>
          <w:b/>
        </w:rPr>
        <w:t xml:space="preserve"> </w:t>
      </w:r>
      <w:r w:rsidRPr="00895D47">
        <w:rPr>
          <w:b/>
        </w:rPr>
        <w:t>30</w:t>
      </w:r>
      <w:r w:rsidR="00907D8C" w:rsidRPr="00895D47">
        <w:rPr>
          <w:b/>
        </w:rPr>
        <w:t xml:space="preserve"> </w:t>
      </w:r>
      <w:r w:rsidRPr="00895D47">
        <w:rPr>
          <w:b/>
        </w:rPr>
        <w:t>June</w:t>
      </w:r>
      <w:r w:rsidR="00907D8C" w:rsidRPr="00895D47">
        <w:rPr>
          <w:b/>
        </w:rPr>
        <w:t xml:space="preserve"> </w:t>
      </w:r>
      <w:r w:rsidRPr="00895D47">
        <w:rPr>
          <w:b/>
        </w:rPr>
        <w:t>2010</w:t>
      </w:r>
      <w:bookmarkEnd w:id="7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82"/>
        <w:gridCol w:w="1195"/>
        <w:gridCol w:w="1198"/>
        <w:gridCol w:w="1195"/>
      </w:tblGrid>
      <w:tr w:rsidR="00036FAC" w:rsidRPr="00895D47" w:rsidTr="00B76872">
        <w:trPr>
          <w:trHeight w:val="255"/>
          <w:tblHeader/>
        </w:trPr>
        <w:tc>
          <w:tcPr>
            <w:tcW w:w="3040" w:type="dxa"/>
            <w:tcBorders>
              <w:top w:val="single" w:sz="4" w:space="0" w:color="auto"/>
              <w:bottom w:val="single" w:sz="12" w:space="0" w:color="auto"/>
            </w:tcBorders>
            <w:shd w:val="clear" w:color="auto" w:fill="auto"/>
            <w:noWrap/>
            <w:vAlign w:val="bottom"/>
          </w:tcPr>
          <w:p w:rsidR="00036FAC" w:rsidRPr="00895D47" w:rsidRDefault="00036FAC" w:rsidP="00895D47">
            <w:pPr>
              <w:suppressAutoHyphens w:val="0"/>
              <w:spacing w:before="80" w:after="80" w:line="200" w:lineRule="exact"/>
              <w:ind w:right="113"/>
              <w:rPr>
                <w:i/>
                <w:sz w:val="16"/>
              </w:rPr>
            </w:pPr>
          </w:p>
        </w:tc>
        <w:tc>
          <w:tcPr>
            <w:tcW w:w="960" w:type="dxa"/>
            <w:tcBorders>
              <w:top w:val="single" w:sz="4" w:space="0" w:color="auto"/>
              <w:bottom w:val="single" w:sz="12" w:space="0" w:color="auto"/>
            </w:tcBorders>
            <w:shd w:val="clear" w:color="auto" w:fill="auto"/>
            <w:noWrap/>
            <w:vAlign w:val="bottom"/>
          </w:tcPr>
          <w:p w:rsidR="00036FAC" w:rsidRPr="00895D47" w:rsidRDefault="00036FAC" w:rsidP="00895D47">
            <w:pPr>
              <w:suppressAutoHyphens w:val="0"/>
              <w:spacing w:before="80" w:after="80" w:line="200" w:lineRule="exact"/>
              <w:ind w:right="113"/>
              <w:jc w:val="right"/>
              <w:rPr>
                <w:i/>
                <w:sz w:val="16"/>
              </w:rPr>
            </w:pPr>
            <w:r w:rsidRPr="00895D47">
              <w:rPr>
                <w:i/>
                <w:sz w:val="16"/>
              </w:rPr>
              <w:t>Male</w:t>
            </w:r>
          </w:p>
        </w:tc>
        <w:tc>
          <w:tcPr>
            <w:tcW w:w="963" w:type="dxa"/>
            <w:tcBorders>
              <w:top w:val="single" w:sz="4" w:space="0" w:color="auto"/>
              <w:bottom w:val="single" w:sz="12" w:space="0" w:color="auto"/>
            </w:tcBorders>
            <w:shd w:val="clear" w:color="auto" w:fill="auto"/>
            <w:noWrap/>
            <w:vAlign w:val="bottom"/>
          </w:tcPr>
          <w:p w:rsidR="00036FAC" w:rsidRPr="00895D47" w:rsidRDefault="00036FAC" w:rsidP="00895D47">
            <w:pPr>
              <w:suppressAutoHyphens w:val="0"/>
              <w:spacing w:before="80" w:after="80" w:line="200" w:lineRule="exact"/>
              <w:ind w:right="113"/>
              <w:jc w:val="right"/>
              <w:rPr>
                <w:i/>
                <w:sz w:val="16"/>
              </w:rPr>
            </w:pPr>
            <w:r w:rsidRPr="00895D47">
              <w:rPr>
                <w:i/>
                <w:sz w:val="16"/>
              </w:rPr>
              <w:t>Female</w:t>
            </w:r>
          </w:p>
        </w:tc>
        <w:tc>
          <w:tcPr>
            <w:tcW w:w="960" w:type="dxa"/>
            <w:tcBorders>
              <w:top w:val="single" w:sz="4" w:space="0" w:color="auto"/>
              <w:bottom w:val="single" w:sz="12" w:space="0" w:color="auto"/>
            </w:tcBorders>
            <w:shd w:val="clear" w:color="auto" w:fill="auto"/>
            <w:noWrap/>
            <w:vAlign w:val="bottom"/>
          </w:tcPr>
          <w:p w:rsidR="00036FAC" w:rsidRPr="00895D47" w:rsidRDefault="00036FAC" w:rsidP="00895D47">
            <w:pPr>
              <w:suppressAutoHyphens w:val="0"/>
              <w:spacing w:before="80" w:after="80" w:line="200" w:lineRule="exact"/>
              <w:ind w:right="113"/>
              <w:jc w:val="right"/>
              <w:rPr>
                <w:b/>
                <w:i/>
                <w:sz w:val="16"/>
              </w:rPr>
            </w:pPr>
            <w:r w:rsidRPr="00895D47">
              <w:rPr>
                <w:b/>
                <w:i/>
                <w:sz w:val="16"/>
              </w:rPr>
              <w:t>Total</w:t>
            </w:r>
          </w:p>
        </w:tc>
      </w:tr>
      <w:tr w:rsidR="00036FAC" w:rsidRPr="00895D47" w:rsidTr="00B76872">
        <w:trPr>
          <w:trHeight w:val="255"/>
        </w:trPr>
        <w:tc>
          <w:tcPr>
            <w:tcW w:w="3040" w:type="dxa"/>
            <w:tcBorders>
              <w:top w:val="single" w:sz="12" w:space="0" w:color="auto"/>
            </w:tcBorders>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Sentenced</w:t>
            </w:r>
            <w:r w:rsidR="00907D8C" w:rsidRPr="00895D47">
              <w:rPr>
                <w:sz w:val="18"/>
              </w:rPr>
              <w:t xml:space="preserve"> </w:t>
            </w:r>
            <w:r w:rsidR="004C18F9">
              <w:rPr>
                <w:sz w:val="18"/>
              </w:rPr>
              <w:t>p</w:t>
            </w:r>
            <w:r w:rsidRPr="00895D47">
              <w:rPr>
                <w:sz w:val="18"/>
              </w:rPr>
              <w:t>opulation</w:t>
            </w:r>
          </w:p>
        </w:tc>
        <w:tc>
          <w:tcPr>
            <w:tcW w:w="960" w:type="dxa"/>
            <w:tcBorders>
              <w:top w:val="single" w:sz="12" w:space="0" w:color="auto"/>
            </w:tcBorders>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6 </w:t>
            </w:r>
            <w:r w:rsidR="00036FAC" w:rsidRPr="00895D47">
              <w:rPr>
                <w:sz w:val="18"/>
              </w:rPr>
              <w:t>487</w:t>
            </w:r>
          </w:p>
        </w:tc>
        <w:tc>
          <w:tcPr>
            <w:tcW w:w="963" w:type="dxa"/>
            <w:tcBorders>
              <w:top w:val="single" w:sz="12" w:space="0" w:color="auto"/>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429</w:t>
            </w:r>
          </w:p>
        </w:tc>
        <w:tc>
          <w:tcPr>
            <w:tcW w:w="960" w:type="dxa"/>
            <w:tcBorders>
              <w:top w:val="single" w:sz="12" w:space="0" w:color="auto"/>
            </w:tcBorders>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6 </w:t>
            </w:r>
            <w:r w:rsidR="00036FAC" w:rsidRPr="00895D47">
              <w:rPr>
                <w:b/>
                <w:sz w:val="18"/>
              </w:rPr>
              <w:t>916</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Sentence</w:t>
            </w:r>
            <w:r w:rsidR="00907D8C" w:rsidRPr="00895D47">
              <w:rPr>
                <w:sz w:val="18"/>
              </w:rPr>
              <w:t xml:space="preserve"> </w:t>
            </w:r>
            <w:r w:rsidR="004C18F9">
              <w:rPr>
                <w:sz w:val="18"/>
              </w:rPr>
              <w:t>l</w:t>
            </w:r>
            <w:r w:rsidRPr="00895D47">
              <w:rPr>
                <w:sz w:val="18"/>
              </w:rPr>
              <w:t>ength</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&lt;</w:t>
            </w:r>
            <w:r w:rsidR="00907D8C" w:rsidRPr="00895D47">
              <w:rPr>
                <w:sz w:val="18"/>
              </w:rPr>
              <w:t xml:space="preserve"> </w:t>
            </w:r>
            <w:r w:rsidRPr="00895D47">
              <w:rPr>
                <w:sz w:val="18"/>
              </w:rPr>
              <w:t>2</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w:t>
            </w:r>
            <w:r w:rsidR="00AE2D92">
              <w:rPr>
                <w:sz w:val="18"/>
              </w:rPr>
              <w:t xml:space="preserve"> </w:t>
            </w:r>
            <w:r w:rsidRPr="00895D47">
              <w:rPr>
                <w:sz w:val="18"/>
              </w:rPr>
              <w:t>787</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191</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978</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2–5</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2 </w:t>
            </w:r>
            <w:r w:rsidR="00036FAC" w:rsidRPr="00895D47">
              <w:rPr>
                <w:sz w:val="18"/>
              </w:rPr>
              <w:t>384</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157</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2 </w:t>
            </w:r>
            <w:r w:rsidR="00036FAC" w:rsidRPr="00895D47">
              <w:rPr>
                <w:b/>
                <w:sz w:val="18"/>
              </w:rPr>
              <w:t>541</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5–10</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1 </w:t>
            </w:r>
            <w:r w:rsidR="00036FAC" w:rsidRPr="00895D47">
              <w:rPr>
                <w:sz w:val="18"/>
              </w:rPr>
              <w:t>238</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47</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285</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&gt;</w:t>
            </w:r>
            <w:r w:rsidR="00907D8C" w:rsidRPr="00895D47">
              <w:rPr>
                <w:sz w:val="18"/>
              </w:rPr>
              <w:t xml:space="preserve"> </w:t>
            </w:r>
            <w:r w:rsidRPr="00895D47">
              <w:rPr>
                <w:sz w:val="18"/>
              </w:rPr>
              <w:t>10</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392</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3</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395</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Indeterminate</w:t>
            </w:r>
            <w:r w:rsidR="00907D8C" w:rsidRPr="00895D47">
              <w:rPr>
                <w:sz w:val="18"/>
              </w:rPr>
              <w:t xml:space="preserve"> </w:t>
            </w:r>
            <w:r w:rsidR="00895D47">
              <w:rPr>
                <w:sz w:val="18"/>
              </w:rPr>
              <w:t>s</w:t>
            </w:r>
            <w:r w:rsidRPr="00895D47">
              <w:rPr>
                <w:sz w:val="18"/>
              </w:rPr>
              <w:t>entence</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686</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31</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717</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Most</w:t>
            </w:r>
            <w:r w:rsidR="00907D8C" w:rsidRPr="00895D47">
              <w:rPr>
                <w:sz w:val="18"/>
              </w:rPr>
              <w:t xml:space="preserve"> </w:t>
            </w:r>
            <w:r w:rsidR="00895D47">
              <w:rPr>
                <w:sz w:val="18"/>
              </w:rPr>
              <w:t>s</w:t>
            </w:r>
            <w:r w:rsidRPr="00895D47">
              <w:rPr>
                <w:sz w:val="18"/>
              </w:rPr>
              <w:t>erious</w:t>
            </w:r>
            <w:r w:rsidR="00907D8C" w:rsidRPr="00895D47">
              <w:rPr>
                <w:sz w:val="18"/>
              </w:rPr>
              <w:t xml:space="preserve"> </w:t>
            </w:r>
            <w:r w:rsidR="00895D47">
              <w:rPr>
                <w:sz w:val="18"/>
              </w:rPr>
              <w:t>o</w:t>
            </w:r>
            <w:r w:rsidRPr="00895D47">
              <w:rPr>
                <w:sz w:val="18"/>
              </w:rPr>
              <w:t>ffence</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Administrative</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63</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10</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73</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Dishonesty</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1 </w:t>
            </w:r>
            <w:r w:rsidR="00036FAC" w:rsidRPr="00895D47">
              <w:rPr>
                <w:sz w:val="18"/>
              </w:rPr>
              <w:t>153</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114</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267</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Drugs</w:t>
            </w:r>
            <w:r w:rsidR="00907D8C" w:rsidRPr="00895D47">
              <w:rPr>
                <w:sz w:val="18"/>
              </w:rPr>
              <w:t xml:space="preserve"> </w:t>
            </w:r>
            <w:r w:rsidRPr="00895D47">
              <w:rPr>
                <w:sz w:val="18"/>
              </w:rPr>
              <w:t>and</w:t>
            </w:r>
            <w:r w:rsidR="00907D8C" w:rsidRPr="00895D47">
              <w:rPr>
                <w:sz w:val="18"/>
              </w:rPr>
              <w:t xml:space="preserve"> </w:t>
            </w:r>
            <w:r w:rsidR="00895D47">
              <w:rPr>
                <w:sz w:val="18"/>
              </w:rPr>
              <w:t>a</w:t>
            </w:r>
            <w:r w:rsidRPr="00895D47">
              <w:rPr>
                <w:sz w:val="18"/>
              </w:rPr>
              <w:t>nti-social</w:t>
            </w:r>
            <w:r w:rsidR="00907D8C" w:rsidRPr="00895D47">
              <w:rPr>
                <w:sz w:val="18"/>
              </w:rPr>
              <w:t xml:space="preserve"> </w:t>
            </w:r>
            <w:r w:rsidR="00895D47">
              <w:rPr>
                <w:sz w:val="18"/>
              </w:rPr>
              <w:t>o</w:t>
            </w:r>
            <w:r w:rsidRPr="00895D47">
              <w:rPr>
                <w:sz w:val="18"/>
              </w:rPr>
              <w:t>ffences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809</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93</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902</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Justice</w:t>
            </w:r>
            <w:r w:rsidR="00907D8C" w:rsidRPr="00895D47">
              <w:rPr>
                <w:sz w:val="18"/>
              </w:rPr>
              <w:t xml:space="preserve"> </w:t>
            </w:r>
            <w:r w:rsidRPr="00895D47">
              <w:rPr>
                <w:sz w:val="18"/>
              </w:rPr>
              <w:t>(</w:t>
            </w:r>
            <w:r w:rsidR="00895D47">
              <w:rPr>
                <w:sz w:val="18"/>
              </w:rPr>
              <w:t>m</w:t>
            </w:r>
            <w:r w:rsidRPr="00895D47">
              <w:rPr>
                <w:sz w:val="18"/>
              </w:rPr>
              <w:t>iscellaneous)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57</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8</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65</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Property</w:t>
            </w:r>
            <w:r w:rsidR="00907D8C" w:rsidRPr="00895D47">
              <w:rPr>
                <w:sz w:val="18"/>
              </w:rPr>
              <w:t xml:space="preserve"> </w:t>
            </w:r>
            <w:r w:rsidR="00895D47">
              <w:rPr>
                <w:sz w:val="18"/>
              </w:rPr>
              <w:t>a</w:t>
            </w:r>
            <w:r w:rsidRPr="00895D47">
              <w:rPr>
                <w:sz w:val="18"/>
              </w:rPr>
              <w:t>buses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26</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27</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Property</w:t>
            </w:r>
            <w:r w:rsidR="00907D8C" w:rsidRPr="00895D47">
              <w:rPr>
                <w:sz w:val="18"/>
              </w:rPr>
              <w:t xml:space="preserve"> </w:t>
            </w:r>
            <w:r w:rsidR="00895D47">
              <w:rPr>
                <w:sz w:val="18"/>
              </w:rPr>
              <w:t>d</w:t>
            </w:r>
            <w:r w:rsidRPr="00895D47">
              <w:rPr>
                <w:sz w:val="18"/>
              </w:rPr>
              <w:t>amage</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107</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15</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122</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Sexual</w:t>
            </w:r>
            <w:r w:rsidR="00907D8C" w:rsidRPr="00895D47">
              <w:rPr>
                <w:sz w:val="18"/>
              </w:rPr>
              <w:t xml:space="preserve"> </w:t>
            </w:r>
            <w:r w:rsidR="00895D47">
              <w:rPr>
                <w:sz w:val="18"/>
              </w:rPr>
              <w:t>o</w:t>
            </w:r>
            <w:r w:rsidRPr="00895D47">
              <w:rPr>
                <w:sz w:val="18"/>
              </w:rPr>
              <w:t>ffences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1 </w:t>
            </w:r>
            <w:r w:rsidR="00036FAC" w:rsidRPr="00895D47">
              <w:rPr>
                <w:sz w:val="18"/>
              </w:rPr>
              <w:t>400</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402</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Traffic</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212</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22</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234</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Violence</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2 </w:t>
            </w:r>
            <w:r w:rsidR="00036FAC" w:rsidRPr="00895D47">
              <w:rPr>
                <w:sz w:val="18"/>
              </w:rPr>
              <w:t>644</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162</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2 </w:t>
            </w:r>
            <w:r w:rsidR="00036FAC" w:rsidRPr="00895D47">
              <w:rPr>
                <w:b/>
                <w:sz w:val="18"/>
              </w:rPr>
              <w:t>806</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Not</w:t>
            </w:r>
            <w:r w:rsidR="00907D8C" w:rsidRPr="00895D47">
              <w:rPr>
                <w:sz w:val="18"/>
              </w:rPr>
              <w:t xml:space="preserve"> </w:t>
            </w:r>
            <w:r w:rsidR="00895D47">
              <w:rPr>
                <w:sz w:val="18"/>
              </w:rPr>
              <w:t>y</w:t>
            </w:r>
            <w:r w:rsidRPr="00895D47">
              <w:rPr>
                <w:sz w:val="18"/>
              </w:rPr>
              <w:t>et</w:t>
            </w:r>
            <w:r w:rsidR="00907D8C" w:rsidRPr="00895D47">
              <w:rPr>
                <w:sz w:val="18"/>
              </w:rPr>
              <w:t xml:space="preserve"> </w:t>
            </w:r>
            <w:r w:rsidR="00895D47">
              <w:rPr>
                <w:sz w:val="18"/>
              </w:rPr>
              <w:t>r</w:t>
            </w:r>
            <w:r w:rsidRPr="00895D47">
              <w:rPr>
                <w:sz w:val="18"/>
              </w:rPr>
              <w:t>ecorded</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16</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18</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Prison</w:t>
            </w:r>
            <w:r w:rsidR="00907D8C" w:rsidRPr="00895D47">
              <w:rPr>
                <w:sz w:val="18"/>
              </w:rPr>
              <w:t xml:space="preserve"> </w:t>
            </w:r>
            <w:r w:rsidR="00895D47">
              <w:rPr>
                <w:sz w:val="18"/>
              </w:rPr>
              <w:t>p</w:t>
            </w:r>
            <w:r w:rsidRPr="00895D47">
              <w:rPr>
                <w:sz w:val="18"/>
              </w:rPr>
              <w:t>opulation</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8 </w:t>
            </w:r>
            <w:r w:rsidR="00036FAC" w:rsidRPr="00895D47">
              <w:rPr>
                <w:sz w:val="18"/>
              </w:rPr>
              <w:t>195</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551</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8 </w:t>
            </w:r>
            <w:r w:rsidR="00036FAC" w:rsidRPr="00895D47">
              <w:rPr>
                <w:b/>
                <w:sz w:val="18"/>
              </w:rPr>
              <w:t>746</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Ethnicity</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Asian</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220</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20</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240</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European</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2 </w:t>
            </w:r>
            <w:r w:rsidR="00036FAC" w:rsidRPr="00895D47">
              <w:rPr>
                <w:sz w:val="18"/>
              </w:rPr>
              <w:t>761</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174</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2 </w:t>
            </w:r>
            <w:r w:rsidR="00036FAC" w:rsidRPr="00895D47">
              <w:rPr>
                <w:b/>
                <w:sz w:val="18"/>
              </w:rPr>
              <w:t>935</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Māori</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4 </w:t>
            </w:r>
            <w:r w:rsidR="00036FAC" w:rsidRPr="00895D47">
              <w:rPr>
                <w:sz w:val="18"/>
              </w:rPr>
              <w:t>124</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324</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4 </w:t>
            </w:r>
            <w:r w:rsidR="00036FAC" w:rsidRPr="00895D47">
              <w:rPr>
                <w:b/>
                <w:sz w:val="18"/>
              </w:rPr>
              <w:t>448</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Other</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73</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6</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79</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Pacific</w:t>
            </w:r>
            <w:r w:rsidR="00907D8C" w:rsidRPr="00895D47">
              <w:rPr>
                <w:sz w:val="18"/>
              </w:rPr>
              <w:t xml:space="preserve"> </w:t>
            </w:r>
            <w:r w:rsidRPr="00895D47">
              <w:rPr>
                <w:sz w:val="18"/>
              </w:rPr>
              <w:t>peoples</w:t>
            </w:r>
          </w:p>
        </w:tc>
        <w:tc>
          <w:tcPr>
            <w:tcW w:w="960"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981</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22</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003</w:t>
            </w:r>
          </w:p>
        </w:tc>
      </w:tr>
      <w:tr w:rsidR="00036FAC" w:rsidRPr="00895D47" w:rsidTr="00710190">
        <w:trPr>
          <w:trHeight w:val="255"/>
        </w:trPr>
        <w:tc>
          <w:tcPr>
            <w:tcW w:w="3040" w:type="dxa"/>
            <w:tcBorders>
              <w:bottom w:val="nil"/>
            </w:tcBorders>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Unknown</w:t>
            </w:r>
          </w:p>
        </w:tc>
        <w:tc>
          <w:tcPr>
            <w:tcW w:w="960" w:type="dxa"/>
            <w:tcBorders>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36</w:t>
            </w:r>
          </w:p>
        </w:tc>
        <w:tc>
          <w:tcPr>
            <w:tcW w:w="963" w:type="dxa"/>
            <w:tcBorders>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5</w:t>
            </w:r>
          </w:p>
        </w:tc>
        <w:tc>
          <w:tcPr>
            <w:tcW w:w="960" w:type="dxa"/>
            <w:tcBorders>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41</w:t>
            </w:r>
          </w:p>
        </w:tc>
      </w:tr>
      <w:tr w:rsidR="00036FAC" w:rsidRPr="00895D47" w:rsidTr="00710190">
        <w:trPr>
          <w:trHeight w:val="255"/>
        </w:trPr>
        <w:tc>
          <w:tcPr>
            <w:tcW w:w="3040" w:type="dxa"/>
            <w:tcBorders>
              <w:top w:val="nil"/>
              <w:bottom w:val="nil"/>
            </w:tcBorders>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Age</w:t>
            </w:r>
            <w:r w:rsidR="00907D8C" w:rsidRPr="00895D47">
              <w:rPr>
                <w:sz w:val="18"/>
              </w:rPr>
              <w:t xml:space="preserve"> </w:t>
            </w:r>
            <w:r w:rsidR="004C18F9">
              <w:rPr>
                <w:sz w:val="18"/>
              </w:rPr>
              <w:t>g</w:t>
            </w:r>
            <w:r w:rsidRPr="00895D47">
              <w:rPr>
                <w:sz w:val="18"/>
              </w:rPr>
              <w:t>roup</w:t>
            </w:r>
          </w:p>
        </w:tc>
        <w:tc>
          <w:tcPr>
            <w:tcW w:w="960" w:type="dxa"/>
            <w:tcBorders>
              <w:top w:val="nil"/>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3" w:type="dxa"/>
            <w:tcBorders>
              <w:top w:val="nil"/>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p>
        </w:tc>
        <w:tc>
          <w:tcPr>
            <w:tcW w:w="960" w:type="dxa"/>
            <w:tcBorders>
              <w:top w:val="nil"/>
              <w:bottom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p>
        </w:tc>
      </w:tr>
      <w:tr w:rsidR="00355CC2" w:rsidRPr="00895D47" w:rsidTr="00710190">
        <w:trPr>
          <w:trHeight w:val="255"/>
        </w:trPr>
        <w:tc>
          <w:tcPr>
            <w:tcW w:w="3040" w:type="dxa"/>
            <w:tcBorders>
              <w:top w:val="nil"/>
              <w:bottom w:val="nil"/>
            </w:tcBorders>
            <w:shd w:val="clear" w:color="auto" w:fill="auto"/>
            <w:noWrap/>
            <w:vAlign w:val="bottom"/>
          </w:tcPr>
          <w:p w:rsidR="00355CC2" w:rsidRPr="00895D47" w:rsidRDefault="00355CC2" w:rsidP="00895D47">
            <w:pPr>
              <w:suppressAutoHyphens w:val="0"/>
              <w:spacing w:before="40" w:after="40" w:line="220" w:lineRule="exact"/>
              <w:ind w:right="113"/>
              <w:rPr>
                <w:sz w:val="18"/>
              </w:rPr>
            </w:pPr>
          </w:p>
        </w:tc>
        <w:tc>
          <w:tcPr>
            <w:tcW w:w="960" w:type="dxa"/>
            <w:tcBorders>
              <w:top w:val="nil"/>
              <w:bottom w:val="nil"/>
            </w:tcBorders>
            <w:shd w:val="clear" w:color="auto" w:fill="auto"/>
            <w:noWrap/>
            <w:vAlign w:val="bottom"/>
          </w:tcPr>
          <w:p w:rsidR="00355CC2" w:rsidRPr="00895D47" w:rsidRDefault="00355CC2" w:rsidP="00895D47">
            <w:pPr>
              <w:suppressAutoHyphens w:val="0"/>
              <w:spacing w:before="40" w:after="40" w:line="220" w:lineRule="exact"/>
              <w:ind w:right="113"/>
              <w:jc w:val="right"/>
              <w:rPr>
                <w:sz w:val="18"/>
              </w:rPr>
            </w:pPr>
          </w:p>
        </w:tc>
        <w:tc>
          <w:tcPr>
            <w:tcW w:w="963" w:type="dxa"/>
            <w:tcBorders>
              <w:top w:val="nil"/>
              <w:bottom w:val="nil"/>
            </w:tcBorders>
            <w:shd w:val="clear" w:color="auto" w:fill="auto"/>
            <w:noWrap/>
            <w:vAlign w:val="bottom"/>
          </w:tcPr>
          <w:p w:rsidR="00355CC2" w:rsidRPr="00895D47" w:rsidRDefault="00355CC2" w:rsidP="00895D47">
            <w:pPr>
              <w:suppressAutoHyphens w:val="0"/>
              <w:spacing w:before="40" w:after="40" w:line="220" w:lineRule="exact"/>
              <w:ind w:right="113"/>
              <w:jc w:val="right"/>
              <w:rPr>
                <w:sz w:val="18"/>
              </w:rPr>
            </w:pPr>
          </w:p>
        </w:tc>
        <w:tc>
          <w:tcPr>
            <w:tcW w:w="960" w:type="dxa"/>
            <w:tcBorders>
              <w:top w:val="nil"/>
              <w:bottom w:val="nil"/>
            </w:tcBorders>
            <w:shd w:val="clear" w:color="auto" w:fill="auto"/>
            <w:noWrap/>
            <w:vAlign w:val="bottom"/>
          </w:tcPr>
          <w:p w:rsidR="00355CC2" w:rsidRPr="00895D47" w:rsidRDefault="00355CC2" w:rsidP="00895D47">
            <w:pPr>
              <w:suppressAutoHyphens w:val="0"/>
              <w:spacing w:before="40" w:after="40" w:line="220" w:lineRule="exact"/>
              <w:ind w:right="113"/>
              <w:jc w:val="right"/>
              <w:rPr>
                <w:b/>
                <w:sz w:val="18"/>
              </w:rPr>
            </w:pPr>
          </w:p>
        </w:tc>
      </w:tr>
      <w:tr w:rsidR="00036FAC" w:rsidRPr="00895D47" w:rsidTr="00710190">
        <w:trPr>
          <w:trHeight w:val="255"/>
        </w:trPr>
        <w:tc>
          <w:tcPr>
            <w:tcW w:w="3040" w:type="dxa"/>
            <w:tcBorders>
              <w:top w:val="nil"/>
            </w:tcBorders>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Under</w:t>
            </w:r>
            <w:r w:rsidR="00907D8C" w:rsidRPr="00895D47">
              <w:rPr>
                <w:sz w:val="18"/>
              </w:rPr>
              <w:t xml:space="preserve"> </w:t>
            </w:r>
            <w:r w:rsidRPr="00895D47">
              <w:rPr>
                <w:sz w:val="18"/>
              </w:rPr>
              <w:t>18</w:t>
            </w:r>
          </w:p>
        </w:tc>
        <w:tc>
          <w:tcPr>
            <w:tcW w:w="960" w:type="dxa"/>
            <w:tcBorders>
              <w:top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84</w:t>
            </w:r>
          </w:p>
        </w:tc>
        <w:tc>
          <w:tcPr>
            <w:tcW w:w="963" w:type="dxa"/>
            <w:tcBorders>
              <w:top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9</w:t>
            </w:r>
          </w:p>
        </w:tc>
        <w:tc>
          <w:tcPr>
            <w:tcW w:w="960" w:type="dxa"/>
            <w:tcBorders>
              <w:top w:val="nil"/>
            </w:tcBorders>
            <w:shd w:val="clear" w:color="auto" w:fill="auto"/>
            <w:noWrap/>
            <w:vAlign w:val="bottom"/>
          </w:tcPr>
          <w:p w:rsidR="00036FAC" w:rsidRPr="00895D47" w:rsidRDefault="00036FAC" w:rsidP="00895D47">
            <w:pPr>
              <w:suppressAutoHyphens w:val="0"/>
              <w:spacing w:before="40" w:after="40" w:line="220" w:lineRule="exact"/>
              <w:ind w:right="113"/>
              <w:jc w:val="right"/>
              <w:rPr>
                <w:b/>
                <w:sz w:val="18"/>
              </w:rPr>
            </w:pPr>
            <w:r w:rsidRPr="00895D47">
              <w:rPr>
                <w:b/>
                <w:sz w:val="18"/>
              </w:rPr>
              <w:t>93</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18–24</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2 </w:t>
            </w:r>
            <w:r w:rsidR="00036FAC" w:rsidRPr="00895D47">
              <w:rPr>
                <w:sz w:val="18"/>
              </w:rPr>
              <w:t>078</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139</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2 </w:t>
            </w:r>
            <w:r w:rsidR="00036FAC" w:rsidRPr="00895D47">
              <w:rPr>
                <w:b/>
                <w:sz w:val="18"/>
              </w:rPr>
              <w:t>217</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25–34</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2 </w:t>
            </w:r>
            <w:r w:rsidR="00036FAC" w:rsidRPr="00895D47">
              <w:rPr>
                <w:sz w:val="18"/>
              </w:rPr>
              <w:t>444</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176</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2 </w:t>
            </w:r>
            <w:r w:rsidR="00036FAC" w:rsidRPr="00895D47">
              <w:rPr>
                <w:b/>
                <w:sz w:val="18"/>
              </w:rPr>
              <w:t>620</w:t>
            </w:r>
          </w:p>
        </w:tc>
      </w:tr>
      <w:tr w:rsidR="00036FAC" w:rsidRPr="00895D47" w:rsidTr="00B76872">
        <w:trPr>
          <w:trHeight w:val="255"/>
        </w:trPr>
        <w:tc>
          <w:tcPr>
            <w:tcW w:w="3040" w:type="dxa"/>
            <w:shd w:val="clear" w:color="auto" w:fill="auto"/>
            <w:noWrap/>
            <w:vAlign w:val="bottom"/>
          </w:tcPr>
          <w:p w:rsidR="00036FAC" w:rsidRPr="00895D47" w:rsidRDefault="00036FAC" w:rsidP="00B50FB5">
            <w:pPr>
              <w:keepNext/>
              <w:suppressAutoHyphens w:val="0"/>
              <w:spacing w:before="40" w:after="40" w:line="220" w:lineRule="exact"/>
              <w:ind w:right="113"/>
              <w:rPr>
                <w:sz w:val="18"/>
              </w:rPr>
            </w:pPr>
            <w:r w:rsidRPr="00895D47">
              <w:rPr>
                <w:sz w:val="18"/>
              </w:rPr>
              <w:t>35–44</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B50FB5">
            <w:pPr>
              <w:keepNext/>
              <w:suppressAutoHyphens w:val="0"/>
              <w:spacing w:before="40" w:after="40" w:line="220" w:lineRule="exact"/>
              <w:ind w:right="113"/>
              <w:jc w:val="right"/>
              <w:rPr>
                <w:sz w:val="18"/>
              </w:rPr>
            </w:pPr>
            <w:r>
              <w:rPr>
                <w:sz w:val="18"/>
              </w:rPr>
              <w:t xml:space="preserve">2 </w:t>
            </w:r>
            <w:r w:rsidR="00036FAC" w:rsidRPr="00895D47">
              <w:rPr>
                <w:sz w:val="18"/>
              </w:rPr>
              <w:t>042</w:t>
            </w:r>
          </w:p>
        </w:tc>
        <w:tc>
          <w:tcPr>
            <w:tcW w:w="963" w:type="dxa"/>
            <w:shd w:val="clear" w:color="auto" w:fill="auto"/>
            <w:noWrap/>
            <w:vAlign w:val="bottom"/>
          </w:tcPr>
          <w:p w:rsidR="00036FAC" w:rsidRPr="00895D47" w:rsidRDefault="00036FAC" w:rsidP="00B50FB5">
            <w:pPr>
              <w:keepNext/>
              <w:suppressAutoHyphens w:val="0"/>
              <w:spacing w:before="40" w:after="40" w:line="220" w:lineRule="exact"/>
              <w:ind w:right="113"/>
              <w:jc w:val="right"/>
              <w:rPr>
                <w:sz w:val="18"/>
              </w:rPr>
            </w:pPr>
            <w:r w:rsidRPr="00895D47">
              <w:rPr>
                <w:sz w:val="18"/>
              </w:rPr>
              <w:t>132</w:t>
            </w:r>
          </w:p>
        </w:tc>
        <w:tc>
          <w:tcPr>
            <w:tcW w:w="960" w:type="dxa"/>
            <w:shd w:val="clear" w:color="auto" w:fill="auto"/>
            <w:noWrap/>
            <w:vAlign w:val="bottom"/>
          </w:tcPr>
          <w:p w:rsidR="00036FAC" w:rsidRPr="00895D47" w:rsidRDefault="00AE2D92" w:rsidP="00B50FB5">
            <w:pPr>
              <w:keepNext/>
              <w:suppressAutoHyphens w:val="0"/>
              <w:spacing w:before="40" w:after="40" w:line="220" w:lineRule="exact"/>
              <w:ind w:right="113"/>
              <w:jc w:val="right"/>
              <w:rPr>
                <w:b/>
                <w:sz w:val="18"/>
              </w:rPr>
            </w:pPr>
            <w:r>
              <w:rPr>
                <w:b/>
                <w:sz w:val="18"/>
              </w:rPr>
              <w:t xml:space="preserve">2 </w:t>
            </w:r>
            <w:r w:rsidR="00036FAC" w:rsidRPr="00895D47">
              <w:rPr>
                <w:b/>
                <w:sz w:val="18"/>
              </w:rPr>
              <w:t>174</w:t>
            </w:r>
          </w:p>
        </w:tc>
      </w:tr>
      <w:tr w:rsidR="00036FAC" w:rsidRPr="00895D47" w:rsidTr="00B76872">
        <w:trPr>
          <w:trHeight w:val="255"/>
        </w:trPr>
        <w:tc>
          <w:tcPr>
            <w:tcW w:w="3040" w:type="dxa"/>
            <w:shd w:val="clear" w:color="auto" w:fill="auto"/>
            <w:noWrap/>
            <w:vAlign w:val="bottom"/>
          </w:tcPr>
          <w:p w:rsidR="00036FAC" w:rsidRPr="00895D47" w:rsidRDefault="00036FAC" w:rsidP="00895D47">
            <w:pPr>
              <w:suppressAutoHyphens w:val="0"/>
              <w:spacing w:before="40" w:after="40" w:line="220" w:lineRule="exact"/>
              <w:ind w:right="113"/>
              <w:rPr>
                <w:sz w:val="18"/>
              </w:rPr>
            </w:pPr>
            <w:r w:rsidRPr="00895D47">
              <w:rPr>
                <w:sz w:val="18"/>
              </w:rPr>
              <w:t>45+</w:t>
            </w:r>
            <w:r w:rsidR="00907D8C" w:rsidRPr="00895D47">
              <w:rPr>
                <w:sz w:val="18"/>
              </w:rPr>
              <w:t xml:space="preserve"> </w:t>
            </w:r>
            <w:r w:rsidRPr="00895D47">
              <w:rPr>
                <w:sz w:val="18"/>
              </w:rPr>
              <w:t>years</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sz w:val="18"/>
              </w:rPr>
            </w:pPr>
            <w:r>
              <w:rPr>
                <w:sz w:val="18"/>
              </w:rPr>
              <w:t xml:space="preserve">1 </w:t>
            </w:r>
            <w:r w:rsidR="00036FAC" w:rsidRPr="00895D47">
              <w:rPr>
                <w:sz w:val="18"/>
              </w:rPr>
              <w:t>547</w:t>
            </w:r>
          </w:p>
        </w:tc>
        <w:tc>
          <w:tcPr>
            <w:tcW w:w="963" w:type="dxa"/>
            <w:shd w:val="clear" w:color="auto" w:fill="auto"/>
            <w:noWrap/>
            <w:vAlign w:val="bottom"/>
          </w:tcPr>
          <w:p w:rsidR="00036FAC" w:rsidRPr="00895D47" w:rsidRDefault="00036FAC" w:rsidP="00895D47">
            <w:pPr>
              <w:suppressAutoHyphens w:val="0"/>
              <w:spacing w:before="40" w:after="40" w:line="220" w:lineRule="exact"/>
              <w:ind w:right="113"/>
              <w:jc w:val="right"/>
              <w:rPr>
                <w:sz w:val="18"/>
              </w:rPr>
            </w:pPr>
            <w:r w:rsidRPr="00895D47">
              <w:rPr>
                <w:sz w:val="18"/>
              </w:rPr>
              <w:t>95</w:t>
            </w:r>
          </w:p>
        </w:tc>
        <w:tc>
          <w:tcPr>
            <w:tcW w:w="960" w:type="dxa"/>
            <w:shd w:val="clear" w:color="auto" w:fill="auto"/>
            <w:noWrap/>
            <w:vAlign w:val="bottom"/>
          </w:tcPr>
          <w:p w:rsidR="00036FAC" w:rsidRPr="00895D47" w:rsidRDefault="00AE2D92" w:rsidP="00895D47">
            <w:pPr>
              <w:suppressAutoHyphens w:val="0"/>
              <w:spacing w:before="40" w:after="40" w:line="220" w:lineRule="exact"/>
              <w:ind w:right="113"/>
              <w:jc w:val="right"/>
              <w:rPr>
                <w:b/>
                <w:sz w:val="18"/>
              </w:rPr>
            </w:pPr>
            <w:r>
              <w:rPr>
                <w:b/>
                <w:sz w:val="18"/>
              </w:rPr>
              <w:t xml:space="preserve">1 </w:t>
            </w:r>
            <w:r w:rsidR="00036FAC" w:rsidRPr="00895D47">
              <w:rPr>
                <w:b/>
                <w:sz w:val="18"/>
              </w:rPr>
              <w:t>642</w:t>
            </w:r>
          </w:p>
        </w:tc>
      </w:tr>
    </w:tbl>
    <w:p w:rsidR="00036FAC" w:rsidRPr="00AE2D92" w:rsidRDefault="00036FAC" w:rsidP="00B50FB5">
      <w:pPr>
        <w:spacing w:before="120"/>
        <w:ind w:left="1134" w:right="1134" w:firstLine="170"/>
        <w:rPr>
          <w:sz w:val="18"/>
          <w:szCs w:val="18"/>
        </w:rPr>
      </w:pPr>
      <w:r w:rsidRPr="00AE2D92">
        <w:rPr>
          <w:i/>
          <w:sz w:val="18"/>
          <w:szCs w:val="18"/>
        </w:rPr>
        <w:t>Source</w:t>
      </w:r>
      <w:r w:rsidRPr="00AE2D92">
        <w:rPr>
          <w:sz w:val="18"/>
          <w:szCs w:val="18"/>
        </w:rPr>
        <w:t>:</w:t>
      </w:r>
      <w:r w:rsidR="00907D8C" w:rsidRPr="00AE2D92">
        <w:rPr>
          <w:sz w:val="18"/>
          <w:szCs w:val="18"/>
        </w:rPr>
        <w:t xml:space="preserve"> </w:t>
      </w:r>
      <w:r w:rsidR="00AE2D92">
        <w:rPr>
          <w:sz w:val="18"/>
          <w:szCs w:val="18"/>
        </w:rPr>
        <w:t xml:space="preserve"> De</w:t>
      </w:r>
      <w:r w:rsidRPr="00AE2D92">
        <w:rPr>
          <w:sz w:val="18"/>
          <w:szCs w:val="18"/>
        </w:rPr>
        <w:t>partment</w:t>
      </w:r>
      <w:r w:rsidR="00907D8C" w:rsidRPr="00AE2D92">
        <w:rPr>
          <w:sz w:val="18"/>
          <w:szCs w:val="18"/>
        </w:rPr>
        <w:t xml:space="preserve"> </w:t>
      </w:r>
      <w:r w:rsidRPr="00AE2D92">
        <w:rPr>
          <w:sz w:val="18"/>
          <w:szCs w:val="18"/>
        </w:rPr>
        <w:t>of</w:t>
      </w:r>
      <w:r w:rsidR="00907D8C" w:rsidRPr="00AE2D92">
        <w:rPr>
          <w:sz w:val="18"/>
          <w:szCs w:val="18"/>
        </w:rPr>
        <w:t xml:space="preserve"> </w:t>
      </w:r>
      <w:r w:rsidRPr="00AE2D92">
        <w:rPr>
          <w:sz w:val="18"/>
          <w:szCs w:val="18"/>
        </w:rPr>
        <w:t>Corrections</w:t>
      </w:r>
      <w:r w:rsidR="00AE2D92" w:rsidRPr="00AE2D92">
        <w:rPr>
          <w:sz w:val="18"/>
          <w:szCs w:val="18"/>
        </w:rPr>
        <w:t>.</w:t>
      </w:r>
    </w:p>
    <w:p w:rsidR="00036FAC" w:rsidRPr="00AE2D92" w:rsidRDefault="00036FAC" w:rsidP="00B76872">
      <w:pPr>
        <w:spacing w:after="240"/>
        <w:ind w:left="1134" w:right="1134" w:firstLine="170"/>
        <w:rPr>
          <w:sz w:val="18"/>
          <w:szCs w:val="18"/>
        </w:rPr>
      </w:pPr>
      <w:r w:rsidRPr="00AE2D92">
        <w:rPr>
          <w:i/>
          <w:sz w:val="18"/>
          <w:szCs w:val="18"/>
        </w:rPr>
        <w:t>Note</w:t>
      </w:r>
      <w:r w:rsidRPr="00AE2D92">
        <w:rPr>
          <w:sz w:val="18"/>
          <w:szCs w:val="18"/>
        </w:rPr>
        <w:t>:</w:t>
      </w:r>
      <w:r w:rsidR="00907D8C" w:rsidRPr="00AE2D92">
        <w:rPr>
          <w:sz w:val="18"/>
          <w:szCs w:val="18"/>
        </w:rPr>
        <w:t xml:space="preserve"> </w:t>
      </w:r>
      <w:r w:rsidR="00AE2D92" w:rsidRPr="00AE2D92">
        <w:rPr>
          <w:sz w:val="18"/>
          <w:szCs w:val="18"/>
        </w:rPr>
        <w:t xml:space="preserve"> </w:t>
      </w:r>
      <w:r w:rsidRPr="00AE2D92">
        <w:rPr>
          <w:sz w:val="18"/>
          <w:szCs w:val="18"/>
        </w:rPr>
        <w:t>The</w:t>
      </w:r>
      <w:r w:rsidR="00907D8C" w:rsidRPr="00AE2D92">
        <w:rPr>
          <w:sz w:val="18"/>
          <w:szCs w:val="18"/>
        </w:rPr>
        <w:t xml:space="preserve"> </w:t>
      </w:r>
      <w:r w:rsidR="003E4D94">
        <w:rPr>
          <w:sz w:val="18"/>
          <w:szCs w:val="18"/>
        </w:rPr>
        <w:t>“</w:t>
      </w:r>
      <w:r w:rsidRPr="00AE2D92">
        <w:rPr>
          <w:sz w:val="18"/>
          <w:szCs w:val="18"/>
        </w:rPr>
        <w:t>prison</w:t>
      </w:r>
      <w:r w:rsidR="00907D8C" w:rsidRPr="00AE2D92">
        <w:rPr>
          <w:sz w:val="18"/>
          <w:szCs w:val="18"/>
        </w:rPr>
        <w:t xml:space="preserve"> </w:t>
      </w:r>
      <w:r w:rsidRPr="00AE2D92">
        <w:rPr>
          <w:sz w:val="18"/>
          <w:szCs w:val="18"/>
        </w:rPr>
        <w:t>population</w:t>
      </w:r>
      <w:r w:rsidR="003E4D94">
        <w:rPr>
          <w:sz w:val="18"/>
          <w:szCs w:val="18"/>
        </w:rPr>
        <w:t>”</w:t>
      </w:r>
      <w:r w:rsidR="00907D8C" w:rsidRPr="00AE2D92">
        <w:rPr>
          <w:sz w:val="18"/>
          <w:szCs w:val="18"/>
        </w:rPr>
        <w:t xml:space="preserve"> </w:t>
      </w:r>
      <w:r w:rsidRPr="00AE2D92">
        <w:rPr>
          <w:sz w:val="18"/>
          <w:szCs w:val="18"/>
        </w:rPr>
        <w:t>includes</w:t>
      </w:r>
      <w:r w:rsidR="00907D8C" w:rsidRPr="00AE2D92">
        <w:rPr>
          <w:sz w:val="18"/>
          <w:szCs w:val="18"/>
        </w:rPr>
        <w:t xml:space="preserve"> </w:t>
      </w:r>
      <w:r w:rsidRPr="00AE2D92">
        <w:rPr>
          <w:sz w:val="18"/>
          <w:szCs w:val="18"/>
        </w:rPr>
        <w:t>remand</w:t>
      </w:r>
      <w:r w:rsidR="00907D8C" w:rsidRPr="00AE2D92">
        <w:rPr>
          <w:sz w:val="18"/>
          <w:szCs w:val="18"/>
        </w:rPr>
        <w:t xml:space="preserve"> </w:t>
      </w:r>
      <w:r w:rsidRPr="00AE2D92">
        <w:rPr>
          <w:sz w:val="18"/>
          <w:szCs w:val="18"/>
        </w:rPr>
        <w:t>prisoners</w:t>
      </w:r>
      <w:r w:rsidR="00907D8C" w:rsidRPr="00AE2D92">
        <w:rPr>
          <w:sz w:val="18"/>
          <w:szCs w:val="18"/>
        </w:rPr>
        <w:t xml:space="preserve"> </w:t>
      </w:r>
      <w:r w:rsidRPr="00AE2D92">
        <w:rPr>
          <w:sz w:val="18"/>
          <w:szCs w:val="18"/>
        </w:rPr>
        <w:t>while</w:t>
      </w:r>
      <w:r w:rsidR="00907D8C" w:rsidRPr="00AE2D92">
        <w:rPr>
          <w:sz w:val="18"/>
          <w:szCs w:val="18"/>
        </w:rPr>
        <w:t xml:space="preserve"> </w:t>
      </w:r>
      <w:r w:rsidRPr="00AE2D92">
        <w:rPr>
          <w:sz w:val="18"/>
          <w:szCs w:val="18"/>
        </w:rPr>
        <w:t>the</w:t>
      </w:r>
      <w:r w:rsidR="00907D8C" w:rsidRPr="00AE2D92">
        <w:rPr>
          <w:sz w:val="18"/>
          <w:szCs w:val="18"/>
        </w:rPr>
        <w:t xml:space="preserve"> </w:t>
      </w:r>
      <w:r w:rsidR="003E4D94">
        <w:rPr>
          <w:sz w:val="18"/>
          <w:szCs w:val="18"/>
        </w:rPr>
        <w:t>“</w:t>
      </w:r>
      <w:r w:rsidRPr="00AE2D92">
        <w:rPr>
          <w:sz w:val="18"/>
          <w:szCs w:val="18"/>
        </w:rPr>
        <w:t>sentenced</w:t>
      </w:r>
      <w:r w:rsidR="00907D8C" w:rsidRPr="00AE2D92">
        <w:rPr>
          <w:sz w:val="18"/>
          <w:szCs w:val="18"/>
        </w:rPr>
        <w:t xml:space="preserve"> </w:t>
      </w:r>
      <w:r w:rsidRPr="00AE2D92">
        <w:rPr>
          <w:sz w:val="18"/>
          <w:szCs w:val="18"/>
        </w:rPr>
        <w:t>population</w:t>
      </w:r>
      <w:r w:rsidR="003E4D94">
        <w:rPr>
          <w:sz w:val="18"/>
          <w:szCs w:val="18"/>
        </w:rPr>
        <w:t>”</w:t>
      </w:r>
      <w:r w:rsidR="00907D8C" w:rsidRPr="00AE2D92">
        <w:rPr>
          <w:sz w:val="18"/>
          <w:szCs w:val="18"/>
        </w:rPr>
        <w:t xml:space="preserve"> </w:t>
      </w:r>
      <w:r w:rsidRPr="00AE2D92">
        <w:rPr>
          <w:sz w:val="18"/>
          <w:szCs w:val="18"/>
        </w:rPr>
        <w:t>is</w:t>
      </w:r>
      <w:r w:rsidR="00907D8C" w:rsidRPr="00AE2D92">
        <w:rPr>
          <w:sz w:val="18"/>
          <w:szCs w:val="18"/>
        </w:rPr>
        <w:t xml:space="preserve"> </w:t>
      </w:r>
      <w:r w:rsidRPr="00AE2D92">
        <w:rPr>
          <w:sz w:val="18"/>
          <w:szCs w:val="18"/>
        </w:rPr>
        <w:t>convicted</w:t>
      </w:r>
      <w:r w:rsidR="00907D8C" w:rsidRPr="00AE2D92">
        <w:rPr>
          <w:sz w:val="18"/>
          <w:szCs w:val="18"/>
        </w:rPr>
        <w:t xml:space="preserve"> </w:t>
      </w:r>
      <w:r w:rsidRPr="00AE2D92">
        <w:rPr>
          <w:sz w:val="18"/>
          <w:szCs w:val="18"/>
        </w:rPr>
        <w:t>prisoners</w:t>
      </w:r>
      <w:r w:rsidR="00907D8C" w:rsidRPr="00AE2D92">
        <w:rPr>
          <w:sz w:val="18"/>
          <w:szCs w:val="18"/>
        </w:rPr>
        <w:t xml:space="preserve"> </w:t>
      </w:r>
      <w:r w:rsidRPr="00AE2D92">
        <w:rPr>
          <w:sz w:val="18"/>
          <w:szCs w:val="18"/>
        </w:rPr>
        <w:t>only.</w:t>
      </w:r>
      <w:r w:rsidR="00907D8C" w:rsidRPr="00AE2D92">
        <w:rPr>
          <w:sz w:val="18"/>
          <w:szCs w:val="18"/>
        </w:rPr>
        <w:t xml:space="preserve"> </w:t>
      </w:r>
      <w:r w:rsidRPr="00AE2D92">
        <w:rPr>
          <w:sz w:val="18"/>
          <w:szCs w:val="18"/>
        </w:rPr>
        <w:t>It</w:t>
      </w:r>
      <w:r w:rsidR="00907D8C" w:rsidRPr="00AE2D92">
        <w:rPr>
          <w:sz w:val="18"/>
          <w:szCs w:val="18"/>
        </w:rPr>
        <w:t xml:space="preserve"> </w:t>
      </w:r>
      <w:r w:rsidRPr="00AE2D92">
        <w:rPr>
          <w:sz w:val="18"/>
          <w:szCs w:val="18"/>
        </w:rPr>
        <w:t>includes</w:t>
      </w:r>
      <w:r w:rsidR="00907D8C" w:rsidRPr="00AE2D92">
        <w:rPr>
          <w:sz w:val="18"/>
          <w:szCs w:val="18"/>
        </w:rPr>
        <w:t xml:space="preserve"> </w:t>
      </w:r>
      <w:r w:rsidRPr="00AE2D92">
        <w:rPr>
          <w:sz w:val="18"/>
          <w:szCs w:val="18"/>
        </w:rPr>
        <w:t>people</w:t>
      </w:r>
      <w:r w:rsidR="00907D8C" w:rsidRPr="00AE2D92">
        <w:rPr>
          <w:sz w:val="18"/>
          <w:szCs w:val="18"/>
        </w:rPr>
        <w:t xml:space="preserve"> </w:t>
      </w:r>
      <w:r w:rsidRPr="00AE2D92">
        <w:rPr>
          <w:sz w:val="18"/>
          <w:szCs w:val="18"/>
        </w:rPr>
        <w:t>held</w:t>
      </w:r>
      <w:r w:rsidR="00907D8C" w:rsidRPr="00AE2D92">
        <w:rPr>
          <w:sz w:val="18"/>
          <w:szCs w:val="18"/>
        </w:rPr>
        <w:t xml:space="preserve"> </w:t>
      </w:r>
      <w:r w:rsidRPr="00AE2D92">
        <w:rPr>
          <w:sz w:val="18"/>
          <w:szCs w:val="18"/>
        </w:rPr>
        <w:t>in</w:t>
      </w:r>
      <w:r w:rsidR="00907D8C" w:rsidRPr="00AE2D92">
        <w:rPr>
          <w:sz w:val="18"/>
          <w:szCs w:val="18"/>
        </w:rPr>
        <w:t xml:space="preserve"> </w:t>
      </w:r>
      <w:r w:rsidRPr="00AE2D92">
        <w:rPr>
          <w:sz w:val="18"/>
          <w:szCs w:val="18"/>
        </w:rPr>
        <w:t>prisons,</w:t>
      </w:r>
      <w:r w:rsidR="00907D8C" w:rsidRPr="00AE2D92">
        <w:rPr>
          <w:sz w:val="18"/>
          <w:szCs w:val="18"/>
        </w:rPr>
        <w:t xml:space="preserve"> </w:t>
      </w:r>
      <w:r w:rsidRPr="00AE2D92">
        <w:rPr>
          <w:sz w:val="18"/>
          <w:szCs w:val="18"/>
        </w:rPr>
        <w:t>penal</w:t>
      </w:r>
      <w:r w:rsidR="00907D8C" w:rsidRPr="00AE2D92">
        <w:rPr>
          <w:sz w:val="18"/>
          <w:szCs w:val="18"/>
        </w:rPr>
        <w:t xml:space="preserve"> </w:t>
      </w:r>
      <w:r w:rsidRPr="00AE2D92">
        <w:rPr>
          <w:sz w:val="18"/>
          <w:szCs w:val="18"/>
        </w:rPr>
        <w:t>institutions,</w:t>
      </w:r>
      <w:r w:rsidR="00907D8C" w:rsidRPr="00AE2D92">
        <w:rPr>
          <w:sz w:val="18"/>
          <w:szCs w:val="18"/>
        </w:rPr>
        <w:t xml:space="preserve"> </w:t>
      </w:r>
      <w:r w:rsidRPr="00AE2D92">
        <w:rPr>
          <w:sz w:val="18"/>
          <w:szCs w:val="18"/>
        </w:rPr>
        <w:t>or</w:t>
      </w:r>
      <w:r w:rsidR="00907D8C" w:rsidRPr="00AE2D92">
        <w:rPr>
          <w:sz w:val="18"/>
          <w:szCs w:val="18"/>
        </w:rPr>
        <w:t xml:space="preserve"> </w:t>
      </w:r>
      <w:r w:rsidRPr="00AE2D92">
        <w:rPr>
          <w:sz w:val="18"/>
          <w:szCs w:val="18"/>
        </w:rPr>
        <w:t>correctional</w:t>
      </w:r>
      <w:r w:rsidR="00907D8C" w:rsidRPr="00AE2D92">
        <w:rPr>
          <w:sz w:val="18"/>
          <w:szCs w:val="18"/>
        </w:rPr>
        <w:t xml:space="preserve"> </w:t>
      </w:r>
      <w:r w:rsidRPr="00AE2D92">
        <w:rPr>
          <w:sz w:val="18"/>
          <w:szCs w:val="18"/>
        </w:rPr>
        <w:t>institutions</w:t>
      </w:r>
      <w:r w:rsidR="00907D8C" w:rsidRPr="00AE2D92">
        <w:rPr>
          <w:sz w:val="18"/>
          <w:szCs w:val="18"/>
        </w:rPr>
        <w:t xml:space="preserve"> </w:t>
      </w:r>
      <w:r w:rsidRPr="00AE2D92">
        <w:rPr>
          <w:sz w:val="18"/>
          <w:szCs w:val="18"/>
        </w:rPr>
        <w:t>and</w:t>
      </w:r>
      <w:r w:rsidR="00907D8C" w:rsidRPr="00AE2D92">
        <w:rPr>
          <w:sz w:val="18"/>
          <w:szCs w:val="18"/>
        </w:rPr>
        <w:t xml:space="preserve"> </w:t>
      </w:r>
      <w:r w:rsidRPr="00AE2D92">
        <w:rPr>
          <w:sz w:val="18"/>
          <w:szCs w:val="18"/>
        </w:rPr>
        <w:t>excludes</w:t>
      </w:r>
      <w:r w:rsidR="00907D8C" w:rsidRPr="00AE2D92">
        <w:rPr>
          <w:sz w:val="18"/>
          <w:szCs w:val="18"/>
        </w:rPr>
        <w:t xml:space="preserve"> </w:t>
      </w:r>
      <w:r w:rsidRPr="00AE2D92">
        <w:rPr>
          <w:sz w:val="18"/>
          <w:szCs w:val="18"/>
        </w:rPr>
        <w:t>non-criminal</w:t>
      </w:r>
      <w:r w:rsidR="00907D8C" w:rsidRPr="00AE2D92">
        <w:rPr>
          <w:sz w:val="18"/>
          <w:szCs w:val="18"/>
        </w:rPr>
        <w:t xml:space="preserve"> </w:t>
      </w:r>
      <w:r w:rsidRPr="00AE2D92">
        <w:rPr>
          <w:sz w:val="18"/>
          <w:szCs w:val="18"/>
        </w:rPr>
        <w:t>prisoners</w:t>
      </w:r>
      <w:r w:rsidR="00907D8C" w:rsidRPr="00AE2D92">
        <w:rPr>
          <w:sz w:val="18"/>
          <w:szCs w:val="18"/>
        </w:rPr>
        <w:t xml:space="preserve"> </w:t>
      </w:r>
      <w:r w:rsidRPr="00AE2D92">
        <w:rPr>
          <w:sz w:val="18"/>
          <w:szCs w:val="18"/>
        </w:rPr>
        <w:t>held</w:t>
      </w:r>
      <w:r w:rsidR="00907D8C" w:rsidRPr="00AE2D92">
        <w:rPr>
          <w:sz w:val="18"/>
          <w:szCs w:val="18"/>
        </w:rPr>
        <w:t xml:space="preserve"> </w:t>
      </w:r>
      <w:r w:rsidRPr="00AE2D92">
        <w:rPr>
          <w:sz w:val="18"/>
          <w:szCs w:val="18"/>
        </w:rPr>
        <w:t>for</w:t>
      </w:r>
      <w:r w:rsidR="00907D8C" w:rsidRPr="00AE2D92">
        <w:rPr>
          <w:sz w:val="18"/>
          <w:szCs w:val="18"/>
        </w:rPr>
        <w:t xml:space="preserve"> </w:t>
      </w:r>
      <w:r w:rsidRPr="00AE2D92">
        <w:rPr>
          <w:sz w:val="18"/>
          <w:szCs w:val="18"/>
        </w:rPr>
        <w:t>administrative</w:t>
      </w:r>
      <w:r w:rsidR="00907D8C" w:rsidRPr="00AE2D92">
        <w:rPr>
          <w:sz w:val="18"/>
          <w:szCs w:val="18"/>
        </w:rPr>
        <w:t xml:space="preserve"> </w:t>
      </w:r>
      <w:r w:rsidRPr="00AE2D92">
        <w:rPr>
          <w:sz w:val="18"/>
          <w:szCs w:val="18"/>
        </w:rPr>
        <w:t>purposes,</w:t>
      </w:r>
      <w:r w:rsidR="00907D8C" w:rsidRPr="00AE2D92">
        <w:rPr>
          <w:sz w:val="18"/>
          <w:szCs w:val="18"/>
        </w:rPr>
        <w:t xml:space="preserve"> </w:t>
      </w:r>
      <w:r w:rsidRPr="00AE2D92">
        <w:rPr>
          <w:sz w:val="18"/>
          <w:szCs w:val="18"/>
        </w:rPr>
        <w:t>including</w:t>
      </w:r>
      <w:r w:rsidR="00907D8C" w:rsidRPr="00AE2D92">
        <w:rPr>
          <w:sz w:val="18"/>
          <w:szCs w:val="18"/>
        </w:rPr>
        <w:t xml:space="preserve"> </w:t>
      </w:r>
      <w:r w:rsidRPr="00AE2D92">
        <w:rPr>
          <w:sz w:val="18"/>
          <w:szCs w:val="18"/>
        </w:rPr>
        <w:t>people</w:t>
      </w:r>
      <w:r w:rsidR="00907D8C" w:rsidRPr="00AE2D92">
        <w:rPr>
          <w:sz w:val="18"/>
          <w:szCs w:val="18"/>
        </w:rPr>
        <w:t xml:space="preserve"> </w:t>
      </w:r>
      <w:r w:rsidRPr="00AE2D92">
        <w:rPr>
          <w:sz w:val="18"/>
          <w:szCs w:val="18"/>
        </w:rPr>
        <w:t>held</w:t>
      </w:r>
      <w:r w:rsidR="00907D8C" w:rsidRPr="00AE2D92">
        <w:rPr>
          <w:sz w:val="18"/>
          <w:szCs w:val="18"/>
        </w:rPr>
        <w:t xml:space="preserve"> </w:t>
      </w:r>
      <w:r w:rsidRPr="00AE2D92">
        <w:rPr>
          <w:sz w:val="18"/>
          <w:szCs w:val="18"/>
        </w:rPr>
        <w:t>pending</w:t>
      </w:r>
      <w:r w:rsidR="00AE2D92">
        <w:rPr>
          <w:sz w:val="18"/>
          <w:szCs w:val="18"/>
        </w:rPr>
        <w:t xml:space="preserve"> </w:t>
      </w:r>
      <w:r w:rsidRPr="00AE2D92">
        <w:rPr>
          <w:sz w:val="18"/>
          <w:szCs w:val="18"/>
        </w:rPr>
        <w:t>investigation</w:t>
      </w:r>
      <w:r w:rsidR="00907D8C" w:rsidRPr="00AE2D92">
        <w:rPr>
          <w:sz w:val="18"/>
          <w:szCs w:val="18"/>
        </w:rPr>
        <w:t xml:space="preserve"> </w:t>
      </w:r>
      <w:r w:rsidRPr="00AE2D92">
        <w:rPr>
          <w:sz w:val="18"/>
          <w:szCs w:val="18"/>
        </w:rPr>
        <w:t>into</w:t>
      </w:r>
      <w:r w:rsidR="00907D8C" w:rsidRPr="00AE2D92">
        <w:rPr>
          <w:sz w:val="18"/>
          <w:szCs w:val="18"/>
        </w:rPr>
        <w:t xml:space="preserve"> </w:t>
      </w:r>
      <w:r w:rsidRPr="00AE2D92">
        <w:rPr>
          <w:sz w:val="18"/>
          <w:szCs w:val="18"/>
        </w:rPr>
        <w:t>their</w:t>
      </w:r>
      <w:r w:rsidR="00907D8C" w:rsidRPr="00AE2D92">
        <w:rPr>
          <w:sz w:val="18"/>
          <w:szCs w:val="18"/>
        </w:rPr>
        <w:t xml:space="preserve"> </w:t>
      </w:r>
      <w:r w:rsidRPr="00AE2D92">
        <w:rPr>
          <w:sz w:val="18"/>
          <w:szCs w:val="18"/>
        </w:rPr>
        <w:t>immigration</w:t>
      </w:r>
      <w:r w:rsidR="00907D8C" w:rsidRPr="00AE2D92">
        <w:rPr>
          <w:sz w:val="18"/>
          <w:szCs w:val="18"/>
        </w:rPr>
        <w:t xml:space="preserve"> </w:t>
      </w:r>
      <w:r w:rsidRPr="00AE2D92">
        <w:rPr>
          <w:sz w:val="18"/>
          <w:szCs w:val="18"/>
        </w:rPr>
        <w:t>status.</w:t>
      </w:r>
      <w:r w:rsidR="00907D8C" w:rsidRPr="00AE2D92">
        <w:rPr>
          <w:sz w:val="18"/>
          <w:szCs w:val="18"/>
        </w:rPr>
        <w:t xml:space="preserve"> </w:t>
      </w:r>
      <w:r w:rsidRPr="00AE2D92">
        <w:rPr>
          <w:sz w:val="18"/>
          <w:szCs w:val="18"/>
        </w:rPr>
        <w:t>The</w:t>
      </w:r>
      <w:r w:rsidR="00907D8C" w:rsidRPr="00AE2D92">
        <w:rPr>
          <w:sz w:val="18"/>
          <w:szCs w:val="18"/>
        </w:rPr>
        <w:t xml:space="preserve"> </w:t>
      </w:r>
      <w:r w:rsidRPr="00AE2D92">
        <w:rPr>
          <w:sz w:val="18"/>
          <w:szCs w:val="18"/>
        </w:rPr>
        <w:t>indeterminate</w:t>
      </w:r>
      <w:r w:rsidR="00907D8C" w:rsidRPr="00AE2D92">
        <w:rPr>
          <w:sz w:val="18"/>
          <w:szCs w:val="18"/>
        </w:rPr>
        <w:t xml:space="preserve"> </w:t>
      </w:r>
      <w:r w:rsidRPr="00AE2D92">
        <w:rPr>
          <w:sz w:val="18"/>
          <w:szCs w:val="18"/>
        </w:rPr>
        <w:t>sentence</w:t>
      </w:r>
      <w:r w:rsidR="00907D8C" w:rsidRPr="00AE2D92">
        <w:rPr>
          <w:sz w:val="18"/>
          <w:szCs w:val="18"/>
        </w:rPr>
        <w:t xml:space="preserve"> </w:t>
      </w:r>
      <w:r w:rsidRPr="00AE2D92">
        <w:rPr>
          <w:sz w:val="18"/>
          <w:szCs w:val="18"/>
        </w:rPr>
        <w:t>is</w:t>
      </w:r>
      <w:r w:rsidR="00907D8C" w:rsidRPr="00AE2D92">
        <w:rPr>
          <w:sz w:val="18"/>
          <w:szCs w:val="18"/>
        </w:rPr>
        <w:t xml:space="preserve"> </w:t>
      </w:r>
      <w:r w:rsidRPr="00AE2D92">
        <w:rPr>
          <w:sz w:val="18"/>
          <w:szCs w:val="18"/>
        </w:rPr>
        <w:t>preventive</w:t>
      </w:r>
      <w:r w:rsidR="00907D8C" w:rsidRPr="00AE2D92">
        <w:rPr>
          <w:sz w:val="18"/>
          <w:szCs w:val="18"/>
        </w:rPr>
        <w:t xml:space="preserve"> </w:t>
      </w:r>
      <w:r w:rsidRPr="00AE2D92">
        <w:rPr>
          <w:sz w:val="18"/>
          <w:szCs w:val="18"/>
        </w:rPr>
        <w:t>detention</w:t>
      </w:r>
      <w:r w:rsidR="00907D8C" w:rsidRPr="00AE2D92">
        <w:rPr>
          <w:sz w:val="18"/>
          <w:szCs w:val="18"/>
        </w:rPr>
        <w:t xml:space="preserve"> </w:t>
      </w:r>
      <w:r w:rsidRPr="00AE2D92">
        <w:rPr>
          <w:sz w:val="18"/>
          <w:szCs w:val="18"/>
        </w:rPr>
        <w:t>and</w:t>
      </w:r>
      <w:r w:rsidR="00907D8C" w:rsidRPr="00AE2D92">
        <w:rPr>
          <w:sz w:val="18"/>
          <w:szCs w:val="18"/>
        </w:rPr>
        <w:t xml:space="preserve"> </w:t>
      </w:r>
      <w:r w:rsidRPr="00AE2D92">
        <w:rPr>
          <w:sz w:val="18"/>
          <w:szCs w:val="18"/>
        </w:rPr>
        <w:t>life</w:t>
      </w:r>
      <w:r w:rsidR="00907D8C" w:rsidRPr="00AE2D92">
        <w:rPr>
          <w:sz w:val="18"/>
          <w:szCs w:val="18"/>
        </w:rPr>
        <w:t xml:space="preserve"> </w:t>
      </w:r>
      <w:r w:rsidRPr="00AE2D92">
        <w:rPr>
          <w:sz w:val="18"/>
          <w:szCs w:val="18"/>
        </w:rPr>
        <w:t>sentences.</w:t>
      </w:r>
    </w:p>
    <w:p w:rsidR="00036FAC" w:rsidRPr="00036FAC" w:rsidRDefault="00036FAC" w:rsidP="006C436C">
      <w:pPr>
        <w:pStyle w:val="H23G"/>
      </w:pPr>
      <w:r w:rsidRPr="00036FAC">
        <w:tab/>
        <w:t>(c)</w:t>
      </w:r>
      <w:r w:rsidRPr="00036FAC">
        <w:tab/>
        <w:t>Rates</w:t>
      </w:r>
      <w:r w:rsidR="00907D8C">
        <w:t xml:space="preserve"> </w:t>
      </w:r>
      <w:r w:rsidRPr="00036FAC">
        <w:t>of</w:t>
      </w:r>
      <w:r w:rsidR="00907D8C">
        <w:t xml:space="preserve"> </w:t>
      </w:r>
      <w:r w:rsidRPr="00036FAC">
        <w:t>unnatural</w:t>
      </w:r>
      <w:r w:rsidR="00907D8C">
        <w:t xml:space="preserve"> </w:t>
      </w:r>
      <w:r w:rsidRPr="00036FAC">
        <w:t>deaths</w:t>
      </w:r>
      <w:r w:rsidR="00907D8C">
        <w:t xml:space="preserve"> </w:t>
      </w:r>
      <w:r w:rsidRPr="00036FAC">
        <w:t>in</w:t>
      </w:r>
      <w:r w:rsidR="00907D8C">
        <w:t xml:space="preserve"> </w:t>
      </w:r>
      <w:r w:rsidRPr="00036FAC">
        <w:t>prison</w:t>
      </w:r>
    </w:p>
    <w:p w:rsidR="00036FAC" w:rsidRPr="00036FAC" w:rsidRDefault="00036FAC" w:rsidP="00AE2D92">
      <w:pPr>
        <w:pStyle w:val="SingleTxtG"/>
      </w:pPr>
      <w:r w:rsidRPr="00036FAC">
        <w:t>131.</w:t>
      </w:r>
      <w:r w:rsidRPr="00036FAC">
        <w:tab/>
        <w:t>There</w:t>
      </w:r>
      <w:r w:rsidR="00907D8C">
        <w:t xml:space="preserve"> </w:t>
      </w:r>
      <w:r w:rsidRPr="00036FAC">
        <w:t>were</w:t>
      </w:r>
      <w:r w:rsidR="00907D8C">
        <w:t xml:space="preserve"> </w:t>
      </w:r>
      <w:r w:rsidRPr="00036FAC">
        <w:t>five</w:t>
      </w:r>
      <w:r w:rsidR="00907D8C">
        <w:t xml:space="preserve"> </w:t>
      </w:r>
      <w:r w:rsidRPr="00036FAC">
        <w:t>unnatural</w:t>
      </w:r>
      <w:r w:rsidR="00907D8C">
        <w:t xml:space="preserve"> </w:t>
      </w:r>
      <w:r w:rsidRPr="00036FAC">
        <w:t>deaths</w:t>
      </w:r>
      <w:r w:rsidR="00907D8C">
        <w:t xml:space="preserve"> </w:t>
      </w:r>
      <w:r w:rsidRPr="00036FAC">
        <w:t>during</w:t>
      </w:r>
      <w:r w:rsidR="00907D8C">
        <w:t xml:space="preserve"> </w:t>
      </w:r>
      <w:r w:rsidRPr="00036FAC">
        <w:t>the</w:t>
      </w:r>
      <w:r w:rsidR="00907D8C">
        <w:t xml:space="preserve"> </w:t>
      </w:r>
      <w:r w:rsidRPr="00036FAC">
        <w:t>2008/</w:t>
      </w:r>
      <w:r w:rsidR="00AE2D92">
        <w:t>20</w:t>
      </w:r>
      <w:r w:rsidRPr="00036FAC">
        <w:t>09</w:t>
      </w:r>
      <w:r w:rsidR="00907D8C">
        <w:t xml:space="preserve"> </w:t>
      </w:r>
      <w:r w:rsidRPr="00036FAC">
        <w:t>financial</w:t>
      </w:r>
      <w:r w:rsidR="00907D8C">
        <w:t xml:space="preserve"> </w:t>
      </w:r>
      <w:r w:rsidRPr="00036FAC">
        <w:t>year,</w:t>
      </w:r>
      <w:r w:rsidR="00907D8C">
        <w:t xml:space="preserve"> </w:t>
      </w:r>
      <w:r w:rsidRPr="00036FAC">
        <w:t>with</w:t>
      </w:r>
      <w:r w:rsidR="00907D8C">
        <w:t xml:space="preserve"> </w:t>
      </w:r>
      <w:r w:rsidRPr="00036FAC">
        <w:t>a</w:t>
      </w:r>
      <w:r w:rsidR="00907D8C">
        <w:t xml:space="preserve"> </w:t>
      </w:r>
      <w:r w:rsidRPr="00036FAC">
        <w:t>rate</w:t>
      </w:r>
      <w:r w:rsidR="00907D8C">
        <w:t xml:space="preserve"> </w:t>
      </w:r>
      <w:r w:rsidRPr="00036FAC">
        <w:t>of</w:t>
      </w:r>
      <w:r w:rsidR="00907D8C">
        <w:t xml:space="preserve"> </w:t>
      </w:r>
      <w:r w:rsidRPr="00036FAC">
        <w:t>0.06</w:t>
      </w:r>
      <w:r w:rsidR="00907D8C">
        <w:t xml:space="preserve"> </w:t>
      </w:r>
      <w:r w:rsidRPr="00036FAC">
        <w:t>unnatural</w:t>
      </w:r>
      <w:r w:rsidR="00907D8C">
        <w:t xml:space="preserve"> </w:t>
      </w:r>
      <w:r w:rsidRPr="00036FAC">
        <w:t>deaths</w:t>
      </w:r>
      <w:r w:rsidR="00907D8C">
        <w:t xml:space="preserve"> </w:t>
      </w:r>
      <w:r w:rsidRPr="00036FAC">
        <w:t>per</w:t>
      </w:r>
      <w:r w:rsidR="00907D8C">
        <w:t xml:space="preserve"> </w:t>
      </w:r>
      <w:r w:rsidRPr="00036FAC">
        <w:t>100</w:t>
      </w:r>
      <w:r w:rsidR="00907D8C">
        <w:t xml:space="preserve"> </w:t>
      </w:r>
      <w:r w:rsidRPr="00036FAC">
        <w:t>prisoners.</w:t>
      </w:r>
      <w:r w:rsidR="00907D8C">
        <w:t xml:space="preserve"> </w:t>
      </w:r>
      <w:r w:rsidRPr="00036FAC">
        <w:t>This</w:t>
      </w:r>
      <w:r w:rsidR="00907D8C">
        <w:t xml:space="preserve"> </w:t>
      </w:r>
      <w:r w:rsidRPr="00036FAC">
        <w:t>is</w:t>
      </w:r>
      <w:r w:rsidR="00907D8C">
        <w:t xml:space="preserve"> </w:t>
      </w:r>
      <w:r w:rsidRPr="00036FAC">
        <w:t>the</w:t>
      </w:r>
      <w:r w:rsidR="00907D8C">
        <w:t xml:space="preserve"> </w:t>
      </w:r>
      <w:r w:rsidRPr="00036FAC">
        <w:t>same</w:t>
      </w:r>
      <w:r w:rsidR="00907D8C">
        <w:t xml:space="preserve"> </w:t>
      </w:r>
      <w:r w:rsidRPr="00036FAC">
        <w:t>number</w:t>
      </w:r>
      <w:r w:rsidR="00907D8C">
        <w:t xml:space="preserve"> </w:t>
      </w:r>
      <w:r w:rsidRPr="00036FAC">
        <w:t>and</w:t>
      </w:r>
      <w:r w:rsidR="00907D8C">
        <w:t xml:space="preserve"> </w:t>
      </w:r>
      <w:r w:rsidRPr="00036FAC">
        <w:t>rate</w:t>
      </w:r>
      <w:r w:rsidR="00907D8C">
        <w:t xml:space="preserve"> </w:t>
      </w:r>
      <w:r w:rsidRPr="00036FAC">
        <w:t>as</w:t>
      </w:r>
      <w:r w:rsidR="00907D8C">
        <w:t xml:space="preserve"> </w:t>
      </w:r>
      <w:r w:rsidRPr="00036FAC">
        <w:t>reported</w:t>
      </w:r>
      <w:r w:rsidR="00907D8C">
        <w:t xml:space="preserve"> </w:t>
      </w:r>
      <w:r w:rsidRPr="00036FAC">
        <w:t>in</w:t>
      </w:r>
      <w:r w:rsidR="00907D8C">
        <w:t xml:space="preserve"> </w:t>
      </w:r>
      <w:r w:rsidRPr="00036FAC">
        <w:t>the</w:t>
      </w:r>
      <w:r w:rsidR="00907D8C">
        <w:t xml:space="preserve"> </w:t>
      </w:r>
      <w:r w:rsidRPr="00036FAC">
        <w:t>2007/</w:t>
      </w:r>
      <w:r w:rsidR="00AE2D92">
        <w:t>20</w:t>
      </w:r>
      <w:r w:rsidRPr="00036FAC">
        <w:t>08</w:t>
      </w:r>
      <w:r w:rsidR="00907D8C">
        <w:t xml:space="preserve"> </w:t>
      </w:r>
      <w:r w:rsidRPr="00036FAC">
        <w:t>financial</w:t>
      </w:r>
      <w:r w:rsidR="00907D8C">
        <w:t xml:space="preserve"> </w:t>
      </w:r>
      <w:r w:rsidRPr="00036FAC">
        <w:t>year.</w:t>
      </w:r>
      <w:r w:rsidR="00907D8C">
        <w:t xml:space="preserve"> </w:t>
      </w:r>
      <w:r w:rsidRPr="00036FAC">
        <w:t>Four</w:t>
      </w:r>
      <w:r w:rsidR="00907D8C">
        <w:t xml:space="preserve"> </w:t>
      </w:r>
      <w:r w:rsidRPr="00036FAC">
        <w:t>of</w:t>
      </w:r>
      <w:r w:rsidR="00907D8C">
        <w:t xml:space="preserve"> </w:t>
      </w:r>
      <w:r w:rsidRPr="00036FAC">
        <w:t>the</w:t>
      </w:r>
      <w:r w:rsidR="00907D8C">
        <w:t xml:space="preserve"> </w:t>
      </w:r>
      <w:r w:rsidRPr="00036FAC">
        <w:t>five</w:t>
      </w:r>
      <w:r w:rsidR="00907D8C">
        <w:t xml:space="preserve"> </w:t>
      </w:r>
      <w:r w:rsidRPr="00036FAC">
        <w:t>unnatural</w:t>
      </w:r>
      <w:r w:rsidR="00907D8C">
        <w:t xml:space="preserve"> </w:t>
      </w:r>
      <w:r w:rsidRPr="00036FAC">
        <w:t>deaths</w:t>
      </w:r>
      <w:r w:rsidR="00907D8C">
        <w:t xml:space="preserve"> </w:t>
      </w:r>
      <w:r w:rsidRPr="00036FAC">
        <w:t>were</w:t>
      </w:r>
      <w:r w:rsidR="00907D8C">
        <w:t xml:space="preserve"> </w:t>
      </w:r>
      <w:r w:rsidRPr="00036FAC">
        <w:t>apparent</w:t>
      </w:r>
      <w:r w:rsidR="00907D8C">
        <w:t xml:space="preserve"> </w:t>
      </w:r>
      <w:r w:rsidRPr="00036FAC">
        <w:t>suicides,</w:t>
      </w:r>
      <w:r w:rsidR="00907D8C">
        <w:t xml:space="preserve"> </w:t>
      </w:r>
      <w:r w:rsidRPr="00036FAC">
        <w:t>the</w:t>
      </w:r>
      <w:r w:rsidR="00907D8C">
        <w:t xml:space="preserve"> </w:t>
      </w:r>
      <w:r w:rsidRPr="00036FAC">
        <w:t>remaining</w:t>
      </w:r>
      <w:r w:rsidR="00907D8C">
        <w:t xml:space="preserve"> </w:t>
      </w:r>
      <w:r w:rsidRPr="00036FAC">
        <w:t>death</w:t>
      </w:r>
      <w:r w:rsidR="00907D8C">
        <w:t xml:space="preserve"> </w:t>
      </w:r>
      <w:r w:rsidRPr="00036FAC">
        <w:t>was</w:t>
      </w:r>
      <w:r w:rsidR="00907D8C">
        <w:t xml:space="preserve"> </w:t>
      </w:r>
      <w:r w:rsidRPr="00036FAC">
        <w:t>the</w:t>
      </w:r>
      <w:r w:rsidR="00907D8C">
        <w:t xml:space="preserve"> </w:t>
      </w:r>
      <w:r w:rsidRPr="00036FAC">
        <w:t>result</w:t>
      </w:r>
      <w:r w:rsidR="00907D8C">
        <w:t xml:space="preserve"> </w:t>
      </w:r>
      <w:r w:rsidRPr="00036FAC">
        <w:t>of</w:t>
      </w:r>
      <w:r w:rsidR="00907D8C">
        <w:t xml:space="preserve"> </w:t>
      </w:r>
      <w:r w:rsidRPr="00036FAC">
        <w:t>a</w:t>
      </w:r>
      <w:r w:rsidR="00907D8C">
        <w:t xml:space="preserve"> </w:t>
      </w:r>
      <w:r w:rsidRPr="00036FAC">
        <w:t>serious</w:t>
      </w:r>
      <w:r w:rsidR="00907D8C">
        <w:t xml:space="preserve"> </w:t>
      </w:r>
      <w:r w:rsidRPr="00036FAC">
        <w:t>assault</w:t>
      </w:r>
      <w:r w:rsidR="00907D8C">
        <w:t xml:space="preserve"> </w:t>
      </w:r>
      <w:r w:rsidRPr="00036FAC">
        <w:t>on</w:t>
      </w:r>
      <w:r w:rsidR="00907D8C">
        <w:t xml:space="preserve"> </w:t>
      </w:r>
      <w:r w:rsidRPr="00036FAC">
        <w:t>a</w:t>
      </w:r>
      <w:r w:rsidR="00907D8C">
        <w:t xml:space="preserve"> </w:t>
      </w:r>
      <w:r w:rsidRPr="00036FAC">
        <w:t>prisoner.</w:t>
      </w:r>
      <w:r w:rsidR="00907D8C">
        <w:t xml:space="preserve"> </w:t>
      </w:r>
      <w:r w:rsidRPr="00036FAC">
        <w:t>All</w:t>
      </w:r>
      <w:r w:rsidR="00907D8C">
        <w:t xml:space="preserve"> </w:t>
      </w:r>
      <w:r w:rsidRPr="00036FAC">
        <w:t>deaths</w:t>
      </w:r>
      <w:r w:rsidR="00907D8C">
        <w:t xml:space="preserve"> </w:t>
      </w:r>
      <w:r w:rsidRPr="00036FAC">
        <w:t>in</w:t>
      </w:r>
      <w:r w:rsidR="00907D8C">
        <w:t xml:space="preserve"> </w:t>
      </w:r>
      <w:r w:rsidRPr="00036FAC">
        <w:t>custody</w:t>
      </w:r>
      <w:r w:rsidR="00907D8C">
        <w:t xml:space="preserve"> </w:t>
      </w:r>
      <w:r w:rsidRPr="00036FAC">
        <w:t>are</w:t>
      </w:r>
      <w:r w:rsidR="00907D8C">
        <w:t xml:space="preserve"> </w:t>
      </w:r>
      <w:r w:rsidRPr="00036FAC">
        <w:t>subject</w:t>
      </w:r>
      <w:r w:rsidR="00907D8C">
        <w:t xml:space="preserve"> </w:t>
      </w:r>
      <w:r w:rsidRPr="00036FAC">
        <w:t>to</w:t>
      </w:r>
      <w:r w:rsidR="00907D8C">
        <w:t xml:space="preserve"> </w:t>
      </w:r>
      <w:r w:rsidRPr="00036FAC">
        <w:t>a</w:t>
      </w:r>
      <w:r w:rsidR="00907D8C">
        <w:t xml:space="preserve"> </w:t>
      </w:r>
      <w:r w:rsidRPr="00036FAC">
        <w:t>Coroner</w:t>
      </w:r>
      <w:r w:rsidR="003E4D94">
        <w:t>’</w:t>
      </w:r>
      <w:r w:rsidRPr="00036FAC">
        <w:t>s</w:t>
      </w:r>
      <w:r w:rsidR="00907D8C">
        <w:t xml:space="preserve"> </w:t>
      </w:r>
      <w:r w:rsidRPr="00036FAC">
        <w:t>inquest</w:t>
      </w:r>
      <w:r w:rsidR="00907D8C">
        <w:t xml:space="preserve"> </w:t>
      </w:r>
      <w:r w:rsidRPr="00036FAC">
        <w:t>to</w:t>
      </w:r>
      <w:r w:rsidR="00907D8C">
        <w:t xml:space="preserve"> </w:t>
      </w:r>
      <w:r w:rsidRPr="00036FAC">
        <w:t>determine</w:t>
      </w:r>
      <w:r w:rsidR="00907D8C">
        <w:t xml:space="preserve"> </w:t>
      </w:r>
      <w:r w:rsidRPr="00036FAC">
        <w:t>the</w:t>
      </w:r>
      <w:r w:rsidR="00907D8C">
        <w:t xml:space="preserve"> </w:t>
      </w:r>
      <w:r w:rsidRPr="00036FAC">
        <w:t>cause</w:t>
      </w:r>
      <w:r w:rsidR="00907D8C">
        <w:t xml:space="preserve"> </w:t>
      </w:r>
      <w:r w:rsidRPr="00036FAC">
        <w:t>of</w:t>
      </w:r>
      <w:r w:rsidR="00907D8C">
        <w:t xml:space="preserve"> </w:t>
      </w:r>
      <w:r w:rsidRPr="00036FAC">
        <w:t>death.</w:t>
      </w:r>
    </w:p>
    <w:p w:rsidR="00AE2D92" w:rsidRDefault="00036FAC" w:rsidP="00AE2D92">
      <w:pPr>
        <w:pStyle w:val="Heading1"/>
      </w:pPr>
      <w:bookmarkStart w:id="73" w:name="_Toc275331943"/>
      <w:r w:rsidRPr="00036FAC">
        <w:t>Table</w:t>
      </w:r>
      <w:r w:rsidR="00907D8C">
        <w:t xml:space="preserve"> </w:t>
      </w:r>
      <w:r w:rsidRPr="00036FAC">
        <w:t>42</w:t>
      </w:r>
    </w:p>
    <w:p w:rsidR="00036FAC" w:rsidRPr="00AE2D92" w:rsidRDefault="00036FAC" w:rsidP="00AE2D92">
      <w:pPr>
        <w:pStyle w:val="SingleTxtG"/>
        <w:rPr>
          <w:b/>
        </w:rPr>
      </w:pPr>
      <w:r w:rsidRPr="00AE2D92">
        <w:rPr>
          <w:b/>
        </w:rPr>
        <w:t>Unnatural</w:t>
      </w:r>
      <w:r w:rsidR="00907D8C" w:rsidRPr="00AE2D92">
        <w:rPr>
          <w:b/>
        </w:rPr>
        <w:t xml:space="preserve"> </w:t>
      </w:r>
      <w:r w:rsidRPr="00AE2D92">
        <w:rPr>
          <w:b/>
        </w:rPr>
        <w:t>deaths</w:t>
      </w:r>
      <w:r w:rsidR="00907D8C" w:rsidRPr="00AE2D92">
        <w:rPr>
          <w:b/>
        </w:rPr>
        <w:t xml:space="preserve"> </w:t>
      </w:r>
      <w:r w:rsidRPr="00AE2D92">
        <w:rPr>
          <w:b/>
        </w:rPr>
        <w:t>in</w:t>
      </w:r>
      <w:r w:rsidR="00907D8C" w:rsidRPr="00AE2D92">
        <w:rPr>
          <w:b/>
        </w:rPr>
        <w:t xml:space="preserve"> </w:t>
      </w:r>
      <w:r w:rsidRPr="00AE2D92">
        <w:rPr>
          <w:b/>
        </w:rPr>
        <w:t>prison</w:t>
      </w:r>
      <w:bookmarkEnd w:id="73"/>
    </w:p>
    <w:p w:rsidR="00036FAC" w:rsidRPr="00036FAC" w:rsidRDefault="00036FAC" w:rsidP="00AE2D92">
      <w:pPr>
        <w:tabs>
          <w:tab w:val="right" w:pos="850"/>
          <w:tab w:val="left" w:pos="1134"/>
          <w:tab w:val="left" w:pos="1559"/>
          <w:tab w:val="left" w:pos="1984"/>
          <w:tab w:val="left" w:leader="dot" w:pos="7654"/>
          <w:tab w:val="right" w:pos="8929"/>
          <w:tab w:val="right" w:pos="9638"/>
        </w:tabs>
        <w:ind w:left="1100"/>
      </w:pPr>
      <w:r w:rsidRPr="00036FAC">
        <w:pict>
          <v:shape id="_x0000_i1045" type="#_x0000_t75" style="width:228.75pt;height:148.5pt;mso-position-horizontal:left" o:allowoverlap="f">
            <v:imagedata r:id="rId27" o:title=""/>
          </v:shape>
        </w:pict>
      </w:r>
    </w:p>
    <w:p w:rsidR="00AE2D92" w:rsidRPr="00AE2D92" w:rsidRDefault="00AE2D92" w:rsidP="00B76872">
      <w:pPr>
        <w:spacing w:before="120" w:after="240"/>
        <w:ind w:left="1134" w:right="1134" w:firstLine="170"/>
        <w:rPr>
          <w:sz w:val="18"/>
          <w:szCs w:val="18"/>
        </w:rPr>
      </w:pPr>
      <w:r w:rsidRPr="00AE2D92">
        <w:rPr>
          <w:i/>
          <w:sz w:val="18"/>
          <w:szCs w:val="18"/>
        </w:rPr>
        <w:t>Source</w:t>
      </w:r>
      <w:r w:rsidRPr="00AE2D92">
        <w:rPr>
          <w:sz w:val="18"/>
          <w:szCs w:val="18"/>
        </w:rPr>
        <w:t xml:space="preserve">: </w:t>
      </w:r>
      <w:r>
        <w:rPr>
          <w:sz w:val="18"/>
          <w:szCs w:val="18"/>
        </w:rPr>
        <w:t xml:space="preserve"> De</w:t>
      </w:r>
      <w:r w:rsidRPr="00AE2D92">
        <w:rPr>
          <w:sz w:val="18"/>
          <w:szCs w:val="18"/>
        </w:rPr>
        <w:t>partment of Corrections.</w:t>
      </w:r>
    </w:p>
    <w:p w:rsidR="00036FAC" w:rsidRPr="00036FAC" w:rsidRDefault="00036FAC" w:rsidP="00AE2D92">
      <w:pPr>
        <w:pStyle w:val="SingleTxtG"/>
      </w:pPr>
      <w:r w:rsidRPr="00036FAC">
        <w:t>132.</w:t>
      </w:r>
      <w:r w:rsidRPr="00036FAC">
        <w:tab/>
        <w:t>In</w:t>
      </w:r>
      <w:r w:rsidR="00907D8C">
        <w:t xml:space="preserve"> </w:t>
      </w:r>
      <w:r w:rsidRPr="00036FAC">
        <w:t>New</w:t>
      </w:r>
      <w:r w:rsidR="00907D8C">
        <w:t xml:space="preserve"> </w:t>
      </w:r>
      <w:r w:rsidRPr="00036FAC">
        <w:t>Zealand,</w:t>
      </w:r>
      <w:r w:rsidR="00907D8C">
        <w:t xml:space="preserve"> </w:t>
      </w:r>
      <w:r w:rsidRPr="00036FAC">
        <w:t>it</w:t>
      </w:r>
      <w:r w:rsidR="00907D8C">
        <w:t xml:space="preserve"> </w:t>
      </w:r>
      <w:r w:rsidRPr="00036FAC">
        <w:t>is</w:t>
      </w:r>
      <w:r w:rsidR="00907D8C">
        <w:t xml:space="preserve"> </w:t>
      </w:r>
      <w:r w:rsidRPr="00036FAC">
        <w:t>not</w:t>
      </w:r>
      <w:r w:rsidR="00907D8C">
        <w:t xml:space="preserve"> </w:t>
      </w:r>
      <w:r w:rsidRPr="00036FAC">
        <w:t>open</w:t>
      </w:r>
      <w:r w:rsidR="00907D8C">
        <w:t xml:space="preserve"> </w:t>
      </w:r>
      <w:r w:rsidRPr="00036FAC">
        <w:t>to</w:t>
      </w:r>
      <w:r w:rsidR="00907D8C">
        <w:t xml:space="preserve"> </w:t>
      </w:r>
      <w:r w:rsidRPr="00036FAC">
        <w:t>the</w:t>
      </w:r>
      <w:r w:rsidR="00907D8C">
        <w:t xml:space="preserve"> </w:t>
      </w:r>
      <w:r w:rsidRPr="00036FAC">
        <w:t>court</w:t>
      </w:r>
      <w:r w:rsidR="00907D8C">
        <w:t xml:space="preserve"> </w:t>
      </w:r>
      <w:r w:rsidRPr="00036FAC">
        <w:t>to</w:t>
      </w:r>
      <w:r w:rsidR="00907D8C">
        <w:t xml:space="preserve"> </w:t>
      </w:r>
      <w:r w:rsidRPr="00036FAC">
        <w:t>sentence</w:t>
      </w:r>
      <w:r w:rsidR="00907D8C">
        <w:t xml:space="preserve"> </w:t>
      </w:r>
      <w:r w:rsidRPr="00036FAC">
        <w:t>any</w:t>
      </w:r>
      <w:r w:rsidR="00907D8C">
        <w:t xml:space="preserve"> </w:t>
      </w:r>
      <w:r w:rsidRPr="00036FAC">
        <w:t>offender</w:t>
      </w:r>
      <w:r w:rsidR="00907D8C">
        <w:t xml:space="preserve"> </w:t>
      </w:r>
      <w:r w:rsidRPr="00036FAC">
        <w:t>to</w:t>
      </w:r>
      <w:r w:rsidR="00907D8C">
        <w:t xml:space="preserve"> </w:t>
      </w:r>
      <w:r w:rsidRPr="00036FAC">
        <w:t>death</w:t>
      </w:r>
      <w:r w:rsidR="00907D8C">
        <w:t xml:space="preserve"> </w:t>
      </w:r>
      <w:r w:rsidRPr="00036FAC">
        <w:t>for</w:t>
      </w:r>
      <w:r w:rsidR="00907D8C">
        <w:t xml:space="preserve"> </w:t>
      </w:r>
      <w:r w:rsidRPr="00036FAC">
        <w:t>any</w:t>
      </w:r>
      <w:r w:rsidR="00907D8C">
        <w:t xml:space="preserve"> </w:t>
      </w:r>
      <w:r w:rsidRPr="00036FAC">
        <w:t>offence.</w:t>
      </w:r>
      <w:r w:rsidR="00907D8C">
        <w:t xml:space="preserve"> </w:t>
      </w:r>
      <w:r w:rsidRPr="00036FAC">
        <w:t>The</w:t>
      </w:r>
      <w:r w:rsidR="00907D8C">
        <w:t xml:space="preserve"> </w:t>
      </w:r>
      <w:r w:rsidRPr="00036FAC">
        <w:t>Abolition</w:t>
      </w:r>
      <w:r w:rsidR="00907D8C">
        <w:t xml:space="preserve"> </w:t>
      </w:r>
      <w:r w:rsidRPr="00036FAC">
        <w:t>of</w:t>
      </w:r>
      <w:r w:rsidR="00907D8C">
        <w:t xml:space="preserve"> </w:t>
      </w:r>
      <w:r w:rsidRPr="00036FAC">
        <w:t>the</w:t>
      </w:r>
      <w:r w:rsidR="00907D8C">
        <w:t xml:space="preserve"> </w:t>
      </w:r>
      <w:r w:rsidRPr="00036FAC">
        <w:t>Death</w:t>
      </w:r>
      <w:r w:rsidR="00907D8C">
        <w:t xml:space="preserve"> </w:t>
      </w:r>
      <w:r w:rsidRPr="00036FAC">
        <w:t>Penalty</w:t>
      </w:r>
      <w:r w:rsidR="00907D8C">
        <w:t xml:space="preserve"> </w:t>
      </w:r>
      <w:r w:rsidRPr="00036FAC">
        <w:t>Act</w:t>
      </w:r>
      <w:r w:rsidR="00907D8C">
        <w:t xml:space="preserve"> </w:t>
      </w:r>
      <w:r w:rsidRPr="00036FAC">
        <w:t>1989</w:t>
      </w:r>
      <w:r w:rsidR="00907D8C">
        <w:t xml:space="preserve"> </w:t>
      </w:r>
      <w:r w:rsidRPr="00036FAC">
        <w:t>removed</w:t>
      </w:r>
      <w:r w:rsidR="00907D8C">
        <w:t xml:space="preserve"> </w:t>
      </w:r>
      <w:r w:rsidRPr="00036FAC">
        <w:t>the</w:t>
      </w:r>
      <w:r w:rsidR="00907D8C">
        <w:t xml:space="preserve"> </w:t>
      </w:r>
      <w:r w:rsidRPr="00036FAC">
        <w:t>death</w:t>
      </w:r>
      <w:r w:rsidR="00907D8C">
        <w:t xml:space="preserve"> </w:t>
      </w:r>
      <w:r w:rsidRPr="00036FAC">
        <w:t>penalty</w:t>
      </w:r>
      <w:r w:rsidR="00907D8C">
        <w:t xml:space="preserve"> </w:t>
      </w:r>
      <w:r w:rsidRPr="00036FAC">
        <w:t>for</w:t>
      </w:r>
      <w:r w:rsidR="00907D8C">
        <w:t xml:space="preserve"> </w:t>
      </w:r>
      <w:r w:rsidRPr="00036FAC">
        <w:t>all</w:t>
      </w:r>
      <w:r w:rsidR="00907D8C">
        <w:t xml:space="preserve"> </w:t>
      </w:r>
      <w:r w:rsidRPr="00036FAC">
        <w:t>crimes,</w:t>
      </w:r>
      <w:r w:rsidR="00907D8C">
        <w:t xml:space="preserve"> </w:t>
      </w:r>
      <w:r w:rsidRPr="00036FAC">
        <w:t>including</w:t>
      </w:r>
      <w:r w:rsidR="00907D8C">
        <w:t xml:space="preserve"> </w:t>
      </w:r>
      <w:r w:rsidRPr="00036FAC">
        <w:t>treason.</w:t>
      </w:r>
      <w:r w:rsidR="00907D8C">
        <w:t xml:space="preserve"> </w:t>
      </w:r>
      <w:r w:rsidRPr="00036FAC">
        <w:t>The</w:t>
      </w:r>
      <w:r w:rsidR="00907D8C">
        <w:t xml:space="preserve"> </w:t>
      </w:r>
      <w:r w:rsidRPr="00036FAC">
        <w:t>Act</w:t>
      </w:r>
      <w:r w:rsidR="00907D8C">
        <w:t xml:space="preserve"> </w:t>
      </w:r>
      <w:r w:rsidRPr="00036FAC">
        <w:t>gave</w:t>
      </w:r>
      <w:r w:rsidR="00907D8C">
        <w:t xml:space="preserve"> </w:t>
      </w:r>
      <w:r w:rsidRPr="00036FAC">
        <w:t>the</w:t>
      </w:r>
      <w:r w:rsidR="00907D8C">
        <w:t xml:space="preserve"> </w:t>
      </w:r>
      <w:r w:rsidRPr="00036FAC">
        <w:t>Minister</w:t>
      </w:r>
      <w:r w:rsidR="00907D8C">
        <w:t xml:space="preserve"> </w:t>
      </w:r>
      <w:r w:rsidRPr="00036FAC">
        <w:t>of</w:t>
      </w:r>
      <w:r w:rsidR="00907D8C">
        <w:t xml:space="preserve"> </w:t>
      </w:r>
      <w:r w:rsidRPr="00036FAC">
        <w:t>Justice</w:t>
      </w:r>
      <w:r w:rsidR="00907D8C">
        <w:t xml:space="preserve"> </w:t>
      </w:r>
      <w:r w:rsidRPr="00036FAC">
        <w:t>the</w:t>
      </w:r>
      <w:r w:rsidR="00907D8C">
        <w:t xml:space="preserve"> </w:t>
      </w:r>
      <w:r w:rsidRPr="00036FAC">
        <w:t>power</w:t>
      </w:r>
      <w:r w:rsidR="00907D8C">
        <w:t xml:space="preserve"> </w:t>
      </w:r>
      <w:r w:rsidRPr="00036FAC">
        <w:t>to</w:t>
      </w:r>
      <w:r w:rsidR="00907D8C">
        <w:t xml:space="preserve"> </w:t>
      </w:r>
      <w:r w:rsidRPr="00036FAC">
        <w:t>refuse</w:t>
      </w:r>
      <w:r w:rsidR="00907D8C">
        <w:t xml:space="preserve"> </w:t>
      </w:r>
      <w:r w:rsidRPr="00036FAC">
        <w:t>extradition</w:t>
      </w:r>
      <w:r w:rsidR="00907D8C">
        <w:t xml:space="preserve"> </w:t>
      </w:r>
      <w:r w:rsidRPr="00036FAC">
        <w:t>to</w:t>
      </w:r>
      <w:r w:rsidR="00907D8C">
        <w:t xml:space="preserve"> </w:t>
      </w:r>
      <w:r w:rsidRPr="00036FAC">
        <w:t>any</w:t>
      </w:r>
      <w:r w:rsidR="00907D8C">
        <w:t xml:space="preserve"> </w:t>
      </w:r>
      <w:r w:rsidRPr="00036FAC">
        <w:t>country</w:t>
      </w:r>
      <w:r w:rsidR="00907D8C">
        <w:t xml:space="preserve"> </w:t>
      </w:r>
      <w:r w:rsidRPr="00036FAC">
        <w:t>if</w:t>
      </w:r>
      <w:r w:rsidR="00907D8C">
        <w:t xml:space="preserve"> </w:t>
      </w:r>
      <w:r w:rsidRPr="00036FAC">
        <w:t>the</w:t>
      </w:r>
      <w:r w:rsidR="00907D8C">
        <w:t xml:space="preserve"> </w:t>
      </w:r>
      <w:r w:rsidRPr="00036FAC">
        <w:t>offender</w:t>
      </w:r>
      <w:r w:rsidR="00907D8C">
        <w:t xml:space="preserve"> </w:t>
      </w:r>
      <w:r w:rsidRPr="00036FAC">
        <w:t>is</w:t>
      </w:r>
      <w:r w:rsidR="00907D8C">
        <w:t xml:space="preserve"> </w:t>
      </w:r>
      <w:r w:rsidRPr="00036FAC">
        <w:t>liable</w:t>
      </w:r>
      <w:r w:rsidR="00907D8C">
        <w:t xml:space="preserve"> </w:t>
      </w:r>
      <w:r w:rsidRPr="00036FAC">
        <w:t>to</w:t>
      </w:r>
      <w:r w:rsidR="00907D8C">
        <w:t xml:space="preserve"> </w:t>
      </w:r>
      <w:r w:rsidRPr="00036FAC">
        <w:t>face</w:t>
      </w:r>
      <w:r w:rsidR="00907D8C">
        <w:t xml:space="preserve"> </w:t>
      </w:r>
      <w:r w:rsidRPr="00036FAC">
        <w:t>the</w:t>
      </w:r>
      <w:r w:rsidR="00907D8C">
        <w:t xml:space="preserve"> </w:t>
      </w:r>
      <w:r w:rsidRPr="00036FAC">
        <w:t>death</w:t>
      </w:r>
      <w:r w:rsidR="00907D8C">
        <w:t xml:space="preserve"> </w:t>
      </w:r>
      <w:r w:rsidRPr="00036FAC">
        <w:t>penalty</w:t>
      </w:r>
      <w:r w:rsidR="00907D8C">
        <w:t xml:space="preserve"> </w:t>
      </w:r>
      <w:r w:rsidRPr="00036FAC">
        <w:t>in</w:t>
      </w:r>
      <w:r w:rsidR="00907D8C">
        <w:t xml:space="preserve"> </w:t>
      </w:r>
      <w:r w:rsidRPr="00036FAC">
        <w:t>the</w:t>
      </w:r>
      <w:r w:rsidR="00907D8C">
        <w:t xml:space="preserve"> </w:t>
      </w:r>
      <w:r w:rsidRPr="00036FAC">
        <w:t>country</w:t>
      </w:r>
      <w:r w:rsidR="00907D8C">
        <w:t xml:space="preserve"> </w:t>
      </w:r>
      <w:r w:rsidRPr="00036FAC">
        <w:t>to</w:t>
      </w:r>
      <w:r w:rsidR="00907D8C">
        <w:t xml:space="preserve"> </w:t>
      </w:r>
      <w:r w:rsidRPr="00036FAC">
        <w:t>which</w:t>
      </w:r>
      <w:r w:rsidR="00907D8C">
        <w:t xml:space="preserve"> </w:t>
      </w:r>
      <w:r w:rsidRPr="00036FAC">
        <w:t>he</w:t>
      </w:r>
      <w:r w:rsidR="00907D8C">
        <w:t xml:space="preserve"> </w:t>
      </w:r>
      <w:r w:rsidRPr="00036FAC">
        <w:t>or</w:t>
      </w:r>
      <w:r w:rsidR="00907D8C">
        <w:t xml:space="preserve"> </w:t>
      </w:r>
      <w:r w:rsidRPr="00036FAC">
        <w:t>she</w:t>
      </w:r>
      <w:r w:rsidR="00907D8C">
        <w:t xml:space="preserve"> </w:t>
      </w:r>
      <w:r w:rsidRPr="00036FAC">
        <w:t>is</w:t>
      </w:r>
      <w:r w:rsidR="00907D8C">
        <w:t xml:space="preserve"> </w:t>
      </w:r>
      <w:r w:rsidRPr="00036FAC">
        <w:t>being</w:t>
      </w:r>
      <w:r w:rsidR="00907D8C">
        <w:t xml:space="preserve"> </w:t>
      </w:r>
      <w:r w:rsidRPr="00036FAC">
        <w:t>extradited.</w:t>
      </w:r>
    </w:p>
    <w:p w:rsidR="00036FAC" w:rsidRPr="00036FAC" w:rsidRDefault="00036FAC" w:rsidP="006C436C">
      <w:pPr>
        <w:pStyle w:val="H23G"/>
      </w:pPr>
      <w:r w:rsidRPr="00036FAC">
        <w:tab/>
        <w:t>(d)</w:t>
      </w:r>
      <w:r w:rsidRPr="00036FAC">
        <w:tab/>
        <w:t>Numbers</w:t>
      </w:r>
      <w:r w:rsidR="00907D8C">
        <w:t xml:space="preserve"> </w:t>
      </w:r>
      <w:r w:rsidRPr="00036FAC">
        <w:t>of</w:t>
      </w:r>
      <w:r w:rsidR="00907D8C">
        <w:t xml:space="preserve"> </w:t>
      </w:r>
      <w:r w:rsidRPr="00036FAC">
        <w:t>police</w:t>
      </w:r>
      <w:r w:rsidR="00907D8C">
        <w:t xml:space="preserve"> </w:t>
      </w:r>
      <w:r w:rsidRPr="00036FAC">
        <w:t>and</w:t>
      </w:r>
      <w:r w:rsidR="00907D8C">
        <w:t xml:space="preserve"> </w:t>
      </w:r>
      <w:r w:rsidRPr="00036FAC">
        <w:t>judges</w:t>
      </w:r>
    </w:p>
    <w:p w:rsidR="00AE2D92" w:rsidRDefault="00036FAC" w:rsidP="0095535B">
      <w:pPr>
        <w:pStyle w:val="Heading1"/>
        <w:keepNext/>
      </w:pPr>
      <w:bookmarkStart w:id="74" w:name="_Toc275331944"/>
      <w:r w:rsidRPr="00036FAC">
        <w:t>Table</w:t>
      </w:r>
      <w:r w:rsidR="00907D8C">
        <w:t xml:space="preserve"> </w:t>
      </w:r>
      <w:r w:rsidR="00AE2D92">
        <w:t>43</w:t>
      </w:r>
    </w:p>
    <w:p w:rsidR="005A4548" w:rsidRDefault="00036FAC" w:rsidP="0095535B">
      <w:pPr>
        <w:pStyle w:val="SingleTxtG"/>
        <w:keepNext/>
        <w:rPr>
          <w:b/>
        </w:rPr>
      </w:pPr>
      <w:r w:rsidRPr="00AE2D92">
        <w:rPr>
          <w:b/>
        </w:rPr>
        <w:t>Number</w:t>
      </w:r>
      <w:r w:rsidR="00907D8C" w:rsidRPr="00AE2D92">
        <w:rPr>
          <w:b/>
        </w:rPr>
        <w:t xml:space="preserve"> </w:t>
      </w:r>
      <w:r w:rsidRPr="00AE2D92">
        <w:rPr>
          <w:b/>
        </w:rPr>
        <w:t>of</w:t>
      </w:r>
      <w:r w:rsidR="00907D8C" w:rsidRPr="00AE2D92">
        <w:rPr>
          <w:b/>
        </w:rPr>
        <w:t xml:space="preserve"> </w:t>
      </w:r>
      <w:r w:rsidRPr="00AE2D92">
        <w:rPr>
          <w:b/>
        </w:rPr>
        <w:t>police</w:t>
      </w:r>
      <w:r w:rsidR="00907D8C" w:rsidRPr="00AE2D92">
        <w:rPr>
          <w:b/>
        </w:rPr>
        <w:t xml:space="preserve"> </w:t>
      </w:r>
      <w:r w:rsidRPr="00AE2D92">
        <w:rPr>
          <w:b/>
        </w:rPr>
        <w:t>personnel</w:t>
      </w:r>
      <w:r w:rsidRPr="00AE2D92">
        <w:t>*</w:t>
      </w:r>
      <w:r w:rsidR="00907D8C" w:rsidRPr="00AE2D92">
        <w:rPr>
          <w:b/>
        </w:rPr>
        <w:t xml:space="preserve"> </w:t>
      </w:r>
      <w:r w:rsidRPr="00AE2D92">
        <w:rPr>
          <w:b/>
        </w:rPr>
        <w:t>per</w:t>
      </w:r>
      <w:r w:rsidR="00907D8C" w:rsidRPr="00AE2D92">
        <w:rPr>
          <w:b/>
        </w:rPr>
        <w:t xml:space="preserve"> </w:t>
      </w:r>
      <w:r w:rsidRPr="00AE2D92">
        <w:rPr>
          <w:b/>
        </w:rPr>
        <w:t>100,000</w:t>
      </w:r>
      <w:r w:rsidR="00907D8C" w:rsidRPr="00AE2D92">
        <w:rPr>
          <w:b/>
        </w:rPr>
        <w:t xml:space="preserve"> </w:t>
      </w:r>
      <w:r w:rsidRPr="00AE2D92">
        <w:rPr>
          <w:b/>
        </w:rPr>
        <w:t>persons</w:t>
      </w:r>
      <w:r w:rsidR="00907D8C" w:rsidRPr="00AE2D92">
        <w:rPr>
          <w:b/>
        </w:rPr>
        <w:t xml:space="preserve"> </w:t>
      </w:r>
      <w:r w:rsidRPr="00AE2D92">
        <w:rPr>
          <w:b/>
        </w:rPr>
        <w:t>in</w:t>
      </w:r>
      <w:r w:rsidR="00907D8C" w:rsidRPr="00AE2D92">
        <w:rPr>
          <w:b/>
        </w:rPr>
        <w:t xml:space="preserve"> </w:t>
      </w:r>
      <w:r w:rsidRPr="00AE2D92">
        <w:rPr>
          <w:b/>
        </w:rPr>
        <w:t>New</w:t>
      </w:r>
      <w:r w:rsidR="00907D8C" w:rsidRPr="00AE2D92">
        <w:rPr>
          <w:b/>
        </w:rPr>
        <w:t xml:space="preserve"> </w:t>
      </w:r>
      <w:r w:rsidRPr="00AE2D92">
        <w:rPr>
          <w:b/>
        </w:rPr>
        <w:t>Zealand</w:t>
      </w:r>
      <w:bookmarkEnd w:id="74"/>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6"/>
        <w:gridCol w:w="750"/>
        <w:gridCol w:w="751"/>
        <w:gridCol w:w="750"/>
        <w:gridCol w:w="751"/>
        <w:gridCol w:w="750"/>
        <w:gridCol w:w="751"/>
        <w:gridCol w:w="750"/>
        <w:gridCol w:w="751"/>
      </w:tblGrid>
      <w:tr w:rsidR="005A4548" w:rsidRPr="00844DDB" w:rsidTr="002656B8">
        <w:trPr>
          <w:trHeight w:val="240"/>
          <w:tblHeader/>
        </w:trPr>
        <w:tc>
          <w:tcPr>
            <w:tcW w:w="1366" w:type="dxa"/>
            <w:vMerge w:val="restart"/>
            <w:tcBorders>
              <w:top w:val="single" w:sz="4" w:space="0" w:color="auto"/>
            </w:tcBorders>
            <w:shd w:val="clear" w:color="auto" w:fill="auto"/>
            <w:vAlign w:val="bottom"/>
          </w:tcPr>
          <w:p w:rsidR="005A4548" w:rsidRPr="00844DDB" w:rsidRDefault="005A4548" w:rsidP="0095535B">
            <w:pPr>
              <w:keepNext/>
              <w:suppressAutoHyphens w:val="0"/>
              <w:spacing w:before="80" w:after="80" w:line="200" w:lineRule="exact"/>
              <w:ind w:right="113"/>
              <w:rPr>
                <w:i/>
                <w:sz w:val="16"/>
              </w:rPr>
            </w:pPr>
          </w:p>
        </w:tc>
        <w:tc>
          <w:tcPr>
            <w:tcW w:w="1501" w:type="dxa"/>
            <w:gridSpan w:val="2"/>
            <w:tcBorders>
              <w:top w:val="single" w:sz="4" w:space="0" w:color="auto"/>
              <w:bottom w:val="single" w:sz="4"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center"/>
              <w:rPr>
                <w:i/>
                <w:sz w:val="16"/>
              </w:rPr>
            </w:pPr>
            <w:r>
              <w:rPr>
                <w:i/>
                <w:sz w:val="16"/>
              </w:rPr>
              <w:t>2005</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center"/>
              <w:rPr>
                <w:i/>
                <w:sz w:val="16"/>
              </w:rPr>
            </w:pPr>
            <w:r>
              <w:rPr>
                <w:i/>
                <w:sz w:val="16"/>
              </w:rPr>
              <w:t>2006</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center"/>
              <w:rPr>
                <w:i/>
                <w:sz w:val="16"/>
              </w:rPr>
            </w:pPr>
            <w:r>
              <w:rPr>
                <w:i/>
                <w:sz w:val="16"/>
              </w:rPr>
              <w:t>2007</w:t>
            </w:r>
          </w:p>
        </w:tc>
        <w:tc>
          <w:tcPr>
            <w:tcW w:w="1501" w:type="dxa"/>
            <w:gridSpan w:val="2"/>
            <w:tcBorders>
              <w:top w:val="single" w:sz="4" w:space="0" w:color="auto"/>
              <w:left w:val="single" w:sz="24" w:space="0" w:color="FFFFFF"/>
              <w:bottom w:val="single" w:sz="4"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center"/>
              <w:rPr>
                <w:i/>
                <w:sz w:val="16"/>
              </w:rPr>
            </w:pPr>
            <w:r>
              <w:rPr>
                <w:i/>
                <w:sz w:val="16"/>
              </w:rPr>
              <w:t>2008</w:t>
            </w:r>
          </w:p>
        </w:tc>
      </w:tr>
      <w:tr w:rsidR="005A4548" w:rsidRPr="00844DDB" w:rsidTr="002656B8">
        <w:trPr>
          <w:trHeight w:val="240"/>
          <w:tblHeader/>
        </w:trPr>
        <w:tc>
          <w:tcPr>
            <w:tcW w:w="1366" w:type="dxa"/>
            <w:vMerge/>
            <w:tcBorders>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rPr>
                <w:i/>
                <w:sz w:val="16"/>
              </w:rPr>
            </w:pPr>
          </w:p>
        </w:tc>
        <w:tc>
          <w:tcPr>
            <w:tcW w:w="750" w:type="dxa"/>
            <w:tcBorders>
              <w:top w:val="single" w:sz="4" w:space="0" w:color="auto"/>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tcBorders>
            <w:shd w:val="clear" w:color="auto" w:fill="auto"/>
            <w:vAlign w:val="bottom"/>
          </w:tcPr>
          <w:p w:rsidR="005A4548" w:rsidRPr="00844DDB" w:rsidRDefault="005A4548" w:rsidP="0095535B">
            <w:pPr>
              <w:keepNext/>
              <w:suppressAutoHyphens w:val="0"/>
              <w:spacing w:before="80" w:after="80" w:line="200" w:lineRule="exact"/>
              <w:ind w:right="113"/>
              <w:jc w:val="right"/>
              <w:rPr>
                <w:i/>
                <w:sz w:val="16"/>
              </w:rPr>
            </w:pPr>
            <w:r w:rsidRPr="00844DDB">
              <w:rPr>
                <w:i/>
                <w:sz w:val="16"/>
              </w:rPr>
              <w:t>rate</w:t>
            </w:r>
          </w:p>
        </w:tc>
      </w:tr>
      <w:tr w:rsidR="00036FAC" w:rsidRPr="00844DDB" w:rsidTr="00C23F6E">
        <w:trPr>
          <w:trHeight w:val="240"/>
        </w:trPr>
        <w:tc>
          <w:tcPr>
            <w:tcW w:w="1366" w:type="dxa"/>
            <w:tcBorders>
              <w:top w:val="single" w:sz="12" w:space="0" w:color="auto"/>
            </w:tcBorders>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Police</w:t>
            </w:r>
            <w:r w:rsidR="00907D8C" w:rsidRPr="00844DDB">
              <w:rPr>
                <w:sz w:val="18"/>
              </w:rPr>
              <w:t xml:space="preserve"> </w:t>
            </w:r>
            <w:r w:rsidRPr="00844DDB">
              <w:rPr>
                <w:sz w:val="18"/>
              </w:rPr>
              <w:t>personnel</w:t>
            </w:r>
          </w:p>
        </w:tc>
        <w:tc>
          <w:tcPr>
            <w:tcW w:w="750" w:type="dxa"/>
            <w:tcBorders>
              <w:top w:val="single" w:sz="12" w:space="0" w:color="auto"/>
            </w:tcBorders>
            <w:shd w:val="clear" w:color="auto" w:fill="auto"/>
            <w:vAlign w:val="bottom"/>
          </w:tcPr>
          <w:p w:rsidR="00036FAC" w:rsidRPr="00844DDB" w:rsidRDefault="00844DDB" w:rsidP="00844DDB">
            <w:pPr>
              <w:suppressAutoHyphens w:val="0"/>
              <w:spacing w:before="40" w:after="40" w:line="220" w:lineRule="exact"/>
              <w:ind w:right="113"/>
              <w:jc w:val="right"/>
              <w:rPr>
                <w:sz w:val="18"/>
              </w:rPr>
            </w:pPr>
            <w:r>
              <w:rPr>
                <w:sz w:val="18"/>
              </w:rPr>
              <w:t xml:space="preserve">7 </w:t>
            </w:r>
            <w:r w:rsidR="00036FAC" w:rsidRPr="00844DDB">
              <w:rPr>
                <w:sz w:val="18"/>
              </w:rPr>
              <w:t>528</w:t>
            </w:r>
          </w:p>
        </w:tc>
        <w:tc>
          <w:tcPr>
            <w:tcW w:w="75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180.92</w:t>
            </w:r>
          </w:p>
        </w:tc>
        <w:tc>
          <w:tcPr>
            <w:tcW w:w="750"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7</w:t>
            </w:r>
            <w:r w:rsidR="00844DDB">
              <w:rPr>
                <w:sz w:val="18"/>
              </w:rPr>
              <w:t xml:space="preserve"> </w:t>
            </w:r>
            <w:r w:rsidRPr="00844DDB">
              <w:rPr>
                <w:sz w:val="18"/>
              </w:rPr>
              <w:t>763</w:t>
            </w:r>
          </w:p>
        </w:tc>
        <w:tc>
          <w:tcPr>
            <w:tcW w:w="75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184.33</w:t>
            </w:r>
          </w:p>
        </w:tc>
        <w:tc>
          <w:tcPr>
            <w:tcW w:w="750"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8</w:t>
            </w:r>
            <w:r w:rsidR="00844DDB">
              <w:rPr>
                <w:sz w:val="18"/>
              </w:rPr>
              <w:t xml:space="preserve"> </w:t>
            </w:r>
            <w:r w:rsidRPr="00844DDB">
              <w:rPr>
                <w:sz w:val="18"/>
              </w:rPr>
              <w:t>113</w:t>
            </w:r>
          </w:p>
        </w:tc>
        <w:tc>
          <w:tcPr>
            <w:tcW w:w="75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190.77</w:t>
            </w:r>
          </w:p>
        </w:tc>
        <w:tc>
          <w:tcPr>
            <w:tcW w:w="750"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8</w:t>
            </w:r>
            <w:r w:rsidR="00844DDB">
              <w:rPr>
                <w:sz w:val="18"/>
              </w:rPr>
              <w:t xml:space="preserve"> </w:t>
            </w:r>
            <w:r w:rsidRPr="00844DDB">
              <w:rPr>
                <w:sz w:val="18"/>
              </w:rPr>
              <w:t>453</w:t>
            </w:r>
          </w:p>
        </w:tc>
        <w:tc>
          <w:tcPr>
            <w:tcW w:w="75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196.97</w:t>
            </w:r>
          </w:p>
        </w:tc>
      </w:tr>
    </w:tbl>
    <w:p w:rsidR="00036FAC" w:rsidRPr="00844DDB" w:rsidRDefault="00036FAC" w:rsidP="00B50FB5">
      <w:pPr>
        <w:spacing w:before="120"/>
        <w:ind w:left="1134" w:right="1134" w:firstLine="170"/>
        <w:rPr>
          <w:sz w:val="18"/>
          <w:szCs w:val="18"/>
        </w:rPr>
      </w:pPr>
      <w:r w:rsidRPr="00844DDB">
        <w:rPr>
          <w:i/>
          <w:sz w:val="18"/>
          <w:szCs w:val="18"/>
        </w:rPr>
        <w:t>Source</w:t>
      </w:r>
      <w:r w:rsidRPr="00844DDB">
        <w:rPr>
          <w:sz w:val="18"/>
          <w:szCs w:val="18"/>
        </w:rPr>
        <w:t>:</w:t>
      </w:r>
      <w:r w:rsidR="00844DDB" w:rsidRPr="00844DDB">
        <w:rPr>
          <w:sz w:val="18"/>
          <w:szCs w:val="18"/>
        </w:rPr>
        <w:t xml:space="preserve"> </w:t>
      </w:r>
      <w:r w:rsidR="00907D8C" w:rsidRPr="00844DDB">
        <w:rPr>
          <w:sz w:val="18"/>
          <w:szCs w:val="18"/>
        </w:rPr>
        <w:t xml:space="preserve"> </w:t>
      </w:r>
      <w:r w:rsidRPr="00844DDB">
        <w:rPr>
          <w:sz w:val="18"/>
          <w:szCs w:val="18"/>
        </w:rPr>
        <w:t>New</w:t>
      </w:r>
      <w:r w:rsidR="00907D8C" w:rsidRPr="00844DDB">
        <w:rPr>
          <w:sz w:val="18"/>
          <w:szCs w:val="18"/>
        </w:rPr>
        <w:t xml:space="preserve"> </w:t>
      </w:r>
      <w:r w:rsidRPr="00844DDB">
        <w:rPr>
          <w:sz w:val="18"/>
          <w:szCs w:val="18"/>
        </w:rPr>
        <w:t>Zealand</w:t>
      </w:r>
      <w:r w:rsidR="00907D8C" w:rsidRPr="00844DDB">
        <w:rPr>
          <w:sz w:val="18"/>
          <w:szCs w:val="18"/>
        </w:rPr>
        <w:t xml:space="preserve"> </w:t>
      </w:r>
      <w:r w:rsidR="00B76872">
        <w:rPr>
          <w:sz w:val="18"/>
          <w:szCs w:val="18"/>
        </w:rPr>
        <w:t>P</w:t>
      </w:r>
      <w:r w:rsidRPr="00844DDB">
        <w:rPr>
          <w:sz w:val="18"/>
          <w:szCs w:val="18"/>
        </w:rPr>
        <w:t>olice</w:t>
      </w:r>
      <w:r w:rsidR="00844DDB" w:rsidRPr="00844DDB">
        <w:rPr>
          <w:sz w:val="18"/>
          <w:szCs w:val="18"/>
        </w:rPr>
        <w:t>.</w:t>
      </w:r>
    </w:p>
    <w:p w:rsidR="00036FAC" w:rsidRPr="00844DDB" w:rsidRDefault="00036FAC" w:rsidP="00B50FB5">
      <w:pPr>
        <w:spacing w:after="240"/>
        <w:ind w:left="1134" w:right="1134" w:firstLine="170"/>
        <w:rPr>
          <w:sz w:val="18"/>
          <w:szCs w:val="18"/>
        </w:rPr>
      </w:pPr>
      <w:r w:rsidRPr="00844DDB">
        <w:t>*</w:t>
      </w:r>
      <w:r w:rsidR="00844DDB">
        <w:rPr>
          <w:sz w:val="18"/>
          <w:szCs w:val="18"/>
        </w:rPr>
        <w:t xml:space="preserve"> </w:t>
      </w:r>
      <w:r w:rsidR="00B76872">
        <w:rPr>
          <w:sz w:val="18"/>
          <w:szCs w:val="18"/>
        </w:rPr>
        <w:t xml:space="preserve"> </w:t>
      </w:r>
      <w:r w:rsidRPr="00844DDB">
        <w:rPr>
          <w:sz w:val="18"/>
          <w:szCs w:val="18"/>
        </w:rPr>
        <w:t>These</w:t>
      </w:r>
      <w:r w:rsidR="00907D8C" w:rsidRPr="00844DDB">
        <w:rPr>
          <w:sz w:val="18"/>
          <w:szCs w:val="18"/>
        </w:rPr>
        <w:t xml:space="preserve"> </w:t>
      </w:r>
      <w:r w:rsidRPr="00844DDB">
        <w:rPr>
          <w:sz w:val="18"/>
          <w:szCs w:val="18"/>
        </w:rPr>
        <w:t>are</w:t>
      </w:r>
      <w:r w:rsidR="00907D8C" w:rsidRPr="00844DDB">
        <w:rPr>
          <w:sz w:val="18"/>
          <w:szCs w:val="18"/>
        </w:rPr>
        <w:t xml:space="preserve"> </w:t>
      </w:r>
      <w:r w:rsidRPr="00844DDB">
        <w:rPr>
          <w:sz w:val="18"/>
          <w:szCs w:val="18"/>
        </w:rPr>
        <w:t>sworn</w:t>
      </w:r>
      <w:r w:rsidR="00907D8C" w:rsidRPr="00844DDB">
        <w:rPr>
          <w:sz w:val="18"/>
          <w:szCs w:val="18"/>
        </w:rPr>
        <w:t xml:space="preserve"> </w:t>
      </w:r>
      <w:r w:rsidRPr="00844DDB">
        <w:rPr>
          <w:sz w:val="18"/>
          <w:szCs w:val="18"/>
        </w:rPr>
        <w:t>police</w:t>
      </w:r>
      <w:r w:rsidR="00907D8C" w:rsidRPr="00844DDB">
        <w:rPr>
          <w:sz w:val="18"/>
          <w:szCs w:val="18"/>
        </w:rPr>
        <w:t xml:space="preserve"> </w:t>
      </w:r>
      <w:r w:rsidRPr="00844DDB">
        <w:rPr>
          <w:sz w:val="18"/>
          <w:szCs w:val="18"/>
        </w:rPr>
        <w:t>officers</w:t>
      </w:r>
      <w:r w:rsidR="00907D8C" w:rsidRPr="00844DDB">
        <w:rPr>
          <w:sz w:val="18"/>
          <w:szCs w:val="18"/>
        </w:rPr>
        <w:t xml:space="preserve"> </w:t>
      </w:r>
      <w:r w:rsidRPr="00844DDB">
        <w:rPr>
          <w:sz w:val="18"/>
          <w:szCs w:val="18"/>
        </w:rPr>
        <w:t>rather</w:t>
      </w:r>
      <w:r w:rsidR="00907D8C" w:rsidRPr="00844DDB">
        <w:rPr>
          <w:sz w:val="18"/>
          <w:szCs w:val="18"/>
        </w:rPr>
        <w:t xml:space="preserve"> </w:t>
      </w:r>
      <w:r w:rsidRPr="00844DDB">
        <w:rPr>
          <w:sz w:val="18"/>
          <w:szCs w:val="18"/>
        </w:rPr>
        <w:t>than</w:t>
      </w:r>
      <w:r w:rsidR="00907D8C" w:rsidRPr="00844DDB">
        <w:rPr>
          <w:sz w:val="18"/>
          <w:szCs w:val="18"/>
        </w:rPr>
        <w:t xml:space="preserve"> </w:t>
      </w:r>
      <w:r w:rsidRPr="00844DDB">
        <w:rPr>
          <w:sz w:val="18"/>
          <w:szCs w:val="18"/>
        </w:rPr>
        <w:t>clerical</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other</w:t>
      </w:r>
      <w:r w:rsidR="00907D8C" w:rsidRPr="00844DDB">
        <w:rPr>
          <w:sz w:val="18"/>
          <w:szCs w:val="18"/>
        </w:rPr>
        <w:t xml:space="preserve"> </w:t>
      </w:r>
      <w:r w:rsidRPr="00844DDB">
        <w:rPr>
          <w:sz w:val="18"/>
          <w:szCs w:val="18"/>
        </w:rPr>
        <w:t>support</w:t>
      </w:r>
      <w:r w:rsidR="00907D8C" w:rsidRPr="00844DDB">
        <w:rPr>
          <w:sz w:val="18"/>
          <w:szCs w:val="18"/>
        </w:rPr>
        <w:t xml:space="preserve"> </w:t>
      </w:r>
      <w:r w:rsidRPr="00844DDB">
        <w:rPr>
          <w:sz w:val="18"/>
          <w:szCs w:val="18"/>
        </w:rPr>
        <w:t>staff</w:t>
      </w:r>
      <w:r w:rsidR="00907D8C" w:rsidRPr="00844DDB">
        <w:rPr>
          <w:sz w:val="18"/>
          <w:szCs w:val="18"/>
        </w:rPr>
        <w:t xml:space="preserve"> </w:t>
      </w:r>
      <w:r w:rsidRPr="00844DDB">
        <w:rPr>
          <w:sz w:val="18"/>
          <w:szCs w:val="18"/>
        </w:rPr>
        <w:t>employed</w:t>
      </w:r>
      <w:r w:rsidR="00907D8C" w:rsidRPr="00844DDB">
        <w:rPr>
          <w:sz w:val="18"/>
          <w:szCs w:val="18"/>
        </w:rPr>
        <w:t xml:space="preserve"> </w:t>
      </w:r>
      <w:r w:rsidRPr="00844DDB">
        <w:rPr>
          <w:sz w:val="18"/>
          <w:szCs w:val="18"/>
        </w:rPr>
        <w:t>by</w:t>
      </w:r>
      <w:r w:rsidR="00907D8C" w:rsidRPr="00844DDB">
        <w:rPr>
          <w:sz w:val="18"/>
          <w:szCs w:val="18"/>
        </w:rPr>
        <w:t xml:space="preserve"> </w:t>
      </w:r>
      <w:r w:rsidRPr="00844DDB">
        <w:rPr>
          <w:sz w:val="18"/>
          <w:szCs w:val="18"/>
        </w:rPr>
        <w:t>the</w:t>
      </w:r>
      <w:r w:rsidR="00907D8C" w:rsidRPr="00844DDB">
        <w:rPr>
          <w:sz w:val="18"/>
          <w:szCs w:val="18"/>
        </w:rPr>
        <w:t xml:space="preserve"> </w:t>
      </w:r>
      <w:r w:rsidRPr="00844DDB">
        <w:rPr>
          <w:sz w:val="18"/>
          <w:szCs w:val="18"/>
        </w:rPr>
        <w:t>New</w:t>
      </w:r>
      <w:r w:rsidR="00844DDB">
        <w:rPr>
          <w:sz w:val="18"/>
          <w:szCs w:val="18"/>
        </w:rPr>
        <w:t xml:space="preserve"> </w:t>
      </w:r>
      <w:r w:rsidRPr="00844DDB">
        <w:rPr>
          <w:sz w:val="18"/>
          <w:szCs w:val="18"/>
        </w:rPr>
        <w:t>Zealand</w:t>
      </w:r>
      <w:r w:rsidR="00907D8C" w:rsidRPr="00844DDB">
        <w:rPr>
          <w:sz w:val="18"/>
          <w:szCs w:val="18"/>
        </w:rPr>
        <w:t xml:space="preserve"> </w:t>
      </w:r>
      <w:r w:rsidRPr="00844DDB">
        <w:rPr>
          <w:sz w:val="18"/>
          <w:szCs w:val="18"/>
        </w:rPr>
        <w:t>Police.</w:t>
      </w:r>
    </w:p>
    <w:p w:rsidR="00036FAC" w:rsidRPr="00036FAC" w:rsidRDefault="00036FAC" w:rsidP="00844DDB">
      <w:pPr>
        <w:pStyle w:val="SingleTxtG"/>
      </w:pPr>
      <w:r w:rsidRPr="00036FAC">
        <w:t>133.</w:t>
      </w:r>
      <w:r w:rsidRPr="00036FAC">
        <w:tab/>
        <w:t>Of</w:t>
      </w:r>
      <w:r w:rsidR="00907D8C">
        <w:t xml:space="preserve"> </w:t>
      </w:r>
      <w:r w:rsidRPr="00036FAC">
        <w:t>the</w:t>
      </w:r>
      <w:r w:rsidR="00907D8C">
        <w:t xml:space="preserve"> </w:t>
      </w:r>
      <w:r w:rsidRPr="00036FAC">
        <w:t>recruits</w:t>
      </w:r>
      <w:r w:rsidR="00907D8C">
        <w:t xml:space="preserve"> </w:t>
      </w:r>
      <w:r w:rsidRPr="00036FAC">
        <w:t>who</w:t>
      </w:r>
      <w:r w:rsidR="00907D8C">
        <w:t xml:space="preserve"> </w:t>
      </w:r>
      <w:r w:rsidRPr="00036FAC">
        <w:t>graduated</w:t>
      </w:r>
      <w:r w:rsidR="00907D8C">
        <w:t xml:space="preserve"> </w:t>
      </w:r>
      <w:r w:rsidRPr="00036FAC">
        <w:t>from</w:t>
      </w:r>
      <w:r w:rsidR="00907D8C">
        <w:t xml:space="preserve"> </w:t>
      </w:r>
      <w:r w:rsidRPr="00036FAC">
        <w:t>the</w:t>
      </w:r>
      <w:r w:rsidR="00907D8C">
        <w:t xml:space="preserve"> </w:t>
      </w:r>
      <w:r w:rsidRPr="00036FAC">
        <w:t>Royal</w:t>
      </w:r>
      <w:r w:rsidR="00907D8C">
        <w:t xml:space="preserve"> </w:t>
      </w:r>
      <w:r w:rsidRPr="00036FAC">
        <w:t>New</w:t>
      </w:r>
      <w:r w:rsidR="00907D8C">
        <w:t xml:space="preserve"> </w:t>
      </w:r>
      <w:r w:rsidRPr="00036FAC">
        <w:t>Zealand</w:t>
      </w:r>
      <w:r w:rsidR="00907D8C">
        <w:t xml:space="preserve"> </w:t>
      </w:r>
      <w:r w:rsidRPr="00036FAC">
        <w:t>Police</w:t>
      </w:r>
      <w:r w:rsidR="00907D8C">
        <w:t xml:space="preserve"> </w:t>
      </w:r>
      <w:r w:rsidRPr="00036FAC">
        <w:t>College</w:t>
      </w:r>
      <w:r w:rsidR="00907D8C">
        <w:t xml:space="preserve"> </w:t>
      </w:r>
      <w:r w:rsidRPr="00036FAC">
        <w:t>in</w:t>
      </w:r>
      <w:r w:rsidR="00907D8C">
        <w:t xml:space="preserve"> </w:t>
      </w:r>
      <w:r w:rsidRPr="00036FAC">
        <w:t>2007/08,</w:t>
      </w:r>
      <w:r w:rsidR="00907D8C">
        <w:t xml:space="preserve"> </w:t>
      </w:r>
      <w:r w:rsidRPr="00036FAC">
        <w:t>22.9</w:t>
      </w:r>
      <w:r w:rsidR="00907D8C">
        <w:t xml:space="preserve"> </w:t>
      </w:r>
      <w:r w:rsidR="001B201B">
        <w:t>per</w:t>
      </w:r>
      <w:r w:rsidR="00907D8C">
        <w:t xml:space="preserve"> </w:t>
      </w:r>
      <w:r w:rsidR="001B201B">
        <w:t>cent</w:t>
      </w:r>
      <w:r w:rsidR="00907D8C">
        <w:t xml:space="preserve"> </w:t>
      </w:r>
      <w:r w:rsidRPr="00036FAC">
        <w:t>were</w:t>
      </w:r>
      <w:r w:rsidR="00907D8C">
        <w:t xml:space="preserve"> </w:t>
      </w:r>
      <w:r w:rsidRPr="00036FAC">
        <w:t>female,</w:t>
      </w:r>
      <w:r w:rsidR="00907D8C">
        <w:t xml:space="preserve"> </w:t>
      </w:r>
      <w:r w:rsidRPr="00036FAC">
        <w:t>in</w:t>
      </w:r>
      <w:r w:rsidR="00907D8C">
        <w:t xml:space="preserve"> </w:t>
      </w:r>
      <w:r w:rsidRPr="00036FAC">
        <w:t>2008/</w:t>
      </w:r>
      <w:r w:rsidR="00844DDB">
        <w:t>20</w:t>
      </w:r>
      <w:r w:rsidRPr="00036FAC">
        <w:t>09</w:t>
      </w:r>
      <w:r w:rsidR="00907D8C">
        <w:t xml:space="preserve"> </w:t>
      </w:r>
      <w:r w:rsidRPr="00036FAC">
        <w:t>this</w:t>
      </w:r>
      <w:r w:rsidR="00907D8C">
        <w:t xml:space="preserve"> </w:t>
      </w:r>
      <w:r w:rsidRPr="00036FAC">
        <w:t>rate</w:t>
      </w:r>
      <w:r w:rsidR="00907D8C">
        <w:t xml:space="preserve"> </w:t>
      </w:r>
      <w:r w:rsidRPr="00036FAC">
        <w:t>was</w:t>
      </w:r>
      <w:r w:rsidR="00907D8C">
        <w:t xml:space="preserve"> </w:t>
      </w:r>
      <w:r w:rsidRPr="00036FAC">
        <w:t>23.0</w:t>
      </w:r>
      <w:r w:rsidR="00907D8C">
        <w:t xml:space="preserve"> </w:t>
      </w:r>
      <w:r w:rsidR="001B201B">
        <w:t>per</w:t>
      </w:r>
      <w:r w:rsidR="00907D8C">
        <w:t xml:space="preserve"> </w:t>
      </w:r>
      <w:r w:rsidR="001B201B">
        <w:t>cent</w:t>
      </w:r>
      <w:r w:rsidR="00907D8C">
        <w:t xml:space="preserve"> </w:t>
      </w:r>
      <w:r w:rsidRPr="00036FAC">
        <w:t>and</w:t>
      </w:r>
      <w:r w:rsidR="00907D8C">
        <w:t xml:space="preserve"> </w:t>
      </w:r>
      <w:r w:rsidRPr="00036FAC">
        <w:t>22.1</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r w:rsidR="00844DDB">
        <w:t>20</w:t>
      </w:r>
      <w:r w:rsidRPr="00036FAC">
        <w:t>10.</w:t>
      </w:r>
      <w:r w:rsidR="00907D8C">
        <w:t xml:space="preserve"> </w:t>
      </w:r>
      <w:r w:rsidRPr="00036FAC">
        <w:t>The</w:t>
      </w:r>
      <w:r w:rsidR="00907D8C">
        <w:t xml:space="preserve"> </w:t>
      </w:r>
      <w:r w:rsidRPr="00036FAC">
        <w:t>ethnic</w:t>
      </w:r>
      <w:r w:rsidR="00907D8C">
        <w:t xml:space="preserve"> </w:t>
      </w:r>
      <w:r w:rsidRPr="00036FAC">
        <w:t>breakdown</w:t>
      </w:r>
      <w:r w:rsidR="00907D8C">
        <w:t xml:space="preserve"> </w:t>
      </w:r>
      <w:r w:rsidRPr="00036FAC">
        <w:t>of</w:t>
      </w:r>
      <w:r w:rsidR="00907D8C">
        <w:t xml:space="preserve"> </w:t>
      </w:r>
      <w:r w:rsidRPr="00036FAC">
        <w:t>these</w:t>
      </w:r>
      <w:r w:rsidR="00907D8C">
        <w:t xml:space="preserve"> </w:t>
      </w:r>
      <w:r w:rsidRPr="00036FAC">
        <w:t>recruits</w:t>
      </w:r>
      <w:r w:rsidR="00907D8C">
        <w:t xml:space="preserve"> </w:t>
      </w:r>
      <w:r w:rsidRPr="00036FAC">
        <w:t>is</w:t>
      </w:r>
      <w:r w:rsidR="00907D8C">
        <w:t xml:space="preserve"> </w:t>
      </w:r>
      <w:r w:rsidRPr="00036FAC">
        <w:t>shown</w:t>
      </w:r>
      <w:r w:rsidR="00907D8C">
        <w:t xml:space="preserve"> </w:t>
      </w:r>
      <w:r w:rsidRPr="00036FAC">
        <w:t>in</w:t>
      </w:r>
      <w:r w:rsidR="00907D8C">
        <w:t xml:space="preserve"> </w:t>
      </w:r>
      <w:r w:rsidRPr="00036FAC">
        <w:t>Table</w:t>
      </w:r>
      <w:r w:rsidR="00907D8C">
        <w:t xml:space="preserve"> </w:t>
      </w:r>
      <w:r w:rsidRPr="00036FAC">
        <w:t>44.</w:t>
      </w:r>
      <w:bookmarkStart w:id="75" w:name="_Toc275331945"/>
    </w:p>
    <w:p w:rsidR="00844DDB" w:rsidRDefault="00036FAC" w:rsidP="00844DDB">
      <w:pPr>
        <w:pStyle w:val="Heading1"/>
      </w:pPr>
      <w:r w:rsidRPr="00036FAC">
        <w:t>Table</w:t>
      </w:r>
      <w:r w:rsidR="00907D8C">
        <w:t xml:space="preserve"> </w:t>
      </w:r>
      <w:r w:rsidR="00844DDB">
        <w:t>44</w:t>
      </w:r>
    </w:p>
    <w:p w:rsidR="00036FAC" w:rsidRPr="00844DDB" w:rsidRDefault="00036FAC" w:rsidP="00844DDB">
      <w:pPr>
        <w:pStyle w:val="SingleTxtG"/>
        <w:rPr>
          <w:b/>
        </w:rPr>
      </w:pPr>
      <w:r w:rsidRPr="00844DDB">
        <w:rPr>
          <w:b/>
        </w:rPr>
        <w:t>Ethnicity</w:t>
      </w:r>
      <w:r w:rsidR="00907D8C" w:rsidRPr="00844DDB">
        <w:rPr>
          <w:b/>
        </w:rPr>
        <w:t xml:space="preserve"> </w:t>
      </w:r>
      <w:r w:rsidRPr="00844DDB">
        <w:rPr>
          <w:b/>
        </w:rPr>
        <w:t>of</w:t>
      </w:r>
      <w:r w:rsidR="00907D8C" w:rsidRPr="00844DDB">
        <w:rPr>
          <w:b/>
        </w:rPr>
        <w:t xml:space="preserve"> </w:t>
      </w:r>
      <w:r w:rsidRPr="00844DDB">
        <w:rPr>
          <w:b/>
        </w:rPr>
        <w:t>police</w:t>
      </w:r>
      <w:r w:rsidR="00907D8C" w:rsidRPr="00844DDB">
        <w:rPr>
          <w:b/>
        </w:rPr>
        <w:t xml:space="preserve"> </w:t>
      </w:r>
      <w:r w:rsidRPr="00844DDB">
        <w:rPr>
          <w:b/>
        </w:rPr>
        <w:t>recruits</w:t>
      </w:r>
      <w:bookmarkEnd w:id="75"/>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6"/>
        <w:gridCol w:w="1701"/>
        <w:gridCol w:w="1701"/>
        <w:gridCol w:w="1702"/>
      </w:tblGrid>
      <w:tr w:rsidR="00036FAC" w:rsidRPr="00844DDB" w:rsidTr="00844DDB">
        <w:trPr>
          <w:trHeight w:val="240"/>
          <w:tblHeader/>
        </w:trPr>
        <w:tc>
          <w:tcPr>
            <w:tcW w:w="2266" w:type="dxa"/>
            <w:tcBorders>
              <w:top w:val="single" w:sz="4" w:space="0" w:color="auto"/>
              <w:bottom w:val="single" w:sz="12" w:space="0" w:color="auto"/>
            </w:tcBorders>
            <w:shd w:val="clear" w:color="auto" w:fill="auto"/>
            <w:vAlign w:val="bottom"/>
          </w:tcPr>
          <w:p w:rsidR="00036FAC" w:rsidRPr="00844DDB" w:rsidRDefault="00036FAC" w:rsidP="00844DDB">
            <w:pPr>
              <w:suppressAutoHyphens w:val="0"/>
              <w:spacing w:before="80" w:after="80" w:line="200" w:lineRule="exact"/>
              <w:ind w:right="113"/>
              <w:rPr>
                <w:i/>
                <w:sz w:val="16"/>
              </w:rPr>
            </w:pPr>
          </w:p>
        </w:tc>
        <w:tc>
          <w:tcPr>
            <w:tcW w:w="1701" w:type="dxa"/>
            <w:tcBorders>
              <w:top w:val="single" w:sz="4" w:space="0" w:color="auto"/>
              <w:bottom w:val="single" w:sz="12" w:space="0" w:color="auto"/>
            </w:tcBorders>
            <w:shd w:val="clear" w:color="auto" w:fill="auto"/>
            <w:vAlign w:val="bottom"/>
          </w:tcPr>
          <w:p w:rsidR="00036FAC" w:rsidRPr="00844DDB" w:rsidRDefault="00C23F6E" w:rsidP="00844DDB">
            <w:pPr>
              <w:suppressAutoHyphens w:val="0"/>
              <w:spacing w:before="80" w:after="80" w:line="200" w:lineRule="exact"/>
              <w:ind w:right="113"/>
              <w:jc w:val="right"/>
              <w:rPr>
                <w:i/>
                <w:sz w:val="16"/>
              </w:rPr>
            </w:pPr>
            <w:r>
              <w:rPr>
                <w:i/>
                <w:sz w:val="16"/>
              </w:rPr>
              <w:t>2007–</w:t>
            </w:r>
            <w:r w:rsidR="00B81DF3">
              <w:rPr>
                <w:i/>
                <w:sz w:val="16"/>
              </w:rPr>
              <w:t>20</w:t>
            </w:r>
            <w:r w:rsidR="00036FAC" w:rsidRPr="00844DDB">
              <w:rPr>
                <w:i/>
                <w:sz w:val="16"/>
              </w:rPr>
              <w:t>08</w:t>
            </w:r>
            <w:r w:rsidR="00844DDB">
              <w:rPr>
                <w:i/>
                <w:sz w:val="16"/>
              </w:rPr>
              <w:t xml:space="preserve"> </w:t>
            </w:r>
            <w:r w:rsidR="00036FAC" w:rsidRPr="00844DDB">
              <w:rPr>
                <w:i/>
                <w:sz w:val="16"/>
              </w:rPr>
              <w:t>(%)</w:t>
            </w:r>
          </w:p>
        </w:tc>
        <w:tc>
          <w:tcPr>
            <w:tcW w:w="1701" w:type="dxa"/>
            <w:tcBorders>
              <w:top w:val="single" w:sz="4" w:space="0" w:color="auto"/>
              <w:bottom w:val="single" w:sz="12" w:space="0" w:color="auto"/>
            </w:tcBorders>
            <w:shd w:val="clear" w:color="auto" w:fill="auto"/>
            <w:vAlign w:val="bottom"/>
          </w:tcPr>
          <w:p w:rsidR="00036FAC" w:rsidRPr="00844DDB" w:rsidRDefault="00036FAC" w:rsidP="00844DDB">
            <w:pPr>
              <w:suppressAutoHyphens w:val="0"/>
              <w:spacing w:before="80" w:after="80" w:line="200" w:lineRule="exact"/>
              <w:ind w:right="113"/>
              <w:jc w:val="right"/>
              <w:rPr>
                <w:i/>
                <w:sz w:val="16"/>
              </w:rPr>
            </w:pPr>
            <w:r w:rsidRPr="00844DDB">
              <w:rPr>
                <w:i/>
                <w:sz w:val="16"/>
              </w:rPr>
              <w:t>2008</w:t>
            </w:r>
            <w:r w:rsidR="00C23F6E">
              <w:rPr>
                <w:i/>
                <w:sz w:val="16"/>
              </w:rPr>
              <w:t>–</w:t>
            </w:r>
            <w:r w:rsidR="00B81DF3">
              <w:rPr>
                <w:i/>
                <w:sz w:val="16"/>
              </w:rPr>
              <w:t>20</w:t>
            </w:r>
            <w:r w:rsidRPr="00844DDB">
              <w:rPr>
                <w:i/>
                <w:sz w:val="16"/>
              </w:rPr>
              <w:t>09</w:t>
            </w:r>
            <w:r w:rsidR="00844DDB">
              <w:rPr>
                <w:i/>
                <w:sz w:val="16"/>
              </w:rPr>
              <w:t xml:space="preserve"> </w:t>
            </w:r>
            <w:r w:rsidRPr="00844DDB">
              <w:rPr>
                <w:i/>
                <w:sz w:val="16"/>
              </w:rPr>
              <w:t>(%)</w:t>
            </w:r>
          </w:p>
        </w:tc>
        <w:tc>
          <w:tcPr>
            <w:tcW w:w="1702" w:type="dxa"/>
            <w:tcBorders>
              <w:top w:val="single" w:sz="4" w:space="0" w:color="auto"/>
              <w:bottom w:val="single" w:sz="12" w:space="0" w:color="auto"/>
            </w:tcBorders>
            <w:shd w:val="clear" w:color="auto" w:fill="auto"/>
            <w:vAlign w:val="bottom"/>
          </w:tcPr>
          <w:p w:rsidR="00036FAC" w:rsidRPr="00844DDB" w:rsidRDefault="00036FAC" w:rsidP="00844DDB">
            <w:pPr>
              <w:suppressAutoHyphens w:val="0"/>
              <w:spacing w:before="80" w:after="80" w:line="200" w:lineRule="exact"/>
              <w:ind w:right="113"/>
              <w:jc w:val="right"/>
              <w:rPr>
                <w:i/>
                <w:sz w:val="16"/>
              </w:rPr>
            </w:pPr>
            <w:r w:rsidRPr="00844DDB">
              <w:rPr>
                <w:i/>
                <w:sz w:val="16"/>
              </w:rPr>
              <w:t>2009</w:t>
            </w:r>
            <w:r w:rsidR="00C23F6E">
              <w:rPr>
                <w:i/>
                <w:sz w:val="16"/>
              </w:rPr>
              <w:t>–</w:t>
            </w:r>
            <w:r w:rsidR="00B81DF3">
              <w:rPr>
                <w:i/>
                <w:sz w:val="16"/>
              </w:rPr>
              <w:t>20</w:t>
            </w:r>
            <w:r w:rsidRPr="00844DDB">
              <w:rPr>
                <w:i/>
                <w:sz w:val="16"/>
              </w:rPr>
              <w:t>10</w:t>
            </w:r>
            <w:r w:rsidR="00B81DF3">
              <w:rPr>
                <w:i/>
                <w:sz w:val="16"/>
              </w:rPr>
              <w:t xml:space="preserve"> </w:t>
            </w:r>
            <w:r w:rsidRPr="00844DDB">
              <w:rPr>
                <w:i/>
                <w:sz w:val="16"/>
              </w:rPr>
              <w:t>(%)</w:t>
            </w:r>
          </w:p>
        </w:tc>
      </w:tr>
      <w:tr w:rsidR="00036FAC" w:rsidRPr="00844DDB" w:rsidTr="00844DDB">
        <w:trPr>
          <w:trHeight w:val="240"/>
        </w:trPr>
        <w:tc>
          <w:tcPr>
            <w:tcW w:w="2266" w:type="dxa"/>
            <w:tcBorders>
              <w:top w:val="single" w:sz="12" w:space="0" w:color="auto"/>
            </w:tcBorders>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New</w:t>
            </w:r>
            <w:r w:rsidR="00907D8C" w:rsidRPr="00844DDB">
              <w:rPr>
                <w:sz w:val="18"/>
              </w:rPr>
              <w:t xml:space="preserve"> </w:t>
            </w:r>
            <w:r w:rsidRPr="00844DDB">
              <w:rPr>
                <w:sz w:val="18"/>
              </w:rPr>
              <w:t>Zealand</w:t>
            </w:r>
            <w:r w:rsidR="00907D8C" w:rsidRPr="00844DDB">
              <w:rPr>
                <w:sz w:val="18"/>
              </w:rPr>
              <w:t xml:space="preserve"> </w:t>
            </w:r>
            <w:r w:rsidRPr="00844DDB">
              <w:rPr>
                <w:sz w:val="18"/>
              </w:rPr>
              <w:t>European</w:t>
            </w:r>
          </w:p>
        </w:tc>
        <w:tc>
          <w:tcPr>
            <w:tcW w:w="170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55.4</w:t>
            </w:r>
          </w:p>
        </w:tc>
        <w:tc>
          <w:tcPr>
            <w:tcW w:w="1701"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47.6</w:t>
            </w:r>
          </w:p>
        </w:tc>
        <w:tc>
          <w:tcPr>
            <w:tcW w:w="1702" w:type="dxa"/>
            <w:tcBorders>
              <w:top w:val="single" w:sz="12" w:space="0" w:color="auto"/>
            </w:tcBorders>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57.1</w:t>
            </w:r>
          </w:p>
        </w:tc>
      </w:tr>
      <w:tr w:rsidR="00036FAC" w:rsidRPr="00844DDB" w:rsidTr="00844DDB">
        <w:trPr>
          <w:trHeight w:val="240"/>
        </w:trPr>
        <w:tc>
          <w:tcPr>
            <w:tcW w:w="2266" w:type="dxa"/>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Māori</w:t>
            </w:r>
            <w:r w:rsidR="00907D8C" w:rsidRPr="00844DDB">
              <w:rPr>
                <w:sz w:val="18"/>
              </w:rPr>
              <w:t xml:space="preserve"> </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10.2</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10.3</w:t>
            </w:r>
          </w:p>
        </w:tc>
        <w:tc>
          <w:tcPr>
            <w:tcW w:w="1702"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12.1</w:t>
            </w:r>
          </w:p>
        </w:tc>
      </w:tr>
      <w:tr w:rsidR="00036FAC" w:rsidRPr="00844DDB" w:rsidTr="00844DDB">
        <w:trPr>
          <w:trHeight w:val="240"/>
        </w:trPr>
        <w:tc>
          <w:tcPr>
            <w:tcW w:w="2266" w:type="dxa"/>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Pacific</w:t>
            </w:r>
            <w:r w:rsidR="00907D8C" w:rsidRPr="00844DDB">
              <w:rPr>
                <w:sz w:val="18"/>
              </w:rPr>
              <w:t xml:space="preserve"> </w:t>
            </w:r>
            <w:r w:rsidRPr="00844DDB">
              <w:rPr>
                <w:sz w:val="18"/>
              </w:rPr>
              <w:t>peoples</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4.1</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5.8</w:t>
            </w:r>
          </w:p>
        </w:tc>
        <w:tc>
          <w:tcPr>
            <w:tcW w:w="1702"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8.6</w:t>
            </w:r>
          </w:p>
        </w:tc>
      </w:tr>
      <w:tr w:rsidR="00036FAC" w:rsidRPr="00844DDB" w:rsidTr="00844DDB">
        <w:trPr>
          <w:trHeight w:val="240"/>
        </w:trPr>
        <w:tc>
          <w:tcPr>
            <w:tcW w:w="2266" w:type="dxa"/>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Asian</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2.9</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5.2</w:t>
            </w:r>
          </w:p>
        </w:tc>
        <w:tc>
          <w:tcPr>
            <w:tcW w:w="1702"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7.6</w:t>
            </w:r>
          </w:p>
        </w:tc>
      </w:tr>
      <w:tr w:rsidR="00036FAC" w:rsidRPr="00844DDB" w:rsidTr="00844DDB">
        <w:trPr>
          <w:trHeight w:val="240"/>
        </w:trPr>
        <w:tc>
          <w:tcPr>
            <w:tcW w:w="2266" w:type="dxa"/>
            <w:shd w:val="clear" w:color="auto" w:fill="auto"/>
          </w:tcPr>
          <w:p w:rsidR="00036FAC" w:rsidRPr="00844DDB" w:rsidRDefault="00036FAC" w:rsidP="00844DDB">
            <w:pPr>
              <w:suppressAutoHyphens w:val="0"/>
              <w:spacing w:before="40" w:after="40" w:line="220" w:lineRule="exact"/>
              <w:ind w:right="113"/>
              <w:rPr>
                <w:sz w:val="18"/>
              </w:rPr>
            </w:pPr>
            <w:r w:rsidRPr="00844DDB">
              <w:rPr>
                <w:sz w:val="18"/>
              </w:rPr>
              <w:t>Other</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0.5</w:t>
            </w:r>
          </w:p>
        </w:tc>
        <w:tc>
          <w:tcPr>
            <w:tcW w:w="1701"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0.3</w:t>
            </w:r>
          </w:p>
        </w:tc>
        <w:tc>
          <w:tcPr>
            <w:tcW w:w="1702" w:type="dxa"/>
            <w:shd w:val="clear" w:color="auto" w:fill="auto"/>
            <w:vAlign w:val="bottom"/>
          </w:tcPr>
          <w:p w:rsidR="00036FAC" w:rsidRPr="00844DDB" w:rsidRDefault="00036FAC" w:rsidP="00844DDB">
            <w:pPr>
              <w:suppressAutoHyphens w:val="0"/>
              <w:spacing w:before="40" w:after="40" w:line="220" w:lineRule="exact"/>
              <w:ind w:right="113"/>
              <w:jc w:val="right"/>
              <w:rPr>
                <w:sz w:val="18"/>
              </w:rPr>
            </w:pPr>
            <w:r w:rsidRPr="00844DDB">
              <w:rPr>
                <w:sz w:val="18"/>
              </w:rPr>
              <w:t>0.5</w:t>
            </w:r>
          </w:p>
        </w:tc>
      </w:tr>
    </w:tbl>
    <w:p w:rsidR="00844DDB" w:rsidRPr="00844DDB" w:rsidRDefault="00844DDB" w:rsidP="00B50FB5">
      <w:pPr>
        <w:spacing w:before="120" w:after="240"/>
        <w:ind w:left="1134" w:right="1134" w:firstLine="170"/>
        <w:rPr>
          <w:sz w:val="18"/>
          <w:szCs w:val="18"/>
        </w:rPr>
      </w:pPr>
      <w:r w:rsidRPr="00844DDB">
        <w:rPr>
          <w:i/>
          <w:sz w:val="18"/>
          <w:szCs w:val="18"/>
        </w:rPr>
        <w:t>Source</w:t>
      </w:r>
      <w:r w:rsidRPr="00844DDB">
        <w:rPr>
          <w:sz w:val="18"/>
          <w:szCs w:val="18"/>
        </w:rPr>
        <w:t>:  New Zealand Police.</w:t>
      </w:r>
    </w:p>
    <w:p w:rsidR="00844DDB" w:rsidRDefault="00036FAC" w:rsidP="00844DDB">
      <w:pPr>
        <w:pStyle w:val="Heading1"/>
      </w:pPr>
      <w:bookmarkStart w:id="76" w:name="_Toc275331946"/>
      <w:r w:rsidRPr="00036FAC">
        <w:t>Table</w:t>
      </w:r>
      <w:r w:rsidR="00907D8C">
        <w:t xml:space="preserve"> </w:t>
      </w:r>
      <w:r w:rsidR="00844DDB">
        <w:t>45</w:t>
      </w:r>
    </w:p>
    <w:p w:rsidR="00036FAC" w:rsidRDefault="00036FAC" w:rsidP="00844DDB">
      <w:pPr>
        <w:pStyle w:val="SingleTxtG"/>
        <w:rPr>
          <w:b/>
        </w:rPr>
      </w:pPr>
      <w:r w:rsidRPr="00844DDB">
        <w:rPr>
          <w:b/>
        </w:rPr>
        <w:t>Number</w:t>
      </w:r>
      <w:r w:rsidR="00907D8C" w:rsidRPr="00844DDB">
        <w:rPr>
          <w:b/>
        </w:rPr>
        <w:t xml:space="preserve"> </w:t>
      </w:r>
      <w:r w:rsidRPr="00844DDB">
        <w:rPr>
          <w:b/>
        </w:rPr>
        <w:t>of</w:t>
      </w:r>
      <w:r w:rsidR="00907D8C" w:rsidRPr="00844DDB">
        <w:rPr>
          <w:b/>
        </w:rPr>
        <w:t xml:space="preserve"> </w:t>
      </w:r>
      <w:r w:rsidRPr="00844DDB">
        <w:rPr>
          <w:b/>
        </w:rPr>
        <w:t>judges,</w:t>
      </w:r>
      <w:r w:rsidR="00907D8C" w:rsidRPr="00844DDB">
        <w:rPr>
          <w:b/>
        </w:rPr>
        <w:t xml:space="preserve"> </w:t>
      </w:r>
      <w:r w:rsidRPr="00844DDB">
        <w:rPr>
          <w:b/>
        </w:rPr>
        <w:t>magistrates</w:t>
      </w:r>
      <w:r w:rsidR="00907D8C" w:rsidRPr="00844DDB">
        <w:rPr>
          <w:b/>
        </w:rPr>
        <w:t xml:space="preserve"> </w:t>
      </w:r>
      <w:r w:rsidRPr="00844DDB">
        <w:rPr>
          <w:b/>
        </w:rPr>
        <w:t>and</w:t>
      </w:r>
      <w:r w:rsidR="00907D8C" w:rsidRPr="00844DDB">
        <w:rPr>
          <w:b/>
        </w:rPr>
        <w:t xml:space="preserve"> </w:t>
      </w:r>
      <w:r w:rsidRPr="00844DDB">
        <w:rPr>
          <w:b/>
        </w:rPr>
        <w:t>prosecutors</w:t>
      </w:r>
      <w:r w:rsidR="00907D8C" w:rsidRPr="00844DDB">
        <w:rPr>
          <w:b/>
        </w:rPr>
        <w:t xml:space="preserve"> </w:t>
      </w:r>
      <w:r w:rsidRPr="00844DDB">
        <w:rPr>
          <w:b/>
        </w:rPr>
        <w:t>per</w:t>
      </w:r>
      <w:r w:rsidR="00907D8C" w:rsidRPr="00844DDB">
        <w:rPr>
          <w:b/>
        </w:rPr>
        <w:t xml:space="preserve"> </w:t>
      </w:r>
      <w:r w:rsidRPr="00844DDB">
        <w:rPr>
          <w:b/>
        </w:rPr>
        <w:t>100,000</w:t>
      </w:r>
      <w:r w:rsidR="00907D8C" w:rsidRPr="00844DDB">
        <w:rPr>
          <w:b/>
        </w:rPr>
        <w:t xml:space="preserve"> </w:t>
      </w:r>
      <w:r w:rsidRPr="00844DDB">
        <w:rPr>
          <w:b/>
        </w:rPr>
        <w:t>persons</w:t>
      </w:r>
      <w:bookmarkEnd w:id="76"/>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6"/>
        <w:gridCol w:w="750"/>
        <w:gridCol w:w="751"/>
        <w:gridCol w:w="750"/>
        <w:gridCol w:w="751"/>
        <w:gridCol w:w="750"/>
        <w:gridCol w:w="751"/>
        <w:gridCol w:w="750"/>
        <w:gridCol w:w="751"/>
      </w:tblGrid>
      <w:tr w:rsidR="00282ADB" w:rsidRPr="00844DDB" w:rsidTr="002B597A">
        <w:trPr>
          <w:trHeight w:val="240"/>
          <w:tblHeader/>
        </w:trPr>
        <w:tc>
          <w:tcPr>
            <w:tcW w:w="1366" w:type="dxa"/>
            <w:vMerge w:val="restart"/>
            <w:tcBorders>
              <w:top w:val="single" w:sz="4" w:space="0" w:color="auto"/>
            </w:tcBorders>
            <w:shd w:val="clear" w:color="auto" w:fill="auto"/>
            <w:vAlign w:val="bottom"/>
          </w:tcPr>
          <w:p w:rsidR="00282ADB" w:rsidRPr="00844DDB" w:rsidRDefault="00282ADB" w:rsidP="002B597A">
            <w:pPr>
              <w:suppressAutoHyphens w:val="0"/>
              <w:spacing w:before="80" w:after="80" w:line="200" w:lineRule="exact"/>
              <w:ind w:right="113"/>
              <w:rPr>
                <w:i/>
                <w:sz w:val="16"/>
              </w:rPr>
            </w:pPr>
          </w:p>
        </w:tc>
        <w:tc>
          <w:tcPr>
            <w:tcW w:w="1501" w:type="dxa"/>
            <w:gridSpan w:val="2"/>
            <w:tcBorders>
              <w:top w:val="single" w:sz="4" w:space="0" w:color="auto"/>
              <w:bottom w:val="single" w:sz="4"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center"/>
              <w:rPr>
                <w:i/>
                <w:sz w:val="16"/>
              </w:rPr>
            </w:pPr>
            <w:r>
              <w:rPr>
                <w:i/>
                <w:sz w:val="16"/>
              </w:rPr>
              <w:t>2005</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center"/>
              <w:rPr>
                <w:i/>
                <w:sz w:val="16"/>
              </w:rPr>
            </w:pPr>
            <w:r>
              <w:rPr>
                <w:i/>
                <w:sz w:val="16"/>
              </w:rPr>
              <w:t>2006</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center"/>
              <w:rPr>
                <w:i/>
                <w:sz w:val="16"/>
              </w:rPr>
            </w:pPr>
            <w:r>
              <w:rPr>
                <w:i/>
                <w:sz w:val="16"/>
              </w:rPr>
              <w:t>2007</w:t>
            </w:r>
          </w:p>
        </w:tc>
        <w:tc>
          <w:tcPr>
            <w:tcW w:w="1501" w:type="dxa"/>
            <w:gridSpan w:val="2"/>
            <w:tcBorders>
              <w:top w:val="single" w:sz="4" w:space="0" w:color="auto"/>
              <w:left w:val="single" w:sz="24" w:space="0" w:color="FFFFFF"/>
              <w:bottom w:val="single" w:sz="4" w:space="0" w:color="auto"/>
            </w:tcBorders>
            <w:shd w:val="clear" w:color="auto" w:fill="auto"/>
            <w:vAlign w:val="bottom"/>
          </w:tcPr>
          <w:p w:rsidR="00282ADB" w:rsidRPr="00844DDB" w:rsidRDefault="00282ADB" w:rsidP="002B597A">
            <w:pPr>
              <w:suppressAutoHyphens w:val="0"/>
              <w:spacing w:before="80" w:after="80" w:line="200" w:lineRule="exact"/>
              <w:ind w:right="113"/>
              <w:jc w:val="center"/>
              <w:rPr>
                <w:i/>
                <w:sz w:val="16"/>
              </w:rPr>
            </w:pPr>
            <w:r>
              <w:rPr>
                <w:i/>
                <w:sz w:val="16"/>
              </w:rPr>
              <w:t>2008</w:t>
            </w:r>
          </w:p>
        </w:tc>
      </w:tr>
      <w:tr w:rsidR="00282ADB" w:rsidRPr="00844DDB" w:rsidTr="002B597A">
        <w:trPr>
          <w:trHeight w:val="240"/>
          <w:tblHeader/>
        </w:trPr>
        <w:tc>
          <w:tcPr>
            <w:tcW w:w="1366" w:type="dxa"/>
            <w:vMerge/>
            <w:tcBorders>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rPr>
                <w:i/>
                <w:sz w:val="16"/>
              </w:rPr>
            </w:pPr>
          </w:p>
        </w:tc>
        <w:tc>
          <w:tcPr>
            <w:tcW w:w="750" w:type="dxa"/>
            <w:tcBorders>
              <w:top w:val="single" w:sz="4" w:space="0" w:color="auto"/>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right w:val="single" w:sz="24" w:space="0" w:color="FFFFFF"/>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rate</w:t>
            </w:r>
          </w:p>
        </w:tc>
        <w:tc>
          <w:tcPr>
            <w:tcW w:w="750" w:type="dxa"/>
            <w:tcBorders>
              <w:top w:val="single" w:sz="4" w:space="0" w:color="auto"/>
              <w:left w:val="single" w:sz="24" w:space="0" w:color="FFFFFF"/>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number</w:t>
            </w:r>
          </w:p>
        </w:tc>
        <w:tc>
          <w:tcPr>
            <w:tcW w:w="751" w:type="dxa"/>
            <w:tcBorders>
              <w:top w:val="single" w:sz="4" w:space="0" w:color="auto"/>
              <w:bottom w:val="single" w:sz="12" w:space="0" w:color="auto"/>
            </w:tcBorders>
            <w:shd w:val="clear" w:color="auto" w:fill="auto"/>
            <w:vAlign w:val="bottom"/>
          </w:tcPr>
          <w:p w:rsidR="00282ADB" w:rsidRPr="00844DDB" w:rsidRDefault="00282ADB" w:rsidP="002B597A">
            <w:pPr>
              <w:suppressAutoHyphens w:val="0"/>
              <w:spacing w:before="80" w:after="80" w:line="200" w:lineRule="exact"/>
              <w:ind w:right="113"/>
              <w:jc w:val="right"/>
              <w:rPr>
                <w:i/>
                <w:sz w:val="16"/>
              </w:rPr>
            </w:pPr>
            <w:r w:rsidRPr="00844DDB">
              <w:rPr>
                <w:i/>
                <w:sz w:val="16"/>
              </w:rPr>
              <w:t>rate</w:t>
            </w:r>
          </w:p>
        </w:tc>
      </w:tr>
      <w:tr w:rsidR="00282ADB" w:rsidRPr="00844DDB" w:rsidTr="002B597A">
        <w:trPr>
          <w:trHeight w:val="240"/>
        </w:trPr>
        <w:tc>
          <w:tcPr>
            <w:tcW w:w="1366" w:type="dxa"/>
            <w:tcBorders>
              <w:top w:val="single" w:sz="12" w:space="0" w:color="auto"/>
            </w:tcBorders>
            <w:shd w:val="clear" w:color="auto" w:fill="auto"/>
          </w:tcPr>
          <w:p w:rsidR="00282ADB" w:rsidRPr="00B81DF3" w:rsidRDefault="00282ADB" w:rsidP="002B597A">
            <w:pPr>
              <w:suppressAutoHyphens w:val="0"/>
              <w:spacing w:before="40" w:after="40" w:line="220" w:lineRule="exact"/>
              <w:ind w:right="113"/>
              <w:rPr>
                <w:sz w:val="18"/>
              </w:rPr>
            </w:pPr>
            <w:r w:rsidRPr="00B81DF3">
              <w:rPr>
                <w:sz w:val="18"/>
              </w:rPr>
              <w:t>Judges or magistrates</w:t>
            </w:r>
            <w:r w:rsidRPr="00B81DF3">
              <w:t>*</w:t>
            </w:r>
          </w:p>
        </w:tc>
        <w:tc>
          <w:tcPr>
            <w:tcW w:w="750"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192</w:t>
            </w:r>
          </w:p>
        </w:tc>
        <w:tc>
          <w:tcPr>
            <w:tcW w:w="751"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4.61</w:t>
            </w:r>
          </w:p>
        </w:tc>
        <w:tc>
          <w:tcPr>
            <w:tcW w:w="750"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195</w:t>
            </w:r>
          </w:p>
        </w:tc>
        <w:tc>
          <w:tcPr>
            <w:tcW w:w="751"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4.63</w:t>
            </w:r>
          </w:p>
        </w:tc>
        <w:tc>
          <w:tcPr>
            <w:tcW w:w="750"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209</w:t>
            </w:r>
          </w:p>
        </w:tc>
        <w:tc>
          <w:tcPr>
            <w:tcW w:w="751"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4.91</w:t>
            </w:r>
          </w:p>
        </w:tc>
        <w:tc>
          <w:tcPr>
            <w:tcW w:w="750"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210</w:t>
            </w:r>
          </w:p>
        </w:tc>
        <w:tc>
          <w:tcPr>
            <w:tcW w:w="751" w:type="dxa"/>
            <w:tcBorders>
              <w:top w:val="single" w:sz="12" w:space="0" w:color="auto"/>
            </w:tcBorders>
            <w:shd w:val="clear" w:color="auto" w:fill="auto"/>
            <w:vAlign w:val="bottom"/>
          </w:tcPr>
          <w:p w:rsidR="00282ADB" w:rsidRPr="00B81DF3" w:rsidRDefault="00282ADB" w:rsidP="002B597A">
            <w:pPr>
              <w:suppressAutoHyphens w:val="0"/>
              <w:spacing w:before="40" w:after="40" w:line="220" w:lineRule="exact"/>
              <w:ind w:right="113"/>
              <w:jc w:val="right"/>
              <w:rPr>
                <w:sz w:val="18"/>
              </w:rPr>
            </w:pPr>
            <w:r w:rsidRPr="00B81DF3">
              <w:rPr>
                <w:sz w:val="18"/>
              </w:rPr>
              <w:t>4.89</w:t>
            </w:r>
          </w:p>
        </w:tc>
      </w:tr>
    </w:tbl>
    <w:p w:rsidR="00036FAC" w:rsidRPr="00844DDB" w:rsidRDefault="00036FAC" w:rsidP="00B50FB5">
      <w:pPr>
        <w:spacing w:before="120"/>
        <w:ind w:left="1134" w:right="1134" w:firstLine="170"/>
        <w:rPr>
          <w:sz w:val="18"/>
          <w:szCs w:val="18"/>
        </w:rPr>
      </w:pPr>
      <w:r w:rsidRPr="00B81DF3">
        <w:rPr>
          <w:i/>
          <w:sz w:val="18"/>
          <w:szCs w:val="18"/>
        </w:rPr>
        <w:t>Source</w:t>
      </w:r>
      <w:r w:rsidRPr="00844DDB">
        <w:rPr>
          <w:sz w:val="18"/>
          <w:szCs w:val="18"/>
        </w:rPr>
        <w:t>:</w:t>
      </w:r>
      <w:r w:rsidR="00907D8C" w:rsidRPr="00844DDB">
        <w:rPr>
          <w:sz w:val="18"/>
          <w:szCs w:val="18"/>
        </w:rPr>
        <w:t xml:space="preserve"> </w:t>
      </w:r>
      <w:r w:rsidR="00844DDB" w:rsidRPr="00844DDB">
        <w:rPr>
          <w:sz w:val="18"/>
          <w:szCs w:val="18"/>
        </w:rPr>
        <w:t xml:space="preserve"> </w:t>
      </w:r>
      <w:r w:rsidRPr="00844DDB">
        <w:rPr>
          <w:sz w:val="18"/>
          <w:szCs w:val="18"/>
        </w:rPr>
        <w:t>Ministry</w:t>
      </w:r>
      <w:r w:rsidR="00907D8C" w:rsidRPr="00844DDB">
        <w:rPr>
          <w:sz w:val="18"/>
          <w:szCs w:val="18"/>
        </w:rPr>
        <w:t xml:space="preserve"> </w:t>
      </w:r>
      <w:r w:rsidRPr="00844DDB">
        <w:rPr>
          <w:sz w:val="18"/>
          <w:szCs w:val="18"/>
        </w:rPr>
        <w:t>of</w:t>
      </w:r>
      <w:r w:rsidR="00907D8C" w:rsidRPr="00844DDB">
        <w:rPr>
          <w:sz w:val="18"/>
          <w:szCs w:val="18"/>
        </w:rPr>
        <w:t xml:space="preserve"> </w:t>
      </w:r>
      <w:r w:rsidRPr="00844DDB">
        <w:rPr>
          <w:sz w:val="18"/>
          <w:szCs w:val="18"/>
        </w:rPr>
        <w:t>Justice</w:t>
      </w:r>
      <w:r w:rsidR="00844DDB" w:rsidRPr="00844DDB">
        <w:rPr>
          <w:sz w:val="18"/>
          <w:szCs w:val="18"/>
        </w:rPr>
        <w:t>.</w:t>
      </w:r>
    </w:p>
    <w:p w:rsidR="00036FAC" w:rsidRPr="00844DDB" w:rsidRDefault="00036FAC" w:rsidP="00C23F6E">
      <w:pPr>
        <w:spacing w:after="240"/>
        <w:ind w:left="1134" w:right="1134" w:firstLine="170"/>
        <w:rPr>
          <w:sz w:val="18"/>
          <w:szCs w:val="18"/>
        </w:rPr>
      </w:pPr>
      <w:r w:rsidRPr="00844DDB">
        <w:t>*</w:t>
      </w:r>
      <w:r w:rsidR="00844DDB" w:rsidRPr="00844DDB">
        <w:rPr>
          <w:sz w:val="18"/>
          <w:szCs w:val="18"/>
        </w:rPr>
        <w:t xml:space="preserve"> </w:t>
      </w:r>
      <w:r w:rsidR="00C23F6E">
        <w:rPr>
          <w:sz w:val="18"/>
          <w:szCs w:val="18"/>
        </w:rPr>
        <w:t xml:space="preserve"> </w:t>
      </w:r>
      <w:r w:rsidRPr="00844DDB">
        <w:rPr>
          <w:sz w:val="18"/>
          <w:szCs w:val="18"/>
        </w:rPr>
        <w:t>Judges</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magistrates</w:t>
      </w:r>
      <w:r w:rsidR="00907D8C" w:rsidRPr="00844DDB">
        <w:rPr>
          <w:sz w:val="18"/>
          <w:szCs w:val="18"/>
        </w:rPr>
        <w:t xml:space="preserve"> </w:t>
      </w:r>
      <w:r w:rsidRPr="00844DDB">
        <w:rPr>
          <w:sz w:val="18"/>
          <w:szCs w:val="18"/>
        </w:rPr>
        <w:t>above</w:t>
      </w:r>
      <w:r w:rsidR="00907D8C" w:rsidRPr="00844DDB">
        <w:rPr>
          <w:sz w:val="18"/>
          <w:szCs w:val="18"/>
        </w:rPr>
        <w:t xml:space="preserve"> </w:t>
      </w:r>
      <w:r w:rsidRPr="00844DDB">
        <w:rPr>
          <w:sz w:val="18"/>
          <w:szCs w:val="18"/>
        </w:rPr>
        <w:t>refers</w:t>
      </w:r>
      <w:r w:rsidR="00907D8C" w:rsidRPr="00844DDB">
        <w:rPr>
          <w:sz w:val="18"/>
          <w:szCs w:val="18"/>
        </w:rPr>
        <w:t xml:space="preserve"> </w:t>
      </w:r>
      <w:r w:rsidRPr="00844DDB">
        <w:rPr>
          <w:sz w:val="18"/>
          <w:szCs w:val="18"/>
        </w:rPr>
        <w:t>to</w:t>
      </w:r>
      <w:r w:rsidR="00907D8C" w:rsidRPr="00844DDB">
        <w:rPr>
          <w:sz w:val="18"/>
          <w:szCs w:val="18"/>
        </w:rPr>
        <w:t xml:space="preserve"> </w:t>
      </w:r>
      <w:r w:rsidRPr="00844DDB">
        <w:rPr>
          <w:sz w:val="18"/>
          <w:szCs w:val="18"/>
        </w:rPr>
        <w:t>both</w:t>
      </w:r>
      <w:r w:rsidR="00907D8C" w:rsidRPr="00844DDB">
        <w:rPr>
          <w:sz w:val="18"/>
          <w:szCs w:val="18"/>
        </w:rPr>
        <w:t xml:space="preserve"> </w:t>
      </w:r>
      <w:r w:rsidRPr="00844DDB">
        <w:rPr>
          <w:sz w:val="18"/>
          <w:szCs w:val="18"/>
        </w:rPr>
        <w:t>full-time</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part-time</w:t>
      </w:r>
      <w:r w:rsidR="00907D8C" w:rsidRPr="00844DDB">
        <w:rPr>
          <w:sz w:val="18"/>
          <w:szCs w:val="18"/>
        </w:rPr>
        <w:t xml:space="preserve"> </w:t>
      </w:r>
      <w:r w:rsidRPr="00844DDB">
        <w:rPr>
          <w:sz w:val="18"/>
          <w:szCs w:val="18"/>
        </w:rPr>
        <w:t>officials</w:t>
      </w:r>
      <w:r w:rsidR="00907D8C" w:rsidRPr="00844DDB">
        <w:rPr>
          <w:sz w:val="18"/>
          <w:szCs w:val="18"/>
        </w:rPr>
        <w:t xml:space="preserve"> </w:t>
      </w:r>
      <w:r w:rsidRPr="00844DDB">
        <w:rPr>
          <w:sz w:val="18"/>
          <w:szCs w:val="18"/>
        </w:rPr>
        <w:t>authorised</w:t>
      </w:r>
      <w:r w:rsidR="00907D8C" w:rsidRPr="00844DDB">
        <w:rPr>
          <w:sz w:val="18"/>
          <w:szCs w:val="18"/>
        </w:rPr>
        <w:t xml:space="preserve"> </w:t>
      </w:r>
      <w:r w:rsidRPr="00844DDB">
        <w:rPr>
          <w:sz w:val="18"/>
          <w:szCs w:val="18"/>
        </w:rPr>
        <w:t>to</w:t>
      </w:r>
      <w:r w:rsidR="00907D8C" w:rsidRPr="00844DDB">
        <w:rPr>
          <w:sz w:val="18"/>
          <w:szCs w:val="18"/>
        </w:rPr>
        <w:t xml:space="preserve"> </w:t>
      </w:r>
      <w:r w:rsidRPr="00844DDB">
        <w:rPr>
          <w:sz w:val="18"/>
          <w:szCs w:val="18"/>
        </w:rPr>
        <w:t>hear</w:t>
      </w:r>
      <w:r w:rsidR="00907D8C" w:rsidRPr="00844DDB">
        <w:rPr>
          <w:sz w:val="18"/>
          <w:szCs w:val="18"/>
        </w:rPr>
        <w:t xml:space="preserve"> </w:t>
      </w:r>
      <w:r w:rsidRPr="00844DDB">
        <w:rPr>
          <w:sz w:val="18"/>
          <w:szCs w:val="18"/>
        </w:rPr>
        <w:t>civil,</w:t>
      </w:r>
      <w:r w:rsidR="00907D8C" w:rsidRPr="00844DDB">
        <w:rPr>
          <w:sz w:val="18"/>
          <w:szCs w:val="18"/>
        </w:rPr>
        <w:t xml:space="preserve"> </w:t>
      </w:r>
      <w:r w:rsidRPr="00844DDB">
        <w:rPr>
          <w:sz w:val="18"/>
          <w:szCs w:val="18"/>
        </w:rPr>
        <w:t>criminal,</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other</w:t>
      </w:r>
      <w:r w:rsidR="00907D8C" w:rsidRPr="00844DDB">
        <w:rPr>
          <w:sz w:val="18"/>
          <w:szCs w:val="18"/>
        </w:rPr>
        <w:t xml:space="preserve"> </w:t>
      </w:r>
      <w:r w:rsidRPr="00844DDB">
        <w:rPr>
          <w:sz w:val="18"/>
          <w:szCs w:val="18"/>
        </w:rPr>
        <w:t>cases</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to</w:t>
      </w:r>
      <w:r w:rsidR="00907D8C" w:rsidRPr="00844DDB">
        <w:rPr>
          <w:sz w:val="18"/>
          <w:szCs w:val="18"/>
        </w:rPr>
        <w:t xml:space="preserve"> </w:t>
      </w:r>
      <w:r w:rsidRPr="00844DDB">
        <w:rPr>
          <w:sz w:val="18"/>
          <w:szCs w:val="18"/>
        </w:rPr>
        <w:t>make</w:t>
      </w:r>
      <w:r w:rsidR="00907D8C" w:rsidRPr="00844DDB">
        <w:rPr>
          <w:sz w:val="18"/>
          <w:szCs w:val="18"/>
        </w:rPr>
        <w:t xml:space="preserve"> </w:t>
      </w:r>
      <w:r w:rsidRPr="00844DDB">
        <w:rPr>
          <w:sz w:val="18"/>
          <w:szCs w:val="18"/>
        </w:rPr>
        <w:t>dispositions</w:t>
      </w:r>
      <w:r w:rsidR="00907D8C" w:rsidRPr="00844DDB">
        <w:rPr>
          <w:sz w:val="18"/>
          <w:szCs w:val="18"/>
        </w:rPr>
        <w:t xml:space="preserve"> </w:t>
      </w:r>
      <w:r w:rsidRPr="00844DDB">
        <w:rPr>
          <w:sz w:val="18"/>
          <w:szCs w:val="18"/>
        </w:rPr>
        <w:t>in</w:t>
      </w:r>
      <w:r w:rsidR="00907D8C" w:rsidRPr="00844DDB">
        <w:rPr>
          <w:sz w:val="18"/>
          <w:szCs w:val="18"/>
        </w:rPr>
        <w:t xml:space="preserve"> </w:t>
      </w:r>
      <w:r w:rsidRPr="00844DDB">
        <w:rPr>
          <w:sz w:val="18"/>
          <w:szCs w:val="18"/>
        </w:rPr>
        <w:t>a</w:t>
      </w:r>
      <w:r w:rsidR="00907D8C" w:rsidRPr="00844DDB">
        <w:rPr>
          <w:sz w:val="18"/>
          <w:szCs w:val="18"/>
        </w:rPr>
        <w:t xml:space="preserve"> </w:t>
      </w:r>
      <w:r w:rsidRPr="00844DDB">
        <w:rPr>
          <w:sz w:val="18"/>
          <w:szCs w:val="18"/>
        </w:rPr>
        <w:t>court</w:t>
      </w:r>
      <w:r w:rsidR="00907D8C" w:rsidRPr="00844DDB">
        <w:rPr>
          <w:sz w:val="18"/>
          <w:szCs w:val="18"/>
        </w:rPr>
        <w:t xml:space="preserve"> </w:t>
      </w:r>
      <w:r w:rsidRPr="00844DDB">
        <w:rPr>
          <w:sz w:val="18"/>
          <w:szCs w:val="18"/>
        </w:rPr>
        <w:t>of</w:t>
      </w:r>
      <w:r w:rsidR="00907D8C" w:rsidRPr="00844DDB">
        <w:rPr>
          <w:sz w:val="18"/>
          <w:szCs w:val="18"/>
        </w:rPr>
        <w:t xml:space="preserve"> </w:t>
      </w:r>
      <w:r w:rsidRPr="00844DDB">
        <w:rPr>
          <w:sz w:val="18"/>
          <w:szCs w:val="18"/>
        </w:rPr>
        <w:t>law,</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authorised</w:t>
      </w:r>
      <w:r w:rsidR="00907D8C" w:rsidRPr="00844DDB">
        <w:rPr>
          <w:sz w:val="18"/>
          <w:szCs w:val="18"/>
        </w:rPr>
        <w:t xml:space="preserve"> </w:t>
      </w:r>
      <w:r w:rsidRPr="00844DDB">
        <w:rPr>
          <w:sz w:val="18"/>
          <w:szCs w:val="18"/>
        </w:rPr>
        <w:t>associate</w:t>
      </w:r>
      <w:r w:rsidR="00907D8C" w:rsidRPr="00844DDB">
        <w:rPr>
          <w:sz w:val="18"/>
          <w:szCs w:val="18"/>
        </w:rPr>
        <w:t xml:space="preserve"> </w:t>
      </w:r>
      <w:r w:rsidRPr="00844DDB">
        <w:rPr>
          <w:sz w:val="18"/>
          <w:szCs w:val="18"/>
        </w:rPr>
        <w:t>judges</w:t>
      </w:r>
      <w:r w:rsidR="00907D8C" w:rsidRPr="00844DDB">
        <w:rPr>
          <w:sz w:val="18"/>
          <w:szCs w:val="18"/>
        </w:rPr>
        <w:t xml:space="preserve"> </w:t>
      </w:r>
      <w:r w:rsidRPr="00844DDB">
        <w:rPr>
          <w:sz w:val="18"/>
          <w:szCs w:val="18"/>
        </w:rPr>
        <w:t>and</w:t>
      </w:r>
      <w:r w:rsidR="00907D8C" w:rsidRPr="00844DDB">
        <w:rPr>
          <w:sz w:val="18"/>
          <w:szCs w:val="18"/>
        </w:rPr>
        <w:t xml:space="preserve"> </w:t>
      </w:r>
      <w:r w:rsidRPr="00844DDB">
        <w:rPr>
          <w:sz w:val="18"/>
          <w:szCs w:val="18"/>
        </w:rPr>
        <w:t>magistrates.</w:t>
      </w:r>
    </w:p>
    <w:p w:rsidR="00036FAC" w:rsidRPr="00036FAC" w:rsidRDefault="00036FAC" w:rsidP="00B81DF3">
      <w:pPr>
        <w:pStyle w:val="SingleTxtG"/>
      </w:pPr>
      <w:r w:rsidRPr="00036FAC">
        <w:t>134.</w:t>
      </w:r>
      <w:r w:rsidRPr="00036FAC">
        <w:tab/>
        <w:t>Judges</w:t>
      </w:r>
      <w:r w:rsidR="00907D8C">
        <w:t xml:space="preserve"> </w:t>
      </w:r>
      <w:r w:rsidRPr="00036FAC">
        <w:t>are</w:t>
      </w:r>
      <w:r w:rsidR="00907D8C">
        <w:t xml:space="preserve"> </w:t>
      </w:r>
      <w:r w:rsidRPr="00036FAC">
        <w:t>not</w:t>
      </w:r>
      <w:r w:rsidR="00907D8C">
        <w:t xml:space="preserve"> </w:t>
      </w:r>
      <w:r w:rsidRPr="00036FAC">
        <w:t>required</w:t>
      </w:r>
      <w:r w:rsidR="00907D8C">
        <w:t xml:space="preserve"> </w:t>
      </w:r>
      <w:r w:rsidRPr="00036FAC">
        <w:t>to</w:t>
      </w:r>
      <w:r w:rsidR="00907D8C">
        <w:t xml:space="preserve"> </w:t>
      </w:r>
      <w:r w:rsidRPr="00036FAC">
        <w:t>provide</w:t>
      </w:r>
      <w:r w:rsidR="00907D8C">
        <w:t xml:space="preserve"> </w:t>
      </w:r>
      <w:r w:rsidRPr="00036FAC">
        <w:t>information</w:t>
      </w:r>
      <w:r w:rsidR="00907D8C">
        <w:t xml:space="preserve"> </w:t>
      </w:r>
      <w:r w:rsidRPr="00036FAC">
        <w:t>concerning</w:t>
      </w:r>
      <w:r w:rsidR="00907D8C">
        <w:t xml:space="preserve"> </w:t>
      </w:r>
      <w:r w:rsidRPr="00036FAC">
        <w:t>their</w:t>
      </w:r>
      <w:r w:rsidR="00907D8C">
        <w:t xml:space="preserve"> </w:t>
      </w:r>
      <w:r w:rsidRPr="00036FAC">
        <w:t>ethnicity</w:t>
      </w:r>
      <w:r w:rsidR="00907D8C">
        <w:t xml:space="preserve"> </w:t>
      </w:r>
      <w:r w:rsidRPr="00036FAC">
        <w:t>and</w:t>
      </w:r>
      <w:r w:rsidR="00907D8C">
        <w:t xml:space="preserve"> </w:t>
      </w:r>
      <w:r w:rsidRPr="00036FAC">
        <w:t>they</w:t>
      </w:r>
      <w:r w:rsidR="00907D8C">
        <w:t xml:space="preserve"> </w:t>
      </w:r>
      <w:r w:rsidRPr="00036FAC">
        <w:t>may</w:t>
      </w:r>
      <w:r w:rsidR="00907D8C">
        <w:t xml:space="preserve"> </w:t>
      </w:r>
      <w:r w:rsidRPr="00036FAC">
        <w:t>nominate</w:t>
      </w:r>
      <w:r w:rsidR="00907D8C">
        <w:t xml:space="preserve"> </w:t>
      </w:r>
      <w:r w:rsidRPr="00036FAC">
        <w:t>more</w:t>
      </w:r>
      <w:r w:rsidR="00907D8C">
        <w:t xml:space="preserve"> </w:t>
      </w:r>
      <w:r w:rsidRPr="00036FAC">
        <w:t>than</w:t>
      </w:r>
      <w:r w:rsidR="00907D8C">
        <w:t xml:space="preserve"> </w:t>
      </w:r>
      <w:r w:rsidRPr="00036FAC">
        <w:t>one</w:t>
      </w:r>
      <w:r w:rsidR="00907D8C">
        <w:t xml:space="preserve"> </w:t>
      </w:r>
      <w:r w:rsidRPr="00036FAC">
        <w:t>ethnicity.</w:t>
      </w:r>
      <w:r w:rsidR="00907D8C">
        <w:t xml:space="preserve"> </w:t>
      </w:r>
      <w:r w:rsidRPr="00036FAC">
        <w:t>There</w:t>
      </w:r>
      <w:r w:rsidR="00907D8C">
        <w:t xml:space="preserve"> </w:t>
      </w:r>
      <w:r w:rsidRPr="00036FAC">
        <w:t>were</w:t>
      </w:r>
      <w:r w:rsidR="00907D8C">
        <w:t xml:space="preserve"> </w:t>
      </w:r>
      <w:r w:rsidRPr="00036FAC">
        <w:t>139</w:t>
      </w:r>
      <w:r w:rsidR="00907D8C">
        <w:t xml:space="preserve"> </w:t>
      </w:r>
      <w:r w:rsidRPr="00036FAC">
        <w:t>District</w:t>
      </w:r>
      <w:r w:rsidR="00907D8C">
        <w:t xml:space="preserve"> </w:t>
      </w:r>
      <w:r w:rsidRPr="00036FAC">
        <w:t>Court</w:t>
      </w:r>
      <w:r w:rsidR="00907D8C">
        <w:t xml:space="preserve"> </w:t>
      </w:r>
      <w:r w:rsidRPr="00036FAC">
        <w:t>Judges</w:t>
      </w:r>
      <w:r w:rsidR="00907D8C">
        <w:t xml:space="preserve"> </w:t>
      </w:r>
      <w:r w:rsidRPr="00036FAC">
        <w:t>on</w:t>
      </w:r>
      <w:r w:rsidR="00907D8C">
        <w:t xml:space="preserve"> </w:t>
      </w:r>
      <w:r w:rsidRPr="00036FAC">
        <w:t>30</w:t>
      </w:r>
      <w:r w:rsidR="00907D8C">
        <w:t xml:space="preserve"> </w:t>
      </w:r>
      <w:r w:rsidRPr="00036FAC">
        <w:t>November</w:t>
      </w:r>
      <w:r w:rsidR="00907D8C">
        <w:t xml:space="preserve"> </w:t>
      </w:r>
      <w:r w:rsidRPr="00036FAC">
        <w:t>2009</w:t>
      </w:r>
      <w:r w:rsidR="00907D8C">
        <w:t xml:space="preserve"> </w:t>
      </w:r>
      <w:r w:rsidRPr="00036FAC">
        <w:t>and,</w:t>
      </w:r>
      <w:r w:rsidR="00907D8C">
        <w:t xml:space="preserve"> </w:t>
      </w:r>
      <w:r w:rsidRPr="00036FAC">
        <w:t>of</w:t>
      </w:r>
      <w:r w:rsidR="00907D8C">
        <w:t xml:space="preserve"> </w:t>
      </w:r>
      <w:r w:rsidRPr="00036FAC">
        <w:t>those</w:t>
      </w:r>
      <w:r w:rsidR="00907D8C">
        <w:t xml:space="preserve"> </w:t>
      </w:r>
      <w:r w:rsidRPr="00036FAC">
        <w:t>who</w:t>
      </w:r>
      <w:r w:rsidR="00907D8C">
        <w:t xml:space="preserve"> </w:t>
      </w:r>
      <w:r w:rsidRPr="00036FAC">
        <w:t>did</w:t>
      </w:r>
      <w:r w:rsidR="00907D8C">
        <w:t xml:space="preserve"> </w:t>
      </w:r>
      <w:r w:rsidRPr="00036FAC">
        <w:t>provide</w:t>
      </w:r>
      <w:r w:rsidR="00907D8C">
        <w:t xml:space="preserve"> </w:t>
      </w:r>
      <w:r w:rsidRPr="00036FAC">
        <w:t>information</w:t>
      </w:r>
      <w:r w:rsidR="00907D8C">
        <w:t xml:space="preserve"> </w:t>
      </w:r>
      <w:r w:rsidRPr="00036FAC">
        <w:t>concerning</w:t>
      </w:r>
      <w:r w:rsidR="00907D8C">
        <w:t xml:space="preserve"> </w:t>
      </w:r>
      <w:r w:rsidRPr="00036FAC">
        <w:t>their</w:t>
      </w:r>
      <w:r w:rsidR="00907D8C">
        <w:t xml:space="preserve"> </w:t>
      </w:r>
      <w:r w:rsidRPr="00036FAC">
        <w:t>ethnicity,</w:t>
      </w:r>
      <w:r w:rsidR="00907D8C">
        <w:t xml:space="preserve"> </w:t>
      </w:r>
      <w:r w:rsidRPr="00036FAC">
        <w:t>they</w:t>
      </w:r>
      <w:r w:rsidR="00907D8C">
        <w:t xml:space="preserve"> </w:t>
      </w:r>
      <w:r w:rsidRPr="00036FAC">
        <w:t>identified</w:t>
      </w:r>
      <w:r w:rsidR="00907D8C">
        <w:t xml:space="preserve"> </w:t>
      </w:r>
      <w:r w:rsidRPr="00036FAC">
        <w:t>as</w:t>
      </w:r>
      <w:r w:rsidR="00907D8C">
        <w:t xml:space="preserve"> </w:t>
      </w:r>
      <w:r w:rsidRPr="00036FAC">
        <w:t>outlined</w:t>
      </w:r>
      <w:r w:rsidR="00907D8C">
        <w:t xml:space="preserve"> </w:t>
      </w:r>
      <w:r w:rsidRPr="00036FAC">
        <w:t>in</w:t>
      </w:r>
      <w:r w:rsidR="00907D8C">
        <w:t xml:space="preserve"> </w:t>
      </w:r>
      <w:r w:rsidRPr="00036FAC">
        <w:t>Table</w:t>
      </w:r>
      <w:r w:rsidR="00907D8C">
        <w:t xml:space="preserve"> </w:t>
      </w:r>
      <w:r w:rsidRPr="00036FAC">
        <w:t>46.</w:t>
      </w:r>
    </w:p>
    <w:p w:rsidR="00B81DF3" w:rsidRDefault="00036FAC" w:rsidP="00B81DF3">
      <w:pPr>
        <w:pStyle w:val="Heading1"/>
      </w:pPr>
      <w:bookmarkStart w:id="77" w:name="_Toc275331947"/>
      <w:r w:rsidRPr="00036FAC">
        <w:t>Table</w:t>
      </w:r>
      <w:r w:rsidR="00907D8C">
        <w:t xml:space="preserve"> </w:t>
      </w:r>
      <w:r w:rsidRPr="00036FAC">
        <w:t>4</w:t>
      </w:r>
      <w:r w:rsidR="00B81DF3">
        <w:t>6</w:t>
      </w:r>
    </w:p>
    <w:p w:rsidR="00036FAC" w:rsidRPr="00B81DF3" w:rsidRDefault="00036FAC" w:rsidP="00B81DF3">
      <w:pPr>
        <w:pStyle w:val="SingleTxtG"/>
        <w:rPr>
          <w:b/>
        </w:rPr>
      </w:pPr>
      <w:r w:rsidRPr="00B81DF3">
        <w:rPr>
          <w:b/>
        </w:rPr>
        <w:t>Ethnicity</w:t>
      </w:r>
      <w:r w:rsidR="00907D8C" w:rsidRPr="00B81DF3">
        <w:rPr>
          <w:b/>
        </w:rPr>
        <w:t xml:space="preserve"> </w:t>
      </w:r>
      <w:r w:rsidRPr="00B81DF3">
        <w:rPr>
          <w:b/>
        </w:rPr>
        <w:t>and</w:t>
      </w:r>
      <w:r w:rsidR="00907D8C" w:rsidRPr="00B81DF3">
        <w:rPr>
          <w:b/>
        </w:rPr>
        <w:t xml:space="preserve"> </w:t>
      </w:r>
      <w:r w:rsidRPr="00B81DF3">
        <w:rPr>
          <w:b/>
        </w:rPr>
        <w:t>sex</w:t>
      </w:r>
      <w:r w:rsidR="00907D8C" w:rsidRPr="00B81DF3">
        <w:rPr>
          <w:b/>
        </w:rPr>
        <w:t xml:space="preserve"> </w:t>
      </w:r>
      <w:r w:rsidRPr="00B81DF3">
        <w:rPr>
          <w:b/>
        </w:rPr>
        <w:t>of</w:t>
      </w:r>
      <w:r w:rsidR="00907D8C" w:rsidRPr="00B81DF3">
        <w:rPr>
          <w:b/>
        </w:rPr>
        <w:t xml:space="preserve"> </w:t>
      </w:r>
      <w:r w:rsidRPr="00B81DF3">
        <w:rPr>
          <w:b/>
        </w:rPr>
        <w:t>judges</w:t>
      </w:r>
      <w:bookmarkEnd w:id="7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07"/>
        <w:gridCol w:w="2081"/>
        <w:gridCol w:w="1482"/>
      </w:tblGrid>
      <w:tr w:rsidR="00036FAC" w:rsidRPr="00B81DF3" w:rsidTr="009D50C6">
        <w:trPr>
          <w:trHeight w:val="240"/>
          <w:tblHeader/>
        </w:trPr>
        <w:tc>
          <w:tcPr>
            <w:tcW w:w="1539" w:type="dxa"/>
            <w:tcBorders>
              <w:top w:val="single" w:sz="4" w:space="0" w:color="auto"/>
              <w:bottom w:val="single" w:sz="12" w:space="0" w:color="auto"/>
            </w:tcBorders>
            <w:shd w:val="clear" w:color="auto" w:fill="auto"/>
            <w:vAlign w:val="bottom"/>
          </w:tcPr>
          <w:p w:rsidR="00036FAC" w:rsidRPr="00B81DF3" w:rsidRDefault="00036FAC" w:rsidP="00B81DF3">
            <w:pPr>
              <w:suppressAutoHyphens w:val="0"/>
              <w:spacing w:before="80" w:after="80" w:line="200" w:lineRule="exact"/>
              <w:ind w:right="113"/>
              <w:rPr>
                <w:i/>
                <w:sz w:val="16"/>
              </w:rPr>
            </w:pPr>
            <w:r w:rsidRPr="00B81DF3">
              <w:rPr>
                <w:i/>
                <w:sz w:val="16"/>
              </w:rPr>
              <w:t>Ethnicity</w:t>
            </w:r>
          </w:p>
        </w:tc>
        <w:tc>
          <w:tcPr>
            <w:tcW w:w="841" w:type="dxa"/>
            <w:tcBorders>
              <w:top w:val="single" w:sz="4" w:space="0" w:color="auto"/>
              <w:bottom w:val="single" w:sz="12" w:space="0" w:color="auto"/>
            </w:tcBorders>
            <w:shd w:val="clear" w:color="auto" w:fill="auto"/>
            <w:vAlign w:val="bottom"/>
          </w:tcPr>
          <w:p w:rsidR="00036FAC" w:rsidRPr="00B81DF3" w:rsidRDefault="00036FAC" w:rsidP="00B81DF3">
            <w:pPr>
              <w:suppressAutoHyphens w:val="0"/>
              <w:spacing w:before="80" w:after="80" w:line="200" w:lineRule="exact"/>
              <w:ind w:right="113"/>
              <w:jc w:val="right"/>
              <w:rPr>
                <w:i/>
                <w:sz w:val="16"/>
              </w:rPr>
            </w:pPr>
            <w:r w:rsidRPr="00B81DF3">
              <w:rPr>
                <w:i/>
                <w:sz w:val="16"/>
              </w:rPr>
              <w:t>Male</w:t>
            </w:r>
          </w:p>
        </w:tc>
        <w:tc>
          <w:tcPr>
            <w:tcW w:w="599" w:type="dxa"/>
            <w:tcBorders>
              <w:top w:val="single" w:sz="4" w:space="0" w:color="auto"/>
              <w:bottom w:val="single" w:sz="12" w:space="0" w:color="auto"/>
            </w:tcBorders>
            <w:shd w:val="clear" w:color="auto" w:fill="auto"/>
            <w:vAlign w:val="bottom"/>
          </w:tcPr>
          <w:p w:rsidR="00036FAC" w:rsidRPr="00B81DF3" w:rsidRDefault="00036FAC" w:rsidP="00B81DF3">
            <w:pPr>
              <w:suppressAutoHyphens w:val="0"/>
              <w:spacing w:before="80" w:after="80" w:line="200" w:lineRule="exact"/>
              <w:ind w:right="113"/>
              <w:jc w:val="right"/>
              <w:rPr>
                <w:i/>
                <w:sz w:val="16"/>
              </w:rPr>
            </w:pPr>
            <w:r w:rsidRPr="00B81DF3">
              <w:rPr>
                <w:i/>
                <w:sz w:val="16"/>
              </w:rPr>
              <w:t>Female</w:t>
            </w:r>
          </w:p>
        </w:tc>
      </w:tr>
      <w:tr w:rsidR="00036FAC" w:rsidRPr="00B81DF3" w:rsidTr="009D50C6">
        <w:trPr>
          <w:trHeight w:val="240"/>
        </w:trPr>
        <w:tc>
          <w:tcPr>
            <w:tcW w:w="1539" w:type="dxa"/>
            <w:tcBorders>
              <w:top w:val="single" w:sz="12" w:space="0" w:color="auto"/>
              <w:bottom w:val="single" w:sz="24" w:space="0" w:color="FFFFFF"/>
            </w:tcBorders>
            <w:shd w:val="clear" w:color="auto" w:fill="auto"/>
          </w:tcPr>
          <w:p w:rsidR="00036FAC" w:rsidRPr="00B81DF3" w:rsidRDefault="00036FAC" w:rsidP="00B81DF3">
            <w:pPr>
              <w:suppressAutoHyphens w:val="0"/>
              <w:spacing w:before="40" w:after="40" w:line="220" w:lineRule="exact"/>
              <w:ind w:right="113"/>
              <w:rPr>
                <w:sz w:val="18"/>
              </w:rPr>
            </w:pPr>
            <w:r w:rsidRPr="00B81DF3">
              <w:rPr>
                <w:sz w:val="18"/>
              </w:rPr>
              <w:t>European</w:t>
            </w:r>
          </w:p>
        </w:tc>
        <w:tc>
          <w:tcPr>
            <w:tcW w:w="841" w:type="dxa"/>
            <w:tcBorders>
              <w:top w:val="single" w:sz="12" w:space="0" w:color="auto"/>
              <w:bottom w:val="single" w:sz="24" w:space="0" w:color="FFFFFF"/>
            </w:tcBorders>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82</w:t>
            </w:r>
          </w:p>
        </w:tc>
        <w:tc>
          <w:tcPr>
            <w:tcW w:w="599" w:type="dxa"/>
            <w:tcBorders>
              <w:top w:val="single" w:sz="12" w:space="0" w:color="auto"/>
              <w:bottom w:val="single" w:sz="24" w:space="0" w:color="FFFFFF"/>
            </w:tcBorders>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34</w:t>
            </w:r>
          </w:p>
        </w:tc>
      </w:tr>
      <w:tr w:rsidR="00036FAC" w:rsidRPr="00B81DF3" w:rsidTr="009D50C6">
        <w:trPr>
          <w:trHeight w:val="240"/>
        </w:trPr>
        <w:tc>
          <w:tcPr>
            <w:tcW w:w="1539" w:type="dxa"/>
            <w:tcBorders>
              <w:top w:val="single" w:sz="24" w:space="0" w:color="FFFFFF"/>
            </w:tcBorders>
            <w:shd w:val="clear" w:color="auto" w:fill="auto"/>
          </w:tcPr>
          <w:p w:rsidR="00036FAC" w:rsidRPr="00B81DF3" w:rsidRDefault="00036FAC" w:rsidP="00B81DF3">
            <w:pPr>
              <w:suppressAutoHyphens w:val="0"/>
              <w:spacing w:before="40" w:after="40" w:line="220" w:lineRule="exact"/>
              <w:ind w:right="113"/>
              <w:rPr>
                <w:sz w:val="18"/>
              </w:rPr>
            </w:pPr>
            <w:r w:rsidRPr="00B81DF3">
              <w:rPr>
                <w:sz w:val="18"/>
              </w:rPr>
              <w:t>Māori</w:t>
            </w:r>
            <w:r w:rsidR="00907D8C" w:rsidRPr="00B81DF3">
              <w:rPr>
                <w:sz w:val="18"/>
              </w:rPr>
              <w:t xml:space="preserve"> </w:t>
            </w:r>
          </w:p>
        </w:tc>
        <w:tc>
          <w:tcPr>
            <w:tcW w:w="841" w:type="dxa"/>
            <w:tcBorders>
              <w:top w:val="single" w:sz="24" w:space="0" w:color="FFFFFF"/>
            </w:tcBorders>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7</w:t>
            </w:r>
          </w:p>
        </w:tc>
        <w:tc>
          <w:tcPr>
            <w:tcW w:w="599" w:type="dxa"/>
            <w:tcBorders>
              <w:top w:val="single" w:sz="24" w:space="0" w:color="FFFFFF"/>
            </w:tcBorders>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4</w:t>
            </w:r>
          </w:p>
        </w:tc>
      </w:tr>
      <w:tr w:rsidR="00036FAC" w:rsidRPr="00B81DF3" w:rsidTr="00B81DF3">
        <w:trPr>
          <w:trHeight w:val="240"/>
        </w:trPr>
        <w:tc>
          <w:tcPr>
            <w:tcW w:w="1539" w:type="dxa"/>
            <w:shd w:val="clear" w:color="auto" w:fill="auto"/>
          </w:tcPr>
          <w:p w:rsidR="00036FAC" w:rsidRPr="00B81DF3" w:rsidRDefault="00036FAC" w:rsidP="00B81DF3">
            <w:pPr>
              <w:suppressAutoHyphens w:val="0"/>
              <w:spacing w:before="40" w:after="40" w:line="220" w:lineRule="exact"/>
              <w:ind w:right="113"/>
              <w:rPr>
                <w:sz w:val="18"/>
              </w:rPr>
            </w:pPr>
            <w:r w:rsidRPr="00B81DF3">
              <w:rPr>
                <w:sz w:val="18"/>
              </w:rPr>
              <w:t>Pacific</w:t>
            </w:r>
            <w:r w:rsidR="00907D8C" w:rsidRPr="00B81DF3">
              <w:rPr>
                <w:sz w:val="18"/>
              </w:rPr>
              <w:t xml:space="preserve"> </w:t>
            </w:r>
            <w:r w:rsidRPr="00B81DF3">
              <w:rPr>
                <w:sz w:val="18"/>
              </w:rPr>
              <w:t>peoples</w:t>
            </w:r>
          </w:p>
        </w:tc>
        <w:tc>
          <w:tcPr>
            <w:tcW w:w="841" w:type="dxa"/>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1</w:t>
            </w:r>
          </w:p>
        </w:tc>
        <w:tc>
          <w:tcPr>
            <w:tcW w:w="599" w:type="dxa"/>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1</w:t>
            </w:r>
          </w:p>
        </w:tc>
      </w:tr>
      <w:tr w:rsidR="00036FAC" w:rsidRPr="00B81DF3" w:rsidTr="00B81DF3">
        <w:trPr>
          <w:trHeight w:val="240"/>
        </w:trPr>
        <w:tc>
          <w:tcPr>
            <w:tcW w:w="1539" w:type="dxa"/>
            <w:shd w:val="clear" w:color="auto" w:fill="auto"/>
          </w:tcPr>
          <w:p w:rsidR="00036FAC" w:rsidRPr="00B81DF3" w:rsidRDefault="00036FAC" w:rsidP="00B81DF3">
            <w:pPr>
              <w:suppressAutoHyphens w:val="0"/>
              <w:spacing w:before="40" w:after="40" w:line="220" w:lineRule="exact"/>
              <w:ind w:right="113"/>
              <w:rPr>
                <w:sz w:val="18"/>
              </w:rPr>
            </w:pPr>
            <w:r w:rsidRPr="00B81DF3">
              <w:rPr>
                <w:sz w:val="18"/>
              </w:rPr>
              <w:t>Other</w:t>
            </w:r>
          </w:p>
        </w:tc>
        <w:tc>
          <w:tcPr>
            <w:tcW w:w="841" w:type="dxa"/>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1</w:t>
            </w:r>
          </w:p>
        </w:tc>
        <w:tc>
          <w:tcPr>
            <w:tcW w:w="599" w:type="dxa"/>
            <w:shd w:val="clear" w:color="auto" w:fill="auto"/>
            <w:vAlign w:val="bottom"/>
          </w:tcPr>
          <w:p w:rsidR="00036FAC" w:rsidRPr="00B81DF3" w:rsidRDefault="00036FAC" w:rsidP="00B81DF3">
            <w:pPr>
              <w:suppressAutoHyphens w:val="0"/>
              <w:spacing w:before="40" w:after="40" w:line="220" w:lineRule="exact"/>
              <w:ind w:right="113"/>
              <w:jc w:val="right"/>
              <w:rPr>
                <w:sz w:val="18"/>
              </w:rPr>
            </w:pPr>
            <w:r w:rsidRPr="00B81DF3">
              <w:rPr>
                <w:sz w:val="18"/>
              </w:rPr>
              <w:t>1</w:t>
            </w:r>
          </w:p>
        </w:tc>
      </w:tr>
    </w:tbl>
    <w:p w:rsidR="00036FAC" w:rsidRPr="00B81DF3" w:rsidRDefault="00036FAC" w:rsidP="00B50FB5">
      <w:pPr>
        <w:spacing w:before="120" w:after="240"/>
        <w:ind w:left="1134" w:right="1134" w:firstLine="170"/>
        <w:rPr>
          <w:sz w:val="18"/>
          <w:szCs w:val="18"/>
        </w:rPr>
      </w:pPr>
      <w:r w:rsidRPr="00B81DF3">
        <w:rPr>
          <w:i/>
          <w:sz w:val="18"/>
          <w:szCs w:val="18"/>
        </w:rPr>
        <w:t>Source</w:t>
      </w:r>
      <w:r w:rsidRPr="00B81DF3">
        <w:rPr>
          <w:sz w:val="18"/>
          <w:szCs w:val="18"/>
        </w:rPr>
        <w:t>:</w:t>
      </w:r>
      <w:r w:rsidR="00B81DF3">
        <w:rPr>
          <w:sz w:val="18"/>
          <w:szCs w:val="18"/>
        </w:rPr>
        <w:t xml:space="preserve"> </w:t>
      </w:r>
      <w:r w:rsidR="00907D8C" w:rsidRPr="00B81DF3">
        <w:rPr>
          <w:sz w:val="18"/>
          <w:szCs w:val="18"/>
        </w:rPr>
        <w:t xml:space="preserve"> </w:t>
      </w:r>
      <w:r w:rsidRPr="00B81DF3">
        <w:rPr>
          <w:sz w:val="18"/>
          <w:szCs w:val="18"/>
        </w:rPr>
        <w:t>Ministry</w:t>
      </w:r>
      <w:r w:rsidR="00907D8C" w:rsidRPr="00B81DF3">
        <w:rPr>
          <w:sz w:val="18"/>
          <w:szCs w:val="18"/>
        </w:rPr>
        <w:t xml:space="preserve"> </w:t>
      </w:r>
      <w:r w:rsidRPr="00B81DF3">
        <w:rPr>
          <w:sz w:val="18"/>
          <w:szCs w:val="18"/>
        </w:rPr>
        <w:t>of</w:t>
      </w:r>
      <w:r w:rsidR="00907D8C" w:rsidRPr="00B81DF3">
        <w:rPr>
          <w:sz w:val="18"/>
          <w:szCs w:val="18"/>
        </w:rPr>
        <w:t xml:space="preserve"> </w:t>
      </w:r>
      <w:r w:rsidRPr="00B81DF3">
        <w:rPr>
          <w:sz w:val="18"/>
          <w:szCs w:val="18"/>
        </w:rPr>
        <w:t>Justice</w:t>
      </w:r>
      <w:r w:rsidR="00B81DF3" w:rsidRPr="00B81DF3">
        <w:rPr>
          <w:sz w:val="18"/>
          <w:szCs w:val="18"/>
        </w:rPr>
        <w:t>.</w:t>
      </w:r>
    </w:p>
    <w:p w:rsidR="00036FAC" w:rsidRPr="00036FAC" w:rsidRDefault="00036FAC" w:rsidP="00B81DF3">
      <w:pPr>
        <w:pStyle w:val="SingleTxtG"/>
      </w:pPr>
      <w:r w:rsidRPr="00036FAC">
        <w:t>135.</w:t>
      </w:r>
      <w:r w:rsidRPr="00036FAC">
        <w:tab/>
        <w:t>There</w:t>
      </w:r>
      <w:r w:rsidR="00907D8C">
        <w:t xml:space="preserve"> </w:t>
      </w:r>
      <w:r w:rsidRPr="00036FAC">
        <w:t>are</w:t>
      </w:r>
      <w:r w:rsidR="00907D8C">
        <w:t xml:space="preserve"> </w:t>
      </w:r>
      <w:r w:rsidRPr="00036FAC">
        <w:t>16</w:t>
      </w:r>
      <w:r w:rsidR="00907D8C">
        <w:t xml:space="preserve"> </w:t>
      </w:r>
      <w:r w:rsidRPr="00036FAC">
        <w:t>Crown</w:t>
      </w:r>
      <w:r w:rsidR="00907D8C">
        <w:t xml:space="preserve"> </w:t>
      </w:r>
      <w:r w:rsidRPr="00036FAC">
        <w:t>Solicitors</w:t>
      </w:r>
      <w:r w:rsidR="00907D8C">
        <w:t xml:space="preserve"> </w:t>
      </w:r>
      <w:r w:rsidRPr="00036FAC">
        <w:t>who</w:t>
      </w:r>
      <w:r w:rsidR="00907D8C">
        <w:t xml:space="preserve"> </w:t>
      </w:r>
      <w:r w:rsidRPr="00036FAC">
        <w:t>are</w:t>
      </w:r>
      <w:r w:rsidR="00907D8C">
        <w:t xml:space="preserve"> </w:t>
      </w:r>
      <w:r w:rsidRPr="00036FAC">
        <w:t>responsible</w:t>
      </w:r>
      <w:r w:rsidR="00907D8C">
        <w:t xml:space="preserve"> </w:t>
      </w:r>
      <w:r w:rsidRPr="00036FAC">
        <w:t>for</w:t>
      </w:r>
      <w:r w:rsidR="00907D8C">
        <w:t xml:space="preserve"> </w:t>
      </w:r>
      <w:r w:rsidRPr="00036FAC">
        <w:t>the</w:t>
      </w:r>
      <w:r w:rsidR="00907D8C">
        <w:t xml:space="preserve"> </w:t>
      </w:r>
      <w:r w:rsidRPr="00036FAC">
        <w:t>conduct</w:t>
      </w:r>
      <w:r w:rsidR="00907D8C">
        <w:t xml:space="preserve"> </w:t>
      </w:r>
      <w:r w:rsidRPr="00036FAC">
        <w:t>of</w:t>
      </w:r>
      <w:r w:rsidR="00907D8C">
        <w:t xml:space="preserve"> </w:t>
      </w:r>
      <w:r w:rsidRPr="00036FAC">
        <w:t>indictable</w:t>
      </w:r>
      <w:r w:rsidR="00907D8C">
        <w:t xml:space="preserve"> </w:t>
      </w:r>
      <w:r w:rsidRPr="00036FAC">
        <w:t>trials</w:t>
      </w:r>
      <w:r w:rsidR="00907D8C">
        <w:t xml:space="preserve"> </w:t>
      </w:r>
      <w:r w:rsidRPr="00036FAC">
        <w:t>in</w:t>
      </w:r>
      <w:r w:rsidR="00907D8C">
        <w:t xml:space="preserve"> </w:t>
      </w:r>
      <w:r w:rsidRPr="00036FAC">
        <w:t>the</w:t>
      </w:r>
      <w:r w:rsidR="00907D8C">
        <w:t xml:space="preserve"> </w:t>
      </w:r>
      <w:r w:rsidRPr="00036FAC">
        <w:t>High</w:t>
      </w:r>
      <w:r w:rsidR="00907D8C">
        <w:t xml:space="preserve"> </w:t>
      </w:r>
      <w:r w:rsidRPr="00036FAC">
        <w:t>Court</w:t>
      </w:r>
      <w:r w:rsidR="00907D8C">
        <w:t xml:space="preserve"> </w:t>
      </w:r>
      <w:r w:rsidRPr="00036FAC">
        <w:t>and</w:t>
      </w:r>
      <w:r w:rsidR="00907D8C">
        <w:t xml:space="preserve"> </w:t>
      </w:r>
      <w:r w:rsidRPr="00036FAC">
        <w:t>District</w:t>
      </w:r>
      <w:r w:rsidR="00907D8C">
        <w:t xml:space="preserve"> </w:t>
      </w:r>
      <w:r w:rsidRPr="00036FAC">
        <w:t>Court</w:t>
      </w:r>
      <w:r w:rsidR="00907D8C">
        <w:t xml:space="preserve"> </w:t>
      </w:r>
      <w:r w:rsidRPr="00036FAC">
        <w:t>on</w:t>
      </w:r>
      <w:r w:rsidR="00907D8C">
        <w:t xml:space="preserve"> </w:t>
      </w:r>
      <w:r w:rsidRPr="00036FAC">
        <w:t>behalf</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Crown</w:t>
      </w:r>
      <w:r w:rsidR="00907D8C">
        <w:t xml:space="preserve"> </w:t>
      </w:r>
      <w:r w:rsidRPr="00036FAC">
        <w:t>Solicitors</w:t>
      </w:r>
      <w:r w:rsidR="00907D8C">
        <w:t xml:space="preserve"> </w:t>
      </w:r>
      <w:r w:rsidRPr="00036FAC">
        <w:t>are</w:t>
      </w:r>
      <w:r w:rsidR="00907D8C">
        <w:t xml:space="preserve"> </w:t>
      </w:r>
      <w:r w:rsidRPr="00036FAC">
        <w:t>private</w:t>
      </w:r>
      <w:r w:rsidR="00907D8C">
        <w:t xml:space="preserve"> </w:t>
      </w:r>
      <w:r w:rsidRPr="00036FAC">
        <w:t>legal</w:t>
      </w:r>
      <w:r w:rsidR="00907D8C">
        <w:t xml:space="preserve"> </w:t>
      </w:r>
      <w:r w:rsidRPr="00036FAC">
        <w:t>practitioners</w:t>
      </w:r>
      <w:r w:rsidR="00907D8C">
        <w:t xml:space="preserve"> </w:t>
      </w:r>
      <w:r w:rsidRPr="00036FAC">
        <w:t>appointed</w:t>
      </w:r>
      <w:r w:rsidR="00907D8C">
        <w:t xml:space="preserve"> </w:t>
      </w:r>
      <w:r w:rsidRPr="00036FAC">
        <w:t>on</w:t>
      </w:r>
      <w:r w:rsidR="00907D8C">
        <w:t xml:space="preserve"> </w:t>
      </w:r>
      <w:r w:rsidRPr="00036FAC">
        <w:t>the</w:t>
      </w:r>
      <w:r w:rsidR="00907D8C">
        <w:t xml:space="preserve"> </w:t>
      </w:r>
      <w:r w:rsidRPr="00036FAC">
        <w:t>recommendation</w:t>
      </w:r>
      <w:r w:rsidR="00907D8C">
        <w:t xml:space="preserve"> </w:t>
      </w:r>
      <w:r w:rsidRPr="00036FAC">
        <w:t>of</w:t>
      </w:r>
      <w:r w:rsidR="00907D8C">
        <w:t xml:space="preserve"> </w:t>
      </w:r>
      <w:r w:rsidRPr="00036FAC">
        <w:t>the</w:t>
      </w:r>
      <w:r w:rsidR="00907D8C">
        <w:t xml:space="preserve"> </w:t>
      </w:r>
      <w:r w:rsidRPr="00036FAC">
        <w:t>Attorney-General</w:t>
      </w:r>
      <w:r w:rsidR="00907D8C">
        <w:t xml:space="preserve"> </w:t>
      </w:r>
      <w:r w:rsidRPr="00036FAC">
        <w:t>and</w:t>
      </w:r>
      <w:r w:rsidR="00907D8C">
        <w:t xml:space="preserve"> </w:t>
      </w:r>
      <w:r w:rsidRPr="00036FAC">
        <w:t>by</w:t>
      </w:r>
      <w:r w:rsidR="00907D8C">
        <w:t xml:space="preserve"> </w:t>
      </w:r>
      <w:r w:rsidRPr="00036FAC">
        <w:t>warrant</w:t>
      </w:r>
      <w:r w:rsidR="00907D8C">
        <w:t xml:space="preserve"> </w:t>
      </w:r>
      <w:r w:rsidRPr="00036FAC">
        <w:t>of</w:t>
      </w:r>
      <w:r w:rsidR="00907D8C">
        <w:t xml:space="preserve"> </w:t>
      </w:r>
      <w:r w:rsidRPr="00036FAC">
        <w:t>the</w:t>
      </w:r>
      <w:r w:rsidR="00907D8C">
        <w:t xml:space="preserve"> </w:t>
      </w:r>
      <w:r w:rsidRPr="00036FAC">
        <w:t>Governor-General.</w:t>
      </w:r>
      <w:r w:rsidR="00907D8C">
        <w:t xml:space="preserve"> </w:t>
      </w:r>
      <w:r w:rsidRPr="00036FAC">
        <w:t>The</w:t>
      </w:r>
      <w:r w:rsidR="00907D8C">
        <w:t xml:space="preserve"> </w:t>
      </w:r>
      <w:r w:rsidRPr="00036FAC">
        <w:t>current</w:t>
      </w:r>
      <w:r w:rsidR="00907D8C">
        <w:t xml:space="preserve"> </w:t>
      </w:r>
      <w:r w:rsidRPr="00036FAC">
        <w:t>Crown</w:t>
      </w:r>
      <w:r w:rsidR="00907D8C">
        <w:t xml:space="preserve"> </w:t>
      </w:r>
      <w:r w:rsidRPr="00036FAC">
        <w:t>Solicitors</w:t>
      </w:r>
      <w:r w:rsidR="00907D8C">
        <w:t xml:space="preserve"> </w:t>
      </w:r>
      <w:r w:rsidRPr="00036FAC">
        <w:t>are</w:t>
      </w:r>
      <w:r w:rsidR="00907D8C">
        <w:t xml:space="preserve"> </w:t>
      </w:r>
      <w:r w:rsidRPr="00036FAC">
        <w:t>partners</w:t>
      </w:r>
      <w:r w:rsidR="00907D8C">
        <w:t xml:space="preserve"> </w:t>
      </w:r>
      <w:r w:rsidRPr="00036FAC">
        <w:t>in</w:t>
      </w:r>
      <w:r w:rsidR="00907D8C">
        <w:t xml:space="preserve"> </w:t>
      </w:r>
      <w:r w:rsidRPr="00036FAC">
        <w:t>private</w:t>
      </w:r>
      <w:r w:rsidR="00907D8C">
        <w:t xml:space="preserve"> </w:t>
      </w:r>
      <w:r w:rsidRPr="00036FAC">
        <w:t>law</w:t>
      </w:r>
      <w:r w:rsidR="00907D8C">
        <w:t xml:space="preserve"> </w:t>
      </w:r>
      <w:r w:rsidRPr="00036FAC">
        <w:t>firms</w:t>
      </w:r>
      <w:r w:rsidR="00907D8C">
        <w:t xml:space="preserve"> </w:t>
      </w:r>
      <w:r w:rsidRPr="00036FAC">
        <w:t>throughout</w:t>
      </w:r>
      <w:r w:rsidR="00907D8C">
        <w:t xml:space="preserve"> </w:t>
      </w:r>
      <w:r w:rsidRPr="00036FAC">
        <w:t>New</w:t>
      </w:r>
      <w:r w:rsidR="00907D8C">
        <w:t xml:space="preserve"> </w:t>
      </w:r>
      <w:r w:rsidRPr="00036FAC">
        <w:t>Zealand.</w:t>
      </w:r>
      <w:r w:rsidR="00907D8C">
        <w:t xml:space="preserve"> </w:t>
      </w:r>
      <w:r w:rsidRPr="00036FAC">
        <w:t>The</w:t>
      </w:r>
      <w:r w:rsidR="00907D8C">
        <w:t xml:space="preserve"> </w:t>
      </w:r>
      <w:r w:rsidRPr="00036FAC">
        <w:t>Solicitor-General</w:t>
      </w:r>
      <w:r w:rsidR="00907D8C">
        <w:t xml:space="preserve"> </w:t>
      </w:r>
      <w:r w:rsidRPr="00036FAC">
        <w:t>has</w:t>
      </w:r>
      <w:r w:rsidR="00907D8C">
        <w:t xml:space="preserve"> </w:t>
      </w:r>
      <w:r w:rsidRPr="00036FAC">
        <w:t>overall</w:t>
      </w:r>
      <w:r w:rsidR="00907D8C">
        <w:t xml:space="preserve"> </w:t>
      </w:r>
      <w:r w:rsidRPr="00036FAC">
        <w:t>responsibility</w:t>
      </w:r>
      <w:r w:rsidR="00907D8C">
        <w:t xml:space="preserve"> </w:t>
      </w:r>
      <w:r w:rsidRPr="00036FAC">
        <w:t>for</w:t>
      </w:r>
      <w:r w:rsidR="00907D8C">
        <w:t xml:space="preserve"> </w:t>
      </w:r>
      <w:r w:rsidRPr="00036FAC">
        <w:t>the</w:t>
      </w:r>
      <w:r w:rsidR="00907D8C">
        <w:t xml:space="preserve"> </w:t>
      </w:r>
      <w:r w:rsidRPr="00036FAC">
        <w:t>supervision</w:t>
      </w:r>
      <w:r w:rsidR="00907D8C">
        <w:t xml:space="preserve"> </w:t>
      </w:r>
      <w:r w:rsidRPr="00036FAC">
        <w:t>of</w:t>
      </w:r>
      <w:r w:rsidR="00907D8C">
        <w:t xml:space="preserve"> </w:t>
      </w:r>
      <w:r w:rsidRPr="00036FAC">
        <w:t>Crown</w:t>
      </w:r>
      <w:r w:rsidR="00907D8C">
        <w:t xml:space="preserve"> </w:t>
      </w:r>
      <w:r w:rsidRPr="00036FAC">
        <w:t>Solicitors.</w:t>
      </w:r>
      <w:r w:rsidR="00907D8C">
        <w:t xml:space="preserve"> </w:t>
      </w:r>
      <w:r w:rsidRPr="00036FAC">
        <w:t>As</w:t>
      </w:r>
      <w:r w:rsidR="00907D8C">
        <w:t xml:space="preserve"> </w:t>
      </w:r>
      <w:r w:rsidRPr="00036FAC">
        <w:t>at</w:t>
      </w:r>
      <w:r w:rsidR="00907D8C">
        <w:t xml:space="preserve"> </w:t>
      </w:r>
      <w:r w:rsidRPr="00036FAC">
        <w:t>1</w:t>
      </w:r>
      <w:r w:rsidR="00907D8C">
        <w:t xml:space="preserve"> </w:t>
      </w:r>
      <w:r w:rsidRPr="00036FAC">
        <w:t>January</w:t>
      </w:r>
      <w:r w:rsidR="00907D8C">
        <w:t xml:space="preserve"> </w:t>
      </w:r>
      <w:r w:rsidRPr="00036FAC">
        <w:t>2010,</w:t>
      </w:r>
      <w:r w:rsidR="00907D8C">
        <w:t xml:space="preserve"> </w:t>
      </w:r>
      <w:r w:rsidRPr="00036FAC">
        <w:t>there</w:t>
      </w:r>
      <w:r w:rsidR="00907D8C">
        <w:t xml:space="preserve"> </w:t>
      </w:r>
      <w:r w:rsidRPr="00036FAC">
        <w:t>were</w:t>
      </w:r>
      <w:r w:rsidR="00907D8C">
        <w:t xml:space="preserve"> </w:t>
      </w:r>
      <w:r w:rsidRPr="00036FAC">
        <w:t>238</w:t>
      </w:r>
      <w:r w:rsidR="00907D8C">
        <w:t xml:space="preserve"> </w:t>
      </w:r>
      <w:r w:rsidRPr="00036FAC">
        <w:t>prosecutors</w:t>
      </w:r>
      <w:r w:rsidR="00907D8C">
        <w:t xml:space="preserve"> </w:t>
      </w:r>
      <w:r w:rsidRPr="00036FAC">
        <w:t>employed</w:t>
      </w:r>
      <w:r w:rsidR="00907D8C">
        <w:t xml:space="preserve"> </w:t>
      </w:r>
      <w:r w:rsidRPr="00036FAC">
        <w:t>by</w:t>
      </w:r>
      <w:r w:rsidR="00907D8C">
        <w:t xml:space="preserve"> </w:t>
      </w:r>
      <w:r w:rsidRPr="00036FAC">
        <w:t>the</w:t>
      </w:r>
      <w:r w:rsidR="00907D8C">
        <w:t xml:space="preserve"> </w:t>
      </w:r>
      <w:r w:rsidRPr="00036FAC">
        <w:t>16</w:t>
      </w:r>
      <w:r w:rsidR="00907D8C">
        <w:t xml:space="preserve"> </w:t>
      </w:r>
      <w:r w:rsidRPr="00036FAC">
        <w:t>Crown</w:t>
      </w:r>
      <w:r w:rsidR="00907D8C">
        <w:t xml:space="preserve"> </w:t>
      </w:r>
      <w:r w:rsidRPr="00036FAC">
        <w:t>Solicitors</w:t>
      </w:r>
      <w:r w:rsidR="00907D8C">
        <w:t xml:space="preserve"> </w:t>
      </w:r>
      <w:r w:rsidRPr="00036FAC">
        <w:t>throughout</w:t>
      </w:r>
      <w:r w:rsidR="00907D8C">
        <w:t xml:space="preserve"> </w:t>
      </w:r>
      <w:r w:rsidRPr="00036FAC">
        <w:t>the</w:t>
      </w:r>
      <w:r w:rsidR="00907D8C">
        <w:t xml:space="preserve"> </w:t>
      </w:r>
      <w:r w:rsidRPr="00036FAC">
        <w:t>country.</w:t>
      </w:r>
    </w:p>
    <w:p w:rsidR="00036FAC" w:rsidRPr="00036FAC" w:rsidRDefault="00036FAC" w:rsidP="006C436C">
      <w:pPr>
        <w:pStyle w:val="H23G"/>
      </w:pPr>
      <w:r w:rsidRPr="00036FAC">
        <w:tab/>
        <w:t>(e)</w:t>
      </w:r>
      <w:r w:rsidRPr="00036FAC">
        <w:tab/>
        <w:t>Public</w:t>
      </w:r>
      <w:r w:rsidR="00907D8C">
        <w:t xml:space="preserve"> </w:t>
      </w:r>
      <w:r w:rsidRPr="00036FAC">
        <w:t>expenditure</w:t>
      </w:r>
      <w:r w:rsidR="00907D8C">
        <w:t xml:space="preserve"> </w:t>
      </w:r>
      <w:r w:rsidRPr="00036FAC">
        <w:t>on</w:t>
      </w:r>
      <w:r w:rsidR="00907D8C">
        <w:t xml:space="preserve"> </w:t>
      </w:r>
      <w:r w:rsidRPr="00036FAC">
        <w:t>police</w:t>
      </w:r>
      <w:r w:rsidR="00907D8C">
        <w:t xml:space="preserve"> </w:t>
      </w:r>
      <w:r w:rsidRPr="00036FAC">
        <w:t>and</w:t>
      </w:r>
      <w:r w:rsidR="00907D8C">
        <w:t xml:space="preserve"> </w:t>
      </w:r>
      <w:r w:rsidRPr="00036FAC">
        <w:t>judiciary</w:t>
      </w:r>
    </w:p>
    <w:p w:rsidR="00B23551" w:rsidRDefault="00036FAC" w:rsidP="00B23551">
      <w:pPr>
        <w:pStyle w:val="Heading1"/>
      </w:pPr>
      <w:bookmarkStart w:id="78" w:name="_Toc275331948"/>
      <w:r w:rsidRPr="00036FAC">
        <w:t>Table</w:t>
      </w:r>
      <w:r w:rsidR="00907D8C">
        <w:t xml:space="preserve"> </w:t>
      </w:r>
      <w:r w:rsidR="00B23551">
        <w:t>47</w:t>
      </w:r>
    </w:p>
    <w:p w:rsidR="00036FAC" w:rsidRPr="00B23551" w:rsidRDefault="00036FAC" w:rsidP="00B23551">
      <w:pPr>
        <w:pStyle w:val="SingleTxtG"/>
        <w:rPr>
          <w:b/>
        </w:rPr>
      </w:pPr>
      <w:r w:rsidRPr="00B23551">
        <w:rPr>
          <w:b/>
        </w:rPr>
        <w:t>Share</w:t>
      </w:r>
      <w:r w:rsidR="00907D8C" w:rsidRPr="00B23551">
        <w:rPr>
          <w:b/>
        </w:rPr>
        <w:t xml:space="preserve"> </w:t>
      </w:r>
      <w:r w:rsidRPr="00B23551">
        <w:rPr>
          <w:b/>
        </w:rPr>
        <w:t>of</w:t>
      </w:r>
      <w:r w:rsidR="00907D8C" w:rsidRPr="00B23551">
        <w:rPr>
          <w:b/>
        </w:rPr>
        <w:t xml:space="preserve"> </w:t>
      </w:r>
      <w:r w:rsidRPr="00B23551">
        <w:rPr>
          <w:b/>
        </w:rPr>
        <w:t>public</w:t>
      </w:r>
      <w:r w:rsidR="00907D8C" w:rsidRPr="00B23551">
        <w:rPr>
          <w:b/>
        </w:rPr>
        <w:t xml:space="preserve"> </w:t>
      </w:r>
      <w:r w:rsidRPr="00B23551">
        <w:rPr>
          <w:b/>
        </w:rPr>
        <w:t>expenditure</w:t>
      </w:r>
      <w:r w:rsidR="00907D8C" w:rsidRPr="00B23551">
        <w:rPr>
          <w:b/>
        </w:rPr>
        <w:t xml:space="preserve"> </w:t>
      </w:r>
      <w:r w:rsidRPr="00B23551">
        <w:rPr>
          <w:b/>
        </w:rPr>
        <w:t>on</w:t>
      </w:r>
      <w:r w:rsidR="00907D8C" w:rsidRPr="00B23551">
        <w:rPr>
          <w:b/>
        </w:rPr>
        <w:t xml:space="preserve"> </w:t>
      </w:r>
      <w:r w:rsidRPr="00B23551">
        <w:rPr>
          <w:b/>
        </w:rPr>
        <w:t>police</w:t>
      </w:r>
      <w:r w:rsidR="00907D8C" w:rsidRPr="00B23551">
        <w:rPr>
          <w:b/>
        </w:rPr>
        <w:t xml:space="preserve"> </w:t>
      </w:r>
      <w:r w:rsidRPr="00B23551">
        <w:rPr>
          <w:b/>
        </w:rPr>
        <w:t>and</w:t>
      </w:r>
      <w:r w:rsidR="00907D8C" w:rsidRPr="00B23551">
        <w:rPr>
          <w:b/>
        </w:rPr>
        <w:t xml:space="preserve"> </w:t>
      </w:r>
      <w:r w:rsidRPr="00B23551">
        <w:rPr>
          <w:b/>
        </w:rPr>
        <w:t>judiciary</w:t>
      </w:r>
      <w:bookmarkEnd w:id="7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6"/>
        <w:gridCol w:w="1260"/>
        <w:gridCol w:w="1261"/>
        <w:gridCol w:w="1261"/>
        <w:gridCol w:w="1261"/>
        <w:gridCol w:w="1261"/>
      </w:tblGrid>
      <w:tr w:rsidR="00036FAC" w:rsidRPr="00B23551" w:rsidTr="00B23551">
        <w:trPr>
          <w:trHeight w:val="240"/>
          <w:tblHeader/>
        </w:trPr>
        <w:tc>
          <w:tcPr>
            <w:tcW w:w="1066"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rPr>
                <w:i/>
                <w:sz w:val="16"/>
              </w:rPr>
            </w:pPr>
          </w:p>
        </w:tc>
        <w:tc>
          <w:tcPr>
            <w:tcW w:w="1260"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2005/06</w:t>
            </w:r>
            <w:r w:rsidR="00B23551">
              <w:rPr>
                <w:i/>
                <w:sz w:val="16"/>
              </w:rPr>
              <w:t xml:space="preserve"> </w:t>
            </w:r>
            <w:r w:rsidRPr="00B23551">
              <w:rPr>
                <w:i/>
                <w:sz w:val="16"/>
              </w:rPr>
              <w:t>(%)</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2006/07</w:t>
            </w:r>
            <w:r w:rsidR="00B23551">
              <w:rPr>
                <w:i/>
                <w:sz w:val="16"/>
              </w:rPr>
              <w:t xml:space="preserve"> </w:t>
            </w:r>
            <w:r w:rsidRPr="00B23551">
              <w:rPr>
                <w:i/>
                <w:sz w:val="16"/>
              </w:rPr>
              <w:t>(%)</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2007</w:t>
            </w:r>
            <w:r w:rsidR="000711F4">
              <w:rPr>
                <w:i/>
                <w:sz w:val="16"/>
              </w:rPr>
              <w:t>/</w:t>
            </w:r>
            <w:r w:rsidRPr="00B23551">
              <w:rPr>
                <w:i/>
                <w:sz w:val="16"/>
              </w:rPr>
              <w:t>08</w:t>
            </w:r>
            <w:r w:rsidR="00B23551">
              <w:rPr>
                <w:i/>
                <w:sz w:val="16"/>
              </w:rPr>
              <w:t xml:space="preserve"> </w:t>
            </w:r>
            <w:r w:rsidRPr="00B23551">
              <w:rPr>
                <w:i/>
                <w:sz w:val="16"/>
              </w:rPr>
              <w:t>(%)</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2008/09</w:t>
            </w:r>
            <w:r w:rsidR="00B23551">
              <w:rPr>
                <w:i/>
                <w:sz w:val="16"/>
              </w:rPr>
              <w:t xml:space="preserve"> </w:t>
            </w:r>
            <w:r w:rsidRPr="00B23551">
              <w:rPr>
                <w:i/>
                <w:sz w:val="16"/>
              </w:rPr>
              <w:t>(%)</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2009</w:t>
            </w:r>
            <w:r w:rsidR="000711F4">
              <w:rPr>
                <w:i/>
                <w:sz w:val="16"/>
              </w:rPr>
              <w:t>/</w:t>
            </w:r>
            <w:r w:rsidRPr="00B23551">
              <w:rPr>
                <w:i/>
                <w:sz w:val="16"/>
              </w:rPr>
              <w:t>10</w:t>
            </w:r>
            <w:r w:rsidR="00B23551">
              <w:rPr>
                <w:i/>
                <w:sz w:val="16"/>
              </w:rPr>
              <w:t xml:space="preserve"> </w:t>
            </w:r>
            <w:r w:rsidRPr="00B23551">
              <w:rPr>
                <w:i/>
                <w:sz w:val="16"/>
              </w:rPr>
              <w:t>(%)</w:t>
            </w:r>
          </w:p>
        </w:tc>
      </w:tr>
      <w:tr w:rsidR="00036FAC" w:rsidRPr="00B23551" w:rsidTr="00B23551">
        <w:trPr>
          <w:trHeight w:val="240"/>
        </w:trPr>
        <w:tc>
          <w:tcPr>
            <w:tcW w:w="1066" w:type="dxa"/>
            <w:tcBorders>
              <w:top w:val="single" w:sz="12" w:space="0" w:color="auto"/>
            </w:tcBorders>
            <w:shd w:val="clear" w:color="auto" w:fill="auto"/>
          </w:tcPr>
          <w:p w:rsidR="00036FAC" w:rsidRPr="00B23551" w:rsidRDefault="00036FAC" w:rsidP="00B23551">
            <w:pPr>
              <w:suppressAutoHyphens w:val="0"/>
              <w:spacing w:before="40" w:after="40" w:line="220" w:lineRule="exact"/>
              <w:ind w:right="113"/>
              <w:rPr>
                <w:sz w:val="18"/>
              </w:rPr>
            </w:pPr>
            <w:r w:rsidRPr="00B23551">
              <w:rPr>
                <w:sz w:val="18"/>
              </w:rPr>
              <w:t>Police</w:t>
            </w:r>
          </w:p>
        </w:tc>
        <w:tc>
          <w:tcPr>
            <w:tcW w:w="1260" w:type="dxa"/>
            <w:tcBorders>
              <w:top w:val="single" w:sz="12"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1.84</w:t>
            </w:r>
          </w:p>
        </w:tc>
        <w:tc>
          <w:tcPr>
            <w:tcW w:w="1261" w:type="dxa"/>
            <w:tcBorders>
              <w:top w:val="single" w:sz="12"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1.90</w:t>
            </w:r>
          </w:p>
        </w:tc>
        <w:tc>
          <w:tcPr>
            <w:tcW w:w="1261" w:type="dxa"/>
            <w:tcBorders>
              <w:top w:val="single" w:sz="12"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1.94</w:t>
            </w:r>
          </w:p>
        </w:tc>
        <w:tc>
          <w:tcPr>
            <w:tcW w:w="1261" w:type="dxa"/>
            <w:tcBorders>
              <w:top w:val="single" w:sz="12"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1.54</w:t>
            </w:r>
          </w:p>
        </w:tc>
        <w:tc>
          <w:tcPr>
            <w:tcW w:w="1261" w:type="dxa"/>
            <w:tcBorders>
              <w:top w:val="single" w:sz="12"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2.02</w:t>
            </w:r>
          </w:p>
        </w:tc>
      </w:tr>
      <w:tr w:rsidR="00036FAC" w:rsidRPr="00B23551" w:rsidTr="00B23551">
        <w:trPr>
          <w:trHeight w:val="240"/>
        </w:trPr>
        <w:tc>
          <w:tcPr>
            <w:tcW w:w="1066" w:type="dxa"/>
            <w:tcBorders>
              <w:bottom w:val="single" w:sz="4" w:space="0" w:color="auto"/>
            </w:tcBorders>
            <w:shd w:val="clear" w:color="auto" w:fill="auto"/>
          </w:tcPr>
          <w:p w:rsidR="00036FAC" w:rsidRPr="00B23551" w:rsidRDefault="00036FAC" w:rsidP="00B23551">
            <w:pPr>
              <w:suppressAutoHyphens w:val="0"/>
              <w:spacing w:before="40" w:after="40" w:line="220" w:lineRule="exact"/>
              <w:ind w:right="113"/>
              <w:rPr>
                <w:sz w:val="18"/>
              </w:rPr>
            </w:pPr>
            <w:r w:rsidRPr="00B23551">
              <w:rPr>
                <w:sz w:val="18"/>
              </w:rPr>
              <w:t>Courts</w:t>
            </w:r>
          </w:p>
        </w:tc>
        <w:tc>
          <w:tcPr>
            <w:tcW w:w="1260" w:type="dxa"/>
            <w:tcBorders>
              <w:bottom w:val="single" w:sz="4"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0.89</w:t>
            </w:r>
          </w:p>
        </w:tc>
        <w:tc>
          <w:tcPr>
            <w:tcW w:w="1261" w:type="dxa"/>
            <w:tcBorders>
              <w:bottom w:val="single" w:sz="4"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0.93</w:t>
            </w:r>
          </w:p>
        </w:tc>
        <w:tc>
          <w:tcPr>
            <w:tcW w:w="1261" w:type="dxa"/>
            <w:tcBorders>
              <w:bottom w:val="single" w:sz="4"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1.03</w:t>
            </w:r>
          </w:p>
        </w:tc>
        <w:tc>
          <w:tcPr>
            <w:tcW w:w="1261" w:type="dxa"/>
            <w:tcBorders>
              <w:bottom w:val="single" w:sz="4"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0.69</w:t>
            </w:r>
          </w:p>
        </w:tc>
        <w:tc>
          <w:tcPr>
            <w:tcW w:w="1261" w:type="dxa"/>
            <w:tcBorders>
              <w:bottom w:val="single" w:sz="4" w:space="0" w:color="auto"/>
            </w:tcBorders>
            <w:shd w:val="clear" w:color="auto" w:fill="auto"/>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0.95</w:t>
            </w:r>
          </w:p>
        </w:tc>
      </w:tr>
      <w:tr w:rsidR="00036FAC" w:rsidRPr="00B23551" w:rsidTr="00B23551">
        <w:trPr>
          <w:trHeight w:val="240"/>
        </w:trPr>
        <w:tc>
          <w:tcPr>
            <w:tcW w:w="1066" w:type="dxa"/>
            <w:tcBorders>
              <w:top w:val="single" w:sz="4" w:space="0" w:color="auto"/>
              <w:bottom w:val="single" w:sz="12" w:space="0" w:color="auto"/>
            </w:tcBorders>
            <w:shd w:val="clear" w:color="auto" w:fill="auto"/>
          </w:tcPr>
          <w:p w:rsidR="00036FAC" w:rsidRPr="00B23551" w:rsidRDefault="00036FAC" w:rsidP="00B23551">
            <w:pPr>
              <w:suppressAutoHyphens w:val="0"/>
              <w:spacing w:before="80" w:after="80" w:line="220" w:lineRule="exact"/>
              <w:ind w:left="284" w:right="113"/>
              <w:rPr>
                <w:b/>
                <w:sz w:val="18"/>
              </w:rPr>
            </w:pPr>
            <w:r w:rsidRPr="00B23551">
              <w:rPr>
                <w:b/>
                <w:sz w:val="18"/>
              </w:rPr>
              <w:t>Total</w:t>
            </w:r>
          </w:p>
        </w:tc>
        <w:tc>
          <w:tcPr>
            <w:tcW w:w="1260"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20" w:lineRule="exact"/>
              <w:ind w:right="113"/>
              <w:jc w:val="right"/>
              <w:rPr>
                <w:b/>
                <w:sz w:val="18"/>
              </w:rPr>
            </w:pPr>
            <w:r w:rsidRPr="00B23551">
              <w:rPr>
                <w:b/>
                <w:sz w:val="18"/>
              </w:rPr>
              <w:t>2.73</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20" w:lineRule="exact"/>
              <w:ind w:right="113"/>
              <w:jc w:val="right"/>
              <w:rPr>
                <w:b/>
                <w:sz w:val="18"/>
              </w:rPr>
            </w:pPr>
            <w:r w:rsidRPr="00B23551">
              <w:rPr>
                <w:b/>
                <w:sz w:val="18"/>
              </w:rPr>
              <w:t>2.83</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20" w:lineRule="exact"/>
              <w:ind w:right="113"/>
              <w:jc w:val="right"/>
              <w:rPr>
                <w:b/>
                <w:sz w:val="18"/>
              </w:rPr>
            </w:pPr>
            <w:r w:rsidRPr="00B23551">
              <w:rPr>
                <w:b/>
                <w:sz w:val="18"/>
              </w:rPr>
              <w:t>2.97</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20" w:lineRule="exact"/>
              <w:ind w:right="113"/>
              <w:jc w:val="right"/>
              <w:rPr>
                <w:b/>
                <w:sz w:val="18"/>
              </w:rPr>
            </w:pPr>
            <w:r w:rsidRPr="00B23551">
              <w:rPr>
                <w:b/>
                <w:sz w:val="18"/>
              </w:rPr>
              <w:t>2.23</w:t>
            </w:r>
          </w:p>
        </w:tc>
        <w:tc>
          <w:tcPr>
            <w:tcW w:w="1261" w:type="dxa"/>
            <w:tcBorders>
              <w:top w:val="single" w:sz="4" w:space="0" w:color="auto"/>
              <w:bottom w:val="single" w:sz="12" w:space="0" w:color="auto"/>
            </w:tcBorders>
            <w:shd w:val="clear" w:color="auto" w:fill="auto"/>
            <w:vAlign w:val="bottom"/>
          </w:tcPr>
          <w:p w:rsidR="00036FAC" w:rsidRPr="00B23551" w:rsidRDefault="00036FAC" w:rsidP="00B23551">
            <w:pPr>
              <w:suppressAutoHyphens w:val="0"/>
              <w:spacing w:before="80" w:after="80" w:line="220" w:lineRule="exact"/>
              <w:ind w:right="113"/>
              <w:jc w:val="right"/>
              <w:rPr>
                <w:b/>
                <w:sz w:val="18"/>
              </w:rPr>
            </w:pPr>
            <w:r w:rsidRPr="00B23551">
              <w:rPr>
                <w:b/>
                <w:sz w:val="18"/>
              </w:rPr>
              <w:t>2.97</w:t>
            </w:r>
          </w:p>
        </w:tc>
      </w:tr>
    </w:tbl>
    <w:p w:rsidR="00036FAC" w:rsidRPr="00B23551" w:rsidRDefault="00036FAC" w:rsidP="00B50FB5">
      <w:pPr>
        <w:spacing w:before="120" w:after="120"/>
        <w:ind w:left="1134" w:right="1134" w:firstLine="170"/>
        <w:rPr>
          <w:sz w:val="18"/>
          <w:szCs w:val="18"/>
        </w:rPr>
      </w:pPr>
      <w:r w:rsidRPr="00B23551">
        <w:rPr>
          <w:i/>
          <w:sz w:val="18"/>
          <w:szCs w:val="18"/>
        </w:rPr>
        <w:t>Source</w:t>
      </w:r>
      <w:r w:rsidRPr="00B23551">
        <w:rPr>
          <w:sz w:val="18"/>
          <w:szCs w:val="18"/>
        </w:rPr>
        <w:t>:</w:t>
      </w:r>
      <w:r w:rsidR="00907D8C" w:rsidRPr="00B23551">
        <w:rPr>
          <w:sz w:val="18"/>
          <w:szCs w:val="18"/>
        </w:rPr>
        <w:t xml:space="preserve"> </w:t>
      </w:r>
      <w:r w:rsidR="00B23551" w:rsidRPr="00B23551">
        <w:rPr>
          <w:sz w:val="18"/>
          <w:szCs w:val="18"/>
        </w:rPr>
        <w:t xml:space="preserve"> </w:t>
      </w:r>
      <w:r w:rsidRPr="00B23551">
        <w:rPr>
          <w:sz w:val="18"/>
          <w:szCs w:val="18"/>
        </w:rPr>
        <w:t>The</w:t>
      </w:r>
      <w:r w:rsidR="00907D8C" w:rsidRPr="00B23551">
        <w:rPr>
          <w:sz w:val="18"/>
          <w:szCs w:val="18"/>
        </w:rPr>
        <w:t xml:space="preserve"> </w:t>
      </w:r>
      <w:r w:rsidRPr="00B23551">
        <w:rPr>
          <w:sz w:val="18"/>
          <w:szCs w:val="18"/>
        </w:rPr>
        <w:t>Estimates</w:t>
      </w:r>
      <w:r w:rsidR="00907D8C" w:rsidRPr="00B23551">
        <w:rPr>
          <w:sz w:val="18"/>
          <w:szCs w:val="18"/>
        </w:rPr>
        <w:t xml:space="preserve"> </w:t>
      </w:r>
      <w:r w:rsidRPr="00B23551">
        <w:rPr>
          <w:sz w:val="18"/>
          <w:szCs w:val="18"/>
        </w:rPr>
        <w:t>of</w:t>
      </w:r>
      <w:r w:rsidR="00907D8C" w:rsidRPr="00B23551">
        <w:rPr>
          <w:sz w:val="18"/>
          <w:szCs w:val="18"/>
        </w:rPr>
        <w:t xml:space="preserve"> </w:t>
      </w:r>
      <w:r w:rsidRPr="00B23551">
        <w:rPr>
          <w:sz w:val="18"/>
          <w:szCs w:val="18"/>
        </w:rPr>
        <w:t>Appropriations,</w:t>
      </w:r>
      <w:r w:rsidR="00907D8C" w:rsidRPr="00B23551">
        <w:rPr>
          <w:sz w:val="18"/>
          <w:szCs w:val="18"/>
        </w:rPr>
        <w:t xml:space="preserve"> </w:t>
      </w:r>
      <w:r w:rsidRPr="00B23551">
        <w:rPr>
          <w:sz w:val="18"/>
          <w:szCs w:val="18"/>
        </w:rPr>
        <w:t>New</w:t>
      </w:r>
      <w:r w:rsidR="00907D8C" w:rsidRPr="00B23551">
        <w:rPr>
          <w:sz w:val="18"/>
          <w:szCs w:val="18"/>
        </w:rPr>
        <w:t xml:space="preserve"> </w:t>
      </w:r>
      <w:r w:rsidRPr="00B23551">
        <w:rPr>
          <w:sz w:val="18"/>
          <w:szCs w:val="18"/>
        </w:rPr>
        <w:t>Zealand</w:t>
      </w:r>
      <w:r w:rsidR="00907D8C" w:rsidRPr="00B23551">
        <w:rPr>
          <w:sz w:val="18"/>
          <w:szCs w:val="18"/>
        </w:rPr>
        <w:t xml:space="preserve"> </w:t>
      </w:r>
      <w:r w:rsidRPr="00B23551">
        <w:rPr>
          <w:sz w:val="18"/>
          <w:szCs w:val="18"/>
        </w:rPr>
        <w:t>Treasury</w:t>
      </w:r>
      <w:r w:rsidR="00B23551" w:rsidRPr="00B23551">
        <w:rPr>
          <w:sz w:val="18"/>
          <w:szCs w:val="18"/>
        </w:rPr>
        <w:t>.</w:t>
      </w:r>
    </w:p>
    <w:p w:rsidR="00036FAC" w:rsidRPr="00036FAC" w:rsidRDefault="00036FAC" w:rsidP="00B50FB5">
      <w:pPr>
        <w:pStyle w:val="SingleTxtG"/>
        <w:spacing w:after="80"/>
      </w:pPr>
      <w:r w:rsidRPr="00036FAC">
        <w:t>136.</w:t>
      </w:r>
      <w:r w:rsidRPr="00036FAC">
        <w:tab/>
        <w:t>Courts</w:t>
      </w:r>
      <w:r w:rsidR="00907D8C">
        <w:t xml:space="preserve"> </w:t>
      </w:r>
      <w:r w:rsidRPr="00036FAC">
        <w:t>above</w:t>
      </w:r>
      <w:r w:rsidR="00907D8C">
        <w:t xml:space="preserve"> </w:t>
      </w:r>
      <w:r w:rsidRPr="00036FAC">
        <w:t>include</w:t>
      </w:r>
      <w:r w:rsidR="00907D8C">
        <w:t xml:space="preserve"> </w:t>
      </w:r>
      <w:r w:rsidRPr="00036FAC">
        <w:t>the</w:t>
      </w:r>
      <w:r w:rsidR="00907D8C">
        <w:t xml:space="preserve"> </w:t>
      </w:r>
      <w:r w:rsidRPr="00036FAC">
        <w:t>salaries</w:t>
      </w:r>
      <w:r w:rsidR="00907D8C">
        <w:t xml:space="preserve"> </w:t>
      </w:r>
      <w:r w:rsidRPr="00036FAC">
        <w:t>of</w:t>
      </w:r>
      <w:r w:rsidR="00907D8C">
        <w:t xml:space="preserve"> </w:t>
      </w:r>
      <w:r w:rsidRPr="00036FAC">
        <w:t>judges.</w:t>
      </w:r>
      <w:r w:rsidR="00907D8C">
        <w:t xml:space="preserve"> </w:t>
      </w:r>
      <w:r w:rsidRPr="00036FAC">
        <w:t>The</w:t>
      </w:r>
      <w:r w:rsidR="00907D8C">
        <w:t xml:space="preserve"> </w:t>
      </w:r>
      <w:r w:rsidRPr="00036FAC">
        <w:t>cost</w:t>
      </w:r>
      <w:r w:rsidR="00907D8C">
        <w:t xml:space="preserve"> </w:t>
      </w:r>
      <w:r w:rsidRPr="00036FAC">
        <w:t>of</w:t>
      </w:r>
      <w:r w:rsidR="00907D8C">
        <w:t xml:space="preserve"> </w:t>
      </w:r>
      <w:r w:rsidRPr="00036FAC">
        <w:t>the</w:t>
      </w:r>
      <w:r w:rsidR="00907D8C">
        <w:t xml:space="preserve"> </w:t>
      </w:r>
      <w:r w:rsidRPr="00036FAC">
        <w:t>entire</w:t>
      </w:r>
      <w:r w:rsidR="00907D8C">
        <w:t xml:space="preserve"> </w:t>
      </w:r>
      <w:r w:rsidRPr="00036FAC">
        <w:t>justice</w:t>
      </w:r>
      <w:r w:rsidR="00907D8C">
        <w:t xml:space="preserve"> </w:t>
      </w:r>
      <w:r w:rsidRPr="00036FAC">
        <w:t>sector</w:t>
      </w:r>
      <w:r w:rsidR="00907D8C">
        <w:t xml:space="preserve"> </w:t>
      </w:r>
      <w:r w:rsidRPr="00036FAC">
        <w:t>is</w:t>
      </w:r>
      <w:r w:rsidR="00907D8C">
        <w:t xml:space="preserve"> </w:t>
      </w:r>
      <w:r w:rsidRPr="00036FAC">
        <w:t>provided</w:t>
      </w:r>
      <w:r w:rsidR="00907D8C">
        <w:t xml:space="preserve"> </w:t>
      </w:r>
      <w:r w:rsidRPr="00036FAC">
        <w:t>in</w:t>
      </w:r>
      <w:r w:rsidR="00907D8C">
        <w:t xml:space="preserve"> </w:t>
      </w:r>
      <w:r w:rsidRPr="00036FAC">
        <w:t>Table</w:t>
      </w:r>
      <w:r w:rsidR="00907D8C">
        <w:t xml:space="preserve"> </w:t>
      </w:r>
      <w:r w:rsidRPr="00036FAC">
        <w:t>10.</w:t>
      </w:r>
    </w:p>
    <w:p w:rsidR="00036FAC" w:rsidRPr="00036FAC" w:rsidRDefault="00036FAC" w:rsidP="006C436C">
      <w:pPr>
        <w:pStyle w:val="H23G"/>
      </w:pPr>
      <w:r w:rsidRPr="00036FAC">
        <w:tab/>
        <w:t>(f)</w:t>
      </w:r>
      <w:r w:rsidRPr="00036FAC">
        <w:tab/>
        <w:t>Legal</w:t>
      </w:r>
      <w:r w:rsidR="00907D8C">
        <w:t xml:space="preserve"> </w:t>
      </w:r>
      <w:r w:rsidRPr="00036FAC">
        <w:t>aid</w:t>
      </w:r>
      <w:r w:rsidR="00907D8C">
        <w:t xml:space="preserve"> </w:t>
      </w:r>
      <w:r w:rsidRPr="00036FAC">
        <w:t>and</w:t>
      </w:r>
      <w:r w:rsidR="00907D8C">
        <w:t xml:space="preserve"> </w:t>
      </w:r>
      <w:r w:rsidRPr="00036FAC">
        <w:t>reparations</w:t>
      </w:r>
    </w:p>
    <w:p w:rsidR="00036FAC" w:rsidRPr="00036FAC" w:rsidRDefault="00036FAC" w:rsidP="00B50FB5">
      <w:pPr>
        <w:pStyle w:val="SingleTxtG"/>
        <w:spacing w:after="80"/>
      </w:pPr>
      <w:r w:rsidRPr="00036FAC">
        <w:t>137.</w:t>
      </w:r>
      <w:r w:rsidRPr="00036FAC">
        <w:tab/>
        <w:t>Legal</w:t>
      </w:r>
      <w:r w:rsidR="00907D8C">
        <w:t xml:space="preserve"> </w:t>
      </w:r>
      <w:r w:rsidRPr="00036FAC">
        <w:t>aid</w:t>
      </w:r>
      <w:r w:rsidR="00907D8C">
        <w:t xml:space="preserve"> </w:t>
      </w:r>
      <w:r w:rsidRPr="00036FAC">
        <w:t>is</w:t>
      </w:r>
      <w:r w:rsidR="00907D8C">
        <w:t xml:space="preserve"> </w:t>
      </w:r>
      <w:r w:rsidRPr="00036FAC">
        <w:t>available</w:t>
      </w:r>
      <w:r w:rsidR="00907D8C">
        <w:t xml:space="preserve"> </w:t>
      </w:r>
      <w:r w:rsidRPr="00036FAC">
        <w:t>for</w:t>
      </w:r>
      <w:r w:rsidR="00907D8C">
        <w:t xml:space="preserve"> </w:t>
      </w:r>
      <w:r w:rsidRPr="00036FAC">
        <w:t>criminal,</w:t>
      </w:r>
      <w:r w:rsidR="00907D8C">
        <w:t xml:space="preserve"> </w:t>
      </w:r>
      <w:r w:rsidRPr="00036FAC">
        <w:t>family,</w:t>
      </w:r>
      <w:r w:rsidR="00907D8C">
        <w:t xml:space="preserve"> </w:t>
      </w:r>
      <w:r w:rsidRPr="00036FAC">
        <w:t>and</w:t>
      </w:r>
      <w:r w:rsidR="00907D8C">
        <w:t xml:space="preserve"> </w:t>
      </w:r>
      <w:r w:rsidRPr="00036FAC">
        <w:t>civil</w:t>
      </w:r>
      <w:r w:rsidR="00907D8C">
        <w:t xml:space="preserve"> </w:t>
      </w:r>
      <w:r w:rsidRPr="00036FAC">
        <w:t>proceedings</w:t>
      </w:r>
      <w:r w:rsidR="00907D8C">
        <w:t xml:space="preserve"> </w:t>
      </w:r>
      <w:r w:rsidRPr="00036FAC">
        <w:t>and</w:t>
      </w:r>
      <w:r w:rsidR="00907D8C">
        <w:t xml:space="preserve"> </w:t>
      </w:r>
      <w:r w:rsidRPr="00036FAC">
        <w:t>for</w:t>
      </w:r>
      <w:r w:rsidR="00907D8C">
        <w:t xml:space="preserve"> </w:t>
      </w:r>
      <w:r w:rsidRPr="00036FAC">
        <w:t>Māori</w:t>
      </w:r>
      <w:r w:rsidR="00907D8C">
        <w:t xml:space="preserve"> </w:t>
      </w:r>
      <w:r w:rsidRPr="00036FAC">
        <w:t>to</w:t>
      </w:r>
      <w:r w:rsidR="00907D8C">
        <w:t xml:space="preserve"> </w:t>
      </w:r>
      <w:r w:rsidRPr="00036FAC">
        <w:t>appear</w:t>
      </w:r>
      <w:r w:rsidR="00907D8C">
        <w:t xml:space="preserve"> </w:t>
      </w:r>
      <w:r w:rsidRPr="00036FAC">
        <w:t>at</w:t>
      </w:r>
      <w:r w:rsidR="00907D8C">
        <w:t xml:space="preserve"> </w:t>
      </w:r>
      <w:r w:rsidRPr="00036FAC">
        <w:t>the</w:t>
      </w:r>
      <w:r w:rsidR="00907D8C">
        <w:t xml:space="preserve"> </w:t>
      </w:r>
      <w:r w:rsidRPr="00036FAC">
        <w:t>Waitangi</w:t>
      </w:r>
      <w:r w:rsidR="00907D8C">
        <w:t xml:space="preserve"> </w:t>
      </w:r>
      <w:r w:rsidRPr="00036FAC">
        <w:t>Tribunal.</w:t>
      </w:r>
      <w:r w:rsidR="00907D8C">
        <w:t xml:space="preserve"> </w:t>
      </w:r>
      <w:r w:rsidRPr="00036FAC">
        <w:t>Legal</w:t>
      </w:r>
      <w:r w:rsidR="00907D8C">
        <w:t xml:space="preserve"> </w:t>
      </w:r>
      <w:r w:rsidRPr="00036FAC">
        <w:t>aid</w:t>
      </w:r>
      <w:r w:rsidR="00907D8C">
        <w:t xml:space="preserve"> </w:t>
      </w:r>
      <w:r w:rsidRPr="00036FAC">
        <w:t>is</w:t>
      </w:r>
      <w:r w:rsidR="00907D8C">
        <w:t xml:space="preserve"> </w:t>
      </w:r>
      <w:r w:rsidRPr="00036FAC">
        <w:t>granted</w:t>
      </w:r>
      <w:r w:rsidR="00907D8C">
        <w:t xml:space="preserve"> </w:t>
      </w:r>
      <w:r w:rsidRPr="00036FAC">
        <w:t>subject</w:t>
      </w:r>
      <w:r w:rsidR="00907D8C">
        <w:t xml:space="preserve"> </w:t>
      </w:r>
      <w:r w:rsidRPr="00036FAC">
        <w:t>to</w:t>
      </w:r>
      <w:r w:rsidR="00907D8C">
        <w:t xml:space="preserve"> </w:t>
      </w:r>
      <w:r w:rsidRPr="00036FAC">
        <w:t>a</w:t>
      </w:r>
      <w:r w:rsidR="00907D8C">
        <w:t xml:space="preserve"> </w:t>
      </w:r>
      <w:r w:rsidRPr="00036FAC">
        <w:t>financial</w:t>
      </w:r>
      <w:r w:rsidR="00907D8C">
        <w:t xml:space="preserve"> </w:t>
      </w:r>
      <w:r w:rsidRPr="00036FAC">
        <w:t>eligibility</w:t>
      </w:r>
      <w:r w:rsidR="00907D8C">
        <w:t xml:space="preserve"> </w:t>
      </w:r>
      <w:r w:rsidRPr="00036FAC">
        <w:t>test,</w:t>
      </w:r>
      <w:r w:rsidR="00907D8C">
        <w:t xml:space="preserve"> </w:t>
      </w:r>
      <w:r w:rsidRPr="00036FAC">
        <w:t>which</w:t>
      </w:r>
      <w:r w:rsidR="00907D8C">
        <w:t xml:space="preserve"> </w:t>
      </w:r>
      <w:r w:rsidRPr="00036FAC">
        <w:t>assesses</w:t>
      </w:r>
      <w:r w:rsidR="00907D8C">
        <w:t xml:space="preserve"> </w:t>
      </w:r>
      <w:r w:rsidRPr="00036FAC">
        <w:t>whether</w:t>
      </w:r>
      <w:r w:rsidR="00907D8C">
        <w:t xml:space="preserve"> </w:t>
      </w:r>
      <w:r w:rsidRPr="00036FAC">
        <w:t>the</w:t>
      </w:r>
      <w:r w:rsidR="00907D8C">
        <w:t xml:space="preserve"> </w:t>
      </w:r>
      <w:r w:rsidRPr="00036FAC">
        <w:t>person</w:t>
      </w:r>
      <w:r w:rsidR="00907D8C">
        <w:t xml:space="preserve"> </w:t>
      </w:r>
      <w:r w:rsidRPr="00036FAC">
        <w:t>has</w:t>
      </w:r>
      <w:r w:rsidR="00907D8C">
        <w:t xml:space="preserve"> </w:t>
      </w:r>
      <w:r w:rsidRPr="00036FAC">
        <w:t>sufficient</w:t>
      </w:r>
      <w:r w:rsidR="00907D8C">
        <w:t xml:space="preserve"> </w:t>
      </w:r>
      <w:r w:rsidRPr="00036FAC">
        <w:t>means</w:t>
      </w:r>
      <w:r w:rsidR="00907D8C">
        <w:t xml:space="preserve"> </w:t>
      </w:r>
      <w:r w:rsidRPr="00036FAC">
        <w:t>to</w:t>
      </w:r>
      <w:r w:rsidR="00907D8C">
        <w:t xml:space="preserve"> </w:t>
      </w:r>
      <w:r w:rsidRPr="00036FAC">
        <w:t>pay</w:t>
      </w:r>
      <w:r w:rsidR="00907D8C">
        <w:t xml:space="preserve"> </w:t>
      </w:r>
      <w:r w:rsidRPr="00036FAC">
        <w:t>for</w:t>
      </w:r>
      <w:r w:rsidR="00907D8C">
        <w:t xml:space="preserve"> </w:t>
      </w:r>
      <w:r w:rsidRPr="00036FAC">
        <w:t>a</w:t>
      </w:r>
      <w:r w:rsidR="00907D8C">
        <w:t xml:space="preserve"> </w:t>
      </w:r>
      <w:r w:rsidRPr="00036FAC">
        <w:t>lawyer,</w:t>
      </w:r>
      <w:r w:rsidR="00907D8C">
        <w:t xml:space="preserve"> </w:t>
      </w:r>
      <w:r w:rsidRPr="00036FAC">
        <w:t>and</w:t>
      </w:r>
      <w:r w:rsidR="00907D8C">
        <w:t xml:space="preserve"> </w:t>
      </w:r>
      <w:r w:rsidRPr="00036FAC">
        <w:t>a</w:t>
      </w:r>
      <w:r w:rsidR="00907D8C">
        <w:t xml:space="preserve"> </w:t>
      </w:r>
      <w:r w:rsidRPr="00036FAC">
        <w:t>merits</w:t>
      </w:r>
      <w:r w:rsidR="00907D8C">
        <w:t xml:space="preserve"> </w:t>
      </w:r>
      <w:r w:rsidRPr="00036FAC">
        <w:t>test,</w:t>
      </w:r>
      <w:r w:rsidR="00907D8C">
        <w:t xml:space="preserve"> </w:t>
      </w:r>
      <w:r w:rsidRPr="00036FAC">
        <w:t>which</w:t>
      </w:r>
      <w:r w:rsidR="00907D8C">
        <w:t xml:space="preserve"> </w:t>
      </w:r>
      <w:r w:rsidRPr="00036FAC">
        <w:t>assesses</w:t>
      </w:r>
      <w:r w:rsidR="00907D8C">
        <w:t xml:space="preserve"> </w:t>
      </w:r>
      <w:r w:rsidRPr="00036FAC">
        <w:t>whether</w:t>
      </w:r>
      <w:r w:rsidR="00907D8C">
        <w:t xml:space="preserve"> </w:t>
      </w:r>
      <w:r w:rsidRPr="00036FAC">
        <w:t>the</w:t>
      </w:r>
      <w:r w:rsidR="00907D8C">
        <w:t xml:space="preserve"> </w:t>
      </w:r>
      <w:r w:rsidRPr="00036FAC">
        <w:t>case</w:t>
      </w:r>
      <w:r w:rsidR="00907D8C">
        <w:t xml:space="preserve"> </w:t>
      </w:r>
      <w:r w:rsidRPr="00036FAC">
        <w:t>should</w:t>
      </w:r>
      <w:r w:rsidR="00907D8C">
        <w:t xml:space="preserve"> </w:t>
      </w:r>
      <w:r w:rsidRPr="00036FAC">
        <w:t>be</w:t>
      </w:r>
      <w:r w:rsidR="00907D8C">
        <w:t xml:space="preserve"> </w:t>
      </w:r>
      <w:r w:rsidRPr="00036FAC">
        <w:t>funded.</w:t>
      </w:r>
    </w:p>
    <w:p w:rsidR="00036FAC" w:rsidRPr="00036FAC" w:rsidRDefault="00036FAC" w:rsidP="00B23551">
      <w:pPr>
        <w:pStyle w:val="SingleTxtG"/>
      </w:pPr>
      <w:r w:rsidRPr="00036FAC">
        <w:t>138.</w:t>
      </w:r>
      <w:r w:rsidRPr="00036FAC">
        <w:tab/>
        <w:t>The</w:t>
      </w:r>
      <w:r w:rsidR="00907D8C">
        <w:t xml:space="preserve"> </w:t>
      </w:r>
      <w:r w:rsidRPr="00036FAC">
        <w:t>successful</w:t>
      </w:r>
      <w:r w:rsidR="00907D8C">
        <w:t xml:space="preserve"> </w:t>
      </w:r>
      <w:r w:rsidRPr="00036FAC">
        <w:t>applicant</w:t>
      </w:r>
      <w:r w:rsidR="00907D8C">
        <w:t xml:space="preserve"> </w:t>
      </w:r>
      <w:r w:rsidRPr="00036FAC">
        <w:t>may</w:t>
      </w:r>
      <w:r w:rsidR="00907D8C">
        <w:t xml:space="preserve"> </w:t>
      </w:r>
      <w:r w:rsidRPr="00036FAC">
        <w:t>be</w:t>
      </w:r>
      <w:r w:rsidR="00907D8C">
        <w:t xml:space="preserve"> </w:t>
      </w:r>
      <w:r w:rsidRPr="00036FAC">
        <w:t>required</w:t>
      </w:r>
      <w:r w:rsidR="00907D8C">
        <w:t xml:space="preserve"> </w:t>
      </w:r>
      <w:r w:rsidRPr="00036FAC">
        <w:t>to</w:t>
      </w:r>
      <w:r w:rsidR="00907D8C">
        <w:t xml:space="preserve"> </w:t>
      </w:r>
      <w:r w:rsidRPr="00036FAC">
        <w:t>repay</w:t>
      </w:r>
      <w:r w:rsidR="00907D8C">
        <w:t xml:space="preserve"> </w:t>
      </w:r>
      <w:r w:rsidRPr="00036FAC">
        <w:t>some,</w:t>
      </w:r>
      <w:r w:rsidR="00907D8C">
        <w:t xml:space="preserve"> </w:t>
      </w:r>
      <w:r w:rsidRPr="00036FAC">
        <w:t>or</w:t>
      </w:r>
      <w:r w:rsidR="00907D8C">
        <w:t xml:space="preserve"> </w:t>
      </w:r>
      <w:r w:rsidRPr="00036FAC">
        <w:t>all,</w:t>
      </w:r>
      <w:r w:rsidR="00907D8C">
        <w:t xml:space="preserve"> </w:t>
      </w:r>
      <w:r w:rsidRPr="00036FAC">
        <w:t>of</w:t>
      </w:r>
      <w:r w:rsidR="00907D8C">
        <w:t xml:space="preserve"> </w:t>
      </w:r>
      <w:r w:rsidRPr="00036FAC">
        <w:t>their</w:t>
      </w:r>
      <w:r w:rsidR="00907D8C">
        <w:t xml:space="preserve"> </w:t>
      </w:r>
      <w:r w:rsidRPr="00036FAC">
        <w:t>legal</w:t>
      </w:r>
      <w:r w:rsidR="00907D8C">
        <w:t xml:space="preserve"> </w:t>
      </w:r>
      <w:r w:rsidRPr="00036FAC">
        <w:t>aid.</w:t>
      </w:r>
      <w:r w:rsidR="00907D8C">
        <w:t xml:space="preserve"> </w:t>
      </w:r>
      <w:r w:rsidRPr="00036FAC">
        <w:t>The</w:t>
      </w:r>
      <w:r w:rsidR="00907D8C">
        <w:t xml:space="preserve"> </w:t>
      </w:r>
      <w:r w:rsidRPr="00036FAC">
        <w:t>rate</w:t>
      </w:r>
      <w:r w:rsidR="00907D8C">
        <w:t xml:space="preserve"> </w:t>
      </w:r>
      <w:r w:rsidRPr="00036FAC">
        <w:t>of</w:t>
      </w:r>
      <w:r w:rsidR="00907D8C">
        <w:t xml:space="preserve"> </w:t>
      </w:r>
      <w:r w:rsidRPr="00036FAC">
        <w:t>successful</w:t>
      </w:r>
      <w:r w:rsidR="00907D8C">
        <w:t xml:space="preserve"> </w:t>
      </w:r>
      <w:r w:rsidRPr="00036FAC">
        <w:t>applications</w:t>
      </w:r>
      <w:r w:rsidR="00907D8C">
        <w:t xml:space="preserve"> </w:t>
      </w:r>
      <w:r w:rsidRPr="00036FAC">
        <w:t>indicates</w:t>
      </w:r>
      <w:r w:rsidR="00907D8C">
        <w:t xml:space="preserve"> </w:t>
      </w:r>
      <w:r w:rsidRPr="00036FAC">
        <w:t>some</w:t>
      </w:r>
      <w:r w:rsidR="00907D8C">
        <w:t xml:space="preserve"> </w:t>
      </w:r>
      <w:r w:rsidRPr="00036FAC">
        <w:t>degree</w:t>
      </w:r>
      <w:r w:rsidR="00907D8C">
        <w:t xml:space="preserve"> </w:t>
      </w:r>
      <w:r w:rsidRPr="00036FAC">
        <w:t>of</w:t>
      </w:r>
      <w:r w:rsidR="00907D8C">
        <w:t xml:space="preserve"> </w:t>
      </w:r>
      <w:r w:rsidRPr="00036FAC">
        <w:t>self-selection,</w:t>
      </w:r>
      <w:r w:rsidR="00907D8C">
        <w:t xml:space="preserve"> </w:t>
      </w:r>
      <w:r w:rsidRPr="00036FAC">
        <w:t>where</w:t>
      </w:r>
      <w:r w:rsidR="00907D8C">
        <w:t xml:space="preserve"> </w:t>
      </w:r>
      <w:r w:rsidRPr="00036FAC">
        <w:t>people</w:t>
      </w:r>
      <w:r w:rsidR="00907D8C">
        <w:t xml:space="preserve"> </w:t>
      </w:r>
      <w:r w:rsidRPr="00036FAC">
        <w:t>who</w:t>
      </w:r>
      <w:r w:rsidR="00907D8C">
        <w:t xml:space="preserve"> </w:t>
      </w:r>
      <w:r w:rsidRPr="00036FAC">
        <w:t>would</w:t>
      </w:r>
      <w:r w:rsidR="00907D8C">
        <w:t xml:space="preserve"> </w:t>
      </w:r>
      <w:r w:rsidRPr="00036FAC">
        <w:t>not</w:t>
      </w:r>
      <w:r w:rsidR="00907D8C">
        <w:t xml:space="preserve"> </w:t>
      </w:r>
      <w:r w:rsidRPr="00036FAC">
        <w:t>be</w:t>
      </w:r>
      <w:r w:rsidR="00907D8C">
        <w:t xml:space="preserve"> </w:t>
      </w:r>
      <w:r w:rsidRPr="00036FAC">
        <w:t>eligible</w:t>
      </w:r>
      <w:r w:rsidR="00907D8C">
        <w:t xml:space="preserve"> </w:t>
      </w:r>
      <w:r w:rsidRPr="00036FAC">
        <w:t>for</w:t>
      </w:r>
      <w:r w:rsidR="00907D8C">
        <w:t xml:space="preserve"> </w:t>
      </w:r>
      <w:r w:rsidRPr="00036FAC">
        <w:t>legal</w:t>
      </w:r>
      <w:r w:rsidR="00907D8C">
        <w:t xml:space="preserve"> </w:t>
      </w:r>
      <w:r w:rsidRPr="00036FAC">
        <w:t>aid</w:t>
      </w:r>
      <w:r w:rsidR="00907D8C">
        <w:t xml:space="preserve"> </w:t>
      </w:r>
      <w:r w:rsidRPr="00036FAC">
        <w:t>do</w:t>
      </w:r>
      <w:r w:rsidR="00907D8C">
        <w:t xml:space="preserve"> </w:t>
      </w:r>
      <w:r w:rsidRPr="00036FAC">
        <w:t>not</w:t>
      </w:r>
      <w:r w:rsidR="00907D8C">
        <w:t xml:space="preserve"> </w:t>
      </w:r>
      <w:r w:rsidRPr="00036FAC">
        <w:t>attempt</w:t>
      </w:r>
      <w:r w:rsidR="00907D8C">
        <w:t xml:space="preserve"> </w:t>
      </w:r>
      <w:r w:rsidRPr="00036FAC">
        <w:t>to</w:t>
      </w:r>
      <w:r w:rsidR="00907D8C">
        <w:t xml:space="preserve"> </w:t>
      </w:r>
      <w:r w:rsidRPr="00036FAC">
        <w:t>apply</w:t>
      </w:r>
      <w:r w:rsidR="00907D8C">
        <w:t xml:space="preserve"> </w:t>
      </w:r>
      <w:r w:rsidRPr="00036FAC">
        <w:t>for</w:t>
      </w:r>
      <w:r w:rsidR="00907D8C">
        <w:t xml:space="preserve"> </w:t>
      </w:r>
      <w:r w:rsidRPr="00036FAC">
        <w:t>legal</w:t>
      </w:r>
      <w:r w:rsidR="00907D8C">
        <w:t xml:space="preserve"> </w:t>
      </w:r>
      <w:r w:rsidRPr="00036FAC">
        <w:t>aid.</w:t>
      </w:r>
    </w:p>
    <w:p w:rsidR="00B23551" w:rsidRDefault="00036FAC" w:rsidP="00B23551">
      <w:pPr>
        <w:pStyle w:val="Heading1"/>
      </w:pPr>
      <w:bookmarkStart w:id="79" w:name="_Toc275331949"/>
      <w:r w:rsidRPr="00036FAC">
        <w:t>Table</w:t>
      </w:r>
      <w:r w:rsidR="00907D8C">
        <w:t xml:space="preserve"> </w:t>
      </w:r>
      <w:r w:rsidR="00B23551">
        <w:t>48</w:t>
      </w:r>
    </w:p>
    <w:p w:rsidR="00036FAC" w:rsidRPr="00B23551" w:rsidRDefault="00036FAC" w:rsidP="00B23551">
      <w:pPr>
        <w:pStyle w:val="SingleTxtG"/>
        <w:rPr>
          <w:b/>
        </w:rPr>
      </w:pPr>
      <w:r w:rsidRPr="00B23551">
        <w:rPr>
          <w:b/>
        </w:rPr>
        <w:t>Legal</w:t>
      </w:r>
      <w:r w:rsidR="00907D8C" w:rsidRPr="00B23551">
        <w:rPr>
          <w:b/>
        </w:rPr>
        <w:t xml:space="preserve"> </w:t>
      </w:r>
      <w:r w:rsidRPr="00B23551">
        <w:rPr>
          <w:b/>
        </w:rPr>
        <w:t>aid</w:t>
      </w:r>
      <w:r w:rsidR="00907D8C" w:rsidRPr="00B23551">
        <w:rPr>
          <w:b/>
        </w:rPr>
        <w:t xml:space="preserve"> </w:t>
      </w:r>
      <w:r w:rsidRPr="00B23551">
        <w:rPr>
          <w:b/>
        </w:rPr>
        <w:t>applications</w:t>
      </w:r>
      <w:r w:rsidR="00907D8C" w:rsidRPr="00B23551">
        <w:rPr>
          <w:b/>
        </w:rPr>
        <w:t xml:space="preserve"> </w:t>
      </w:r>
      <w:r w:rsidRPr="00B23551">
        <w:rPr>
          <w:b/>
        </w:rPr>
        <w:t>not</w:t>
      </w:r>
      <w:r w:rsidR="00907D8C" w:rsidRPr="00B23551">
        <w:rPr>
          <w:b/>
        </w:rPr>
        <w:t xml:space="preserve"> </w:t>
      </w:r>
      <w:r w:rsidRPr="00B23551">
        <w:rPr>
          <w:b/>
        </w:rPr>
        <w:t>approved</w:t>
      </w:r>
      <w:bookmarkEnd w:id="79"/>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75"/>
        <w:gridCol w:w="865"/>
        <w:gridCol w:w="866"/>
        <w:gridCol w:w="866"/>
        <w:gridCol w:w="867"/>
        <w:gridCol w:w="866"/>
        <w:gridCol w:w="867"/>
        <w:gridCol w:w="866"/>
        <w:gridCol w:w="867"/>
      </w:tblGrid>
      <w:tr w:rsidR="00036FAC" w:rsidRPr="00B23551" w:rsidTr="00C23F6E">
        <w:trPr>
          <w:trHeight w:val="240"/>
          <w:tblHeader/>
        </w:trPr>
        <w:tc>
          <w:tcPr>
            <w:tcW w:w="1366" w:type="dxa"/>
            <w:tcBorders>
              <w:top w:val="single" w:sz="4" w:space="0" w:color="auto"/>
              <w:bottom w:val="nil"/>
            </w:tcBorders>
            <w:shd w:val="clear" w:color="auto" w:fill="auto"/>
            <w:vAlign w:val="bottom"/>
          </w:tcPr>
          <w:p w:rsidR="00036FAC" w:rsidRPr="00B23551" w:rsidRDefault="00036FAC" w:rsidP="00B23551">
            <w:pPr>
              <w:suppressAutoHyphens w:val="0"/>
              <w:spacing w:before="80" w:after="80" w:line="200" w:lineRule="exact"/>
              <w:ind w:right="113"/>
              <w:rPr>
                <w:i/>
                <w:sz w:val="16"/>
              </w:rPr>
            </w:pPr>
          </w:p>
        </w:tc>
        <w:tc>
          <w:tcPr>
            <w:tcW w:w="1501" w:type="dxa"/>
            <w:gridSpan w:val="2"/>
            <w:tcBorders>
              <w:top w:val="single" w:sz="4" w:space="0" w:color="auto"/>
              <w:bottom w:val="single" w:sz="4"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center"/>
              <w:rPr>
                <w:i/>
                <w:sz w:val="16"/>
              </w:rPr>
            </w:pPr>
            <w:r w:rsidRPr="00B23551">
              <w:rPr>
                <w:i/>
                <w:sz w:val="16"/>
              </w:rPr>
              <w:t>Criminal</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center"/>
              <w:rPr>
                <w:i/>
                <w:sz w:val="16"/>
              </w:rPr>
            </w:pPr>
            <w:r w:rsidRPr="00B23551">
              <w:rPr>
                <w:i/>
                <w:sz w:val="16"/>
              </w:rPr>
              <w:t>Family</w:t>
            </w:r>
          </w:p>
        </w:tc>
        <w:tc>
          <w:tcPr>
            <w:tcW w:w="1501"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center"/>
              <w:rPr>
                <w:i/>
                <w:sz w:val="16"/>
              </w:rPr>
            </w:pPr>
            <w:r w:rsidRPr="00B23551">
              <w:rPr>
                <w:i/>
                <w:sz w:val="16"/>
              </w:rPr>
              <w:t>Civil</w:t>
            </w:r>
          </w:p>
        </w:tc>
        <w:tc>
          <w:tcPr>
            <w:tcW w:w="1501" w:type="dxa"/>
            <w:gridSpan w:val="2"/>
            <w:tcBorders>
              <w:top w:val="single" w:sz="4" w:space="0" w:color="auto"/>
              <w:left w:val="single" w:sz="24" w:space="0" w:color="FFFFFF"/>
              <w:bottom w:val="single" w:sz="4" w:space="0" w:color="auto"/>
            </w:tcBorders>
            <w:shd w:val="clear" w:color="auto" w:fill="auto"/>
            <w:noWrap/>
            <w:vAlign w:val="bottom"/>
          </w:tcPr>
          <w:p w:rsidR="00036FAC" w:rsidRPr="00B23551" w:rsidRDefault="00036FAC" w:rsidP="00B23551">
            <w:pPr>
              <w:suppressAutoHyphens w:val="0"/>
              <w:spacing w:before="80" w:after="80" w:line="200" w:lineRule="exact"/>
              <w:ind w:right="113"/>
              <w:jc w:val="center"/>
              <w:rPr>
                <w:b/>
                <w:i/>
                <w:sz w:val="16"/>
              </w:rPr>
            </w:pPr>
            <w:r w:rsidRPr="00B23551">
              <w:rPr>
                <w:b/>
                <w:i/>
                <w:sz w:val="16"/>
              </w:rPr>
              <w:t>Total</w:t>
            </w:r>
          </w:p>
        </w:tc>
      </w:tr>
      <w:tr w:rsidR="00036FAC" w:rsidRPr="00B23551" w:rsidTr="00C23F6E">
        <w:trPr>
          <w:trHeight w:val="240"/>
        </w:trPr>
        <w:tc>
          <w:tcPr>
            <w:tcW w:w="1366" w:type="dxa"/>
            <w:tcBorders>
              <w:top w:val="nil"/>
              <w:bottom w:val="single" w:sz="12" w:space="0" w:color="auto"/>
            </w:tcBorders>
            <w:shd w:val="clear" w:color="auto" w:fill="auto"/>
          </w:tcPr>
          <w:p w:rsidR="00036FAC" w:rsidRPr="00B23551" w:rsidRDefault="00036FAC" w:rsidP="00B23551">
            <w:pPr>
              <w:suppressAutoHyphens w:val="0"/>
              <w:spacing w:before="40" w:after="40" w:line="220" w:lineRule="exact"/>
              <w:ind w:right="113"/>
              <w:rPr>
                <w:sz w:val="18"/>
              </w:rPr>
            </w:pPr>
          </w:p>
        </w:tc>
        <w:tc>
          <w:tcPr>
            <w:tcW w:w="750" w:type="dxa"/>
            <w:tcBorders>
              <w:top w:val="single" w:sz="4" w:space="0" w:color="auto"/>
              <w:bottom w:val="single" w:sz="12" w:space="0" w:color="auto"/>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2008–</w:t>
            </w:r>
            <w:r w:rsidR="00C23F6E">
              <w:rPr>
                <w:i/>
                <w:sz w:val="16"/>
              </w:rPr>
              <w:t>20</w:t>
            </w:r>
            <w:r w:rsidRPr="00B23551">
              <w:rPr>
                <w:i/>
                <w:sz w:val="16"/>
              </w:rPr>
              <w:t>09</w:t>
            </w:r>
          </w:p>
        </w:tc>
        <w:tc>
          <w:tcPr>
            <w:tcW w:w="751" w:type="dxa"/>
            <w:tcBorders>
              <w:top w:val="single" w:sz="4" w:space="0" w:color="auto"/>
              <w:bottom w:val="single" w:sz="12"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2007–</w:t>
            </w:r>
            <w:r w:rsidR="00C23F6E">
              <w:rPr>
                <w:i/>
                <w:sz w:val="16"/>
              </w:rPr>
              <w:t>20</w:t>
            </w:r>
            <w:r w:rsidRPr="00B23551">
              <w:rPr>
                <w:i/>
                <w:sz w:val="16"/>
              </w:rPr>
              <w:t>08</w:t>
            </w:r>
          </w:p>
        </w:tc>
        <w:tc>
          <w:tcPr>
            <w:tcW w:w="750" w:type="dxa"/>
            <w:tcBorders>
              <w:top w:val="single" w:sz="4" w:space="0" w:color="auto"/>
              <w:left w:val="single" w:sz="24" w:space="0" w:color="FFFFFF"/>
              <w:bottom w:val="single" w:sz="12" w:space="0" w:color="auto"/>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2008–</w:t>
            </w:r>
            <w:r w:rsidR="00C23F6E">
              <w:rPr>
                <w:i/>
                <w:sz w:val="16"/>
              </w:rPr>
              <w:t>20</w:t>
            </w:r>
            <w:r w:rsidRPr="00B23551">
              <w:rPr>
                <w:i/>
                <w:sz w:val="16"/>
              </w:rPr>
              <w:t>09</w:t>
            </w:r>
          </w:p>
        </w:tc>
        <w:tc>
          <w:tcPr>
            <w:tcW w:w="751" w:type="dxa"/>
            <w:tcBorders>
              <w:top w:val="single" w:sz="4" w:space="0" w:color="auto"/>
              <w:bottom w:val="single" w:sz="12"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2007–</w:t>
            </w:r>
            <w:r w:rsidR="00C23F6E">
              <w:rPr>
                <w:i/>
                <w:sz w:val="16"/>
              </w:rPr>
              <w:t>20</w:t>
            </w:r>
            <w:r w:rsidRPr="00B23551">
              <w:rPr>
                <w:i/>
                <w:sz w:val="16"/>
              </w:rPr>
              <w:t>08</w:t>
            </w:r>
          </w:p>
        </w:tc>
        <w:tc>
          <w:tcPr>
            <w:tcW w:w="750" w:type="dxa"/>
            <w:tcBorders>
              <w:top w:val="single" w:sz="4" w:space="0" w:color="auto"/>
              <w:left w:val="single" w:sz="24" w:space="0" w:color="FFFFFF"/>
              <w:bottom w:val="single" w:sz="12" w:space="0" w:color="auto"/>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2008–</w:t>
            </w:r>
            <w:r w:rsidR="00C23F6E">
              <w:rPr>
                <w:i/>
                <w:sz w:val="16"/>
              </w:rPr>
              <w:t>20</w:t>
            </w:r>
            <w:r w:rsidRPr="00B23551">
              <w:rPr>
                <w:i/>
                <w:sz w:val="16"/>
              </w:rPr>
              <w:t>09</w:t>
            </w:r>
          </w:p>
        </w:tc>
        <w:tc>
          <w:tcPr>
            <w:tcW w:w="751" w:type="dxa"/>
            <w:tcBorders>
              <w:top w:val="single" w:sz="4" w:space="0" w:color="auto"/>
              <w:bottom w:val="single" w:sz="12" w:space="0" w:color="auto"/>
              <w:right w:val="single" w:sz="24" w:space="0" w:color="FFFFFF"/>
            </w:tcBorders>
            <w:shd w:val="clear" w:color="auto" w:fill="auto"/>
            <w:noWrap/>
            <w:vAlign w:val="bottom"/>
          </w:tcPr>
          <w:p w:rsidR="00036FAC" w:rsidRPr="00B23551" w:rsidRDefault="00036FAC" w:rsidP="00B23551">
            <w:pPr>
              <w:suppressAutoHyphens w:val="0"/>
              <w:spacing w:before="80" w:after="80" w:line="200" w:lineRule="exact"/>
              <w:ind w:right="113"/>
              <w:jc w:val="right"/>
              <w:rPr>
                <w:i/>
                <w:sz w:val="16"/>
              </w:rPr>
            </w:pPr>
            <w:r w:rsidRPr="00B23551">
              <w:rPr>
                <w:i/>
                <w:sz w:val="16"/>
              </w:rPr>
              <w:t>2007–</w:t>
            </w:r>
            <w:r w:rsidR="00C23F6E">
              <w:rPr>
                <w:i/>
                <w:sz w:val="16"/>
              </w:rPr>
              <w:t>20</w:t>
            </w:r>
            <w:r w:rsidRPr="00B23551">
              <w:rPr>
                <w:i/>
                <w:sz w:val="16"/>
              </w:rPr>
              <w:t>08</w:t>
            </w:r>
          </w:p>
        </w:tc>
        <w:tc>
          <w:tcPr>
            <w:tcW w:w="750" w:type="dxa"/>
            <w:tcBorders>
              <w:top w:val="single" w:sz="4" w:space="0" w:color="auto"/>
              <w:left w:val="single" w:sz="24" w:space="0" w:color="FFFFFF"/>
              <w:bottom w:val="single" w:sz="12" w:space="0" w:color="auto"/>
            </w:tcBorders>
            <w:shd w:val="clear" w:color="auto" w:fill="auto"/>
            <w:noWrap/>
            <w:vAlign w:val="bottom"/>
          </w:tcPr>
          <w:p w:rsidR="00036FAC" w:rsidRPr="00B23551" w:rsidRDefault="00036FAC" w:rsidP="00B23551">
            <w:pPr>
              <w:suppressAutoHyphens w:val="0"/>
              <w:spacing w:before="80" w:after="80" w:line="200" w:lineRule="exact"/>
              <w:ind w:right="113"/>
              <w:jc w:val="right"/>
              <w:rPr>
                <w:b/>
                <w:i/>
                <w:sz w:val="16"/>
              </w:rPr>
            </w:pPr>
            <w:r w:rsidRPr="00B23551">
              <w:rPr>
                <w:b/>
                <w:i/>
                <w:sz w:val="16"/>
              </w:rPr>
              <w:t>2008–</w:t>
            </w:r>
            <w:r w:rsidR="00C23F6E">
              <w:rPr>
                <w:b/>
                <w:i/>
                <w:sz w:val="16"/>
              </w:rPr>
              <w:t>20</w:t>
            </w:r>
            <w:r w:rsidRPr="00B23551">
              <w:rPr>
                <w:b/>
                <w:i/>
                <w:sz w:val="16"/>
              </w:rPr>
              <w:t>09</w:t>
            </w:r>
          </w:p>
        </w:tc>
        <w:tc>
          <w:tcPr>
            <w:tcW w:w="751" w:type="dxa"/>
            <w:tcBorders>
              <w:top w:val="single" w:sz="4" w:space="0" w:color="auto"/>
              <w:bottom w:val="single" w:sz="12" w:space="0" w:color="auto"/>
            </w:tcBorders>
            <w:shd w:val="clear" w:color="auto" w:fill="auto"/>
            <w:noWrap/>
            <w:vAlign w:val="bottom"/>
          </w:tcPr>
          <w:p w:rsidR="00036FAC" w:rsidRPr="00B23551" w:rsidRDefault="00036FAC" w:rsidP="00B23551">
            <w:pPr>
              <w:suppressAutoHyphens w:val="0"/>
              <w:spacing w:before="80" w:after="80" w:line="200" w:lineRule="exact"/>
              <w:ind w:right="113"/>
              <w:jc w:val="right"/>
              <w:rPr>
                <w:b/>
                <w:i/>
                <w:sz w:val="16"/>
              </w:rPr>
            </w:pPr>
            <w:r w:rsidRPr="00B23551">
              <w:rPr>
                <w:b/>
                <w:i/>
                <w:sz w:val="16"/>
              </w:rPr>
              <w:t>2007–</w:t>
            </w:r>
            <w:r w:rsidR="00C23F6E">
              <w:rPr>
                <w:b/>
                <w:i/>
                <w:sz w:val="16"/>
              </w:rPr>
              <w:t>20</w:t>
            </w:r>
            <w:r w:rsidRPr="00B23551">
              <w:rPr>
                <w:b/>
                <w:i/>
                <w:sz w:val="16"/>
              </w:rPr>
              <w:t>08</w:t>
            </w:r>
          </w:p>
        </w:tc>
      </w:tr>
      <w:tr w:rsidR="00036FAC" w:rsidRPr="00C23F6E" w:rsidTr="00C23F6E">
        <w:trPr>
          <w:trHeight w:val="240"/>
        </w:trPr>
        <w:tc>
          <w:tcPr>
            <w:tcW w:w="1366" w:type="dxa"/>
            <w:tcBorders>
              <w:top w:val="single" w:sz="12" w:space="0" w:color="auto"/>
              <w:bottom w:val="single" w:sz="4" w:space="0" w:color="auto"/>
            </w:tcBorders>
            <w:shd w:val="clear" w:color="auto" w:fill="auto"/>
          </w:tcPr>
          <w:p w:rsidR="00036FAC" w:rsidRPr="00C23F6E" w:rsidRDefault="00036FAC" w:rsidP="00C23F6E">
            <w:pPr>
              <w:suppressAutoHyphens w:val="0"/>
              <w:spacing w:before="80" w:after="80" w:line="220" w:lineRule="exact"/>
              <w:ind w:left="284" w:right="113"/>
              <w:rPr>
                <w:b/>
                <w:sz w:val="18"/>
              </w:rPr>
            </w:pPr>
            <w:r w:rsidRPr="00C23F6E">
              <w:rPr>
                <w:b/>
                <w:sz w:val="18"/>
              </w:rPr>
              <w:t>Application</w:t>
            </w:r>
            <w:r w:rsidR="00907D8C" w:rsidRPr="00C23F6E">
              <w:rPr>
                <w:b/>
                <w:sz w:val="18"/>
              </w:rPr>
              <w:t xml:space="preserve"> </w:t>
            </w:r>
            <w:r w:rsidR="00C23F6E" w:rsidRPr="00C23F6E">
              <w:rPr>
                <w:b/>
                <w:sz w:val="18"/>
              </w:rPr>
              <w:t>t</w:t>
            </w:r>
            <w:r w:rsidRPr="00C23F6E">
              <w:rPr>
                <w:b/>
                <w:sz w:val="18"/>
              </w:rPr>
              <w:t>otal</w:t>
            </w:r>
          </w:p>
        </w:tc>
        <w:tc>
          <w:tcPr>
            <w:tcW w:w="750"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67</w:t>
            </w:r>
            <w:r w:rsidR="00B23551" w:rsidRPr="00C23F6E">
              <w:rPr>
                <w:b/>
                <w:sz w:val="18"/>
              </w:rPr>
              <w:t xml:space="preserve"> </w:t>
            </w:r>
            <w:r w:rsidRPr="00C23F6E">
              <w:rPr>
                <w:b/>
                <w:sz w:val="18"/>
              </w:rPr>
              <w:t>795</w:t>
            </w:r>
          </w:p>
        </w:tc>
        <w:tc>
          <w:tcPr>
            <w:tcW w:w="751"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59</w:t>
            </w:r>
            <w:r w:rsidR="00B23551" w:rsidRPr="00C23F6E">
              <w:rPr>
                <w:b/>
                <w:sz w:val="18"/>
              </w:rPr>
              <w:t xml:space="preserve"> </w:t>
            </w:r>
            <w:r w:rsidRPr="00C23F6E">
              <w:rPr>
                <w:b/>
                <w:sz w:val="18"/>
              </w:rPr>
              <w:t>971</w:t>
            </w:r>
          </w:p>
        </w:tc>
        <w:tc>
          <w:tcPr>
            <w:tcW w:w="750"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24</w:t>
            </w:r>
            <w:r w:rsidR="00B23551" w:rsidRPr="00C23F6E">
              <w:rPr>
                <w:b/>
                <w:sz w:val="18"/>
              </w:rPr>
              <w:t xml:space="preserve"> </w:t>
            </w:r>
            <w:r w:rsidRPr="00C23F6E">
              <w:rPr>
                <w:b/>
                <w:sz w:val="18"/>
              </w:rPr>
              <w:t>381</w:t>
            </w:r>
          </w:p>
        </w:tc>
        <w:tc>
          <w:tcPr>
            <w:tcW w:w="751" w:type="dxa"/>
            <w:tcBorders>
              <w:top w:val="single" w:sz="12" w:space="0" w:color="auto"/>
              <w:bottom w:val="single" w:sz="4" w:space="0" w:color="auto"/>
            </w:tcBorders>
            <w:shd w:val="clear" w:color="auto" w:fill="auto"/>
            <w:noWrap/>
            <w:vAlign w:val="bottom"/>
          </w:tcPr>
          <w:p w:rsidR="00036FAC" w:rsidRPr="00C23F6E" w:rsidRDefault="00B23551" w:rsidP="00C23F6E">
            <w:pPr>
              <w:suppressAutoHyphens w:val="0"/>
              <w:spacing w:before="80" w:after="80" w:line="220" w:lineRule="exact"/>
              <w:ind w:right="113"/>
              <w:jc w:val="right"/>
              <w:rPr>
                <w:b/>
                <w:sz w:val="18"/>
              </w:rPr>
            </w:pPr>
            <w:r w:rsidRPr="00C23F6E">
              <w:rPr>
                <w:b/>
                <w:sz w:val="18"/>
              </w:rPr>
              <w:t xml:space="preserve">21 </w:t>
            </w:r>
            <w:r w:rsidR="00036FAC" w:rsidRPr="00C23F6E">
              <w:rPr>
                <w:b/>
                <w:sz w:val="18"/>
              </w:rPr>
              <w:t>167</w:t>
            </w:r>
          </w:p>
        </w:tc>
        <w:tc>
          <w:tcPr>
            <w:tcW w:w="750"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2</w:t>
            </w:r>
            <w:r w:rsidR="00B23551" w:rsidRPr="00C23F6E">
              <w:rPr>
                <w:b/>
                <w:sz w:val="18"/>
              </w:rPr>
              <w:t xml:space="preserve"> </w:t>
            </w:r>
            <w:r w:rsidRPr="00C23F6E">
              <w:rPr>
                <w:b/>
                <w:sz w:val="18"/>
              </w:rPr>
              <w:t>776</w:t>
            </w:r>
          </w:p>
        </w:tc>
        <w:tc>
          <w:tcPr>
            <w:tcW w:w="751"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2</w:t>
            </w:r>
            <w:r w:rsidR="00B23551" w:rsidRPr="00C23F6E">
              <w:rPr>
                <w:b/>
                <w:sz w:val="18"/>
              </w:rPr>
              <w:t xml:space="preserve"> </w:t>
            </w:r>
            <w:r w:rsidRPr="00C23F6E">
              <w:rPr>
                <w:b/>
                <w:sz w:val="18"/>
              </w:rPr>
              <w:t>493</w:t>
            </w:r>
          </w:p>
        </w:tc>
        <w:tc>
          <w:tcPr>
            <w:tcW w:w="750"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94</w:t>
            </w:r>
            <w:r w:rsidR="00B23551" w:rsidRPr="00C23F6E">
              <w:rPr>
                <w:b/>
                <w:sz w:val="18"/>
              </w:rPr>
              <w:t xml:space="preserve"> </w:t>
            </w:r>
            <w:r w:rsidRPr="00C23F6E">
              <w:rPr>
                <w:b/>
                <w:sz w:val="18"/>
              </w:rPr>
              <w:t>952</w:t>
            </w:r>
          </w:p>
        </w:tc>
        <w:tc>
          <w:tcPr>
            <w:tcW w:w="751" w:type="dxa"/>
            <w:tcBorders>
              <w:top w:val="single" w:sz="12" w:space="0" w:color="auto"/>
              <w:bottom w:val="single" w:sz="4" w:space="0" w:color="auto"/>
            </w:tcBorders>
            <w:shd w:val="clear" w:color="auto" w:fill="auto"/>
            <w:noWrap/>
            <w:vAlign w:val="bottom"/>
          </w:tcPr>
          <w:p w:rsidR="00036FAC" w:rsidRPr="00C23F6E" w:rsidRDefault="00036FAC" w:rsidP="00C23F6E">
            <w:pPr>
              <w:suppressAutoHyphens w:val="0"/>
              <w:spacing w:before="80" w:after="80" w:line="220" w:lineRule="exact"/>
              <w:ind w:right="113"/>
              <w:jc w:val="right"/>
              <w:rPr>
                <w:b/>
                <w:sz w:val="18"/>
              </w:rPr>
            </w:pPr>
            <w:r w:rsidRPr="00C23F6E">
              <w:rPr>
                <w:b/>
                <w:sz w:val="18"/>
              </w:rPr>
              <w:t>83</w:t>
            </w:r>
            <w:r w:rsidR="00B23551" w:rsidRPr="00C23F6E">
              <w:rPr>
                <w:b/>
                <w:sz w:val="18"/>
              </w:rPr>
              <w:t xml:space="preserve"> </w:t>
            </w:r>
            <w:r w:rsidRPr="00C23F6E">
              <w:rPr>
                <w:b/>
                <w:sz w:val="18"/>
              </w:rPr>
              <w:t>631</w:t>
            </w:r>
          </w:p>
        </w:tc>
      </w:tr>
      <w:tr w:rsidR="00036FAC" w:rsidRPr="00B23551" w:rsidTr="00C23F6E">
        <w:trPr>
          <w:trHeight w:val="240"/>
        </w:trPr>
        <w:tc>
          <w:tcPr>
            <w:tcW w:w="1366" w:type="dxa"/>
            <w:tcBorders>
              <w:top w:val="single" w:sz="4" w:space="0" w:color="auto"/>
            </w:tcBorders>
            <w:shd w:val="clear" w:color="auto" w:fill="auto"/>
          </w:tcPr>
          <w:p w:rsidR="00036FAC" w:rsidRPr="00B23551" w:rsidRDefault="00036FAC" w:rsidP="00B23551">
            <w:pPr>
              <w:suppressAutoHyphens w:val="0"/>
              <w:spacing w:before="40" w:after="40" w:line="220" w:lineRule="exact"/>
              <w:ind w:right="113"/>
              <w:rPr>
                <w:sz w:val="18"/>
              </w:rPr>
            </w:pPr>
            <w:r w:rsidRPr="00B23551">
              <w:rPr>
                <w:sz w:val="18"/>
              </w:rPr>
              <w:t>Refused</w:t>
            </w:r>
            <w:r w:rsidR="00907D8C" w:rsidRPr="00B23551">
              <w:rPr>
                <w:sz w:val="18"/>
              </w:rPr>
              <w:t xml:space="preserve"> </w:t>
            </w:r>
            <w:r w:rsidRPr="00B23551">
              <w:rPr>
                <w:sz w:val="18"/>
              </w:rPr>
              <w:t>applications</w:t>
            </w:r>
            <w:r w:rsidR="00907D8C" w:rsidRPr="00B23551">
              <w:rPr>
                <w:sz w:val="18"/>
              </w:rPr>
              <w:t xml:space="preserve"> </w:t>
            </w:r>
            <w:r w:rsidRPr="00B23551">
              <w:rPr>
                <w:sz w:val="18"/>
              </w:rPr>
              <w:t>(%)</w:t>
            </w:r>
          </w:p>
        </w:tc>
        <w:tc>
          <w:tcPr>
            <w:tcW w:w="750"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12.0</w:t>
            </w:r>
          </w:p>
        </w:tc>
        <w:tc>
          <w:tcPr>
            <w:tcW w:w="751"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12.7</w:t>
            </w:r>
          </w:p>
        </w:tc>
        <w:tc>
          <w:tcPr>
            <w:tcW w:w="750"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8.4</w:t>
            </w:r>
          </w:p>
        </w:tc>
        <w:tc>
          <w:tcPr>
            <w:tcW w:w="751"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9.1</w:t>
            </w:r>
          </w:p>
        </w:tc>
        <w:tc>
          <w:tcPr>
            <w:tcW w:w="750"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24.7</w:t>
            </w:r>
          </w:p>
        </w:tc>
        <w:tc>
          <w:tcPr>
            <w:tcW w:w="751"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sz w:val="18"/>
              </w:rPr>
            </w:pPr>
            <w:r w:rsidRPr="00B23551">
              <w:rPr>
                <w:sz w:val="18"/>
              </w:rPr>
              <w:t>19.1</w:t>
            </w:r>
          </w:p>
        </w:tc>
        <w:tc>
          <w:tcPr>
            <w:tcW w:w="750"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b/>
                <w:sz w:val="18"/>
              </w:rPr>
            </w:pPr>
            <w:r w:rsidRPr="00B23551">
              <w:rPr>
                <w:b/>
                <w:sz w:val="18"/>
              </w:rPr>
              <w:t>11.5</w:t>
            </w:r>
          </w:p>
        </w:tc>
        <w:tc>
          <w:tcPr>
            <w:tcW w:w="751" w:type="dxa"/>
            <w:tcBorders>
              <w:top w:val="single" w:sz="4" w:space="0" w:color="auto"/>
            </w:tcBorders>
            <w:shd w:val="clear" w:color="auto" w:fill="auto"/>
            <w:noWrap/>
            <w:vAlign w:val="bottom"/>
          </w:tcPr>
          <w:p w:rsidR="00036FAC" w:rsidRPr="00B23551" w:rsidRDefault="00036FAC" w:rsidP="00B23551">
            <w:pPr>
              <w:suppressAutoHyphens w:val="0"/>
              <w:spacing w:before="40" w:after="40" w:line="220" w:lineRule="exact"/>
              <w:ind w:right="113"/>
              <w:jc w:val="right"/>
              <w:rPr>
                <w:b/>
                <w:sz w:val="18"/>
              </w:rPr>
            </w:pPr>
            <w:r w:rsidRPr="00B23551">
              <w:rPr>
                <w:b/>
                <w:sz w:val="18"/>
              </w:rPr>
              <w:t>12.0</w:t>
            </w:r>
          </w:p>
        </w:tc>
      </w:tr>
    </w:tbl>
    <w:p w:rsidR="00036FAC" w:rsidRPr="00B23551" w:rsidRDefault="00B23551" w:rsidP="00B50FB5">
      <w:pPr>
        <w:spacing w:before="120" w:after="180"/>
        <w:ind w:left="1134" w:right="1134" w:firstLine="170"/>
        <w:rPr>
          <w:sz w:val="18"/>
          <w:szCs w:val="18"/>
        </w:rPr>
      </w:pPr>
      <w:r w:rsidRPr="00B23551">
        <w:rPr>
          <w:i/>
          <w:sz w:val="18"/>
          <w:szCs w:val="18"/>
        </w:rPr>
        <w:t>S</w:t>
      </w:r>
      <w:r w:rsidR="00036FAC" w:rsidRPr="00B23551">
        <w:rPr>
          <w:i/>
          <w:sz w:val="18"/>
          <w:szCs w:val="18"/>
        </w:rPr>
        <w:t>ource</w:t>
      </w:r>
      <w:r w:rsidR="00036FAC" w:rsidRPr="00B23551">
        <w:rPr>
          <w:sz w:val="18"/>
          <w:szCs w:val="18"/>
        </w:rPr>
        <w:t>:</w:t>
      </w:r>
      <w:r w:rsidRPr="00B23551">
        <w:rPr>
          <w:sz w:val="18"/>
          <w:szCs w:val="18"/>
        </w:rPr>
        <w:t xml:space="preserve"> </w:t>
      </w:r>
      <w:r w:rsidR="00907D8C" w:rsidRPr="00B23551">
        <w:rPr>
          <w:sz w:val="18"/>
          <w:szCs w:val="18"/>
        </w:rPr>
        <w:t xml:space="preserve"> </w:t>
      </w:r>
      <w:r w:rsidR="00036FAC" w:rsidRPr="00B23551">
        <w:rPr>
          <w:sz w:val="18"/>
          <w:szCs w:val="18"/>
        </w:rPr>
        <w:t>Ministry</w:t>
      </w:r>
      <w:r w:rsidR="00907D8C" w:rsidRPr="00B23551">
        <w:rPr>
          <w:sz w:val="18"/>
          <w:szCs w:val="18"/>
        </w:rPr>
        <w:t xml:space="preserve"> </w:t>
      </w:r>
      <w:r w:rsidR="00036FAC" w:rsidRPr="00B23551">
        <w:rPr>
          <w:sz w:val="18"/>
          <w:szCs w:val="18"/>
        </w:rPr>
        <w:t>of</w:t>
      </w:r>
      <w:r w:rsidR="00907D8C" w:rsidRPr="00B23551">
        <w:rPr>
          <w:sz w:val="18"/>
          <w:szCs w:val="18"/>
        </w:rPr>
        <w:t xml:space="preserve"> </w:t>
      </w:r>
      <w:r w:rsidR="00036FAC" w:rsidRPr="00B23551">
        <w:rPr>
          <w:sz w:val="18"/>
          <w:szCs w:val="18"/>
        </w:rPr>
        <w:t>Justice</w:t>
      </w:r>
      <w:r w:rsidRPr="00B23551">
        <w:rPr>
          <w:sz w:val="18"/>
          <w:szCs w:val="18"/>
        </w:rPr>
        <w:t>.</w:t>
      </w:r>
    </w:p>
    <w:p w:rsidR="00036FAC" w:rsidRPr="00036FAC" w:rsidRDefault="00036FAC" w:rsidP="00B23551">
      <w:pPr>
        <w:pStyle w:val="SingleTxtG"/>
      </w:pPr>
      <w:r w:rsidRPr="00036FAC">
        <w:t>139.</w:t>
      </w:r>
      <w:r w:rsidRPr="00036FAC">
        <w:tab/>
        <w:t>A</w:t>
      </w:r>
      <w:r w:rsidR="00907D8C">
        <w:t xml:space="preserve"> </w:t>
      </w:r>
      <w:r w:rsidRPr="00036FAC">
        <w:t>judge</w:t>
      </w:r>
      <w:r w:rsidR="00907D8C">
        <w:t xml:space="preserve"> </w:t>
      </w:r>
      <w:r w:rsidRPr="00036FAC">
        <w:t>can</w:t>
      </w:r>
      <w:r w:rsidR="00907D8C">
        <w:t xml:space="preserve"> </w:t>
      </w:r>
      <w:r w:rsidRPr="00036FAC">
        <w:t>order</w:t>
      </w:r>
      <w:r w:rsidR="00907D8C">
        <w:t xml:space="preserve"> </w:t>
      </w:r>
      <w:r w:rsidRPr="00036FAC">
        <w:t>an</w:t>
      </w:r>
      <w:r w:rsidR="00907D8C">
        <w:t xml:space="preserve"> </w:t>
      </w:r>
      <w:r w:rsidRPr="00036FAC">
        <w:t>offender</w:t>
      </w:r>
      <w:r w:rsidR="00907D8C">
        <w:t xml:space="preserve"> </w:t>
      </w:r>
      <w:r w:rsidRPr="00036FAC">
        <w:t>to</w:t>
      </w:r>
      <w:r w:rsidR="00907D8C">
        <w:t xml:space="preserve"> </w:t>
      </w:r>
      <w:r w:rsidRPr="00036FAC">
        <w:t>pay</w:t>
      </w:r>
      <w:r w:rsidR="00907D8C">
        <w:t xml:space="preserve"> </w:t>
      </w:r>
      <w:r w:rsidRPr="00036FAC">
        <w:t>someone</w:t>
      </w:r>
      <w:r w:rsidR="00907D8C">
        <w:t xml:space="preserve"> </w:t>
      </w:r>
      <w:r w:rsidRPr="00036FAC">
        <w:t>money</w:t>
      </w:r>
      <w:r w:rsidR="00907D8C">
        <w:t xml:space="preserve"> </w:t>
      </w:r>
      <w:r w:rsidRPr="00036FAC">
        <w:t>if</w:t>
      </w:r>
      <w:r w:rsidR="00907D8C">
        <w:t xml:space="preserve"> </w:t>
      </w:r>
      <w:r w:rsidRPr="00036FAC">
        <w:t>they</w:t>
      </w:r>
      <w:r w:rsidR="00907D8C">
        <w:t xml:space="preserve"> </w:t>
      </w:r>
      <w:r w:rsidRPr="00036FAC">
        <w:t>have</w:t>
      </w:r>
      <w:r w:rsidR="00907D8C">
        <w:t xml:space="preserve"> </w:t>
      </w:r>
      <w:r w:rsidRPr="00036FAC">
        <w:t>suffered</w:t>
      </w:r>
      <w:r w:rsidR="00907D8C">
        <w:t xml:space="preserve"> </w:t>
      </w:r>
      <w:r w:rsidRPr="00036FAC">
        <w:t>emotional</w:t>
      </w:r>
      <w:r w:rsidR="00907D8C">
        <w:t xml:space="preserve"> </w:t>
      </w:r>
      <w:r w:rsidRPr="00036FAC">
        <w:t>harms</w:t>
      </w:r>
      <w:r w:rsidR="00907D8C">
        <w:t xml:space="preserve"> </w:t>
      </w:r>
      <w:r w:rsidRPr="00036FAC">
        <w:t>or</w:t>
      </w:r>
      <w:r w:rsidR="00907D8C">
        <w:t xml:space="preserve"> </w:t>
      </w:r>
      <w:r w:rsidRPr="00036FAC">
        <w:t>had</w:t>
      </w:r>
      <w:r w:rsidR="00907D8C">
        <w:t xml:space="preserve"> </w:t>
      </w:r>
      <w:r w:rsidRPr="00036FAC">
        <w:t>property</w:t>
      </w:r>
      <w:r w:rsidR="00907D8C">
        <w:t xml:space="preserve"> </w:t>
      </w:r>
      <w:r w:rsidRPr="00036FAC">
        <w:t>lost</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of</w:t>
      </w:r>
      <w:r w:rsidR="00907D8C">
        <w:t xml:space="preserve"> </w:t>
      </w:r>
      <w:r w:rsidRPr="00036FAC">
        <w:t>a</w:t>
      </w:r>
      <w:r w:rsidR="00907D8C">
        <w:t xml:space="preserve"> </w:t>
      </w:r>
      <w:r w:rsidRPr="00036FAC">
        <w:t>crime.</w:t>
      </w:r>
      <w:r w:rsidR="00907D8C">
        <w:t xml:space="preserve"> </w:t>
      </w:r>
      <w:r w:rsidRPr="00036FAC">
        <w:t>This</w:t>
      </w:r>
      <w:r w:rsidR="00907D8C">
        <w:t xml:space="preserve"> </w:t>
      </w:r>
      <w:r w:rsidRPr="00036FAC">
        <w:t>is</w:t>
      </w:r>
      <w:r w:rsidR="00907D8C">
        <w:t xml:space="preserve"> </w:t>
      </w:r>
      <w:r w:rsidRPr="00036FAC">
        <w:t>known</w:t>
      </w:r>
      <w:r w:rsidR="00907D8C">
        <w:t xml:space="preserve"> </w:t>
      </w:r>
      <w:r w:rsidRPr="00036FAC">
        <w:t>as</w:t>
      </w:r>
      <w:r w:rsidR="00907D8C">
        <w:t xml:space="preserve"> </w:t>
      </w:r>
      <w:r w:rsidRPr="00036FAC">
        <w:t>reparation.</w:t>
      </w:r>
      <w:r w:rsidR="00907D8C">
        <w:t xml:space="preserve"> </w:t>
      </w:r>
      <w:r w:rsidRPr="00036FAC">
        <w:t>The</w:t>
      </w:r>
      <w:r w:rsidR="00907D8C">
        <w:t xml:space="preserve"> </w:t>
      </w:r>
      <w:r w:rsidRPr="00036FAC">
        <w:t>amount</w:t>
      </w:r>
      <w:r w:rsidR="00907D8C">
        <w:t xml:space="preserve"> </w:t>
      </w:r>
      <w:r w:rsidRPr="00036FAC">
        <w:t>of</w:t>
      </w:r>
      <w:r w:rsidR="00907D8C">
        <w:t xml:space="preserve"> </w:t>
      </w:r>
      <w:r w:rsidRPr="00036FAC">
        <w:t>reparation</w:t>
      </w:r>
      <w:r w:rsidR="00907D8C">
        <w:t xml:space="preserve"> </w:t>
      </w:r>
      <w:r w:rsidRPr="00036FAC">
        <w:t>ordered</w:t>
      </w:r>
      <w:r w:rsidR="00907D8C">
        <w:t xml:space="preserve"> </w:t>
      </w:r>
      <w:r w:rsidRPr="00036FAC">
        <w:t>is</w:t>
      </w:r>
      <w:r w:rsidR="00907D8C">
        <w:t xml:space="preserve"> </w:t>
      </w:r>
      <w:r w:rsidRPr="00036FAC">
        <w:t>the</w:t>
      </w:r>
      <w:r w:rsidR="00907D8C">
        <w:t xml:space="preserve"> </w:t>
      </w:r>
      <w:r w:rsidRPr="00036FAC">
        <w:t>Judge</w:t>
      </w:r>
      <w:r w:rsidR="003E4D94">
        <w:t>’</w:t>
      </w:r>
      <w:r w:rsidRPr="00036FAC">
        <w:t>s</w:t>
      </w:r>
      <w:r w:rsidR="00907D8C">
        <w:t xml:space="preserve"> </w:t>
      </w:r>
      <w:r w:rsidRPr="00036FAC">
        <w:t>decision</w:t>
      </w:r>
      <w:r w:rsidR="00907D8C">
        <w:t xml:space="preserve"> </w:t>
      </w:r>
      <w:r w:rsidRPr="00036FAC">
        <w:t>after</w:t>
      </w:r>
      <w:r w:rsidR="00907D8C">
        <w:t xml:space="preserve"> </w:t>
      </w:r>
      <w:r w:rsidRPr="00036FAC">
        <w:t>consideration</w:t>
      </w:r>
      <w:r w:rsidR="00907D8C">
        <w:t xml:space="preserve"> </w:t>
      </w:r>
      <w:r w:rsidRPr="00036FAC">
        <w:t>of</w:t>
      </w:r>
      <w:r w:rsidR="00907D8C">
        <w:t xml:space="preserve"> </w:t>
      </w:r>
      <w:r w:rsidRPr="00036FAC">
        <w:t>how</w:t>
      </w:r>
      <w:r w:rsidR="00907D8C">
        <w:t xml:space="preserve"> </w:t>
      </w:r>
      <w:r w:rsidRPr="00036FAC">
        <w:t>much</w:t>
      </w:r>
      <w:r w:rsidR="00907D8C">
        <w:t xml:space="preserve"> </w:t>
      </w:r>
      <w:r w:rsidRPr="00036FAC">
        <w:t>damage,</w:t>
      </w:r>
      <w:r w:rsidR="00907D8C">
        <w:t xml:space="preserve"> </w:t>
      </w:r>
      <w:r w:rsidRPr="00036FAC">
        <w:t>loss</w:t>
      </w:r>
      <w:r w:rsidR="00907D8C">
        <w:t xml:space="preserve"> </w:t>
      </w:r>
      <w:r w:rsidRPr="00036FAC">
        <w:t>or</w:t>
      </w:r>
      <w:r w:rsidR="00907D8C">
        <w:t xml:space="preserve"> </w:t>
      </w:r>
      <w:r w:rsidRPr="00036FAC">
        <w:t>cost</w:t>
      </w:r>
      <w:r w:rsidR="00907D8C">
        <w:t xml:space="preserve"> </w:t>
      </w:r>
      <w:r w:rsidRPr="00036FAC">
        <w:t>the</w:t>
      </w:r>
      <w:r w:rsidR="00907D8C">
        <w:t xml:space="preserve"> </w:t>
      </w:r>
      <w:r w:rsidRPr="00036FAC">
        <w:t>person</w:t>
      </w:r>
      <w:r w:rsidR="00907D8C">
        <w:t xml:space="preserve"> </w:t>
      </w:r>
      <w:r w:rsidRPr="00036FAC">
        <w:t>has</w:t>
      </w:r>
      <w:r w:rsidR="00907D8C">
        <w:t xml:space="preserve"> </w:t>
      </w:r>
      <w:r w:rsidRPr="00036FAC">
        <w:t>incurred</w:t>
      </w:r>
      <w:r w:rsidR="00907D8C">
        <w:t xml:space="preserve"> </w:t>
      </w:r>
      <w:r w:rsidRPr="00036FAC">
        <w:t>and</w:t>
      </w:r>
      <w:r w:rsidR="00907D8C">
        <w:t xml:space="preserve"> </w:t>
      </w:r>
      <w:r w:rsidRPr="00036FAC">
        <w:t>the</w:t>
      </w:r>
      <w:r w:rsidR="00907D8C">
        <w:t xml:space="preserve"> </w:t>
      </w:r>
      <w:r w:rsidRPr="00036FAC">
        <w:t>offender</w:t>
      </w:r>
      <w:r w:rsidR="003E4D94">
        <w:t>’</w:t>
      </w:r>
      <w:r w:rsidRPr="00036FAC">
        <w:t>s</w:t>
      </w:r>
      <w:r w:rsidR="00907D8C">
        <w:t xml:space="preserve"> </w:t>
      </w:r>
      <w:r w:rsidRPr="00036FAC">
        <w:t>ability</w:t>
      </w:r>
      <w:r w:rsidR="00907D8C">
        <w:t xml:space="preserve"> </w:t>
      </w:r>
      <w:r w:rsidRPr="00036FAC">
        <w:t>to</w:t>
      </w:r>
      <w:r w:rsidR="00907D8C">
        <w:t xml:space="preserve"> </w:t>
      </w:r>
      <w:r w:rsidRPr="00036FAC">
        <w:t>pay.</w:t>
      </w:r>
    </w:p>
    <w:p w:rsidR="00B23551" w:rsidRDefault="00036FAC" w:rsidP="001722E9">
      <w:pPr>
        <w:pStyle w:val="Heading1"/>
        <w:keepNext/>
      </w:pPr>
      <w:bookmarkStart w:id="80" w:name="_Toc275331950"/>
      <w:r w:rsidRPr="00036FAC">
        <w:t>Table</w:t>
      </w:r>
      <w:r w:rsidR="00907D8C">
        <w:t xml:space="preserve"> </w:t>
      </w:r>
      <w:r w:rsidRPr="00036FAC">
        <w:t>49</w:t>
      </w:r>
    </w:p>
    <w:p w:rsidR="00036FAC" w:rsidRDefault="00036FAC" w:rsidP="00B50FB5">
      <w:pPr>
        <w:pStyle w:val="SingleTxtG"/>
        <w:jc w:val="left"/>
        <w:rPr>
          <w:b/>
        </w:rPr>
      </w:pPr>
      <w:r w:rsidRPr="00B23551">
        <w:rPr>
          <w:b/>
        </w:rPr>
        <w:t>Value</w:t>
      </w:r>
      <w:r w:rsidR="00907D8C" w:rsidRPr="00B23551">
        <w:rPr>
          <w:b/>
        </w:rPr>
        <w:t xml:space="preserve"> </w:t>
      </w:r>
      <w:r w:rsidRPr="00B23551">
        <w:rPr>
          <w:b/>
        </w:rPr>
        <w:t>and</w:t>
      </w:r>
      <w:r w:rsidR="00907D8C" w:rsidRPr="00B23551">
        <w:rPr>
          <w:b/>
        </w:rPr>
        <w:t xml:space="preserve"> </w:t>
      </w:r>
      <w:r w:rsidRPr="00B23551">
        <w:rPr>
          <w:b/>
        </w:rPr>
        <w:t>numbers</w:t>
      </w:r>
      <w:r w:rsidR="00907D8C" w:rsidRPr="00B23551">
        <w:rPr>
          <w:b/>
        </w:rPr>
        <w:t xml:space="preserve"> </w:t>
      </w:r>
      <w:r w:rsidRPr="00B23551">
        <w:rPr>
          <w:b/>
        </w:rPr>
        <w:t>of</w:t>
      </w:r>
      <w:r w:rsidR="00907D8C" w:rsidRPr="00B23551">
        <w:rPr>
          <w:b/>
        </w:rPr>
        <w:t xml:space="preserve"> </w:t>
      </w:r>
      <w:r w:rsidRPr="00B23551">
        <w:rPr>
          <w:b/>
        </w:rPr>
        <w:t>reparation</w:t>
      </w:r>
      <w:r w:rsidR="00907D8C" w:rsidRPr="00B23551">
        <w:rPr>
          <w:b/>
        </w:rPr>
        <w:t xml:space="preserve"> </w:t>
      </w:r>
      <w:r w:rsidRPr="00B23551">
        <w:rPr>
          <w:b/>
        </w:rPr>
        <w:t>payments</w:t>
      </w:r>
      <w:r w:rsidR="00907D8C" w:rsidRPr="00B23551">
        <w:rPr>
          <w:b/>
        </w:rPr>
        <w:t xml:space="preserve"> </w:t>
      </w:r>
      <w:r w:rsidRPr="00B23551">
        <w:rPr>
          <w:b/>
        </w:rPr>
        <w:t>made</w:t>
      </w:r>
      <w:r w:rsidR="00907D8C" w:rsidRPr="00B23551">
        <w:rPr>
          <w:b/>
        </w:rPr>
        <w:t xml:space="preserve"> </w:t>
      </w:r>
      <w:r w:rsidRPr="00B23551">
        <w:rPr>
          <w:b/>
        </w:rPr>
        <w:t>during</w:t>
      </w:r>
      <w:r w:rsidR="00907D8C" w:rsidRPr="00B23551">
        <w:rPr>
          <w:b/>
        </w:rPr>
        <w:t xml:space="preserve"> </w:t>
      </w:r>
      <w:r w:rsidRPr="00B23551">
        <w:rPr>
          <w:b/>
        </w:rPr>
        <w:t>the</w:t>
      </w:r>
      <w:r w:rsidR="00907D8C" w:rsidRPr="00B23551">
        <w:rPr>
          <w:b/>
        </w:rPr>
        <w:t xml:space="preserve"> </w:t>
      </w:r>
      <w:r w:rsidRPr="00B23551">
        <w:rPr>
          <w:b/>
        </w:rPr>
        <w:t>financial</w:t>
      </w:r>
      <w:r w:rsidR="00907D8C" w:rsidRPr="00B23551">
        <w:rPr>
          <w:b/>
        </w:rPr>
        <w:t xml:space="preserve"> </w:t>
      </w:r>
      <w:r w:rsidRPr="00B23551">
        <w:rPr>
          <w:b/>
        </w:rPr>
        <w:t>year</w:t>
      </w:r>
      <w:r w:rsidR="00907D8C" w:rsidRPr="00B23551">
        <w:rPr>
          <w:b/>
        </w:rPr>
        <w:t xml:space="preserve"> </w:t>
      </w:r>
      <w:r w:rsidRPr="00B23551">
        <w:rPr>
          <w:b/>
        </w:rPr>
        <w:t>1</w:t>
      </w:r>
      <w:r w:rsidR="00907D8C" w:rsidRPr="00B23551">
        <w:rPr>
          <w:b/>
        </w:rPr>
        <w:t xml:space="preserve"> </w:t>
      </w:r>
      <w:r w:rsidRPr="00B23551">
        <w:rPr>
          <w:b/>
        </w:rPr>
        <w:t>July</w:t>
      </w:r>
      <w:r w:rsidR="00907D8C" w:rsidRPr="00B23551">
        <w:rPr>
          <w:b/>
        </w:rPr>
        <w:t xml:space="preserve"> </w:t>
      </w:r>
      <w:r w:rsidRPr="00B23551">
        <w:rPr>
          <w:b/>
        </w:rPr>
        <w:t>2009</w:t>
      </w:r>
      <w:r w:rsidR="00907D8C" w:rsidRPr="00B23551">
        <w:rPr>
          <w:b/>
        </w:rPr>
        <w:t xml:space="preserve"> </w:t>
      </w:r>
      <w:r w:rsidRPr="00B23551">
        <w:rPr>
          <w:b/>
        </w:rPr>
        <w:t>to</w:t>
      </w:r>
      <w:r w:rsidR="00907D8C" w:rsidRPr="00B23551">
        <w:rPr>
          <w:b/>
        </w:rPr>
        <w:t xml:space="preserve"> </w:t>
      </w:r>
      <w:r w:rsidRPr="00B23551">
        <w:rPr>
          <w:b/>
        </w:rPr>
        <w:t>30</w:t>
      </w:r>
      <w:r w:rsidR="00907D8C" w:rsidRPr="00B23551">
        <w:rPr>
          <w:b/>
        </w:rPr>
        <w:t xml:space="preserve"> </w:t>
      </w:r>
      <w:r w:rsidRPr="00B23551">
        <w:rPr>
          <w:b/>
        </w:rPr>
        <w:t>June</w:t>
      </w:r>
      <w:r w:rsidR="00907D8C" w:rsidRPr="00B23551">
        <w:rPr>
          <w:b/>
        </w:rPr>
        <w:t xml:space="preserve"> </w:t>
      </w:r>
      <w:r w:rsidRPr="00B23551">
        <w:rPr>
          <w:b/>
        </w:rPr>
        <w:t>2010</w:t>
      </w:r>
      <w:bookmarkEnd w:id="80"/>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1"/>
        <w:gridCol w:w="1064"/>
        <w:gridCol w:w="1063"/>
        <w:gridCol w:w="1063"/>
        <w:gridCol w:w="1063"/>
        <w:gridCol w:w="1063"/>
        <w:gridCol w:w="1063"/>
        <w:gridCol w:w="1065"/>
      </w:tblGrid>
      <w:tr w:rsidR="001722E9" w:rsidRPr="001722E9" w:rsidTr="001722E9">
        <w:trPr>
          <w:trHeight w:val="285"/>
          <w:tblHeader/>
        </w:trPr>
        <w:tc>
          <w:tcPr>
            <w:tcW w:w="2125" w:type="dxa"/>
            <w:gridSpan w:val="2"/>
            <w:tcBorders>
              <w:top w:val="single" w:sz="4" w:space="0" w:color="auto"/>
              <w:bottom w:val="single" w:sz="4" w:space="0" w:color="auto"/>
              <w:right w:val="single" w:sz="24" w:space="0" w:color="FFFFFF"/>
            </w:tcBorders>
            <w:shd w:val="clear" w:color="auto" w:fill="auto"/>
            <w:noWrap/>
            <w:vAlign w:val="bottom"/>
          </w:tcPr>
          <w:p w:rsidR="00036FAC" w:rsidRPr="001722E9" w:rsidRDefault="00036FAC" w:rsidP="001722E9">
            <w:pPr>
              <w:keepNext/>
              <w:suppressAutoHyphens w:val="0"/>
              <w:spacing w:before="80" w:after="80" w:line="200" w:lineRule="exact"/>
              <w:ind w:right="113"/>
              <w:jc w:val="center"/>
              <w:rPr>
                <w:i/>
                <w:sz w:val="16"/>
              </w:rPr>
            </w:pPr>
            <w:r w:rsidRPr="001722E9">
              <w:rPr>
                <w:i/>
                <w:sz w:val="16"/>
              </w:rPr>
              <w:t>Female</w:t>
            </w:r>
          </w:p>
        </w:tc>
        <w:tc>
          <w:tcPr>
            <w:tcW w:w="2126"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036FAC" w:rsidRPr="001722E9" w:rsidRDefault="00036FAC" w:rsidP="001722E9">
            <w:pPr>
              <w:keepNext/>
              <w:suppressAutoHyphens w:val="0"/>
              <w:spacing w:before="80" w:after="80" w:line="200" w:lineRule="exact"/>
              <w:ind w:right="113"/>
              <w:jc w:val="center"/>
              <w:rPr>
                <w:i/>
                <w:sz w:val="16"/>
              </w:rPr>
            </w:pPr>
            <w:r w:rsidRPr="001722E9">
              <w:rPr>
                <w:i/>
                <w:sz w:val="16"/>
              </w:rPr>
              <w:t>Male</w:t>
            </w:r>
          </w:p>
        </w:tc>
        <w:tc>
          <w:tcPr>
            <w:tcW w:w="2126"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036FAC" w:rsidRPr="001722E9" w:rsidRDefault="00036FAC" w:rsidP="001722E9">
            <w:pPr>
              <w:keepNext/>
              <w:suppressAutoHyphens w:val="0"/>
              <w:spacing w:before="80" w:after="80" w:line="200" w:lineRule="exact"/>
              <w:ind w:right="113"/>
              <w:jc w:val="center"/>
              <w:rPr>
                <w:i/>
                <w:sz w:val="16"/>
              </w:rPr>
            </w:pPr>
            <w:r w:rsidRPr="001722E9">
              <w:rPr>
                <w:i/>
                <w:sz w:val="16"/>
              </w:rPr>
              <w:t>Sex</w:t>
            </w:r>
            <w:r w:rsidR="00907D8C" w:rsidRPr="001722E9">
              <w:rPr>
                <w:i/>
                <w:sz w:val="16"/>
              </w:rPr>
              <w:t xml:space="preserve"> </w:t>
            </w:r>
            <w:r w:rsidRPr="001722E9">
              <w:rPr>
                <w:i/>
                <w:sz w:val="16"/>
              </w:rPr>
              <w:t>not</w:t>
            </w:r>
            <w:r w:rsidR="00907D8C" w:rsidRPr="001722E9">
              <w:rPr>
                <w:i/>
                <w:sz w:val="16"/>
              </w:rPr>
              <w:t xml:space="preserve"> </w:t>
            </w:r>
            <w:r w:rsidRPr="001722E9">
              <w:rPr>
                <w:i/>
                <w:sz w:val="16"/>
              </w:rPr>
              <w:t>recorded</w:t>
            </w:r>
            <w:r w:rsidR="00907D8C" w:rsidRPr="001722E9">
              <w:rPr>
                <w:i/>
                <w:sz w:val="16"/>
              </w:rPr>
              <w:t xml:space="preserve"> </w:t>
            </w:r>
            <w:r w:rsidRPr="001722E9">
              <w:rPr>
                <w:i/>
                <w:sz w:val="16"/>
              </w:rPr>
              <w:t>or</w:t>
            </w:r>
            <w:r w:rsidR="00907D8C" w:rsidRPr="001722E9">
              <w:rPr>
                <w:i/>
                <w:sz w:val="16"/>
              </w:rPr>
              <w:t xml:space="preserve"> </w:t>
            </w:r>
            <w:r w:rsidRPr="001722E9">
              <w:rPr>
                <w:i/>
                <w:sz w:val="16"/>
              </w:rPr>
              <w:t>payment</w:t>
            </w:r>
            <w:r w:rsidR="00907D8C" w:rsidRPr="001722E9">
              <w:rPr>
                <w:i/>
                <w:sz w:val="16"/>
              </w:rPr>
              <w:t xml:space="preserve"> </w:t>
            </w:r>
            <w:r w:rsidRPr="001722E9">
              <w:rPr>
                <w:i/>
                <w:sz w:val="16"/>
              </w:rPr>
              <w:t>not</w:t>
            </w:r>
            <w:r w:rsidR="00907D8C" w:rsidRPr="001722E9">
              <w:rPr>
                <w:i/>
                <w:sz w:val="16"/>
              </w:rPr>
              <w:t xml:space="preserve"> </w:t>
            </w:r>
            <w:r w:rsidRPr="001722E9">
              <w:rPr>
                <w:i/>
                <w:sz w:val="16"/>
              </w:rPr>
              <w:t>made</w:t>
            </w:r>
            <w:r w:rsidR="00907D8C" w:rsidRPr="001722E9">
              <w:rPr>
                <w:i/>
                <w:sz w:val="16"/>
              </w:rPr>
              <w:t xml:space="preserve"> </w:t>
            </w:r>
            <w:r w:rsidRPr="001722E9">
              <w:rPr>
                <w:i/>
                <w:sz w:val="16"/>
              </w:rPr>
              <w:t>by</w:t>
            </w:r>
            <w:r w:rsidR="00907D8C" w:rsidRPr="001722E9">
              <w:rPr>
                <w:i/>
                <w:sz w:val="16"/>
              </w:rPr>
              <w:t xml:space="preserve"> </w:t>
            </w:r>
            <w:r w:rsidRPr="001722E9">
              <w:rPr>
                <w:i/>
                <w:sz w:val="16"/>
              </w:rPr>
              <w:t>an</w:t>
            </w:r>
            <w:r w:rsidR="00907D8C" w:rsidRPr="001722E9">
              <w:rPr>
                <w:i/>
                <w:sz w:val="16"/>
              </w:rPr>
              <w:t xml:space="preserve"> </w:t>
            </w:r>
            <w:r w:rsidRPr="001722E9">
              <w:rPr>
                <w:i/>
                <w:sz w:val="16"/>
              </w:rPr>
              <w:t>individual</w:t>
            </w:r>
          </w:p>
        </w:tc>
        <w:tc>
          <w:tcPr>
            <w:tcW w:w="2128" w:type="dxa"/>
            <w:gridSpan w:val="2"/>
            <w:tcBorders>
              <w:top w:val="single" w:sz="4" w:space="0" w:color="auto"/>
              <w:left w:val="single" w:sz="24" w:space="0" w:color="FFFFFF"/>
              <w:bottom w:val="single" w:sz="4" w:space="0" w:color="auto"/>
            </w:tcBorders>
            <w:shd w:val="clear" w:color="auto" w:fill="auto"/>
            <w:noWrap/>
            <w:vAlign w:val="bottom"/>
          </w:tcPr>
          <w:p w:rsidR="00036FAC" w:rsidRPr="001722E9" w:rsidRDefault="00036FAC" w:rsidP="001722E9">
            <w:pPr>
              <w:keepNext/>
              <w:suppressAutoHyphens w:val="0"/>
              <w:spacing w:before="80" w:after="80" w:line="200" w:lineRule="exact"/>
              <w:ind w:right="113"/>
              <w:jc w:val="center"/>
              <w:rPr>
                <w:b/>
                <w:i/>
                <w:sz w:val="16"/>
              </w:rPr>
            </w:pPr>
            <w:r w:rsidRPr="001722E9">
              <w:rPr>
                <w:b/>
                <w:i/>
                <w:sz w:val="16"/>
              </w:rPr>
              <w:t>Total</w:t>
            </w:r>
          </w:p>
        </w:tc>
      </w:tr>
      <w:tr w:rsidR="001722E9" w:rsidRPr="001722E9" w:rsidTr="001722E9">
        <w:trPr>
          <w:trHeight w:val="285"/>
        </w:trPr>
        <w:tc>
          <w:tcPr>
            <w:tcW w:w="1061" w:type="dxa"/>
            <w:tcBorders>
              <w:top w:val="single" w:sz="4" w:space="0" w:color="auto"/>
              <w:bottom w:val="single" w:sz="12" w:space="0" w:color="auto"/>
            </w:tcBorders>
            <w:shd w:val="clear" w:color="auto" w:fill="auto"/>
            <w:noWrap/>
            <w:vAlign w:val="bottom"/>
          </w:tcPr>
          <w:p w:rsidR="00036FAC" w:rsidRPr="001722E9" w:rsidRDefault="00036FAC" w:rsidP="00C23F6E">
            <w:pPr>
              <w:keepNext/>
              <w:suppressAutoHyphens w:val="0"/>
              <w:spacing w:before="80" w:after="80" w:line="200" w:lineRule="exact"/>
              <w:ind w:right="113"/>
              <w:rPr>
                <w:i/>
                <w:sz w:val="16"/>
              </w:rPr>
            </w:pPr>
            <w:r w:rsidRPr="001722E9">
              <w:rPr>
                <w:i/>
                <w:sz w:val="16"/>
              </w:rPr>
              <w:t>Amount</w:t>
            </w:r>
            <w:r w:rsidR="00907D8C" w:rsidRPr="001722E9">
              <w:rPr>
                <w:i/>
                <w:sz w:val="16"/>
              </w:rPr>
              <w:t xml:space="preserve"> </w:t>
            </w:r>
            <w:r w:rsidRPr="001722E9">
              <w:rPr>
                <w:i/>
                <w:sz w:val="16"/>
              </w:rPr>
              <w:t>paid</w:t>
            </w:r>
          </w:p>
        </w:tc>
        <w:tc>
          <w:tcPr>
            <w:tcW w:w="1064" w:type="dxa"/>
            <w:tcBorders>
              <w:top w:val="single" w:sz="4" w:space="0" w:color="auto"/>
              <w:bottom w:val="single" w:sz="12" w:space="0" w:color="auto"/>
              <w:right w:val="single" w:sz="24" w:space="0" w:color="FFFFFF"/>
            </w:tcBorders>
            <w:shd w:val="clear" w:color="auto" w:fill="auto"/>
            <w:noWrap/>
          </w:tcPr>
          <w:p w:rsidR="00036FAC" w:rsidRPr="001722E9" w:rsidRDefault="00036FAC" w:rsidP="001722E9">
            <w:pPr>
              <w:keepNext/>
              <w:suppressAutoHyphens w:val="0"/>
              <w:spacing w:before="80" w:after="80" w:line="200" w:lineRule="exact"/>
              <w:ind w:right="113"/>
              <w:jc w:val="right"/>
              <w:rPr>
                <w:i/>
                <w:sz w:val="16"/>
              </w:rPr>
            </w:pPr>
            <w:r w:rsidRPr="001722E9">
              <w:rPr>
                <w:i/>
                <w:sz w:val="16"/>
              </w:rPr>
              <w:t>Number</w:t>
            </w:r>
            <w:r w:rsidR="00907D8C" w:rsidRPr="001722E9">
              <w:rPr>
                <w:i/>
                <w:sz w:val="16"/>
              </w:rPr>
              <w:t xml:space="preserve"> </w:t>
            </w:r>
            <w:r w:rsidRPr="001722E9">
              <w:rPr>
                <w:i/>
                <w:sz w:val="16"/>
              </w:rPr>
              <w:t>of</w:t>
            </w:r>
            <w:r w:rsidR="00907D8C" w:rsidRPr="001722E9">
              <w:rPr>
                <w:i/>
                <w:sz w:val="16"/>
              </w:rPr>
              <w:t xml:space="preserve"> </w:t>
            </w:r>
            <w:r w:rsidRPr="001722E9">
              <w:rPr>
                <w:i/>
                <w:sz w:val="16"/>
              </w:rPr>
              <w:t>fines</w:t>
            </w:r>
            <w:r w:rsidR="00907D8C" w:rsidRPr="001722E9">
              <w:rPr>
                <w:i/>
                <w:sz w:val="16"/>
              </w:rPr>
              <w:t xml:space="preserve"> </w:t>
            </w:r>
            <w:r w:rsidRPr="001722E9">
              <w:rPr>
                <w:i/>
                <w:sz w:val="16"/>
              </w:rPr>
              <w:t>with</w:t>
            </w:r>
            <w:r w:rsidR="00907D8C" w:rsidRPr="001722E9">
              <w:rPr>
                <w:i/>
                <w:sz w:val="16"/>
              </w:rPr>
              <w:t xml:space="preserve"> </w:t>
            </w:r>
            <w:r w:rsidRPr="001722E9">
              <w:rPr>
                <w:i/>
                <w:sz w:val="16"/>
              </w:rPr>
              <w:t>reparation</w:t>
            </w:r>
          </w:p>
        </w:tc>
        <w:tc>
          <w:tcPr>
            <w:tcW w:w="1063" w:type="dxa"/>
            <w:tcBorders>
              <w:top w:val="single" w:sz="4" w:space="0" w:color="auto"/>
              <w:left w:val="single" w:sz="24" w:space="0" w:color="FFFFFF"/>
              <w:bottom w:val="single" w:sz="12" w:space="0" w:color="auto"/>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i/>
                <w:sz w:val="16"/>
              </w:rPr>
            </w:pPr>
            <w:r w:rsidRPr="001722E9">
              <w:rPr>
                <w:i/>
                <w:sz w:val="16"/>
              </w:rPr>
              <w:t>Amount</w:t>
            </w:r>
            <w:r w:rsidR="00907D8C" w:rsidRPr="001722E9">
              <w:rPr>
                <w:i/>
                <w:sz w:val="16"/>
              </w:rPr>
              <w:t xml:space="preserve"> </w:t>
            </w:r>
            <w:r w:rsidRPr="001722E9">
              <w:rPr>
                <w:i/>
                <w:sz w:val="16"/>
              </w:rPr>
              <w:t>paid</w:t>
            </w:r>
          </w:p>
        </w:tc>
        <w:tc>
          <w:tcPr>
            <w:tcW w:w="1063" w:type="dxa"/>
            <w:tcBorders>
              <w:top w:val="single" w:sz="4" w:space="0" w:color="auto"/>
              <w:bottom w:val="single" w:sz="12" w:space="0" w:color="auto"/>
              <w:right w:val="single" w:sz="24" w:space="0" w:color="FFFFFF"/>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i/>
                <w:sz w:val="16"/>
              </w:rPr>
            </w:pPr>
            <w:r w:rsidRPr="001722E9">
              <w:rPr>
                <w:i/>
                <w:sz w:val="16"/>
              </w:rPr>
              <w:t>Number</w:t>
            </w:r>
            <w:r w:rsidR="00907D8C" w:rsidRPr="001722E9">
              <w:rPr>
                <w:i/>
                <w:sz w:val="16"/>
              </w:rPr>
              <w:t xml:space="preserve"> </w:t>
            </w:r>
            <w:r w:rsidRPr="001722E9">
              <w:rPr>
                <w:i/>
                <w:sz w:val="16"/>
              </w:rPr>
              <w:t>of</w:t>
            </w:r>
            <w:r w:rsidR="00907D8C" w:rsidRPr="001722E9">
              <w:rPr>
                <w:i/>
                <w:sz w:val="16"/>
              </w:rPr>
              <w:t xml:space="preserve"> </w:t>
            </w:r>
            <w:r w:rsidRPr="001722E9">
              <w:rPr>
                <w:i/>
                <w:sz w:val="16"/>
              </w:rPr>
              <w:t>fines</w:t>
            </w:r>
            <w:r w:rsidR="00907D8C" w:rsidRPr="001722E9">
              <w:rPr>
                <w:i/>
                <w:sz w:val="16"/>
              </w:rPr>
              <w:t xml:space="preserve"> </w:t>
            </w:r>
            <w:r w:rsidRPr="001722E9">
              <w:rPr>
                <w:i/>
                <w:sz w:val="16"/>
              </w:rPr>
              <w:t>with</w:t>
            </w:r>
            <w:r w:rsidR="00907D8C" w:rsidRPr="001722E9">
              <w:rPr>
                <w:i/>
                <w:sz w:val="16"/>
              </w:rPr>
              <w:t xml:space="preserve"> </w:t>
            </w:r>
            <w:r w:rsidRPr="001722E9">
              <w:rPr>
                <w:i/>
                <w:sz w:val="16"/>
              </w:rPr>
              <w:t>reparation</w:t>
            </w:r>
          </w:p>
        </w:tc>
        <w:tc>
          <w:tcPr>
            <w:tcW w:w="1063" w:type="dxa"/>
            <w:tcBorders>
              <w:top w:val="single" w:sz="4" w:space="0" w:color="auto"/>
              <w:left w:val="single" w:sz="24" w:space="0" w:color="FFFFFF"/>
              <w:bottom w:val="single" w:sz="12" w:space="0" w:color="auto"/>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i/>
                <w:sz w:val="16"/>
              </w:rPr>
            </w:pPr>
            <w:r w:rsidRPr="001722E9">
              <w:rPr>
                <w:i/>
                <w:sz w:val="16"/>
              </w:rPr>
              <w:t>Amount</w:t>
            </w:r>
            <w:r w:rsidR="00907D8C" w:rsidRPr="001722E9">
              <w:rPr>
                <w:i/>
                <w:sz w:val="16"/>
              </w:rPr>
              <w:t xml:space="preserve"> </w:t>
            </w:r>
            <w:r w:rsidRPr="001722E9">
              <w:rPr>
                <w:i/>
                <w:sz w:val="16"/>
              </w:rPr>
              <w:t>paid</w:t>
            </w:r>
            <w:r w:rsidR="00907D8C" w:rsidRPr="001722E9">
              <w:rPr>
                <w:i/>
                <w:sz w:val="16"/>
              </w:rPr>
              <w:t xml:space="preserve"> </w:t>
            </w:r>
          </w:p>
        </w:tc>
        <w:tc>
          <w:tcPr>
            <w:tcW w:w="1063" w:type="dxa"/>
            <w:tcBorders>
              <w:top w:val="single" w:sz="4" w:space="0" w:color="auto"/>
              <w:bottom w:val="single" w:sz="12" w:space="0" w:color="auto"/>
              <w:right w:val="single" w:sz="24" w:space="0" w:color="FFFFFF"/>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i/>
                <w:sz w:val="16"/>
              </w:rPr>
            </w:pPr>
            <w:r w:rsidRPr="001722E9">
              <w:rPr>
                <w:i/>
                <w:sz w:val="16"/>
              </w:rPr>
              <w:t>Number</w:t>
            </w:r>
            <w:r w:rsidR="00907D8C" w:rsidRPr="001722E9">
              <w:rPr>
                <w:i/>
                <w:sz w:val="16"/>
              </w:rPr>
              <w:t xml:space="preserve"> </w:t>
            </w:r>
            <w:r w:rsidRPr="001722E9">
              <w:rPr>
                <w:i/>
                <w:sz w:val="16"/>
              </w:rPr>
              <w:t>of</w:t>
            </w:r>
            <w:r w:rsidR="00907D8C" w:rsidRPr="001722E9">
              <w:rPr>
                <w:i/>
                <w:sz w:val="16"/>
              </w:rPr>
              <w:t xml:space="preserve"> </w:t>
            </w:r>
            <w:r w:rsidRPr="001722E9">
              <w:rPr>
                <w:i/>
                <w:sz w:val="16"/>
              </w:rPr>
              <w:t>fines</w:t>
            </w:r>
            <w:r w:rsidR="00907D8C" w:rsidRPr="001722E9">
              <w:rPr>
                <w:i/>
                <w:sz w:val="16"/>
              </w:rPr>
              <w:t xml:space="preserve"> </w:t>
            </w:r>
            <w:r w:rsidRPr="001722E9">
              <w:rPr>
                <w:i/>
                <w:sz w:val="16"/>
              </w:rPr>
              <w:t>with</w:t>
            </w:r>
            <w:r w:rsidR="00907D8C" w:rsidRPr="001722E9">
              <w:rPr>
                <w:i/>
                <w:sz w:val="16"/>
              </w:rPr>
              <w:t xml:space="preserve"> </w:t>
            </w:r>
            <w:r w:rsidRPr="001722E9">
              <w:rPr>
                <w:i/>
                <w:sz w:val="16"/>
              </w:rPr>
              <w:t>reparation</w:t>
            </w:r>
          </w:p>
        </w:tc>
        <w:tc>
          <w:tcPr>
            <w:tcW w:w="1063" w:type="dxa"/>
            <w:tcBorders>
              <w:top w:val="single" w:sz="4" w:space="0" w:color="auto"/>
              <w:left w:val="single" w:sz="24" w:space="0" w:color="FFFFFF"/>
              <w:bottom w:val="single" w:sz="12" w:space="0" w:color="auto"/>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b/>
                <w:i/>
                <w:sz w:val="16"/>
              </w:rPr>
            </w:pPr>
            <w:r w:rsidRPr="001722E9">
              <w:rPr>
                <w:b/>
                <w:i/>
                <w:sz w:val="16"/>
              </w:rPr>
              <w:t>Amount</w:t>
            </w:r>
            <w:r w:rsidR="00907D8C" w:rsidRPr="001722E9">
              <w:rPr>
                <w:b/>
                <w:i/>
                <w:sz w:val="16"/>
              </w:rPr>
              <w:t xml:space="preserve"> </w:t>
            </w:r>
            <w:r w:rsidRPr="001722E9">
              <w:rPr>
                <w:b/>
                <w:i/>
                <w:sz w:val="16"/>
              </w:rPr>
              <w:t>paid</w:t>
            </w:r>
            <w:r w:rsidR="00907D8C" w:rsidRPr="001722E9">
              <w:rPr>
                <w:b/>
                <w:i/>
                <w:sz w:val="16"/>
              </w:rPr>
              <w:t xml:space="preserve"> </w:t>
            </w:r>
          </w:p>
        </w:tc>
        <w:tc>
          <w:tcPr>
            <w:tcW w:w="1065" w:type="dxa"/>
            <w:tcBorders>
              <w:top w:val="single" w:sz="4" w:space="0" w:color="auto"/>
              <w:bottom w:val="single" w:sz="12" w:space="0" w:color="auto"/>
            </w:tcBorders>
            <w:shd w:val="clear" w:color="auto" w:fill="auto"/>
            <w:noWrap/>
            <w:vAlign w:val="bottom"/>
          </w:tcPr>
          <w:p w:rsidR="00036FAC" w:rsidRPr="001722E9" w:rsidRDefault="00036FAC" w:rsidP="001722E9">
            <w:pPr>
              <w:keepNext/>
              <w:suppressAutoHyphens w:val="0"/>
              <w:spacing w:before="80" w:after="80" w:line="200" w:lineRule="exact"/>
              <w:ind w:right="113"/>
              <w:jc w:val="right"/>
              <w:rPr>
                <w:b/>
                <w:i/>
                <w:sz w:val="16"/>
              </w:rPr>
            </w:pPr>
            <w:r w:rsidRPr="001722E9">
              <w:rPr>
                <w:b/>
                <w:i/>
                <w:sz w:val="16"/>
              </w:rPr>
              <w:t>Number</w:t>
            </w:r>
            <w:r w:rsidR="00907D8C" w:rsidRPr="001722E9">
              <w:rPr>
                <w:b/>
                <w:i/>
                <w:sz w:val="16"/>
              </w:rPr>
              <w:t xml:space="preserve"> </w:t>
            </w:r>
            <w:r w:rsidRPr="001722E9">
              <w:rPr>
                <w:b/>
                <w:i/>
                <w:sz w:val="16"/>
              </w:rPr>
              <w:t>of</w:t>
            </w:r>
            <w:r w:rsidR="00907D8C" w:rsidRPr="001722E9">
              <w:rPr>
                <w:b/>
                <w:i/>
                <w:sz w:val="16"/>
              </w:rPr>
              <w:t xml:space="preserve"> </w:t>
            </w:r>
            <w:r w:rsidRPr="001722E9">
              <w:rPr>
                <w:b/>
                <w:i/>
                <w:sz w:val="16"/>
              </w:rPr>
              <w:t>fines</w:t>
            </w:r>
            <w:r w:rsidR="00907D8C" w:rsidRPr="001722E9">
              <w:rPr>
                <w:b/>
                <w:i/>
                <w:sz w:val="16"/>
              </w:rPr>
              <w:t xml:space="preserve"> </w:t>
            </w:r>
            <w:r w:rsidRPr="001722E9">
              <w:rPr>
                <w:b/>
                <w:i/>
                <w:sz w:val="16"/>
              </w:rPr>
              <w:t>with</w:t>
            </w:r>
            <w:r w:rsidR="00907D8C" w:rsidRPr="001722E9">
              <w:rPr>
                <w:b/>
                <w:i/>
                <w:sz w:val="16"/>
              </w:rPr>
              <w:t xml:space="preserve"> </w:t>
            </w:r>
            <w:r w:rsidRPr="001722E9">
              <w:rPr>
                <w:b/>
                <w:i/>
                <w:sz w:val="16"/>
              </w:rPr>
              <w:t>reparation</w:t>
            </w:r>
          </w:p>
        </w:tc>
      </w:tr>
      <w:tr w:rsidR="00036FAC" w:rsidRPr="001722E9" w:rsidTr="001722E9">
        <w:trPr>
          <w:trHeight w:val="285"/>
        </w:trPr>
        <w:tc>
          <w:tcPr>
            <w:tcW w:w="1061" w:type="dxa"/>
            <w:tcBorders>
              <w:top w:val="single" w:sz="12" w:space="0" w:color="auto"/>
            </w:tcBorders>
            <w:shd w:val="clear" w:color="auto" w:fill="auto"/>
            <w:noWrap/>
          </w:tcPr>
          <w:p w:rsidR="00036FAC" w:rsidRPr="001722E9" w:rsidRDefault="00036FAC" w:rsidP="001722E9">
            <w:pPr>
              <w:suppressAutoHyphens w:val="0"/>
              <w:spacing w:before="40" w:after="40" w:line="220" w:lineRule="exact"/>
              <w:ind w:right="113"/>
              <w:jc w:val="right"/>
              <w:rPr>
                <w:sz w:val="18"/>
              </w:rPr>
            </w:pPr>
            <w:r w:rsidRPr="001722E9">
              <w:rPr>
                <w:sz w:val="18"/>
              </w:rPr>
              <w:t>$5</w:t>
            </w:r>
            <w:r w:rsidR="001722E9">
              <w:rPr>
                <w:sz w:val="18"/>
              </w:rPr>
              <w:t xml:space="preserve"> </w:t>
            </w:r>
            <w:r w:rsidRPr="001722E9">
              <w:rPr>
                <w:sz w:val="18"/>
              </w:rPr>
              <w:t>694</w:t>
            </w:r>
            <w:r w:rsidR="001722E9">
              <w:rPr>
                <w:sz w:val="18"/>
              </w:rPr>
              <w:t xml:space="preserve"> </w:t>
            </w:r>
            <w:r w:rsidRPr="001722E9">
              <w:rPr>
                <w:sz w:val="18"/>
              </w:rPr>
              <w:t>691</w:t>
            </w:r>
          </w:p>
        </w:tc>
        <w:tc>
          <w:tcPr>
            <w:tcW w:w="1064" w:type="dxa"/>
            <w:tcBorders>
              <w:top w:val="single" w:sz="12" w:space="0" w:color="auto"/>
            </w:tcBorders>
            <w:shd w:val="clear" w:color="auto" w:fill="auto"/>
            <w:noWrap/>
          </w:tcPr>
          <w:p w:rsidR="00036FAC" w:rsidRPr="001722E9" w:rsidRDefault="00036FAC" w:rsidP="001722E9">
            <w:pPr>
              <w:suppressAutoHyphens w:val="0"/>
              <w:spacing w:before="40" w:after="40" w:line="220" w:lineRule="exact"/>
              <w:ind w:right="113"/>
              <w:jc w:val="right"/>
              <w:rPr>
                <w:sz w:val="18"/>
              </w:rPr>
            </w:pPr>
            <w:r w:rsidRPr="001722E9">
              <w:rPr>
                <w:sz w:val="18"/>
              </w:rPr>
              <w:t>4</w:t>
            </w:r>
            <w:r w:rsidR="001722E9">
              <w:rPr>
                <w:sz w:val="18"/>
              </w:rPr>
              <w:t xml:space="preserve"> </w:t>
            </w:r>
            <w:r w:rsidRPr="001722E9">
              <w:rPr>
                <w:sz w:val="18"/>
              </w:rPr>
              <w:t>738</w:t>
            </w:r>
          </w:p>
        </w:tc>
        <w:tc>
          <w:tcPr>
            <w:tcW w:w="1063"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sz w:val="18"/>
              </w:rPr>
            </w:pPr>
            <w:r w:rsidRPr="001722E9">
              <w:rPr>
                <w:sz w:val="18"/>
              </w:rPr>
              <w:t>$18</w:t>
            </w:r>
            <w:r w:rsidR="001722E9">
              <w:rPr>
                <w:sz w:val="18"/>
              </w:rPr>
              <w:t xml:space="preserve"> </w:t>
            </w:r>
            <w:r w:rsidRPr="001722E9">
              <w:rPr>
                <w:sz w:val="18"/>
              </w:rPr>
              <w:t>964</w:t>
            </w:r>
            <w:r w:rsidR="001722E9">
              <w:rPr>
                <w:sz w:val="18"/>
              </w:rPr>
              <w:t xml:space="preserve"> </w:t>
            </w:r>
            <w:r w:rsidRPr="001722E9">
              <w:rPr>
                <w:sz w:val="18"/>
              </w:rPr>
              <w:t>852</w:t>
            </w:r>
          </w:p>
        </w:tc>
        <w:tc>
          <w:tcPr>
            <w:tcW w:w="1063"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sz w:val="18"/>
              </w:rPr>
            </w:pPr>
            <w:r w:rsidRPr="001722E9">
              <w:rPr>
                <w:sz w:val="18"/>
              </w:rPr>
              <w:t>18</w:t>
            </w:r>
            <w:r w:rsidR="001722E9">
              <w:rPr>
                <w:sz w:val="18"/>
              </w:rPr>
              <w:t xml:space="preserve"> </w:t>
            </w:r>
            <w:r w:rsidRPr="001722E9">
              <w:rPr>
                <w:sz w:val="18"/>
              </w:rPr>
              <w:t>071</w:t>
            </w:r>
          </w:p>
        </w:tc>
        <w:tc>
          <w:tcPr>
            <w:tcW w:w="1063"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sz w:val="18"/>
              </w:rPr>
            </w:pPr>
            <w:r w:rsidRPr="001722E9">
              <w:rPr>
                <w:sz w:val="18"/>
              </w:rPr>
              <w:t>$3</w:t>
            </w:r>
            <w:r w:rsidR="001722E9">
              <w:rPr>
                <w:sz w:val="18"/>
              </w:rPr>
              <w:t xml:space="preserve"> </w:t>
            </w:r>
            <w:r w:rsidRPr="001722E9">
              <w:rPr>
                <w:sz w:val="18"/>
              </w:rPr>
              <w:t>223</w:t>
            </w:r>
            <w:r w:rsidR="001722E9">
              <w:rPr>
                <w:sz w:val="18"/>
              </w:rPr>
              <w:t xml:space="preserve"> </w:t>
            </w:r>
            <w:r w:rsidRPr="001722E9">
              <w:rPr>
                <w:sz w:val="18"/>
              </w:rPr>
              <w:t>090</w:t>
            </w:r>
          </w:p>
        </w:tc>
        <w:tc>
          <w:tcPr>
            <w:tcW w:w="1063"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sz w:val="18"/>
              </w:rPr>
            </w:pPr>
            <w:r w:rsidRPr="001722E9">
              <w:rPr>
                <w:sz w:val="18"/>
              </w:rPr>
              <w:t>807</w:t>
            </w:r>
          </w:p>
        </w:tc>
        <w:tc>
          <w:tcPr>
            <w:tcW w:w="1063"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b/>
                <w:sz w:val="18"/>
              </w:rPr>
            </w:pPr>
            <w:r w:rsidRPr="001722E9">
              <w:rPr>
                <w:b/>
                <w:sz w:val="18"/>
              </w:rPr>
              <w:t>$27</w:t>
            </w:r>
            <w:r w:rsidR="001722E9">
              <w:rPr>
                <w:b/>
                <w:sz w:val="18"/>
              </w:rPr>
              <w:t xml:space="preserve"> </w:t>
            </w:r>
            <w:r w:rsidRPr="001722E9">
              <w:rPr>
                <w:b/>
                <w:sz w:val="18"/>
              </w:rPr>
              <w:t>882</w:t>
            </w:r>
            <w:r w:rsidR="001722E9">
              <w:rPr>
                <w:b/>
                <w:sz w:val="18"/>
              </w:rPr>
              <w:t xml:space="preserve"> </w:t>
            </w:r>
            <w:r w:rsidRPr="001722E9">
              <w:rPr>
                <w:b/>
                <w:sz w:val="18"/>
              </w:rPr>
              <w:t>633</w:t>
            </w:r>
          </w:p>
        </w:tc>
        <w:tc>
          <w:tcPr>
            <w:tcW w:w="1065" w:type="dxa"/>
            <w:tcBorders>
              <w:top w:val="single" w:sz="12" w:space="0" w:color="auto"/>
            </w:tcBorders>
            <w:shd w:val="clear" w:color="auto" w:fill="auto"/>
            <w:noWrap/>
            <w:vAlign w:val="bottom"/>
          </w:tcPr>
          <w:p w:rsidR="00036FAC" w:rsidRPr="001722E9" w:rsidRDefault="00036FAC" w:rsidP="001722E9">
            <w:pPr>
              <w:suppressAutoHyphens w:val="0"/>
              <w:spacing w:before="40" w:after="40" w:line="220" w:lineRule="exact"/>
              <w:ind w:right="113"/>
              <w:jc w:val="right"/>
              <w:rPr>
                <w:b/>
                <w:sz w:val="18"/>
              </w:rPr>
            </w:pPr>
            <w:r w:rsidRPr="001722E9">
              <w:rPr>
                <w:b/>
                <w:sz w:val="18"/>
              </w:rPr>
              <w:t>23</w:t>
            </w:r>
            <w:r w:rsidR="001722E9">
              <w:rPr>
                <w:b/>
                <w:sz w:val="18"/>
              </w:rPr>
              <w:t xml:space="preserve"> </w:t>
            </w:r>
            <w:r w:rsidRPr="001722E9">
              <w:rPr>
                <w:b/>
                <w:sz w:val="18"/>
              </w:rPr>
              <w:t>616</w:t>
            </w:r>
          </w:p>
        </w:tc>
      </w:tr>
    </w:tbl>
    <w:p w:rsidR="00036FAC" w:rsidRPr="001722E9" w:rsidRDefault="00036FAC" w:rsidP="00B50FB5">
      <w:pPr>
        <w:spacing w:before="120"/>
        <w:ind w:left="1134" w:right="1134" w:firstLine="170"/>
        <w:rPr>
          <w:sz w:val="18"/>
          <w:szCs w:val="18"/>
        </w:rPr>
      </w:pPr>
      <w:r w:rsidRPr="001722E9">
        <w:rPr>
          <w:i/>
          <w:sz w:val="18"/>
          <w:szCs w:val="18"/>
        </w:rPr>
        <w:t>Source</w:t>
      </w:r>
      <w:r w:rsidRPr="001722E9">
        <w:rPr>
          <w:sz w:val="18"/>
          <w:szCs w:val="18"/>
        </w:rPr>
        <w:t>:</w:t>
      </w:r>
      <w:r w:rsidR="001722E9" w:rsidRPr="001722E9">
        <w:rPr>
          <w:sz w:val="18"/>
          <w:szCs w:val="18"/>
        </w:rPr>
        <w:t xml:space="preserve"> </w:t>
      </w:r>
      <w:r w:rsidR="00907D8C" w:rsidRPr="001722E9">
        <w:rPr>
          <w:sz w:val="18"/>
          <w:szCs w:val="18"/>
        </w:rPr>
        <w:t xml:space="preserve"> </w:t>
      </w:r>
      <w:r w:rsidRPr="001722E9">
        <w:rPr>
          <w:sz w:val="18"/>
          <w:szCs w:val="18"/>
        </w:rPr>
        <w:t>Ministry</w:t>
      </w:r>
      <w:r w:rsidR="00907D8C" w:rsidRPr="001722E9">
        <w:rPr>
          <w:sz w:val="18"/>
          <w:szCs w:val="18"/>
        </w:rPr>
        <w:t xml:space="preserve"> </w:t>
      </w:r>
      <w:r w:rsidRPr="001722E9">
        <w:rPr>
          <w:sz w:val="18"/>
          <w:szCs w:val="18"/>
        </w:rPr>
        <w:t>of</w:t>
      </w:r>
      <w:r w:rsidR="00907D8C" w:rsidRPr="001722E9">
        <w:rPr>
          <w:sz w:val="18"/>
          <w:szCs w:val="18"/>
        </w:rPr>
        <w:t xml:space="preserve"> </w:t>
      </w:r>
      <w:r w:rsidRPr="001722E9">
        <w:rPr>
          <w:sz w:val="18"/>
          <w:szCs w:val="18"/>
        </w:rPr>
        <w:t>Justice</w:t>
      </w:r>
      <w:r w:rsidR="001722E9" w:rsidRPr="001722E9">
        <w:rPr>
          <w:sz w:val="18"/>
          <w:szCs w:val="18"/>
        </w:rPr>
        <w:t>.</w:t>
      </w:r>
    </w:p>
    <w:p w:rsidR="00036FAC" w:rsidRPr="00036FAC" w:rsidRDefault="00036FAC" w:rsidP="001722E9">
      <w:pPr>
        <w:pStyle w:val="H1G"/>
      </w:pPr>
      <w:bookmarkStart w:id="81" w:name="_Toc265677521"/>
      <w:bookmarkStart w:id="82" w:name="_Toc275331894"/>
      <w:r w:rsidRPr="00036FAC">
        <w:tab/>
        <w:t>B.</w:t>
      </w:r>
      <w:r w:rsidRPr="00036FAC">
        <w:tab/>
      </w:r>
      <w:r w:rsidRPr="00036FAC">
        <w:t>Constitutional,</w:t>
      </w:r>
      <w:r w:rsidR="00907D8C">
        <w:t xml:space="preserve"> </w:t>
      </w:r>
      <w:r w:rsidRPr="00036FAC">
        <w:t>political</w:t>
      </w:r>
      <w:r w:rsidR="00907D8C">
        <w:t xml:space="preserve"> </w:t>
      </w:r>
      <w:r w:rsidRPr="00036FAC">
        <w:t>and</w:t>
      </w:r>
      <w:r w:rsidR="00907D8C">
        <w:t xml:space="preserve"> </w:t>
      </w:r>
      <w:r w:rsidRPr="00036FAC">
        <w:t>legal</w:t>
      </w:r>
      <w:r w:rsidR="00907D8C">
        <w:t xml:space="preserve"> </w:t>
      </w:r>
      <w:r w:rsidRPr="00036FAC">
        <w:t>structure</w:t>
      </w:r>
      <w:bookmarkEnd w:id="10"/>
      <w:bookmarkEnd w:id="11"/>
      <w:bookmarkEnd w:id="12"/>
      <w:bookmarkEnd w:id="13"/>
      <w:bookmarkEnd w:id="14"/>
      <w:bookmarkEnd w:id="15"/>
      <w:bookmarkEnd w:id="16"/>
      <w:bookmarkEnd w:id="17"/>
      <w:bookmarkEnd w:id="18"/>
      <w:bookmarkEnd w:id="81"/>
      <w:bookmarkEnd w:id="82"/>
    </w:p>
    <w:p w:rsidR="00036FAC" w:rsidRPr="00036FAC" w:rsidRDefault="00036FAC" w:rsidP="006C436C">
      <w:pPr>
        <w:pStyle w:val="H23G"/>
      </w:pPr>
      <w:bookmarkStart w:id="83" w:name="_Toc114894963"/>
      <w:bookmarkStart w:id="84" w:name="_Toc114895854"/>
      <w:bookmarkStart w:id="85" w:name="_Toc115493394"/>
      <w:bookmarkStart w:id="86" w:name="_Toc115493738"/>
      <w:bookmarkStart w:id="87" w:name="_Toc115493813"/>
      <w:bookmarkStart w:id="88" w:name="_Toc118100608"/>
      <w:bookmarkStart w:id="89" w:name="_Toc125278894"/>
      <w:r w:rsidRPr="00036FAC">
        <w:tab/>
        <w:t>1.</w:t>
      </w:r>
      <w:r w:rsidRPr="00036FAC">
        <w:tab/>
        <w:t>Constitution</w:t>
      </w:r>
      <w:bookmarkEnd w:id="83"/>
      <w:bookmarkEnd w:id="84"/>
      <w:bookmarkEnd w:id="85"/>
      <w:bookmarkEnd w:id="86"/>
      <w:bookmarkEnd w:id="87"/>
      <w:bookmarkEnd w:id="88"/>
      <w:bookmarkEnd w:id="89"/>
    </w:p>
    <w:p w:rsidR="00036FAC" w:rsidRPr="00036FAC" w:rsidRDefault="00036FAC" w:rsidP="001722E9">
      <w:pPr>
        <w:pStyle w:val="SingleTxtG"/>
      </w:pPr>
      <w:r w:rsidRPr="00036FAC">
        <w:t>140.</w:t>
      </w:r>
      <w:r w:rsidRPr="00036FAC">
        <w:tab/>
        <w:t>New</w:t>
      </w:r>
      <w:r w:rsidR="00907D8C">
        <w:t xml:space="preserve"> </w:t>
      </w:r>
      <w:r w:rsidRPr="00036FAC">
        <w:t>Zealand</w:t>
      </w:r>
      <w:r w:rsidR="003E4D94">
        <w:t>’</w:t>
      </w:r>
      <w:r w:rsidRPr="00036FAC">
        <w:t>s</w:t>
      </w:r>
      <w:r w:rsidR="00907D8C">
        <w:t xml:space="preserve"> </w:t>
      </w:r>
      <w:r w:rsidRPr="00036FAC">
        <w:t>constitutional</w:t>
      </w:r>
      <w:r w:rsidR="00907D8C">
        <w:t xml:space="preserve"> </w:t>
      </w:r>
      <w:r w:rsidRPr="00036FAC">
        <w:t>arrangements</w:t>
      </w:r>
      <w:r w:rsidR="00907D8C">
        <w:t xml:space="preserve"> </w:t>
      </w:r>
      <w:r w:rsidRPr="00036FAC">
        <w:t>have</w:t>
      </w:r>
      <w:r w:rsidR="00907D8C">
        <w:t xml:space="preserve"> </w:t>
      </w:r>
      <w:r w:rsidRPr="00036FAC">
        <w:t>evolved</w:t>
      </w:r>
      <w:r w:rsidR="00907D8C">
        <w:t xml:space="preserve"> </w:t>
      </w:r>
      <w:r w:rsidRPr="00036FAC">
        <w:t>over</w:t>
      </w:r>
      <w:r w:rsidR="00907D8C">
        <w:t xml:space="preserve"> </w:t>
      </w:r>
      <w:r w:rsidRPr="00036FAC">
        <w:t>many</w:t>
      </w:r>
      <w:r w:rsidR="00907D8C">
        <w:t xml:space="preserve"> </w:t>
      </w:r>
      <w:r w:rsidRPr="00036FAC">
        <w:t>years</w:t>
      </w:r>
      <w:r w:rsidR="00907D8C">
        <w:t xml:space="preserve"> </w:t>
      </w:r>
      <w:r w:rsidRPr="00036FAC">
        <w:t>and</w:t>
      </w:r>
      <w:r w:rsidR="00907D8C">
        <w:t xml:space="preserve"> </w:t>
      </w:r>
      <w:r w:rsidRPr="00036FAC">
        <w:t>increasingly</w:t>
      </w:r>
      <w:r w:rsidR="00907D8C">
        <w:t xml:space="preserve"> </w:t>
      </w:r>
      <w:r w:rsidRPr="00036FAC">
        <w:t>reflect</w:t>
      </w:r>
      <w:r w:rsidR="00907D8C">
        <w:t xml:space="preserve"> </w:t>
      </w:r>
      <w:r w:rsidRPr="00036FAC">
        <w:t>regard</w:t>
      </w:r>
      <w:r w:rsidR="00907D8C">
        <w:t xml:space="preserve"> </w:t>
      </w:r>
      <w:r w:rsidRPr="00036FAC">
        <w:t>for</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as</w:t>
      </w:r>
      <w:r w:rsidR="00907D8C">
        <w:t xml:space="preserve"> </w:t>
      </w:r>
      <w:r w:rsidRPr="00036FAC">
        <w:t>a</w:t>
      </w:r>
      <w:r w:rsidR="00907D8C">
        <w:t xml:space="preserve"> </w:t>
      </w:r>
      <w:r w:rsidRPr="00036FAC">
        <w:t>founding</w:t>
      </w:r>
      <w:r w:rsidR="00907D8C">
        <w:t xml:space="preserve"> </w:t>
      </w:r>
      <w:r w:rsidRPr="00036FAC">
        <w:t>document</w:t>
      </w:r>
      <w:r w:rsidR="00907D8C">
        <w:t xml:space="preserve"> </w:t>
      </w:r>
      <w:r w:rsidRPr="00036FAC">
        <w:t>of</w:t>
      </w:r>
      <w:r w:rsidR="00907D8C">
        <w:t xml:space="preserve"> </w:t>
      </w:r>
      <w:r w:rsidRPr="00036FAC">
        <w:t>modern</w:t>
      </w:r>
      <w:r w:rsidR="00907D8C">
        <w:t xml:space="preserve"> </w:t>
      </w:r>
      <w:r w:rsidRPr="00036FAC">
        <w:t>government</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As</w:t>
      </w:r>
      <w:r w:rsidR="00907D8C">
        <w:t xml:space="preserve"> </w:t>
      </w:r>
      <w:r w:rsidRPr="00036FAC">
        <w:t>noted</w:t>
      </w:r>
      <w:r w:rsidR="00907D8C">
        <w:t xml:space="preserve"> </w:t>
      </w:r>
      <w:r w:rsidRPr="00036FAC">
        <w:t>by</w:t>
      </w:r>
      <w:r w:rsidR="00907D8C">
        <w:t xml:space="preserve"> </w:t>
      </w:r>
      <w:r w:rsidRPr="00036FAC">
        <w:t>the</w:t>
      </w:r>
      <w:r w:rsidR="00907D8C">
        <w:t xml:space="preserve"> </w:t>
      </w:r>
      <w:r w:rsidRPr="00036FAC">
        <w:t>Special</w:t>
      </w:r>
      <w:r w:rsidR="00907D8C">
        <w:t xml:space="preserve"> </w:t>
      </w:r>
      <w:r w:rsidRPr="00036FAC">
        <w:t>Rapporteur</w:t>
      </w:r>
      <w:r w:rsidR="00907D8C">
        <w:t xml:space="preserve"> </w:t>
      </w:r>
      <w:r w:rsidRPr="00036FAC">
        <w:t>on</w:t>
      </w:r>
      <w:r w:rsidR="00907D8C">
        <w:t xml:space="preserve"> </w:t>
      </w:r>
      <w:r w:rsidRPr="00036FAC">
        <w:t>the</w:t>
      </w:r>
      <w:r w:rsidR="00907D8C">
        <w:t xml:space="preserve"> </w:t>
      </w:r>
      <w:r w:rsidRPr="00036FAC">
        <w:t>situation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fundamental</w:t>
      </w:r>
      <w:r w:rsidR="00907D8C">
        <w:t xml:space="preserve"> </w:t>
      </w:r>
      <w:r w:rsidRPr="00036FAC">
        <w:t>freedoms</w:t>
      </w:r>
      <w:r w:rsidR="00907D8C">
        <w:t xml:space="preserve"> </w:t>
      </w:r>
      <w:r w:rsidRPr="00036FAC">
        <w:t>of</w:t>
      </w:r>
      <w:r w:rsidR="00907D8C">
        <w:t xml:space="preserve"> </w:t>
      </w:r>
      <w:r w:rsidRPr="00036FAC">
        <w:t>indigenous</w:t>
      </w:r>
      <w:r w:rsidR="00907D8C">
        <w:t xml:space="preserve"> </w:t>
      </w:r>
      <w:r w:rsidRPr="00036FAC">
        <w:t>people</w:t>
      </w:r>
      <w:r w:rsidR="00907D8C">
        <w:t xml:space="preserve"> </w:t>
      </w:r>
      <w:r w:rsidRPr="00036FAC">
        <w:t>in</w:t>
      </w:r>
      <w:r w:rsidR="00907D8C">
        <w:t xml:space="preserve"> </w:t>
      </w:r>
      <w:r w:rsidRPr="00036FAC">
        <w:t>2005</w:t>
      </w:r>
      <w:r w:rsidR="00907D8C">
        <w:t xml:space="preserve"> </w:t>
      </w:r>
      <w:r w:rsidRPr="00036FAC">
        <w:t>and</w:t>
      </w:r>
      <w:r w:rsidR="00907D8C">
        <w:t xml:space="preserve"> </w:t>
      </w:r>
      <w:r w:rsidRPr="00036FAC">
        <w:t>the</w:t>
      </w:r>
      <w:r w:rsidR="00907D8C">
        <w:t xml:space="preserve"> </w:t>
      </w:r>
      <w:r w:rsidRPr="00036FAC">
        <w:t>Committee</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Racial</w:t>
      </w:r>
      <w:r w:rsidR="00907D8C">
        <w:t xml:space="preserve"> </w:t>
      </w:r>
      <w:r w:rsidRPr="00036FAC">
        <w:t>Discrimination</w:t>
      </w:r>
      <w:r w:rsidR="00907D8C">
        <w:t xml:space="preserve"> </w:t>
      </w:r>
      <w:r w:rsidRPr="00036FAC">
        <w:t>in</w:t>
      </w:r>
      <w:r w:rsidR="00907D8C">
        <w:t xml:space="preserve"> </w:t>
      </w:r>
      <w:r w:rsidRPr="00036FAC">
        <w:t>2007,</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is</w:t>
      </w:r>
      <w:r w:rsidR="00907D8C">
        <w:t xml:space="preserve"> </w:t>
      </w:r>
      <w:r w:rsidRPr="00036FAC">
        <w:t>not</w:t>
      </w:r>
      <w:r w:rsidR="00907D8C">
        <w:t xml:space="preserve"> </w:t>
      </w:r>
      <w:r w:rsidRPr="00036FAC">
        <w:t>a</w:t>
      </w:r>
      <w:r w:rsidR="00907D8C">
        <w:t xml:space="preserve"> </w:t>
      </w:r>
      <w:r w:rsidRPr="00036FAC">
        <w:t>formal</w:t>
      </w:r>
      <w:r w:rsidR="00907D8C">
        <w:t xml:space="preserve"> </w:t>
      </w:r>
      <w:r w:rsidRPr="00036FAC">
        <w:t>part</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domestic</w:t>
      </w:r>
      <w:r w:rsidR="00907D8C">
        <w:t xml:space="preserve"> </w:t>
      </w:r>
      <w:r w:rsidRPr="00036FAC">
        <w:t>law.</w:t>
      </w:r>
      <w:r w:rsidR="00907D8C">
        <w:t xml:space="preserve"> </w:t>
      </w:r>
      <w:r w:rsidRPr="00036FAC">
        <w:t>Treaty</w:t>
      </w:r>
      <w:r w:rsidR="00907D8C">
        <w:t xml:space="preserve"> </w:t>
      </w:r>
      <w:r w:rsidRPr="00036FAC">
        <w:t>references</w:t>
      </w:r>
      <w:r w:rsidR="00907D8C">
        <w:t xml:space="preserve"> </w:t>
      </w:r>
      <w:r w:rsidRPr="00036FAC">
        <w:t>and</w:t>
      </w:r>
      <w:r w:rsidR="00907D8C">
        <w:t xml:space="preserve"> </w:t>
      </w:r>
      <w:r w:rsidRPr="00036FAC">
        <w:t>principles</w:t>
      </w:r>
      <w:r w:rsidR="00907D8C">
        <w:t xml:space="preserve"> </w:t>
      </w:r>
      <w:r w:rsidRPr="00036FAC">
        <w:t>have</w:t>
      </w:r>
      <w:r w:rsidR="00907D8C">
        <w:t xml:space="preserve"> </w:t>
      </w:r>
      <w:r w:rsidRPr="00036FAC">
        <w:t>been</w:t>
      </w:r>
      <w:r w:rsidR="00907D8C">
        <w:t xml:space="preserve"> </w:t>
      </w:r>
      <w:r w:rsidRPr="00036FAC">
        <w:t>incorporated</w:t>
      </w:r>
      <w:r w:rsidR="00907D8C">
        <w:t xml:space="preserve"> </w:t>
      </w:r>
      <w:r w:rsidRPr="00036FAC">
        <w:t>in</w:t>
      </w:r>
      <w:r w:rsidR="00907D8C">
        <w:t xml:space="preserve"> </w:t>
      </w:r>
      <w:r w:rsidRPr="00036FAC">
        <w:t>different</w:t>
      </w:r>
      <w:r w:rsidR="00907D8C">
        <w:t xml:space="preserve"> </w:t>
      </w:r>
      <w:r w:rsidRPr="00036FAC">
        <w:t>pieces</w:t>
      </w:r>
      <w:r w:rsidR="00907D8C">
        <w:t xml:space="preserve"> </w:t>
      </w:r>
      <w:r w:rsidRPr="00036FAC">
        <w:t>of</w:t>
      </w:r>
      <w:r w:rsidR="00907D8C">
        <w:t xml:space="preserve"> </w:t>
      </w:r>
      <w:r w:rsidRPr="00036FAC">
        <w:t>legislation.</w:t>
      </w:r>
      <w:r w:rsidR="00907D8C">
        <w:t xml:space="preserve"> </w:t>
      </w:r>
      <w:r w:rsidRPr="00036FAC">
        <w:t>All</w:t>
      </w:r>
      <w:r w:rsidR="00907D8C">
        <w:t xml:space="preserve"> </w:t>
      </w:r>
      <w:r w:rsidRPr="00036FAC">
        <w:t>government</w:t>
      </w:r>
      <w:r w:rsidR="00907D8C">
        <w:t xml:space="preserve"> </w:t>
      </w:r>
      <w:r w:rsidRPr="00036FAC">
        <w:t>legislation</w:t>
      </w:r>
      <w:r w:rsidR="00907D8C">
        <w:t xml:space="preserve"> </w:t>
      </w:r>
      <w:r w:rsidRPr="00036FAC">
        <w:t>is</w:t>
      </w:r>
      <w:r w:rsidR="00907D8C">
        <w:t xml:space="preserve"> </w:t>
      </w:r>
      <w:r w:rsidRPr="00036FAC">
        <w:t>expected</w:t>
      </w:r>
      <w:r w:rsidR="00907D8C">
        <w:t xml:space="preserve"> </w:t>
      </w:r>
      <w:r w:rsidRPr="00036FAC">
        <w:t>to</w:t>
      </w:r>
      <w:r w:rsidR="00907D8C">
        <w:t xml:space="preserve"> </w:t>
      </w:r>
      <w:r w:rsidRPr="00036FAC">
        <w:t>comply</w:t>
      </w:r>
      <w:r w:rsidR="00907D8C">
        <w:t xml:space="preserve"> </w:t>
      </w:r>
      <w:r w:rsidRPr="00036FAC">
        <w:t>with</w:t>
      </w:r>
      <w:r w:rsidR="00907D8C">
        <w:t xml:space="preserve"> </w:t>
      </w:r>
      <w:r w:rsidRPr="00036FAC">
        <w:t>the</w:t>
      </w:r>
      <w:r w:rsidR="00907D8C">
        <w:t xml:space="preserve"> </w:t>
      </w:r>
      <w:r w:rsidRPr="00036FAC">
        <w:t>principles</w:t>
      </w:r>
      <w:r w:rsidR="00907D8C">
        <w:t xml:space="preserve"> </w:t>
      </w:r>
      <w:r w:rsidRPr="00036FAC">
        <w:t>of</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Papers</w:t>
      </w:r>
      <w:r w:rsidR="00907D8C">
        <w:t xml:space="preserve"> </w:t>
      </w:r>
      <w:r w:rsidRPr="00036FAC">
        <w:t>to</w:t>
      </w:r>
      <w:r w:rsidR="00907D8C">
        <w:t xml:space="preserve"> </w:t>
      </w:r>
      <w:r w:rsidRPr="00036FAC">
        <w:t>Cabinet</w:t>
      </w:r>
      <w:r w:rsidR="00907D8C">
        <w:t xml:space="preserve"> </w:t>
      </w:r>
      <w:r w:rsidRPr="00036FAC">
        <w:t>seeking</w:t>
      </w:r>
      <w:r w:rsidR="00907D8C">
        <w:t xml:space="preserve"> </w:t>
      </w:r>
      <w:r w:rsidRPr="00036FAC">
        <w:t>agreement</w:t>
      </w:r>
      <w:r w:rsidR="00907D8C">
        <w:t xml:space="preserve"> </w:t>
      </w:r>
      <w:r w:rsidRPr="00036FAC">
        <w:t>to</w:t>
      </w:r>
      <w:r w:rsidR="00907D8C">
        <w:t xml:space="preserve"> </w:t>
      </w:r>
      <w:r w:rsidRPr="00036FAC">
        <w:t>introduce</w:t>
      </w:r>
      <w:r w:rsidR="00907D8C">
        <w:t xml:space="preserve"> </w:t>
      </w:r>
      <w:r w:rsidRPr="00036FAC">
        <w:t>a</w:t>
      </w:r>
      <w:r w:rsidR="00907D8C">
        <w:t xml:space="preserve"> </w:t>
      </w:r>
      <w:r w:rsidRPr="00036FAC">
        <w:t>bill</w:t>
      </w:r>
      <w:r w:rsidR="00907D8C">
        <w:t xml:space="preserve"> </w:t>
      </w:r>
      <w:r w:rsidRPr="00036FAC">
        <w:t>must</w:t>
      </w:r>
      <w:r w:rsidR="00907D8C">
        <w:t xml:space="preserve"> </w:t>
      </w:r>
      <w:r w:rsidRPr="00036FAC">
        <w:t>certify</w:t>
      </w:r>
      <w:r w:rsidR="00907D8C">
        <w:t xml:space="preserve"> </w:t>
      </w:r>
      <w:r w:rsidRPr="00036FAC">
        <w:t>that</w:t>
      </w:r>
      <w:r w:rsidR="00907D8C">
        <w:t xml:space="preserve"> </w:t>
      </w:r>
      <w:r w:rsidRPr="00036FAC">
        <w:t>the</w:t>
      </w:r>
      <w:r w:rsidR="00907D8C">
        <w:t xml:space="preserve"> </w:t>
      </w:r>
      <w:r w:rsidRPr="00036FAC">
        <w:t>bill</w:t>
      </w:r>
      <w:r w:rsidR="00907D8C">
        <w:t xml:space="preserve"> </w:t>
      </w:r>
      <w:r w:rsidRPr="00036FAC">
        <w:t>is</w:t>
      </w:r>
      <w:r w:rsidR="00907D8C">
        <w:t xml:space="preserve"> </w:t>
      </w:r>
      <w:r w:rsidRPr="00036FAC">
        <w:t>consistent</w:t>
      </w:r>
      <w:r w:rsidR="00907D8C">
        <w:t xml:space="preserve"> </w:t>
      </w:r>
      <w:r w:rsidRPr="00036FAC">
        <w:t>with</w:t>
      </w:r>
      <w:r w:rsidR="00907D8C">
        <w:t xml:space="preserve"> </w:t>
      </w:r>
      <w:r w:rsidRPr="00036FAC">
        <w:t>the</w:t>
      </w:r>
      <w:r w:rsidR="00907D8C">
        <w:t xml:space="preserve"> </w:t>
      </w:r>
      <w:r w:rsidRPr="00036FAC">
        <w:t>principles</w:t>
      </w:r>
      <w:r w:rsidR="00907D8C">
        <w:t xml:space="preserve"> </w:t>
      </w:r>
      <w:r w:rsidRPr="00036FAC">
        <w:t>of</w:t>
      </w:r>
      <w:r w:rsidR="00907D8C">
        <w:t xml:space="preserve"> </w:t>
      </w:r>
      <w:r w:rsidRPr="00036FAC">
        <w:t>the</w:t>
      </w:r>
      <w:r w:rsidR="00907D8C">
        <w:t xml:space="preserve"> </w:t>
      </w:r>
      <w:r w:rsidRPr="00036FAC">
        <w:t>Treaty</w:t>
      </w:r>
      <w:r w:rsidR="00907D8C">
        <w:t xml:space="preserve"> </w:t>
      </w:r>
      <w:r w:rsidRPr="00036FAC">
        <w:t>(as</w:t>
      </w:r>
      <w:r w:rsidR="00907D8C">
        <w:t xml:space="preserve"> </w:t>
      </w:r>
      <w:r w:rsidRPr="00036FAC">
        <w:t>well</w:t>
      </w:r>
      <w:r w:rsidR="00907D8C">
        <w:t xml:space="preserve"> </w:t>
      </w:r>
      <w:r w:rsidRPr="00036FAC">
        <w:t>as</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1990</w:t>
      </w:r>
      <w:r w:rsidR="00907D8C">
        <w:t xml:space="preserve"> </w:t>
      </w:r>
      <w:r w:rsidRPr="00036FAC">
        <w:t>and</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1993).</w:t>
      </w:r>
    </w:p>
    <w:p w:rsidR="00036FAC" w:rsidRPr="00036FAC" w:rsidRDefault="00036FAC" w:rsidP="001722E9">
      <w:pPr>
        <w:pStyle w:val="SingleTxtG"/>
      </w:pPr>
      <w:r w:rsidRPr="00036FAC">
        <w:t>141.</w:t>
      </w:r>
      <w:r w:rsidRPr="00036FAC">
        <w:tab/>
        <w:t>New</w:t>
      </w:r>
      <w:r w:rsidR="00907D8C">
        <w:t xml:space="preserve"> </w:t>
      </w:r>
      <w:r w:rsidRPr="00036FAC">
        <w:t>Zealand</w:t>
      </w:r>
      <w:r w:rsidR="003E4D94">
        <w:t>’</w:t>
      </w:r>
      <w:r w:rsidRPr="00036FAC">
        <w:t>s</w:t>
      </w:r>
      <w:r w:rsidR="00907D8C">
        <w:t xml:space="preserve"> </w:t>
      </w:r>
      <w:r w:rsidRPr="00036FAC">
        <w:t>constitutional</w:t>
      </w:r>
      <w:r w:rsidR="00907D8C">
        <w:t xml:space="preserve"> </w:t>
      </w:r>
      <w:r w:rsidRPr="00036FAC">
        <w:t>framework</w:t>
      </w:r>
      <w:r w:rsidR="00907D8C">
        <w:t xml:space="preserve"> </w:t>
      </w:r>
      <w:r w:rsidRPr="00036FAC">
        <w:t>also</w:t>
      </w:r>
      <w:r w:rsidR="00907D8C">
        <w:t xml:space="preserve"> </w:t>
      </w:r>
      <w:r w:rsidRPr="00036FAC">
        <w:t>establishes</w:t>
      </w:r>
      <w:r w:rsidR="00907D8C">
        <w:t xml:space="preserve"> </w:t>
      </w:r>
      <w:r w:rsidRPr="00036FAC">
        <w:t>the</w:t>
      </w:r>
      <w:r w:rsidR="00907D8C">
        <w:t xml:space="preserve"> </w:t>
      </w:r>
      <w:r w:rsidRPr="00036FAC">
        <w:t>country</w:t>
      </w:r>
      <w:r w:rsidR="003E4D94">
        <w:t>’</w:t>
      </w:r>
      <w:r w:rsidRPr="00036FAC">
        <w:t>s</w:t>
      </w:r>
      <w:r w:rsidR="00907D8C">
        <w:t xml:space="preserve"> </w:t>
      </w:r>
      <w:r w:rsidRPr="00036FAC">
        <w:t>democratic</w:t>
      </w:r>
      <w:r w:rsidR="00907D8C">
        <w:t xml:space="preserve"> </w:t>
      </w:r>
      <w:r w:rsidRPr="00036FAC">
        <w:t>parliamentary</w:t>
      </w:r>
      <w:r w:rsidR="00907D8C">
        <w:t xml:space="preserve"> </w:t>
      </w:r>
      <w:r w:rsidRPr="00036FAC">
        <w:t>system</w:t>
      </w:r>
      <w:r w:rsidR="00907D8C">
        <w:t xml:space="preserve"> </w:t>
      </w:r>
      <w:r w:rsidRPr="00036FAC">
        <w:t>of</w:t>
      </w:r>
      <w:r w:rsidR="00907D8C">
        <w:t xml:space="preserve"> </w:t>
      </w:r>
      <w:r w:rsidRPr="00036FAC">
        <w:t>government.</w:t>
      </w:r>
      <w:r w:rsidR="00907D8C">
        <w:t xml:space="preserve"> </w:t>
      </w:r>
      <w:r w:rsidRPr="00036FAC">
        <w:t>The</w:t>
      </w:r>
      <w:r w:rsidR="00907D8C">
        <w:t xml:space="preserve"> </w:t>
      </w:r>
      <w:r w:rsidRPr="00036FAC">
        <w:t>doctrine</w:t>
      </w:r>
      <w:r w:rsidR="00907D8C">
        <w:t xml:space="preserve"> </w:t>
      </w:r>
      <w:r w:rsidRPr="00036FAC">
        <w:t>of</w:t>
      </w:r>
      <w:r w:rsidR="00907D8C">
        <w:t xml:space="preserve"> </w:t>
      </w:r>
      <w:r w:rsidRPr="00036FAC">
        <w:t>separation</w:t>
      </w:r>
      <w:r w:rsidR="00907D8C">
        <w:t xml:space="preserve"> </w:t>
      </w:r>
      <w:r w:rsidRPr="00036FAC">
        <w:t>of</w:t>
      </w:r>
      <w:r w:rsidR="00907D8C">
        <w:t xml:space="preserve"> </w:t>
      </w:r>
      <w:r w:rsidRPr="00036FAC">
        <w:t>powers</w:t>
      </w:r>
      <w:r w:rsidR="00907D8C">
        <w:t xml:space="preserve"> </w:t>
      </w:r>
      <w:r w:rsidRPr="00036FAC">
        <w:t>requires</w:t>
      </w:r>
      <w:r w:rsidR="00907D8C">
        <w:t xml:space="preserve"> </w:t>
      </w:r>
      <w:r w:rsidRPr="00036FAC">
        <w:t>the</w:t>
      </w:r>
      <w:r w:rsidR="00907D8C">
        <w:t xml:space="preserve"> </w:t>
      </w:r>
      <w:r w:rsidRPr="00036FAC">
        <w:t>legislature,</w:t>
      </w:r>
      <w:r w:rsidR="00907D8C">
        <w:t xml:space="preserve"> </w:t>
      </w:r>
      <w:r w:rsidRPr="00036FAC">
        <w:t>executive,</w:t>
      </w:r>
      <w:r w:rsidR="00907D8C">
        <w:t xml:space="preserve"> </w:t>
      </w:r>
      <w:r w:rsidRPr="00036FAC">
        <w:t>and</w:t>
      </w:r>
      <w:r w:rsidR="00907D8C">
        <w:t xml:space="preserve"> </w:t>
      </w:r>
      <w:r w:rsidRPr="00036FAC">
        <w:t>judiciary</w:t>
      </w:r>
      <w:r w:rsidR="00907D8C">
        <w:t xml:space="preserve"> </w:t>
      </w:r>
      <w:r w:rsidRPr="00036FAC">
        <w:t>to</w:t>
      </w:r>
      <w:r w:rsidR="00907D8C">
        <w:t xml:space="preserve"> </w:t>
      </w:r>
      <w:r w:rsidRPr="00036FAC">
        <w:t>be</w:t>
      </w:r>
      <w:r w:rsidR="00907D8C">
        <w:t xml:space="preserve"> </w:t>
      </w:r>
      <w:r w:rsidRPr="00036FAC">
        <w:t>kept</w:t>
      </w:r>
      <w:r w:rsidR="00907D8C">
        <w:t xml:space="preserve"> </w:t>
      </w:r>
      <w:r w:rsidRPr="00036FAC">
        <w:t>separate</w:t>
      </w:r>
      <w:r w:rsidR="00907D8C">
        <w:t xml:space="preserve"> </w:t>
      </w:r>
      <w:r w:rsidRPr="00036FAC">
        <w:t>from</w:t>
      </w:r>
      <w:r w:rsidR="00907D8C">
        <w:t xml:space="preserve"> </w:t>
      </w:r>
      <w:r w:rsidRPr="00036FAC">
        <w:t>each</w:t>
      </w:r>
      <w:r w:rsidR="00907D8C">
        <w:t xml:space="preserve"> </w:t>
      </w:r>
      <w:r w:rsidRPr="00036FAC">
        <w:t>other</w:t>
      </w:r>
      <w:r w:rsidR="00907D8C">
        <w:t xml:space="preserve"> </w:t>
      </w:r>
      <w:r w:rsidRPr="00036FAC">
        <w:t>to</w:t>
      </w:r>
      <w:r w:rsidR="00907D8C">
        <w:t xml:space="preserve"> </w:t>
      </w:r>
      <w:r w:rsidRPr="00036FAC">
        <w:t>provide</w:t>
      </w:r>
      <w:r w:rsidR="00907D8C">
        <w:t xml:space="preserve"> </w:t>
      </w:r>
      <w:r w:rsidRPr="00036FAC">
        <w:t>checks</w:t>
      </w:r>
      <w:r w:rsidR="00907D8C">
        <w:t xml:space="preserve"> </w:t>
      </w:r>
      <w:r w:rsidRPr="00036FAC">
        <w:t>and</w:t>
      </w:r>
      <w:r w:rsidR="00907D8C">
        <w:t xml:space="preserve"> </w:t>
      </w:r>
      <w:r w:rsidRPr="00036FAC">
        <w:t>balances</w:t>
      </w:r>
      <w:r w:rsidR="00907D8C">
        <w:t xml:space="preserve"> </w:t>
      </w:r>
      <w:r w:rsidRPr="00036FAC">
        <w:t>within</w:t>
      </w:r>
      <w:r w:rsidR="00907D8C">
        <w:t xml:space="preserve"> </w:t>
      </w:r>
      <w:r w:rsidRPr="00036FAC">
        <w:t>the</w:t>
      </w:r>
      <w:r w:rsidR="00907D8C">
        <w:t xml:space="preserve"> </w:t>
      </w:r>
      <w:r w:rsidRPr="00036FAC">
        <w:t>system</w:t>
      </w:r>
      <w:r w:rsidR="00907D8C">
        <w:t xml:space="preserve"> </w:t>
      </w:r>
      <w:r w:rsidRPr="00036FAC">
        <w:t>and</w:t>
      </w:r>
      <w:r w:rsidR="00907D8C">
        <w:t xml:space="preserve"> </w:t>
      </w:r>
      <w:r w:rsidRPr="00036FAC">
        <w:t>to</w:t>
      </w:r>
      <w:r w:rsidR="00907D8C">
        <w:t xml:space="preserve"> </w:t>
      </w:r>
      <w:r w:rsidRPr="00036FAC">
        <w:t>ensure</w:t>
      </w:r>
      <w:r w:rsidR="00907D8C">
        <w:t xml:space="preserve"> </w:t>
      </w:r>
      <w:r w:rsidRPr="00036FAC">
        <w:t>accountability</w:t>
      </w:r>
      <w:r w:rsidR="00907D8C">
        <w:t xml:space="preserve"> </w:t>
      </w:r>
      <w:r w:rsidRPr="00036FAC">
        <w:t>and</w:t>
      </w:r>
      <w:r w:rsidR="00907D8C">
        <w:t xml:space="preserve"> </w:t>
      </w:r>
      <w:r w:rsidRPr="00036FAC">
        <w:t>impartiality.</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constitutional</w:t>
      </w:r>
      <w:r w:rsidR="00907D8C">
        <w:t xml:space="preserve"> </w:t>
      </w:r>
      <w:r w:rsidRPr="00036FAC">
        <w:t>arrangements</w:t>
      </w:r>
      <w:r w:rsidR="00907D8C">
        <w:t xml:space="preserve"> </w:t>
      </w:r>
      <w:r w:rsidRPr="00036FAC">
        <w:t>are</w:t>
      </w:r>
      <w:r w:rsidR="00907D8C">
        <w:t xml:space="preserve"> </w:t>
      </w:r>
      <w:r w:rsidRPr="00036FAC">
        <w:t>also</w:t>
      </w:r>
      <w:r w:rsidR="00907D8C">
        <w:t xml:space="preserve"> </w:t>
      </w:r>
      <w:r w:rsidRPr="00036FAC">
        <w:t>based</w:t>
      </w:r>
      <w:r w:rsidR="00907D8C">
        <w:t xml:space="preserve"> </w:t>
      </w:r>
      <w:r w:rsidRPr="00036FAC">
        <w:t>on</w:t>
      </w:r>
      <w:r w:rsidR="00907D8C">
        <w:t xml:space="preserve"> </w:t>
      </w:r>
      <w:r w:rsidRPr="00036FAC">
        <w:t>the</w:t>
      </w:r>
      <w:r w:rsidR="00907D8C">
        <w:t xml:space="preserve"> </w:t>
      </w:r>
      <w:r w:rsidRPr="00036FAC">
        <w:t>rule</w:t>
      </w:r>
      <w:r w:rsidR="00907D8C">
        <w:t xml:space="preserve"> </w:t>
      </w:r>
      <w:r w:rsidRPr="00036FAC">
        <w:t>of</w:t>
      </w:r>
      <w:r w:rsidR="00907D8C">
        <w:t xml:space="preserve"> </w:t>
      </w:r>
      <w:r w:rsidRPr="00036FAC">
        <w:t>law.</w:t>
      </w:r>
      <w:r w:rsidR="00907D8C">
        <w:t xml:space="preserve"> </w:t>
      </w:r>
      <w:r w:rsidRPr="00036FAC">
        <w:t>The</w:t>
      </w:r>
      <w:r w:rsidR="00907D8C">
        <w:t xml:space="preserve"> </w:t>
      </w:r>
      <w:r w:rsidRPr="00036FAC">
        <w:t>powers</w:t>
      </w:r>
      <w:r w:rsidR="00907D8C">
        <w:t xml:space="preserve"> </w:t>
      </w:r>
      <w:r w:rsidRPr="00036FAC">
        <w:t>exercised</w:t>
      </w:r>
      <w:r w:rsidR="00907D8C">
        <w:t xml:space="preserve"> </w:t>
      </w:r>
      <w:r w:rsidRPr="00036FAC">
        <w:t>by</w:t>
      </w:r>
      <w:r w:rsidR="00907D8C">
        <w:t xml:space="preserve"> </w:t>
      </w:r>
      <w:r w:rsidRPr="00036FAC">
        <w:t>parliamentarians</w:t>
      </w:r>
      <w:r w:rsidR="00907D8C">
        <w:t xml:space="preserve"> </w:t>
      </w:r>
      <w:r w:rsidRPr="00036FAC">
        <w:t>and</w:t>
      </w:r>
      <w:r w:rsidR="00907D8C">
        <w:t xml:space="preserve"> </w:t>
      </w:r>
      <w:r w:rsidRPr="00036FAC">
        <w:t>officials</w:t>
      </w:r>
      <w:r w:rsidR="00907D8C">
        <w:t xml:space="preserve"> </w:t>
      </w:r>
      <w:r w:rsidRPr="00036FAC">
        <w:t>are</w:t>
      </w:r>
      <w:r w:rsidR="00907D8C">
        <w:t xml:space="preserve"> </w:t>
      </w:r>
      <w:r w:rsidRPr="00036FAC">
        <w:t>based</w:t>
      </w:r>
      <w:r w:rsidR="00907D8C">
        <w:t xml:space="preserve"> </w:t>
      </w:r>
      <w:r w:rsidRPr="00036FAC">
        <w:t>on</w:t>
      </w:r>
      <w:r w:rsidR="00907D8C">
        <w:t xml:space="preserve"> </w:t>
      </w:r>
      <w:r w:rsidRPr="00036FAC">
        <w:t>legal</w:t>
      </w:r>
      <w:r w:rsidR="00907D8C">
        <w:t xml:space="preserve"> </w:t>
      </w:r>
      <w:r w:rsidRPr="00036FAC">
        <w:t>authority</w:t>
      </w:r>
      <w:r w:rsidR="00907D8C">
        <w:t xml:space="preserve"> </w:t>
      </w:r>
      <w:r w:rsidRPr="00036FAC">
        <w:t>and</w:t>
      </w:r>
      <w:r w:rsidR="00907D8C">
        <w:t xml:space="preserve"> </w:t>
      </w:r>
      <w:r w:rsidRPr="00036FAC">
        <w:t>there</w:t>
      </w:r>
      <w:r w:rsidR="00907D8C">
        <w:t xml:space="preserve"> </w:t>
      </w:r>
      <w:r w:rsidRPr="00036FAC">
        <w:t>are</w:t>
      </w:r>
      <w:r w:rsidR="00907D8C">
        <w:t xml:space="preserve"> </w:t>
      </w:r>
      <w:r w:rsidRPr="00036FAC">
        <w:t>minimum</w:t>
      </w:r>
      <w:r w:rsidR="00907D8C">
        <w:t xml:space="preserve"> </w:t>
      </w:r>
      <w:r w:rsidRPr="00036FAC">
        <w:t>standards</w:t>
      </w:r>
      <w:r w:rsidR="00907D8C">
        <w:t xml:space="preserve"> </w:t>
      </w:r>
      <w:r w:rsidRPr="00036FAC">
        <w:t>of</w:t>
      </w:r>
      <w:r w:rsidR="00907D8C">
        <w:t xml:space="preserve"> </w:t>
      </w:r>
      <w:r w:rsidRPr="00036FAC">
        <w:t>justice</w:t>
      </w:r>
      <w:r w:rsidR="00907D8C">
        <w:t xml:space="preserve"> </w:t>
      </w:r>
      <w:r w:rsidRPr="00036FAC">
        <w:t>to</w:t>
      </w:r>
      <w:r w:rsidR="00907D8C">
        <w:t xml:space="preserve"> </w:t>
      </w:r>
      <w:r w:rsidRPr="00036FAC">
        <w:t>which</w:t>
      </w:r>
      <w:r w:rsidR="00907D8C">
        <w:t xml:space="preserve"> </w:t>
      </w:r>
      <w:r w:rsidRPr="00036FAC">
        <w:t>the</w:t>
      </w:r>
      <w:r w:rsidR="00907D8C">
        <w:t xml:space="preserve"> </w:t>
      </w:r>
      <w:r w:rsidRPr="00036FAC">
        <w:t>law</w:t>
      </w:r>
      <w:r w:rsidR="00907D8C">
        <w:t xml:space="preserve"> </w:t>
      </w:r>
      <w:r w:rsidRPr="00036FAC">
        <w:t>must</w:t>
      </w:r>
      <w:r w:rsidR="00907D8C">
        <w:t xml:space="preserve"> </w:t>
      </w:r>
      <w:r w:rsidRPr="00036FAC">
        <w:t>conform.</w:t>
      </w:r>
    </w:p>
    <w:p w:rsidR="00036FAC" w:rsidRPr="00036FAC" w:rsidRDefault="00036FAC" w:rsidP="001722E9">
      <w:pPr>
        <w:pStyle w:val="SingleTxtG"/>
      </w:pPr>
      <w:r w:rsidRPr="00036FAC">
        <w:t>142.</w:t>
      </w:r>
      <w:r w:rsidRPr="00036FAC">
        <w:tab/>
        <w:t>The</w:t>
      </w:r>
      <w:r w:rsidR="00907D8C">
        <w:t xml:space="preserve"> </w:t>
      </w:r>
      <w:r w:rsidRPr="00036FAC">
        <w:t>judiciary</w:t>
      </w:r>
      <w:r w:rsidR="00907D8C">
        <w:t xml:space="preserve"> </w:t>
      </w:r>
      <w:r w:rsidRPr="00036FAC">
        <w:t>provides</w:t>
      </w:r>
      <w:r w:rsidR="00907D8C">
        <w:t xml:space="preserve"> </w:t>
      </w:r>
      <w:r w:rsidRPr="00036FAC">
        <w:t>a</w:t>
      </w:r>
      <w:r w:rsidR="00907D8C">
        <w:t xml:space="preserve"> </w:t>
      </w:r>
      <w:r w:rsidRPr="00036FAC">
        <w:t>check</w:t>
      </w:r>
      <w:r w:rsidR="00907D8C">
        <w:t xml:space="preserve"> </w:t>
      </w:r>
      <w:r w:rsidRPr="00036FAC">
        <w:t>on</w:t>
      </w:r>
      <w:r w:rsidR="00907D8C">
        <w:t xml:space="preserve"> </w:t>
      </w:r>
      <w:r w:rsidRPr="00036FAC">
        <w:t>the</w:t>
      </w:r>
      <w:r w:rsidR="00907D8C">
        <w:t xml:space="preserve"> </w:t>
      </w:r>
      <w:r w:rsidRPr="00036FAC">
        <w:t>power</w:t>
      </w:r>
      <w:r w:rsidR="00907D8C">
        <w:t xml:space="preserve"> </w:t>
      </w:r>
      <w:r w:rsidRPr="00036FAC">
        <w:t>of</w:t>
      </w:r>
      <w:r w:rsidR="00907D8C">
        <w:t xml:space="preserve"> </w:t>
      </w:r>
      <w:r w:rsidRPr="00036FAC">
        <w:t>the</w:t>
      </w:r>
      <w:r w:rsidR="00907D8C">
        <w:t xml:space="preserve"> </w:t>
      </w:r>
      <w:r w:rsidRPr="00036FAC">
        <w:t>executive</w:t>
      </w:r>
      <w:r w:rsidR="00907D8C">
        <w:t xml:space="preserve"> </w:t>
      </w:r>
      <w:r w:rsidRPr="00036FAC">
        <w:t>by</w:t>
      </w:r>
      <w:r w:rsidR="00907D8C">
        <w:t xml:space="preserve"> </w:t>
      </w:r>
      <w:r w:rsidRPr="00036FAC">
        <w:t>ensuring</w:t>
      </w:r>
      <w:r w:rsidR="00907D8C">
        <w:t xml:space="preserve"> </w:t>
      </w:r>
      <w:r w:rsidRPr="00036FAC">
        <w:t>that</w:t>
      </w:r>
      <w:r w:rsidR="00907D8C">
        <w:t xml:space="preserve"> </w:t>
      </w:r>
      <w:r w:rsidRPr="00036FAC">
        <w:t>it</w:t>
      </w:r>
      <w:r w:rsidR="00907D8C">
        <w:t xml:space="preserve"> </w:t>
      </w:r>
      <w:r w:rsidRPr="00036FAC">
        <w:t>acts</w:t>
      </w:r>
      <w:r w:rsidR="00907D8C">
        <w:t xml:space="preserve"> </w:t>
      </w:r>
      <w:r w:rsidRPr="00036FAC">
        <w:t>in</w:t>
      </w:r>
      <w:r w:rsidR="00907D8C">
        <w:t xml:space="preserve"> </w:t>
      </w:r>
      <w:r w:rsidRPr="00036FAC">
        <w:t>accordance</w:t>
      </w:r>
      <w:r w:rsidR="00907D8C">
        <w:t xml:space="preserve"> </w:t>
      </w:r>
      <w:r w:rsidRPr="00036FAC">
        <w:t>with</w:t>
      </w:r>
      <w:r w:rsidR="00907D8C">
        <w:t xml:space="preserve"> </w:t>
      </w:r>
      <w:r w:rsidRPr="00036FAC">
        <w:t>the</w:t>
      </w:r>
      <w:r w:rsidR="00907D8C">
        <w:t xml:space="preserve"> </w:t>
      </w:r>
      <w:r w:rsidRPr="00036FAC">
        <w:t>laws</w:t>
      </w:r>
      <w:r w:rsidR="00907D8C">
        <w:t xml:space="preserve"> </w:t>
      </w:r>
      <w:r w:rsidRPr="00036FAC">
        <w:t>made</w:t>
      </w:r>
      <w:r w:rsidR="00907D8C">
        <w:t xml:space="preserve"> </w:t>
      </w:r>
      <w:r w:rsidRPr="00036FAC">
        <w:t>by</w:t>
      </w:r>
      <w:r w:rsidR="00907D8C">
        <w:t xml:space="preserve"> </w:t>
      </w:r>
      <w:r w:rsidRPr="00036FAC">
        <w:t>Parliament</w:t>
      </w:r>
      <w:r w:rsidR="00907D8C">
        <w:t xml:space="preserve"> </w:t>
      </w:r>
      <w:r w:rsidRPr="00036FAC">
        <w:t>and</w:t>
      </w:r>
      <w:r w:rsidR="00907D8C">
        <w:t xml:space="preserve"> </w:t>
      </w:r>
      <w:r w:rsidRPr="00036FAC">
        <w:t>the</w:t>
      </w:r>
      <w:r w:rsidR="00907D8C">
        <w:t xml:space="preserve"> </w:t>
      </w:r>
      <w:r w:rsidRPr="00036FAC">
        <w:t>common</w:t>
      </w:r>
      <w:r w:rsidR="00907D8C">
        <w:t xml:space="preserve"> </w:t>
      </w:r>
      <w:r w:rsidRPr="00036FAC">
        <w:t>law</w:t>
      </w:r>
      <w:r w:rsidR="00907D8C">
        <w:t xml:space="preserve"> </w:t>
      </w:r>
      <w:r w:rsidRPr="00036FAC">
        <w:t>(or</w:t>
      </w:r>
      <w:r w:rsidR="00907D8C">
        <w:t xml:space="preserve"> </w:t>
      </w:r>
      <w:r w:rsidR="003E4D94">
        <w:t>“</w:t>
      </w:r>
      <w:r w:rsidRPr="00036FAC">
        <w:t>judge-made</w:t>
      </w:r>
      <w:r w:rsidR="00907D8C">
        <w:t xml:space="preserve"> </w:t>
      </w:r>
      <w:r w:rsidRPr="00036FAC">
        <w:t>law</w:t>
      </w:r>
      <w:r w:rsidR="003E4D94">
        <w:t>”</w:t>
      </w:r>
      <w:r w:rsidR="00907D8C">
        <w:t xml:space="preserve"> </w:t>
      </w:r>
      <w:r w:rsidRPr="00036FAC">
        <w:t>accruing</w:t>
      </w:r>
      <w:r w:rsidR="00907D8C">
        <w:t xml:space="preserve"> </w:t>
      </w:r>
      <w:r w:rsidRPr="00036FAC">
        <w:t>from</w:t>
      </w:r>
      <w:r w:rsidR="00907D8C">
        <w:t xml:space="preserve"> </w:t>
      </w:r>
      <w:r w:rsidRPr="00036FAC">
        <w:t>fundamental</w:t>
      </w:r>
      <w:r w:rsidR="00907D8C">
        <w:t xml:space="preserve"> </w:t>
      </w:r>
      <w:r w:rsidRPr="00036FAC">
        <w:t>legal</w:t>
      </w:r>
      <w:r w:rsidR="00907D8C">
        <w:t xml:space="preserve"> </w:t>
      </w:r>
      <w:r w:rsidRPr="00036FAC">
        <w:t>principles</w:t>
      </w:r>
      <w:r w:rsidR="00907D8C">
        <w:t xml:space="preserve"> </w:t>
      </w:r>
      <w:r w:rsidRPr="00036FAC">
        <w:t>and</w:t>
      </w:r>
      <w:r w:rsidR="00907D8C">
        <w:t xml:space="preserve"> </w:t>
      </w:r>
      <w:r w:rsidRPr="00036FAC">
        <w:t>interpretation</w:t>
      </w:r>
      <w:r w:rsidR="00907D8C">
        <w:t xml:space="preserve"> </w:t>
      </w:r>
      <w:r w:rsidRPr="00036FAC">
        <w:t>of</w:t>
      </w:r>
      <w:r w:rsidR="00907D8C">
        <w:t xml:space="preserve"> </w:t>
      </w:r>
      <w:r w:rsidRPr="00036FAC">
        <w:t>statutes).</w:t>
      </w:r>
      <w:r w:rsidR="00907D8C">
        <w:t xml:space="preserve"> </w:t>
      </w:r>
      <w:r w:rsidRPr="00036FAC">
        <w:t>However,</w:t>
      </w:r>
      <w:r w:rsidR="00907D8C">
        <w:t xml:space="preserve"> </w:t>
      </w:r>
      <w:r w:rsidRPr="00036FAC">
        <w:t>the</w:t>
      </w:r>
      <w:r w:rsidR="00907D8C">
        <w:t xml:space="preserve"> </w:t>
      </w:r>
      <w:r w:rsidRPr="00036FAC">
        <w:t>courts</w:t>
      </w:r>
      <w:r w:rsidR="00907D8C">
        <w:t xml:space="preserve"> </w:t>
      </w:r>
      <w:r w:rsidRPr="00036FAC">
        <w:t>cannot</w:t>
      </w:r>
      <w:r w:rsidR="00907D8C">
        <w:t xml:space="preserve"> </w:t>
      </w:r>
      <w:r w:rsidRPr="00036FAC">
        <w:t>strike</w:t>
      </w:r>
      <w:r w:rsidR="00907D8C">
        <w:t xml:space="preserve"> </w:t>
      </w:r>
      <w:r w:rsidRPr="00036FAC">
        <w:t>down</w:t>
      </w:r>
      <w:r w:rsidR="00907D8C">
        <w:t xml:space="preserve"> </w:t>
      </w:r>
      <w:r w:rsidRPr="00036FAC">
        <w:t>any</w:t>
      </w:r>
      <w:r w:rsidR="00907D8C">
        <w:t xml:space="preserve"> </w:t>
      </w:r>
      <w:r w:rsidRPr="00036FAC">
        <w:t>provision</w:t>
      </w:r>
      <w:r w:rsidR="00907D8C">
        <w:t xml:space="preserve"> </w:t>
      </w:r>
      <w:r w:rsidRPr="00036FAC">
        <w:t>of</w:t>
      </w:r>
      <w:r w:rsidR="00907D8C">
        <w:t xml:space="preserve"> </w:t>
      </w:r>
      <w:r w:rsidRPr="00036FAC">
        <w:t>an</w:t>
      </w:r>
      <w:r w:rsidR="00907D8C">
        <w:t xml:space="preserve"> </w:t>
      </w:r>
      <w:r w:rsidRPr="00036FAC">
        <w:t>Act</w:t>
      </w:r>
      <w:r w:rsidR="00907D8C">
        <w:t xml:space="preserve"> </w:t>
      </w:r>
      <w:r w:rsidRPr="00036FAC">
        <w:t>of</w:t>
      </w:r>
      <w:r w:rsidR="00907D8C">
        <w:t xml:space="preserve"> </w:t>
      </w:r>
      <w:r w:rsidRPr="00036FAC">
        <w:t>Parliament</w:t>
      </w:r>
      <w:r w:rsidR="00907D8C">
        <w:t xml:space="preserve"> </w:t>
      </w:r>
      <w:r w:rsidRPr="00036FAC">
        <w:t>(although</w:t>
      </w:r>
      <w:r w:rsidR="00907D8C">
        <w:t xml:space="preserve"> </w:t>
      </w:r>
      <w:r w:rsidRPr="00036FAC">
        <w:t>they</w:t>
      </w:r>
      <w:r w:rsidR="00907D8C">
        <w:t xml:space="preserve"> </w:t>
      </w:r>
      <w:r w:rsidRPr="00036FAC">
        <w:t>can</w:t>
      </w:r>
      <w:r w:rsidR="00907D8C">
        <w:t xml:space="preserve"> </w:t>
      </w:r>
      <w:r w:rsidRPr="00036FAC">
        <w:t>strike</w:t>
      </w:r>
      <w:r w:rsidR="00907D8C">
        <w:t xml:space="preserve"> </w:t>
      </w:r>
      <w:r w:rsidRPr="00036FAC">
        <w:t>down</w:t>
      </w:r>
      <w:r w:rsidR="00907D8C">
        <w:t xml:space="preserve"> </w:t>
      </w:r>
      <w:r w:rsidRPr="00036FAC">
        <w:t>secondary</w:t>
      </w:r>
      <w:r w:rsidR="00907D8C">
        <w:t xml:space="preserve"> </w:t>
      </w:r>
      <w:r w:rsidRPr="00036FAC">
        <w:t>legislation</w:t>
      </w:r>
      <w:r w:rsidR="00907D8C">
        <w:t xml:space="preserve"> </w:t>
      </w:r>
      <w:r w:rsidRPr="00036FAC">
        <w:t>that</w:t>
      </w:r>
      <w:r w:rsidR="00907D8C">
        <w:t xml:space="preserve"> </w:t>
      </w:r>
      <w:r w:rsidRPr="00036FAC">
        <w:t>is</w:t>
      </w:r>
      <w:r w:rsidR="00907D8C">
        <w:t xml:space="preserve"> </w:t>
      </w:r>
      <w:r w:rsidRPr="00036FAC">
        <w:t>inconsistent</w:t>
      </w:r>
      <w:r w:rsidR="00907D8C">
        <w:t xml:space="preserve"> </w:t>
      </w:r>
      <w:r w:rsidRPr="00036FAC">
        <w:t>with</w:t>
      </w:r>
      <w:r w:rsidR="00907D8C">
        <w:t xml:space="preserve"> </w:t>
      </w:r>
      <w:r w:rsidRPr="00036FAC">
        <w:t>a</w:t>
      </w:r>
      <w:r w:rsidR="00907D8C">
        <w:t xml:space="preserve"> </w:t>
      </w:r>
      <w:r w:rsidRPr="00036FAC">
        <w:t>provision</w:t>
      </w:r>
      <w:r w:rsidR="00907D8C">
        <w:t xml:space="preserve"> </w:t>
      </w:r>
      <w:r w:rsidRPr="00036FAC">
        <w:t>of</w:t>
      </w:r>
      <w:r w:rsidR="00907D8C">
        <w:t xml:space="preserve"> </w:t>
      </w:r>
      <w:r w:rsidRPr="00036FAC">
        <w:t>an</w:t>
      </w:r>
      <w:r w:rsidR="00907D8C">
        <w:t xml:space="preserve"> </w:t>
      </w:r>
      <w:r w:rsidRPr="00036FAC">
        <w:t>Act</w:t>
      </w:r>
      <w:r w:rsidR="00907D8C">
        <w:t xml:space="preserve"> </w:t>
      </w:r>
      <w:r w:rsidRPr="00036FAC">
        <w:t>of</w:t>
      </w:r>
      <w:r w:rsidR="00907D8C">
        <w:t xml:space="preserve"> </w:t>
      </w:r>
      <w:r w:rsidRPr="00036FAC">
        <w:t>Parliament).</w:t>
      </w:r>
    </w:p>
    <w:p w:rsidR="00036FAC" w:rsidRPr="00036FAC" w:rsidRDefault="00036FAC" w:rsidP="006C436C">
      <w:pPr>
        <w:pStyle w:val="H23G"/>
      </w:pPr>
      <w:bookmarkStart w:id="90" w:name="_Toc114894964"/>
      <w:bookmarkStart w:id="91" w:name="_Toc114895855"/>
      <w:bookmarkStart w:id="92" w:name="_Toc115493395"/>
      <w:bookmarkStart w:id="93" w:name="_Toc115493739"/>
      <w:bookmarkStart w:id="94" w:name="_Toc115493814"/>
      <w:bookmarkStart w:id="95" w:name="_Toc118100609"/>
      <w:bookmarkStart w:id="96" w:name="_Toc125278895"/>
      <w:r w:rsidRPr="00036FAC">
        <w:tab/>
        <w:t>(a)</w:t>
      </w:r>
      <w:r w:rsidRPr="00036FAC">
        <w:tab/>
        <w:t>Head</w:t>
      </w:r>
      <w:r w:rsidR="00907D8C">
        <w:t xml:space="preserve"> </w:t>
      </w:r>
      <w:r w:rsidRPr="00036FAC">
        <w:t>of</w:t>
      </w:r>
      <w:r w:rsidR="00907D8C">
        <w:t xml:space="preserve"> </w:t>
      </w:r>
      <w:r w:rsidRPr="00036FAC">
        <w:t>State</w:t>
      </w:r>
      <w:r w:rsidR="00907D8C">
        <w:t xml:space="preserve"> </w:t>
      </w:r>
      <w:r w:rsidRPr="00036FAC">
        <w:t>and</w:t>
      </w:r>
      <w:r w:rsidR="00907D8C">
        <w:t xml:space="preserve"> </w:t>
      </w:r>
      <w:r w:rsidRPr="00036FAC">
        <w:t>the</w:t>
      </w:r>
      <w:r w:rsidR="00907D8C">
        <w:t xml:space="preserve"> </w:t>
      </w:r>
      <w:r w:rsidRPr="00036FAC">
        <w:t>Governor-General</w:t>
      </w:r>
      <w:bookmarkEnd w:id="90"/>
      <w:bookmarkEnd w:id="91"/>
      <w:bookmarkEnd w:id="92"/>
      <w:bookmarkEnd w:id="93"/>
      <w:bookmarkEnd w:id="94"/>
      <w:bookmarkEnd w:id="95"/>
      <w:bookmarkEnd w:id="96"/>
    </w:p>
    <w:p w:rsidR="00036FAC" w:rsidRPr="00036FAC" w:rsidRDefault="00036FAC" w:rsidP="001722E9">
      <w:pPr>
        <w:pStyle w:val="SingleTxtG"/>
      </w:pPr>
      <w:r w:rsidRPr="00036FAC">
        <w:t>143.</w:t>
      </w:r>
      <w:r w:rsidRPr="00036FAC">
        <w:tab/>
        <w:t>The</w:t>
      </w:r>
      <w:r w:rsidR="00907D8C">
        <w:t xml:space="preserve"> </w:t>
      </w:r>
      <w:r w:rsidRPr="00036FAC">
        <w:t>Queen</w:t>
      </w:r>
      <w:r w:rsidR="00907D8C">
        <w:t xml:space="preserve"> </w:t>
      </w:r>
      <w:r w:rsidRPr="00036FAC">
        <w:t>(the</w:t>
      </w:r>
      <w:r w:rsidR="00907D8C">
        <w:t xml:space="preserve"> </w:t>
      </w:r>
      <w:r w:rsidRPr="00036FAC">
        <w:t>Sovereign</w:t>
      </w:r>
      <w:r w:rsidR="00907D8C">
        <w:t xml:space="preserve"> </w:t>
      </w:r>
      <w:r w:rsidRPr="00036FAC">
        <w:t>in</w:t>
      </w:r>
      <w:r w:rsidR="00907D8C">
        <w:t xml:space="preserve"> </w:t>
      </w:r>
      <w:r w:rsidRPr="00036FAC">
        <w:t>right</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the</w:t>
      </w:r>
      <w:r w:rsidR="00907D8C">
        <w:t xml:space="preserve"> </w:t>
      </w:r>
      <w:r w:rsidRPr="00036FAC">
        <w:t>Head</w:t>
      </w:r>
      <w:r w:rsidR="00907D8C">
        <w:t xml:space="preserve"> </w:t>
      </w:r>
      <w:r w:rsidRPr="00036FAC">
        <w:t>of</w:t>
      </w:r>
      <w:r w:rsidR="00907D8C">
        <w:t xml:space="preserve"> </w:t>
      </w:r>
      <w:r w:rsidRPr="00036FAC">
        <w:t>State.</w:t>
      </w:r>
      <w:r w:rsidR="00907D8C">
        <w:t xml:space="preserve"> </w:t>
      </w:r>
      <w:r w:rsidRPr="00036FAC">
        <w:t>She</w:t>
      </w:r>
      <w:r w:rsidR="00907D8C">
        <w:t xml:space="preserve"> </w:t>
      </w:r>
      <w:r w:rsidRPr="00036FAC">
        <w:t>appoints</w:t>
      </w:r>
      <w:r w:rsidR="00907D8C">
        <w:t xml:space="preserve"> </w:t>
      </w:r>
      <w:r w:rsidRPr="00036FAC">
        <w:t>the</w:t>
      </w:r>
      <w:r w:rsidR="00907D8C">
        <w:t xml:space="preserve"> </w:t>
      </w:r>
      <w:r w:rsidRPr="00036FAC">
        <w:t>Governor-General</w:t>
      </w:r>
      <w:r w:rsidR="00907D8C">
        <w:t xml:space="preserve"> </w:t>
      </w:r>
      <w:r w:rsidRPr="00036FAC">
        <w:t>to</w:t>
      </w:r>
      <w:r w:rsidR="00907D8C">
        <w:t xml:space="preserve"> </w:t>
      </w:r>
      <w:r w:rsidRPr="00036FAC">
        <w:t>represent</w:t>
      </w:r>
      <w:r w:rsidR="00907D8C">
        <w:t xml:space="preserve"> </w:t>
      </w:r>
      <w:r w:rsidRPr="00036FAC">
        <w:t>her</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In</w:t>
      </w:r>
      <w:r w:rsidR="00907D8C">
        <w:t xml:space="preserve"> </w:t>
      </w:r>
      <w:r w:rsidRPr="00036FAC">
        <w:t>general,</w:t>
      </w:r>
      <w:r w:rsidR="00907D8C">
        <w:t xml:space="preserve"> </w:t>
      </w:r>
      <w:r w:rsidRPr="00036FAC">
        <w:t>each</w:t>
      </w:r>
      <w:r w:rsidR="00907D8C">
        <w:t xml:space="preserve"> </w:t>
      </w:r>
      <w:r w:rsidRPr="00036FAC">
        <w:t>has</w:t>
      </w:r>
      <w:r w:rsidR="00907D8C">
        <w:t xml:space="preserve"> </w:t>
      </w:r>
      <w:r w:rsidRPr="00036FAC">
        <w:t>the</w:t>
      </w:r>
      <w:r w:rsidR="00907D8C">
        <w:t xml:space="preserve"> </w:t>
      </w:r>
      <w:r w:rsidRPr="00036FAC">
        <w:t>powers</w:t>
      </w:r>
      <w:r w:rsidR="00907D8C">
        <w:t xml:space="preserve"> </w:t>
      </w:r>
      <w:r w:rsidRPr="00036FAC">
        <w:t>of</w:t>
      </w:r>
      <w:r w:rsidR="00907D8C">
        <w:t xml:space="preserve"> </w:t>
      </w:r>
      <w:r w:rsidRPr="00036FAC">
        <w:t>the</w:t>
      </w:r>
      <w:r w:rsidR="00907D8C">
        <w:t xml:space="preserve"> </w:t>
      </w:r>
      <w:r w:rsidRPr="00036FAC">
        <w:t>other.</w:t>
      </w:r>
      <w:r w:rsidR="00907D8C">
        <w:t xml:space="preserve"> </w:t>
      </w:r>
      <w:r w:rsidRPr="00036FAC">
        <w:t>By</w:t>
      </w:r>
      <w:r w:rsidR="00907D8C">
        <w:t xml:space="preserve"> </w:t>
      </w:r>
      <w:r w:rsidRPr="00036FAC">
        <w:t>law,</w:t>
      </w:r>
      <w:r w:rsidR="00907D8C">
        <w:t xml:space="preserve"> </w:t>
      </w:r>
      <w:r w:rsidRPr="00036FAC">
        <w:t>they</w:t>
      </w:r>
      <w:r w:rsidR="00907D8C">
        <w:t xml:space="preserve"> </w:t>
      </w:r>
      <w:r w:rsidRPr="00036FAC">
        <w:t>may</w:t>
      </w:r>
      <w:r w:rsidR="00907D8C">
        <w:t xml:space="preserve"> </w:t>
      </w:r>
      <w:r w:rsidRPr="00036FAC">
        <w:t>appoint</w:t>
      </w:r>
      <w:r w:rsidR="00907D8C">
        <w:t xml:space="preserve"> </w:t>
      </w:r>
      <w:r w:rsidRPr="00036FAC">
        <w:t>Ministers</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as</w:t>
      </w:r>
      <w:r w:rsidR="00907D8C">
        <w:t xml:space="preserve"> </w:t>
      </w:r>
      <w:r w:rsidRPr="00036FAC">
        <w:t>well</w:t>
      </w:r>
      <w:r w:rsidR="00907D8C">
        <w:t xml:space="preserve"> </w:t>
      </w:r>
      <w:r w:rsidRPr="00036FAC">
        <w:t>as</w:t>
      </w:r>
      <w:r w:rsidR="00907D8C">
        <w:t xml:space="preserve"> </w:t>
      </w:r>
      <w:r w:rsidRPr="00036FAC">
        <w:t>judges,</w:t>
      </w:r>
      <w:r w:rsidR="00907D8C">
        <w:t xml:space="preserve"> </w:t>
      </w:r>
      <w:r w:rsidRPr="00036FAC">
        <w:t>defence</w:t>
      </w:r>
      <w:r w:rsidR="00907D8C">
        <w:t xml:space="preserve"> </w:t>
      </w:r>
      <w:r w:rsidRPr="00036FAC">
        <w:t>chiefs</w:t>
      </w:r>
      <w:r w:rsidR="00907D8C">
        <w:t xml:space="preserve"> </w:t>
      </w:r>
      <w:r w:rsidRPr="00036FAC">
        <w:t>and</w:t>
      </w:r>
      <w:r w:rsidR="00907D8C">
        <w:t xml:space="preserve"> </w:t>
      </w:r>
      <w:r w:rsidRPr="00036FAC">
        <w:t>the</w:t>
      </w:r>
      <w:r w:rsidR="00907D8C">
        <w:t xml:space="preserve"> </w:t>
      </w:r>
      <w:r w:rsidRPr="00036FAC">
        <w:t>Ombudsmen,</w:t>
      </w:r>
      <w:r w:rsidR="00907D8C">
        <w:t xml:space="preserve"> </w:t>
      </w:r>
      <w:r w:rsidRPr="00036FAC">
        <w:t>and</w:t>
      </w:r>
      <w:r w:rsidR="00907D8C">
        <w:t xml:space="preserve"> </w:t>
      </w:r>
      <w:r w:rsidRPr="00036FAC">
        <w:t>dismiss</w:t>
      </w:r>
      <w:r w:rsidR="00907D8C">
        <w:t xml:space="preserve"> </w:t>
      </w:r>
      <w:r w:rsidRPr="00036FAC">
        <w:t>them</w:t>
      </w:r>
      <w:r w:rsidR="00907D8C">
        <w:t xml:space="preserve"> </w:t>
      </w:r>
      <w:r w:rsidRPr="00036FAC">
        <w:t>(following</w:t>
      </w:r>
      <w:r w:rsidR="00907D8C">
        <w:t xml:space="preserve"> </w:t>
      </w:r>
      <w:r w:rsidRPr="00036FAC">
        <w:t>certain</w:t>
      </w:r>
      <w:r w:rsidR="00907D8C">
        <w:t xml:space="preserve"> </w:t>
      </w:r>
      <w:r w:rsidRPr="00036FAC">
        <w:t>procedures);</w:t>
      </w:r>
      <w:r w:rsidR="00907D8C">
        <w:t xml:space="preserve"> </w:t>
      </w:r>
      <w:r w:rsidRPr="00036FAC">
        <w:t>they</w:t>
      </w:r>
      <w:r w:rsidR="00907D8C">
        <w:t xml:space="preserve"> </w:t>
      </w:r>
      <w:r w:rsidRPr="00036FAC">
        <w:t>may</w:t>
      </w:r>
      <w:r w:rsidR="00907D8C">
        <w:t xml:space="preserve"> </w:t>
      </w:r>
      <w:r w:rsidRPr="00036FAC">
        <w:t>summon</w:t>
      </w:r>
      <w:r w:rsidR="00907D8C">
        <w:t xml:space="preserve"> </w:t>
      </w:r>
      <w:r w:rsidRPr="00036FAC">
        <w:t>and</w:t>
      </w:r>
      <w:r w:rsidR="00907D8C">
        <w:t xml:space="preserve"> </w:t>
      </w:r>
      <w:r w:rsidRPr="00036FAC">
        <w:t>dissolve</w:t>
      </w:r>
      <w:r w:rsidR="00907D8C">
        <w:t xml:space="preserve"> </w:t>
      </w:r>
      <w:r w:rsidRPr="00036FAC">
        <w:t>Parliament;</w:t>
      </w:r>
      <w:r w:rsidR="00907D8C">
        <w:t xml:space="preserve"> </w:t>
      </w:r>
      <w:r w:rsidRPr="00036FAC">
        <w:t>and</w:t>
      </w:r>
      <w:r w:rsidR="00907D8C">
        <w:t xml:space="preserve"> </w:t>
      </w:r>
      <w:r w:rsidRPr="00036FAC">
        <w:t>assent</w:t>
      </w:r>
      <w:r w:rsidR="00907D8C">
        <w:t xml:space="preserve"> </w:t>
      </w:r>
      <w:r w:rsidRPr="00036FAC">
        <w:t>to</w:t>
      </w:r>
      <w:r w:rsidR="00907D8C">
        <w:t xml:space="preserve"> </w:t>
      </w:r>
      <w:r w:rsidRPr="00036FAC">
        <w:t>bills</w:t>
      </w:r>
      <w:r w:rsidR="00907D8C">
        <w:t xml:space="preserve"> </w:t>
      </w:r>
      <w:r w:rsidRPr="00036FAC">
        <w:t>and</w:t>
      </w:r>
      <w:r w:rsidR="00907D8C">
        <w:t xml:space="preserve"> </w:t>
      </w:r>
      <w:r w:rsidRPr="00036FAC">
        <w:t>agree</w:t>
      </w:r>
      <w:r w:rsidR="00907D8C">
        <w:t xml:space="preserve"> </w:t>
      </w:r>
      <w:r w:rsidRPr="00036FAC">
        <w:t>to</w:t>
      </w:r>
      <w:r w:rsidR="00907D8C">
        <w:t xml:space="preserve"> </w:t>
      </w:r>
      <w:r w:rsidRPr="00036FAC">
        <w:t>regulations.</w:t>
      </w:r>
      <w:r w:rsidR="00907D8C">
        <w:t xml:space="preserve"> </w:t>
      </w:r>
      <w:r w:rsidRPr="00036FAC">
        <w:t>By</w:t>
      </w:r>
      <w:r w:rsidR="00907D8C">
        <w:t xml:space="preserve"> </w:t>
      </w:r>
      <w:r w:rsidRPr="00036FAC">
        <w:t>convention,</w:t>
      </w:r>
      <w:r w:rsidR="00907D8C">
        <w:t xml:space="preserve"> </w:t>
      </w:r>
      <w:r w:rsidRPr="00036FAC">
        <w:t>they</w:t>
      </w:r>
      <w:r w:rsidR="00907D8C">
        <w:t xml:space="preserve"> </w:t>
      </w:r>
      <w:r w:rsidRPr="00036FAC">
        <w:t>do</w:t>
      </w:r>
      <w:r w:rsidR="00907D8C">
        <w:t xml:space="preserve"> </w:t>
      </w:r>
      <w:r w:rsidRPr="00036FAC">
        <w:t>so</w:t>
      </w:r>
      <w:r w:rsidR="00907D8C">
        <w:t xml:space="preserve"> </w:t>
      </w:r>
      <w:r w:rsidRPr="00036FAC">
        <w:t>only</w:t>
      </w:r>
      <w:r w:rsidR="00907D8C">
        <w:t xml:space="preserve"> </w:t>
      </w:r>
      <w:r w:rsidRPr="00036FAC">
        <w:t>on</w:t>
      </w:r>
      <w:r w:rsidR="00907D8C">
        <w:t xml:space="preserve"> </w:t>
      </w:r>
      <w:r w:rsidRPr="00036FAC">
        <w:t>the</w:t>
      </w:r>
      <w:r w:rsidR="00907D8C">
        <w:t xml:space="preserve"> </w:t>
      </w:r>
      <w:r w:rsidRPr="00036FAC">
        <w:t>advice</w:t>
      </w:r>
      <w:r w:rsidR="00907D8C">
        <w:t xml:space="preserve"> </w:t>
      </w:r>
      <w:r w:rsidRPr="00036FAC">
        <w:t>of</w:t>
      </w:r>
      <w:r w:rsidR="00907D8C">
        <w:t xml:space="preserve"> </w:t>
      </w:r>
      <w:r w:rsidRPr="00036FAC">
        <w:t>the</w:t>
      </w:r>
      <w:r w:rsidR="00907D8C">
        <w:t xml:space="preserve"> </w:t>
      </w:r>
      <w:r w:rsidRPr="00036FAC">
        <w:t>Prime</w:t>
      </w:r>
      <w:r w:rsidR="00907D8C">
        <w:t xml:space="preserve"> </w:t>
      </w:r>
      <w:r w:rsidRPr="00036FAC">
        <w:t>Minister</w:t>
      </w:r>
      <w:r w:rsidR="00907D8C">
        <w:t xml:space="preserve"> </w:t>
      </w:r>
      <w:r w:rsidRPr="00036FAC">
        <w:t>or</w:t>
      </w:r>
      <w:r w:rsidR="00907D8C">
        <w:t xml:space="preserve"> </w:t>
      </w:r>
      <w:r w:rsidRPr="00036FAC">
        <w:t>Ministers,</w:t>
      </w:r>
      <w:r w:rsidR="00907D8C">
        <w:t xml:space="preserve"> </w:t>
      </w:r>
      <w:r w:rsidRPr="00036FAC">
        <w:t>who</w:t>
      </w:r>
      <w:r w:rsidR="00907D8C">
        <w:t xml:space="preserve"> </w:t>
      </w:r>
      <w:r w:rsidRPr="00036FAC">
        <w:t>have</w:t>
      </w:r>
      <w:r w:rsidR="00907D8C">
        <w:t xml:space="preserve"> </w:t>
      </w:r>
      <w:r w:rsidRPr="00036FAC">
        <w:t>the</w:t>
      </w:r>
      <w:r w:rsidR="00907D8C">
        <w:t xml:space="preserve"> </w:t>
      </w:r>
      <w:r w:rsidRPr="00036FAC">
        <w:t>support</w:t>
      </w:r>
      <w:r w:rsidR="00907D8C">
        <w:t xml:space="preserve"> </w:t>
      </w:r>
      <w:r w:rsidRPr="00036FAC">
        <w:t>of</w:t>
      </w:r>
      <w:r w:rsidR="00907D8C">
        <w:t xml:space="preserve"> </w:t>
      </w:r>
      <w:r w:rsidRPr="00036FAC">
        <w:t>the</w:t>
      </w:r>
      <w:r w:rsidR="00907D8C">
        <w:t xml:space="preserve"> </w:t>
      </w:r>
      <w:r w:rsidRPr="00036FAC">
        <w:t>House</w:t>
      </w:r>
      <w:r w:rsidR="00907D8C">
        <w:t xml:space="preserve"> </w:t>
      </w:r>
      <w:r w:rsidRPr="00036FAC">
        <w:t>of</w:t>
      </w:r>
      <w:r w:rsidR="00907D8C">
        <w:t xml:space="preserve"> </w:t>
      </w:r>
      <w:r w:rsidRPr="00036FAC">
        <w:t>Representatives.</w:t>
      </w:r>
    </w:p>
    <w:p w:rsidR="00036FAC" w:rsidRPr="00036FAC" w:rsidRDefault="00036FAC" w:rsidP="006C436C">
      <w:pPr>
        <w:pStyle w:val="H23G"/>
      </w:pPr>
      <w:bookmarkStart w:id="97" w:name="_Toc114894965"/>
      <w:bookmarkStart w:id="98" w:name="_Toc114895856"/>
      <w:bookmarkStart w:id="99" w:name="_Toc115493396"/>
      <w:bookmarkStart w:id="100" w:name="_Toc115493740"/>
      <w:bookmarkStart w:id="101" w:name="_Toc115493815"/>
      <w:bookmarkStart w:id="102" w:name="_Toc118100610"/>
      <w:bookmarkStart w:id="103" w:name="_Toc125278896"/>
      <w:r w:rsidRPr="00036FAC">
        <w:tab/>
        <w:t>(b)</w:t>
      </w:r>
      <w:r w:rsidRPr="00036FAC">
        <w:tab/>
        <w:t>House</w:t>
      </w:r>
      <w:r w:rsidR="00907D8C">
        <w:t xml:space="preserve"> </w:t>
      </w:r>
      <w:r w:rsidRPr="00036FAC">
        <w:t>of</w:t>
      </w:r>
      <w:r w:rsidR="00907D8C">
        <w:t xml:space="preserve"> </w:t>
      </w:r>
      <w:r w:rsidRPr="00036FAC">
        <w:t>Representatives</w:t>
      </w:r>
      <w:bookmarkEnd w:id="97"/>
      <w:bookmarkEnd w:id="98"/>
      <w:bookmarkEnd w:id="99"/>
      <w:bookmarkEnd w:id="100"/>
      <w:bookmarkEnd w:id="101"/>
      <w:bookmarkEnd w:id="102"/>
      <w:bookmarkEnd w:id="103"/>
    </w:p>
    <w:p w:rsidR="00036FAC" w:rsidRPr="00036FAC" w:rsidRDefault="00036FAC" w:rsidP="001722E9">
      <w:pPr>
        <w:pStyle w:val="SingleTxtG"/>
      </w:pPr>
      <w:r w:rsidRPr="00036FAC">
        <w:t>144.</w:t>
      </w:r>
      <w:r w:rsidRPr="00036FAC">
        <w:tab/>
        <w:t>Parliament,</w:t>
      </w:r>
      <w:r w:rsidR="00907D8C">
        <w:t xml:space="preserve"> </w:t>
      </w:r>
      <w:r w:rsidRPr="00036FAC">
        <w:t>which</w:t>
      </w:r>
      <w:r w:rsidR="00907D8C">
        <w:t xml:space="preserve"> </w:t>
      </w:r>
      <w:r w:rsidRPr="00036FAC">
        <w:t>is</w:t>
      </w:r>
      <w:r w:rsidR="00907D8C">
        <w:t xml:space="preserve"> </w:t>
      </w:r>
      <w:r w:rsidRPr="00036FAC">
        <w:t>the</w:t>
      </w:r>
      <w:r w:rsidR="00907D8C">
        <w:t xml:space="preserve"> </w:t>
      </w:r>
      <w:r w:rsidRPr="00036FAC">
        <w:t>legislature,</w:t>
      </w:r>
      <w:r w:rsidR="00907D8C">
        <w:t xml:space="preserve"> </w:t>
      </w:r>
      <w:r w:rsidRPr="00036FAC">
        <w:t>consists</w:t>
      </w:r>
      <w:r w:rsidR="00907D8C">
        <w:t xml:space="preserve"> </w:t>
      </w:r>
      <w:r w:rsidRPr="00036FAC">
        <w:t>of</w:t>
      </w:r>
      <w:r w:rsidR="00907D8C">
        <w:t xml:space="preserve"> </w:t>
      </w:r>
      <w:r w:rsidRPr="00036FAC">
        <w:t>the</w:t>
      </w:r>
      <w:r w:rsidR="00907D8C">
        <w:t xml:space="preserve"> </w:t>
      </w:r>
      <w:r w:rsidRPr="00036FAC">
        <w:t>Sovereign</w:t>
      </w:r>
      <w:r w:rsidR="00907D8C">
        <w:t xml:space="preserve"> </w:t>
      </w:r>
      <w:r w:rsidRPr="00036FAC">
        <w:t>and</w:t>
      </w:r>
      <w:r w:rsidR="00907D8C">
        <w:t xml:space="preserve"> </w:t>
      </w:r>
      <w:r w:rsidRPr="00036FAC">
        <w:t>a</w:t>
      </w:r>
      <w:r w:rsidR="00907D8C">
        <w:t xml:space="preserve"> </w:t>
      </w:r>
      <w:r w:rsidRPr="00036FAC">
        <w:t>single</w:t>
      </w:r>
      <w:r w:rsidR="00907D8C">
        <w:t xml:space="preserve"> </w:t>
      </w:r>
      <w:r w:rsidRPr="00036FAC">
        <w:t>chamber,</w:t>
      </w:r>
      <w:r w:rsidR="00907D8C">
        <w:t xml:space="preserve"> </w:t>
      </w:r>
      <w:r w:rsidRPr="00036FAC">
        <w:t>normally</w:t>
      </w:r>
      <w:r w:rsidR="00907D8C">
        <w:t xml:space="preserve"> </w:t>
      </w:r>
      <w:r w:rsidRPr="00036FAC">
        <w:t>a</w:t>
      </w:r>
      <w:r w:rsidR="00907D8C">
        <w:t xml:space="preserve"> </w:t>
      </w:r>
      <w:r w:rsidRPr="00036FAC">
        <w:t>120</w:t>
      </w:r>
      <w:r w:rsidR="001722E9">
        <w:t>-</w:t>
      </w:r>
      <w:r w:rsidRPr="00036FAC">
        <w:t>member</w:t>
      </w:r>
      <w:r w:rsidR="00907D8C">
        <w:t xml:space="preserve"> </w:t>
      </w:r>
      <w:r w:rsidRPr="00036FAC">
        <w:t>House</w:t>
      </w:r>
      <w:r w:rsidR="00907D8C">
        <w:t xml:space="preserve"> </w:t>
      </w:r>
      <w:r w:rsidRPr="00036FAC">
        <w:t>of</w:t>
      </w:r>
      <w:r w:rsidR="00907D8C">
        <w:t xml:space="preserve"> </w:t>
      </w:r>
      <w:r w:rsidRPr="00036FAC">
        <w:t>Representatives,</w:t>
      </w:r>
      <w:r w:rsidR="00907D8C">
        <w:t xml:space="preserve"> </w:t>
      </w:r>
      <w:r w:rsidRPr="00036FAC">
        <w:t>elected</w:t>
      </w:r>
      <w:r w:rsidR="00907D8C">
        <w:t xml:space="preserve"> </w:t>
      </w:r>
      <w:r w:rsidRPr="00036FAC">
        <w:t>every</w:t>
      </w:r>
      <w:r w:rsidR="00907D8C">
        <w:t xml:space="preserve"> </w:t>
      </w:r>
      <w:r w:rsidRPr="00036FAC">
        <w:t>three</w:t>
      </w:r>
      <w:r w:rsidR="00907D8C">
        <w:t xml:space="preserve"> </w:t>
      </w:r>
      <w:r w:rsidRPr="00036FAC">
        <w:t>years</w:t>
      </w:r>
      <w:r w:rsidR="00907D8C">
        <w:t xml:space="preserve"> </w:t>
      </w:r>
      <w:r w:rsidRPr="00036FAC">
        <w:t>unless</w:t>
      </w:r>
      <w:r w:rsidR="00907D8C">
        <w:t xml:space="preserve"> </w:t>
      </w:r>
      <w:r w:rsidRPr="00036FAC">
        <w:t>earlier</w:t>
      </w:r>
      <w:r w:rsidR="00907D8C">
        <w:t xml:space="preserve"> </w:t>
      </w:r>
      <w:r w:rsidRPr="00036FAC">
        <w:t>dissolved.</w:t>
      </w:r>
      <w:r w:rsidR="00907D8C">
        <w:t xml:space="preserve"> </w:t>
      </w:r>
      <w:r w:rsidRPr="00036FAC">
        <w:t>Parliament</w:t>
      </w:r>
      <w:r w:rsidR="00907D8C">
        <w:t xml:space="preserve"> </w:t>
      </w:r>
      <w:r w:rsidRPr="00036FAC">
        <w:t>has</w:t>
      </w:r>
      <w:r w:rsidR="00907D8C">
        <w:t xml:space="preserve"> </w:t>
      </w:r>
      <w:r w:rsidRPr="00036FAC">
        <w:t>full</w:t>
      </w:r>
      <w:r w:rsidR="00907D8C">
        <w:t xml:space="preserve"> </w:t>
      </w:r>
      <w:r w:rsidRPr="00036FAC">
        <w:t>power</w:t>
      </w:r>
      <w:r w:rsidR="00907D8C">
        <w:t xml:space="preserve"> </w:t>
      </w:r>
      <w:r w:rsidRPr="00036FAC">
        <w:t>to</w:t>
      </w:r>
      <w:r w:rsidR="00907D8C">
        <w:t xml:space="preserve"> </w:t>
      </w:r>
      <w:r w:rsidRPr="00036FAC">
        <w:t>make</w:t>
      </w:r>
      <w:r w:rsidR="00907D8C">
        <w:t xml:space="preserve"> </w:t>
      </w:r>
      <w:r w:rsidRPr="00036FAC">
        <w:t>law</w:t>
      </w:r>
      <w:r w:rsidR="00907D8C">
        <w:t xml:space="preserve"> </w:t>
      </w:r>
      <w:r w:rsidRPr="00036FAC">
        <w:t>but</w:t>
      </w:r>
      <w:r w:rsidR="00907D8C">
        <w:t xml:space="preserve"> </w:t>
      </w:r>
      <w:r w:rsidRPr="00036FAC">
        <w:t>delegates</w:t>
      </w:r>
      <w:r w:rsidR="00907D8C">
        <w:t xml:space="preserve"> </w:t>
      </w:r>
      <w:r w:rsidRPr="00036FAC">
        <w:t>some</w:t>
      </w:r>
      <w:r w:rsidR="00907D8C">
        <w:t xml:space="preserve"> </w:t>
      </w:r>
      <w:r w:rsidRPr="00036FAC">
        <w:t>lesser</w:t>
      </w:r>
      <w:r w:rsidR="00907D8C">
        <w:t xml:space="preserve"> </w:t>
      </w:r>
      <w:r w:rsidRPr="00036FAC">
        <w:t>law</w:t>
      </w:r>
      <w:r w:rsidR="003E4D94">
        <w:t>-</w:t>
      </w:r>
      <w:r w:rsidRPr="00036FAC">
        <w:t>making</w:t>
      </w:r>
      <w:r w:rsidR="00907D8C">
        <w:t xml:space="preserve"> </w:t>
      </w:r>
      <w:r w:rsidRPr="00036FAC">
        <w:t>powers</w:t>
      </w:r>
      <w:r w:rsidR="00907D8C">
        <w:t xml:space="preserve"> </w:t>
      </w:r>
      <w:r w:rsidRPr="00036FAC">
        <w:t>to</w:t>
      </w:r>
      <w:r w:rsidR="00907D8C">
        <w:t xml:space="preserve"> </w:t>
      </w:r>
      <w:r w:rsidRPr="00036FAC">
        <w:t>government</w:t>
      </w:r>
      <w:r w:rsidR="00907D8C">
        <w:t xml:space="preserve"> </w:t>
      </w:r>
      <w:r w:rsidRPr="00036FAC">
        <w:t>(for</w:t>
      </w:r>
      <w:r w:rsidR="00907D8C">
        <w:t xml:space="preserve"> </w:t>
      </w:r>
      <w:r w:rsidRPr="00036FAC">
        <w:t>example,</w:t>
      </w:r>
      <w:r w:rsidR="00907D8C">
        <w:t xml:space="preserve"> </w:t>
      </w:r>
      <w:r w:rsidRPr="00036FAC">
        <w:t>to</w:t>
      </w:r>
      <w:r w:rsidR="00907D8C">
        <w:t xml:space="preserve"> </w:t>
      </w:r>
      <w:r w:rsidRPr="00036FAC">
        <w:t>make</w:t>
      </w:r>
      <w:r w:rsidR="00907D8C">
        <w:t xml:space="preserve"> </w:t>
      </w:r>
      <w:r w:rsidRPr="00036FAC">
        <w:t>regulations).</w:t>
      </w:r>
    </w:p>
    <w:p w:rsidR="00036FAC" w:rsidRPr="00036FAC" w:rsidRDefault="00036FAC" w:rsidP="001722E9">
      <w:pPr>
        <w:pStyle w:val="SingleTxtG"/>
      </w:pPr>
      <w:r w:rsidRPr="00036FAC">
        <w:t>145.</w:t>
      </w:r>
      <w:r w:rsidRPr="00036FAC">
        <w:tab/>
        <w:t>Usually,</w:t>
      </w:r>
      <w:r w:rsidR="00907D8C">
        <w:t xml:space="preserve"> </w:t>
      </w:r>
      <w:r w:rsidRPr="00036FAC">
        <w:t>a</w:t>
      </w:r>
      <w:r w:rsidR="00907D8C">
        <w:t xml:space="preserve"> </w:t>
      </w:r>
      <w:r w:rsidRPr="00036FAC">
        <w:t>simple</w:t>
      </w:r>
      <w:r w:rsidR="00907D8C">
        <w:t xml:space="preserve"> </w:t>
      </w:r>
      <w:r w:rsidRPr="00036FAC">
        <w:t>majority</w:t>
      </w:r>
      <w:r w:rsidR="00907D8C">
        <w:t xml:space="preserve"> </w:t>
      </w:r>
      <w:r w:rsidRPr="00036FAC">
        <w:t>in</w:t>
      </w:r>
      <w:r w:rsidR="00907D8C">
        <w:t xml:space="preserve"> </w:t>
      </w:r>
      <w:r w:rsidRPr="00036FAC">
        <w:t>the</w:t>
      </w:r>
      <w:r w:rsidR="00907D8C">
        <w:t xml:space="preserve"> </w:t>
      </w:r>
      <w:r w:rsidRPr="00036FAC">
        <w:t>House</w:t>
      </w:r>
      <w:r w:rsidR="00907D8C">
        <w:t xml:space="preserve"> </w:t>
      </w:r>
      <w:r w:rsidRPr="00036FAC">
        <w:t>suffices</w:t>
      </w:r>
      <w:r w:rsidR="00907D8C">
        <w:t xml:space="preserve"> </w:t>
      </w:r>
      <w:r w:rsidRPr="00036FAC">
        <w:t>to</w:t>
      </w:r>
      <w:r w:rsidR="00907D8C">
        <w:t xml:space="preserve"> </w:t>
      </w:r>
      <w:r w:rsidRPr="00036FAC">
        <w:t>make</w:t>
      </w:r>
      <w:r w:rsidR="00907D8C">
        <w:t xml:space="preserve"> </w:t>
      </w:r>
      <w:r w:rsidRPr="00036FAC">
        <w:t>changes</w:t>
      </w:r>
      <w:r w:rsidR="00907D8C">
        <w:t xml:space="preserve"> </w:t>
      </w:r>
      <w:r w:rsidRPr="00036FAC">
        <w:t>to</w:t>
      </w:r>
      <w:r w:rsidR="00907D8C">
        <w:t xml:space="preserve"> </w:t>
      </w:r>
      <w:r w:rsidRPr="00036FAC">
        <w:t>an</w:t>
      </w:r>
      <w:r w:rsidR="00907D8C">
        <w:t xml:space="preserve"> </w:t>
      </w:r>
      <w:r w:rsidRPr="00036FAC">
        <w:t>Act</w:t>
      </w:r>
      <w:r w:rsidR="00907D8C">
        <w:t xml:space="preserve"> </w:t>
      </w:r>
      <w:r w:rsidRPr="00036FAC">
        <w:t>of</w:t>
      </w:r>
      <w:r w:rsidR="00907D8C">
        <w:t xml:space="preserve"> </w:t>
      </w:r>
      <w:r w:rsidRPr="00036FAC">
        <w:t>Parliament,</w:t>
      </w:r>
      <w:r w:rsidR="00907D8C">
        <w:t xml:space="preserve"> </w:t>
      </w:r>
      <w:r w:rsidRPr="00036FAC">
        <w:t>although</w:t>
      </w:r>
      <w:r w:rsidR="00907D8C">
        <w:t xml:space="preserve"> </w:t>
      </w:r>
      <w:r w:rsidRPr="00036FAC">
        <w:t>some</w:t>
      </w:r>
      <w:r w:rsidR="00907D8C">
        <w:t xml:space="preserve"> </w:t>
      </w:r>
      <w:r w:rsidRPr="00036FAC">
        <w:t>limits</w:t>
      </w:r>
      <w:r w:rsidR="00907D8C">
        <w:t xml:space="preserve"> </w:t>
      </w:r>
      <w:r w:rsidRPr="00036FAC">
        <w:t>to</w:t>
      </w:r>
      <w:r w:rsidR="00907D8C">
        <w:t xml:space="preserve"> </w:t>
      </w:r>
      <w:r w:rsidRPr="00036FAC">
        <w:t>change</w:t>
      </w:r>
      <w:r w:rsidR="00907D8C">
        <w:t xml:space="preserve"> </w:t>
      </w:r>
      <w:r w:rsidRPr="00036FAC">
        <w:t>arise</w:t>
      </w:r>
      <w:r w:rsidR="00907D8C">
        <w:t xml:space="preserve"> </w:t>
      </w:r>
      <w:r w:rsidRPr="00036FAC">
        <w:t>from</w:t>
      </w:r>
      <w:r w:rsidR="00907D8C">
        <w:t xml:space="preserve"> </w:t>
      </w:r>
      <w:r w:rsidRPr="00036FAC">
        <w:t>ratification</w:t>
      </w:r>
      <w:r w:rsidR="00907D8C">
        <w:t xml:space="preserve"> </w:t>
      </w:r>
      <w:r w:rsidRPr="00036FAC">
        <w:t>of</w:t>
      </w:r>
      <w:r w:rsidR="00907D8C">
        <w:t xml:space="preserve"> </w:t>
      </w:r>
      <w:r w:rsidRPr="00036FAC">
        <w:t>international</w:t>
      </w:r>
      <w:r w:rsidR="00907D8C">
        <w:t xml:space="preserve"> </w:t>
      </w:r>
      <w:r w:rsidRPr="00036FAC">
        <w:t>legal</w:t>
      </w:r>
      <w:r w:rsidR="00907D8C">
        <w:t xml:space="preserve"> </w:t>
      </w:r>
      <w:r w:rsidRPr="00036FAC">
        <w:t>instruments.</w:t>
      </w:r>
      <w:r w:rsidR="00907D8C">
        <w:t xml:space="preserve"> </w:t>
      </w:r>
      <w:r w:rsidRPr="00036FAC">
        <w:t>The</w:t>
      </w:r>
      <w:r w:rsidR="00907D8C">
        <w:t xml:space="preserve"> </w:t>
      </w:r>
      <w:r w:rsidRPr="00036FAC">
        <w:t>Electoral</w:t>
      </w:r>
      <w:r w:rsidR="00907D8C">
        <w:t xml:space="preserve"> </w:t>
      </w:r>
      <w:r w:rsidRPr="00036FAC">
        <w:t>Act</w:t>
      </w:r>
      <w:r w:rsidR="00907D8C">
        <w:t xml:space="preserve"> </w:t>
      </w:r>
      <w:r w:rsidRPr="00036FAC">
        <w:t>1993</w:t>
      </w:r>
      <w:r w:rsidR="00907D8C">
        <w:t xml:space="preserve"> </w:t>
      </w:r>
      <w:r w:rsidRPr="00036FAC">
        <w:t>is</w:t>
      </w:r>
      <w:r w:rsidR="00907D8C">
        <w:t xml:space="preserve"> </w:t>
      </w:r>
      <w:r w:rsidRPr="00036FAC">
        <w:t>the</w:t>
      </w:r>
      <w:r w:rsidR="00907D8C">
        <w:t xml:space="preserve"> </w:t>
      </w:r>
      <w:r w:rsidRPr="00036FAC">
        <w:t>only</w:t>
      </w:r>
      <w:r w:rsidR="00907D8C">
        <w:t xml:space="preserve"> </w:t>
      </w:r>
      <w:r w:rsidRPr="00036FAC">
        <w:t>statute</w:t>
      </w:r>
      <w:r w:rsidR="00907D8C">
        <w:t xml:space="preserve"> </w:t>
      </w:r>
      <w:r w:rsidRPr="00036FAC">
        <w:t>with</w:t>
      </w:r>
      <w:r w:rsidR="00907D8C">
        <w:t xml:space="preserve"> </w:t>
      </w:r>
      <w:r w:rsidRPr="00036FAC">
        <w:t>entrenched</w:t>
      </w:r>
      <w:r w:rsidR="00907D8C">
        <w:t xml:space="preserve"> </w:t>
      </w:r>
      <w:r w:rsidRPr="00036FAC">
        <w:t>provisions.</w:t>
      </w:r>
      <w:r w:rsidR="00907D8C">
        <w:t xml:space="preserve"> </w:t>
      </w:r>
      <w:r w:rsidRPr="00036FAC">
        <w:t>The</w:t>
      </w:r>
      <w:r w:rsidR="00907D8C">
        <w:t xml:space="preserve"> </w:t>
      </w:r>
      <w:r w:rsidRPr="00036FAC">
        <w:t>protected</w:t>
      </w:r>
      <w:r w:rsidR="00907D8C">
        <w:t xml:space="preserve"> </w:t>
      </w:r>
      <w:r w:rsidRPr="00036FAC">
        <w:t>provisions</w:t>
      </w:r>
      <w:r w:rsidR="00907D8C">
        <w:t xml:space="preserve"> </w:t>
      </w:r>
      <w:r w:rsidRPr="00036FAC">
        <w:t>relate</w:t>
      </w:r>
      <w:r w:rsidR="00907D8C">
        <w:t xml:space="preserve"> </w:t>
      </w:r>
      <w:r w:rsidRPr="00036FAC">
        <w:t>to</w:t>
      </w:r>
      <w:r w:rsidR="00907D8C">
        <w:t xml:space="preserve"> </w:t>
      </w:r>
      <w:r w:rsidRPr="00036FAC">
        <w:t>the</w:t>
      </w:r>
      <w:r w:rsidR="00907D8C">
        <w:t xml:space="preserve"> </w:t>
      </w:r>
      <w:r w:rsidRPr="00036FAC">
        <w:t>three-year</w:t>
      </w:r>
      <w:r w:rsidR="00907D8C">
        <w:t xml:space="preserve"> </w:t>
      </w:r>
      <w:r w:rsidRPr="00036FAC">
        <w:t>term</w:t>
      </w:r>
      <w:r w:rsidR="00907D8C">
        <w:t xml:space="preserve"> </w:t>
      </w:r>
      <w:r w:rsidRPr="00036FAC">
        <w:t>of</w:t>
      </w:r>
      <w:r w:rsidR="00907D8C">
        <w:t xml:space="preserve"> </w:t>
      </w:r>
      <w:r w:rsidRPr="00036FAC">
        <w:t>Parliament,</w:t>
      </w:r>
      <w:r w:rsidR="00907D8C">
        <w:t xml:space="preserve"> </w:t>
      </w:r>
      <w:r w:rsidRPr="00036FAC">
        <w:t>membership</w:t>
      </w:r>
      <w:r w:rsidR="00907D8C">
        <w:t xml:space="preserve"> </w:t>
      </w:r>
      <w:r w:rsidRPr="00036FAC">
        <w:t>of</w:t>
      </w:r>
      <w:r w:rsidR="00907D8C">
        <w:t xml:space="preserve"> </w:t>
      </w:r>
      <w:r w:rsidRPr="00036FAC">
        <w:t>the</w:t>
      </w:r>
      <w:r w:rsidR="00907D8C">
        <w:t xml:space="preserve"> </w:t>
      </w:r>
      <w:r w:rsidRPr="00036FAC">
        <w:t>Representation</w:t>
      </w:r>
      <w:r w:rsidR="00907D8C">
        <w:t xml:space="preserve"> </w:t>
      </w:r>
      <w:r w:rsidRPr="00036FAC">
        <w:t>Commission,</w:t>
      </w:r>
      <w:r w:rsidR="00907D8C">
        <w:t xml:space="preserve"> </w:t>
      </w:r>
      <w:r w:rsidRPr="00036FAC">
        <w:t>the</w:t>
      </w:r>
      <w:r w:rsidR="00907D8C">
        <w:t xml:space="preserve"> </w:t>
      </w:r>
      <w:r w:rsidRPr="00036FAC">
        <w:t>division</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into</w:t>
      </w:r>
      <w:r w:rsidR="00907D8C">
        <w:t xml:space="preserve"> </w:t>
      </w:r>
      <w:r w:rsidRPr="00036FAC">
        <w:t>general</w:t>
      </w:r>
      <w:r w:rsidR="00907D8C">
        <w:t xml:space="preserve"> </w:t>
      </w:r>
      <w:r w:rsidRPr="00036FAC">
        <w:t>electorates,</w:t>
      </w:r>
      <w:r w:rsidR="00907D8C">
        <w:t xml:space="preserve"> </w:t>
      </w:r>
      <w:r w:rsidRPr="00036FAC">
        <w:t>the</w:t>
      </w:r>
      <w:r w:rsidR="00907D8C">
        <w:t xml:space="preserve"> </w:t>
      </w:r>
      <w:r w:rsidRPr="00036FAC">
        <w:t>voting</w:t>
      </w:r>
      <w:r w:rsidR="00907D8C">
        <w:t xml:space="preserve"> </w:t>
      </w:r>
      <w:r w:rsidRPr="00036FAC">
        <w:t>age,</w:t>
      </w:r>
      <w:r w:rsidR="00907D8C">
        <w:t xml:space="preserve"> </w:t>
      </w:r>
      <w:r w:rsidRPr="00036FAC">
        <w:t>and</w:t>
      </w:r>
      <w:r w:rsidR="00907D8C">
        <w:t xml:space="preserve"> </w:t>
      </w:r>
      <w:r w:rsidRPr="00036FAC">
        <w:t>method</w:t>
      </w:r>
      <w:r w:rsidR="00907D8C">
        <w:t xml:space="preserve"> </w:t>
      </w:r>
      <w:r w:rsidRPr="00036FAC">
        <w:t>of</w:t>
      </w:r>
      <w:r w:rsidR="00907D8C">
        <w:t xml:space="preserve"> </w:t>
      </w:r>
      <w:r w:rsidRPr="00036FAC">
        <w:t>voting.</w:t>
      </w:r>
      <w:r w:rsidR="00907D8C">
        <w:t xml:space="preserve"> </w:t>
      </w:r>
      <w:r w:rsidRPr="00036FAC">
        <w:t>If</w:t>
      </w:r>
      <w:r w:rsidR="00907D8C">
        <w:t xml:space="preserve"> </w:t>
      </w:r>
      <w:r w:rsidRPr="00036FAC">
        <w:t>changes</w:t>
      </w:r>
      <w:r w:rsidR="00907D8C">
        <w:t xml:space="preserve"> </w:t>
      </w:r>
      <w:r w:rsidRPr="00036FAC">
        <w:t>to</w:t>
      </w:r>
      <w:r w:rsidR="00907D8C">
        <w:t xml:space="preserve"> </w:t>
      </w:r>
      <w:r w:rsidRPr="00036FAC">
        <w:t>these</w:t>
      </w:r>
      <w:r w:rsidR="00907D8C">
        <w:t xml:space="preserve"> </w:t>
      </w:r>
      <w:r w:rsidRPr="00036FAC">
        <w:t>provisions</w:t>
      </w:r>
      <w:r w:rsidR="00907D8C">
        <w:t xml:space="preserve"> </w:t>
      </w:r>
      <w:r w:rsidRPr="00036FAC">
        <w:t>are</w:t>
      </w:r>
      <w:r w:rsidR="00907D8C">
        <w:t xml:space="preserve"> </w:t>
      </w:r>
      <w:r w:rsidRPr="00036FAC">
        <w:t>to</w:t>
      </w:r>
      <w:r w:rsidR="00907D8C">
        <w:t xml:space="preserve"> </w:t>
      </w:r>
      <w:r w:rsidRPr="00036FAC">
        <w:t>be</w:t>
      </w:r>
      <w:r w:rsidR="00907D8C">
        <w:t xml:space="preserve"> </w:t>
      </w:r>
      <w:r w:rsidRPr="00036FAC">
        <w:t>made,</w:t>
      </w:r>
      <w:r w:rsidR="00907D8C">
        <w:t xml:space="preserve"> </w:t>
      </w:r>
      <w:r w:rsidRPr="00036FAC">
        <w:t>they</w:t>
      </w:r>
      <w:r w:rsidR="00907D8C">
        <w:t xml:space="preserve"> </w:t>
      </w:r>
      <w:r w:rsidRPr="00036FAC">
        <w:t>must</w:t>
      </w:r>
      <w:r w:rsidR="00907D8C">
        <w:t xml:space="preserve"> </w:t>
      </w:r>
      <w:r w:rsidRPr="00036FAC">
        <w:t>be</w:t>
      </w:r>
      <w:r w:rsidR="00907D8C">
        <w:t xml:space="preserve"> </w:t>
      </w:r>
      <w:r w:rsidRPr="00036FAC">
        <w:t>passed</w:t>
      </w:r>
      <w:r w:rsidR="00907D8C">
        <w:t xml:space="preserve"> </w:t>
      </w:r>
      <w:r w:rsidRPr="00036FAC">
        <w:t>either</w:t>
      </w:r>
      <w:r w:rsidR="00907D8C">
        <w:t xml:space="preserve"> </w:t>
      </w:r>
      <w:r w:rsidRPr="00036FAC">
        <w:t>by</w:t>
      </w:r>
      <w:r w:rsidR="00907D8C">
        <w:t xml:space="preserve"> </w:t>
      </w:r>
      <w:r w:rsidRPr="00036FAC">
        <w:t>75</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House</w:t>
      </w:r>
      <w:r w:rsidR="00907D8C">
        <w:t xml:space="preserve"> </w:t>
      </w:r>
      <w:r w:rsidRPr="00036FAC">
        <w:t>or</w:t>
      </w:r>
      <w:r w:rsidR="00907D8C">
        <w:t xml:space="preserve"> </w:t>
      </w:r>
      <w:r w:rsidRPr="00036FAC">
        <w:t>a</w:t>
      </w:r>
      <w:r w:rsidR="00907D8C">
        <w:t xml:space="preserve"> </w:t>
      </w:r>
      <w:r w:rsidRPr="00036FAC">
        <w:t>majority</w:t>
      </w:r>
      <w:r w:rsidR="00907D8C">
        <w:t xml:space="preserve"> </w:t>
      </w:r>
      <w:r w:rsidRPr="00036FAC">
        <w:t>vote</w:t>
      </w:r>
      <w:r w:rsidR="00907D8C">
        <w:t xml:space="preserve"> </w:t>
      </w:r>
      <w:r w:rsidRPr="00036FAC">
        <w:t>in</w:t>
      </w:r>
      <w:r w:rsidR="00907D8C">
        <w:t xml:space="preserve"> </w:t>
      </w:r>
      <w:r w:rsidRPr="00036FAC">
        <w:t>a</w:t>
      </w:r>
      <w:r w:rsidR="00907D8C">
        <w:t xml:space="preserve"> </w:t>
      </w:r>
      <w:r w:rsidRPr="00036FAC">
        <w:t>referendum.</w:t>
      </w:r>
    </w:p>
    <w:p w:rsidR="00036FAC" w:rsidRPr="00036FAC" w:rsidRDefault="00036FAC" w:rsidP="001722E9">
      <w:pPr>
        <w:pStyle w:val="SingleTxtG"/>
      </w:pPr>
      <w:r w:rsidRPr="00036FAC">
        <w:t>146.</w:t>
      </w:r>
      <w:r w:rsidRPr="00036FAC">
        <w:tab/>
        <w:t>Parliament</w:t>
      </w:r>
      <w:r w:rsidR="00907D8C">
        <w:t xml:space="preserve"> </w:t>
      </w:r>
      <w:r w:rsidRPr="00036FAC">
        <w:t>has</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select</w:t>
      </w:r>
      <w:r w:rsidR="00907D8C">
        <w:t xml:space="preserve"> </w:t>
      </w:r>
      <w:r w:rsidRPr="00036FAC">
        <w:t>committees</w:t>
      </w:r>
      <w:r w:rsidR="00907D8C">
        <w:t xml:space="preserve"> </w:t>
      </w:r>
      <w:r w:rsidRPr="00036FAC">
        <w:t>that</w:t>
      </w:r>
      <w:r w:rsidR="00907D8C">
        <w:t xml:space="preserve"> </w:t>
      </w:r>
      <w:r w:rsidRPr="00036FAC">
        <w:t>examine</w:t>
      </w:r>
      <w:r w:rsidR="00907D8C">
        <w:t xml:space="preserve"> </w:t>
      </w:r>
      <w:r w:rsidRPr="00036FAC">
        <w:t>proposed</w:t>
      </w:r>
      <w:r w:rsidR="00907D8C">
        <w:t xml:space="preserve"> </w:t>
      </w:r>
      <w:r w:rsidRPr="00036FAC">
        <w:t>legislation</w:t>
      </w:r>
      <w:r w:rsidR="00907D8C">
        <w:t xml:space="preserve"> </w:t>
      </w:r>
      <w:r w:rsidRPr="00036FAC">
        <w:t>in</w:t>
      </w:r>
      <w:r w:rsidR="00907D8C">
        <w:t xml:space="preserve"> </w:t>
      </w:r>
      <w:r w:rsidRPr="00036FAC">
        <w:t>detail</w:t>
      </w:r>
      <w:r w:rsidR="00907D8C">
        <w:t xml:space="preserve"> </w:t>
      </w:r>
      <w:r w:rsidRPr="00036FAC">
        <w:t>and</w:t>
      </w:r>
      <w:r w:rsidR="00907D8C">
        <w:t xml:space="preserve"> </w:t>
      </w:r>
      <w:r w:rsidRPr="00036FAC">
        <w:t>hear</w:t>
      </w:r>
      <w:r w:rsidR="00907D8C">
        <w:t xml:space="preserve"> </w:t>
      </w:r>
      <w:r w:rsidRPr="00036FAC">
        <w:t>submissions</w:t>
      </w:r>
      <w:r w:rsidR="00907D8C">
        <w:t xml:space="preserve"> </w:t>
      </w:r>
      <w:r w:rsidRPr="00036FAC">
        <w:t>from</w:t>
      </w:r>
      <w:r w:rsidR="00907D8C">
        <w:t xml:space="preserve"> </w:t>
      </w:r>
      <w:r w:rsidRPr="00036FAC">
        <w:t>interested</w:t>
      </w:r>
      <w:r w:rsidR="00907D8C">
        <w:t xml:space="preserve"> </w:t>
      </w:r>
      <w:r w:rsidRPr="00036FAC">
        <w:t>members</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These</w:t>
      </w:r>
      <w:r w:rsidR="00907D8C">
        <w:t xml:space="preserve"> </w:t>
      </w:r>
      <w:r w:rsidRPr="00036FAC">
        <w:t>committees</w:t>
      </w:r>
      <w:r w:rsidR="00907D8C">
        <w:t xml:space="preserve"> </w:t>
      </w:r>
      <w:r w:rsidRPr="00036FAC">
        <w:t>also</w:t>
      </w:r>
      <w:r w:rsidR="00907D8C">
        <w:t xml:space="preserve"> </w:t>
      </w:r>
      <w:r w:rsidRPr="00036FAC">
        <w:t>hold</w:t>
      </w:r>
      <w:r w:rsidR="00907D8C">
        <w:t xml:space="preserve"> </w:t>
      </w:r>
      <w:r w:rsidRPr="00036FAC">
        <w:t>inquiries</w:t>
      </w:r>
      <w:r w:rsidR="00907D8C">
        <w:t xml:space="preserve"> </w:t>
      </w:r>
      <w:r w:rsidRPr="00036FAC">
        <w:t>within</w:t>
      </w:r>
      <w:r w:rsidR="00907D8C">
        <w:t xml:space="preserve"> </w:t>
      </w:r>
      <w:r w:rsidRPr="00036FAC">
        <w:t>their</w:t>
      </w:r>
      <w:r w:rsidR="00907D8C">
        <w:t xml:space="preserve"> </w:t>
      </w:r>
      <w:r w:rsidRPr="00036FAC">
        <w:t>subject</w:t>
      </w:r>
      <w:r w:rsidR="00907D8C">
        <w:t xml:space="preserve"> </w:t>
      </w:r>
      <w:r w:rsidRPr="00036FAC">
        <w:t>area.</w:t>
      </w:r>
      <w:r w:rsidR="00907D8C">
        <w:t xml:space="preserve"> </w:t>
      </w:r>
      <w:r w:rsidRPr="00036FAC">
        <w:t>They</w:t>
      </w:r>
      <w:r w:rsidR="00907D8C">
        <w:t xml:space="preserve"> </w:t>
      </w:r>
      <w:r w:rsidRPr="00036FAC">
        <w:t>can</w:t>
      </w:r>
      <w:r w:rsidR="00907D8C">
        <w:t xml:space="preserve"> </w:t>
      </w:r>
      <w:r w:rsidRPr="00036FAC">
        <w:t>call</w:t>
      </w:r>
      <w:r w:rsidR="00907D8C">
        <w:t xml:space="preserve"> </w:t>
      </w:r>
      <w:r w:rsidRPr="00036FAC">
        <w:t>for</w:t>
      </w:r>
      <w:r w:rsidR="00907D8C">
        <w:t xml:space="preserve"> </w:t>
      </w:r>
      <w:r w:rsidRPr="00036FAC">
        <w:t>public</w:t>
      </w:r>
      <w:r w:rsidR="00907D8C">
        <w:t xml:space="preserve"> </w:t>
      </w:r>
      <w:r w:rsidRPr="00036FAC">
        <w:t>submissions</w:t>
      </w:r>
      <w:r w:rsidR="00907D8C">
        <w:t xml:space="preserve"> </w:t>
      </w:r>
      <w:r w:rsidRPr="00036FAC">
        <w:t>and</w:t>
      </w:r>
      <w:r w:rsidR="00907D8C">
        <w:t xml:space="preserve"> </w:t>
      </w:r>
      <w:r w:rsidRPr="00036FAC">
        <w:t>request</w:t>
      </w:r>
      <w:r w:rsidR="00907D8C">
        <w:t xml:space="preserve"> </w:t>
      </w:r>
      <w:r w:rsidRPr="00036FAC">
        <w:t>evidence</w:t>
      </w:r>
      <w:r w:rsidR="00907D8C">
        <w:t xml:space="preserve"> </w:t>
      </w:r>
      <w:r w:rsidRPr="00036FAC">
        <w:t>from</w:t>
      </w:r>
      <w:r w:rsidR="00907D8C">
        <w:t xml:space="preserve"> </w:t>
      </w:r>
      <w:r w:rsidRPr="00036FAC">
        <w:t>organisations</w:t>
      </w:r>
      <w:r w:rsidR="00907D8C">
        <w:t xml:space="preserve"> </w:t>
      </w:r>
      <w:r w:rsidRPr="00036FAC">
        <w:t>that</w:t>
      </w:r>
      <w:r w:rsidR="00907D8C">
        <w:t xml:space="preserve"> </w:t>
      </w:r>
      <w:r w:rsidRPr="00036FAC">
        <w:t>may</w:t>
      </w:r>
      <w:r w:rsidR="00907D8C">
        <w:t xml:space="preserve"> </w:t>
      </w:r>
      <w:r w:rsidRPr="00036FAC">
        <w:t>be</w:t>
      </w:r>
      <w:r w:rsidR="00907D8C">
        <w:t xml:space="preserve"> </w:t>
      </w:r>
      <w:r w:rsidRPr="00036FAC">
        <w:t>the</w:t>
      </w:r>
      <w:r w:rsidR="00907D8C">
        <w:t xml:space="preserve"> </w:t>
      </w:r>
      <w:r w:rsidRPr="00036FAC">
        <w:t>subject</w:t>
      </w:r>
      <w:r w:rsidR="00907D8C">
        <w:t xml:space="preserve"> </w:t>
      </w:r>
      <w:r w:rsidRPr="00036FAC">
        <w:t>of</w:t>
      </w:r>
      <w:r w:rsidR="00907D8C">
        <w:t xml:space="preserve"> </w:t>
      </w:r>
      <w:r w:rsidRPr="00036FAC">
        <w:t>the</w:t>
      </w:r>
      <w:r w:rsidR="00907D8C">
        <w:t xml:space="preserve"> </w:t>
      </w:r>
      <w:r w:rsidRPr="00036FAC">
        <w:t>inquiry.</w:t>
      </w:r>
      <w:r w:rsidR="00907D8C">
        <w:t xml:space="preserve"> </w:t>
      </w:r>
      <w:r w:rsidRPr="00036FAC">
        <w:t>After</w:t>
      </w:r>
      <w:r w:rsidR="00907D8C">
        <w:t xml:space="preserve"> </w:t>
      </w:r>
      <w:r w:rsidRPr="00036FAC">
        <w:t>considering</w:t>
      </w:r>
      <w:r w:rsidR="00907D8C">
        <w:t xml:space="preserve"> </w:t>
      </w:r>
      <w:r w:rsidRPr="00036FAC">
        <w:t>the</w:t>
      </w:r>
      <w:r w:rsidR="00907D8C">
        <w:t xml:space="preserve"> </w:t>
      </w:r>
      <w:r w:rsidRPr="00036FAC">
        <w:t>evidence,</w:t>
      </w:r>
      <w:r w:rsidR="00907D8C">
        <w:t xml:space="preserve"> </w:t>
      </w:r>
      <w:r w:rsidRPr="00036FAC">
        <w:t>the</w:t>
      </w:r>
      <w:r w:rsidR="00907D8C">
        <w:t xml:space="preserve"> </w:t>
      </w:r>
      <w:r w:rsidRPr="00036FAC">
        <w:t>select</w:t>
      </w:r>
      <w:r w:rsidR="00907D8C">
        <w:t xml:space="preserve"> </w:t>
      </w:r>
      <w:r w:rsidRPr="00036FAC">
        <w:t>committees</w:t>
      </w:r>
      <w:r w:rsidR="00907D8C">
        <w:t xml:space="preserve"> </w:t>
      </w:r>
      <w:r w:rsidRPr="00036FAC">
        <w:t>may</w:t>
      </w:r>
      <w:r w:rsidR="00907D8C">
        <w:t xml:space="preserve"> </w:t>
      </w:r>
      <w:r w:rsidRPr="00036FAC">
        <w:t>report</w:t>
      </w:r>
      <w:r w:rsidR="00907D8C">
        <w:t xml:space="preserve"> </w:t>
      </w:r>
      <w:r w:rsidRPr="00036FAC">
        <w:t>to</w:t>
      </w:r>
      <w:r w:rsidR="00907D8C">
        <w:t xml:space="preserve"> </w:t>
      </w:r>
      <w:r w:rsidRPr="00036FAC">
        <w:t>the</w:t>
      </w:r>
      <w:r w:rsidR="00907D8C">
        <w:t xml:space="preserve"> </w:t>
      </w:r>
      <w:r w:rsidRPr="00036FAC">
        <w:t>House</w:t>
      </w:r>
      <w:r w:rsidR="00907D8C">
        <w:t xml:space="preserve"> </w:t>
      </w:r>
      <w:r w:rsidRPr="00036FAC">
        <w:t>with</w:t>
      </w:r>
      <w:r w:rsidR="00907D8C">
        <w:t xml:space="preserve"> </w:t>
      </w:r>
      <w:r w:rsidRPr="00036FAC">
        <w:t>findings</w:t>
      </w:r>
      <w:r w:rsidR="00907D8C">
        <w:t xml:space="preserve"> </w:t>
      </w:r>
      <w:r w:rsidRPr="00036FAC">
        <w:t>and</w:t>
      </w:r>
      <w:r w:rsidR="00907D8C">
        <w:t xml:space="preserve"> </w:t>
      </w:r>
      <w:r w:rsidRPr="00036FAC">
        <w:t>recommendations.</w:t>
      </w:r>
      <w:r w:rsidR="00907D8C">
        <w:t xml:space="preserve"> </w:t>
      </w:r>
      <w:r w:rsidRPr="00036FAC">
        <w:t>The</w:t>
      </w:r>
      <w:r w:rsidR="00907D8C">
        <w:t xml:space="preserve"> </w:t>
      </w:r>
      <w:r w:rsidRPr="00036FAC">
        <w:t>Government</w:t>
      </w:r>
      <w:r w:rsidR="00907D8C">
        <w:t xml:space="preserve"> </w:t>
      </w:r>
      <w:r w:rsidRPr="00036FAC">
        <w:t>must</w:t>
      </w:r>
      <w:r w:rsidR="00907D8C">
        <w:t xml:space="preserve"> </w:t>
      </w:r>
      <w:r w:rsidRPr="00036FAC">
        <w:t>respond</w:t>
      </w:r>
      <w:r w:rsidR="00907D8C">
        <w:t xml:space="preserve"> </w:t>
      </w:r>
      <w:r w:rsidRPr="00036FAC">
        <w:t>to</w:t>
      </w:r>
      <w:r w:rsidR="00907D8C">
        <w:t xml:space="preserve"> </w:t>
      </w:r>
      <w:r w:rsidRPr="00036FAC">
        <w:t>recommendations</w:t>
      </w:r>
      <w:r w:rsidR="00907D8C">
        <w:t xml:space="preserve"> </w:t>
      </w:r>
      <w:r w:rsidRPr="00036FAC">
        <w:t>within</w:t>
      </w:r>
      <w:r w:rsidR="00907D8C">
        <w:t xml:space="preserve"> </w:t>
      </w:r>
      <w:r w:rsidRPr="00036FAC">
        <w:t>90</w:t>
      </w:r>
      <w:r w:rsidR="00907D8C">
        <w:t xml:space="preserve"> </w:t>
      </w:r>
      <w:r w:rsidRPr="00036FAC">
        <w:t>days.</w:t>
      </w:r>
    </w:p>
    <w:p w:rsidR="00036FAC" w:rsidRPr="00036FAC" w:rsidRDefault="00036FAC" w:rsidP="001722E9">
      <w:pPr>
        <w:pStyle w:val="SingleTxtG"/>
      </w:pPr>
      <w:r w:rsidRPr="00036FAC">
        <w:t>147.</w:t>
      </w:r>
      <w:r w:rsidRPr="00036FAC">
        <w:tab/>
        <w:t>Parliament</w:t>
      </w:r>
      <w:r w:rsidR="00907D8C">
        <w:t xml:space="preserve"> </w:t>
      </w:r>
      <w:r w:rsidRPr="00036FAC">
        <w:t>therefore</w:t>
      </w:r>
      <w:r w:rsidR="00907D8C">
        <w:t xml:space="preserve"> </w:t>
      </w:r>
      <w:r w:rsidRPr="00036FAC">
        <w:t>plays</w:t>
      </w:r>
      <w:r w:rsidR="00907D8C">
        <w:t xml:space="preserve"> </w:t>
      </w:r>
      <w:r w:rsidRPr="00036FAC">
        <w:t>an</w:t>
      </w:r>
      <w:r w:rsidR="00907D8C">
        <w:t xml:space="preserve"> </w:t>
      </w:r>
      <w:r w:rsidRPr="00036FAC">
        <w:t>important</w:t>
      </w:r>
      <w:r w:rsidR="00907D8C">
        <w:t xml:space="preserve"> </w:t>
      </w:r>
      <w:r w:rsidRPr="00036FAC">
        <w:t>role</w:t>
      </w:r>
      <w:r w:rsidR="00907D8C">
        <w:t xml:space="preserve"> </w:t>
      </w:r>
      <w:r w:rsidRPr="00036FAC">
        <w:t>in</w:t>
      </w:r>
      <w:r w:rsidR="00907D8C">
        <w:t xml:space="preserve"> </w:t>
      </w:r>
      <w:r w:rsidRPr="00036FAC">
        <w:t>the</w:t>
      </w:r>
      <w:r w:rsidR="00907D8C">
        <w:t xml:space="preserve"> </w:t>
      </w:r>
      <w:r w:rsidRPr="00036FAC">
        <w:t>promotion</w:t>
      </w:r>
      <w:r w:rsidR="00907D8C">
        <w:t xml:space="preserve"> </w:t>
      </w:r>
      <w:r w:rsidRPr="00036FAC">
        <w:t>and</w:t>
      </w:r>
      <w:r w:rsidR="00907D8C">
        <w:t xml:space="preserve"> </w:t>
      </w:r>
      <w:r w:rsidRPr="00036FAC">
        <w:t>protection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first</w:t>
      </w:r>
      <w:r w:rsidR="00907D8C">
        <w:t xml:space="preserve"> </w:t>
      </w:r>
      <w:r w:rsidRPr="00036FAC">
        <w:t>and</w:t>
      </w:r>
      <w:r w:rsidR="00907D8C">
        <w:t xml:space="preserve"> </w:t>
      </w:r>
      <w:r w:rsidRPr="00036FAC">
        <w:t>foremost</w:t>
      </w:r>
      <w:r w:rsidR="00907D8C">
        <w:t xml:space="preserve"> </w:t>
      </w:r>
      <w:r w:rsidRPr="00036FAC">
        <w:t>by</w:t>
      </w:r>
      <w:r w:rsidR="00907D8C">
        <w:t xml:space="preserve"> </w:t>
      </w:r>
      <w:r w:rsidRPr="00036FAC">
        <w:t>representing</w:t>
      </w:r>
      <w:r w:rsidR="00907D8C">
        <w:t xml:space="preserve"> </w:t>
      </w:r>
      <w:r w:rsidRPr="00036FAC">
        <w:t>the</w:t>
      </w:r>
      <w:r w:rsidR="00907D8C">
        <w:t xml:space="preserve"> </w:t>
      </w:r>
      <w:r w:rsidRPr="00036FAC">
        <w:t>views</w:t>
      </w:r>
      <w:r w:rsidR="00907D8C">
        <w:t xml:space="preserve"> </w:t>
      </w:r>
      <w:r w:rsidRPr="00036FAC">
        <w:t>of</w:t>
      </w:r>
      <w:r w:rsidR="00907D8C">
        <w:t xml:space="preserve"> </w:t>
      </w:r>
      <w:r w:rsidRPr="00036FAC">
        <w:t>the</w:t>
      </w:r>
      <w:r w:rsidR="00907D8C">
        <w:t xml:space="preserve"> </w:t>
      </w:r>
      <w:r w:rsidRPr="00036FAC">
        <w:t>people.</w:t>
      </w:r>
      <w:r w:rsidR="00907D8C">
        <w:t xml:space="preserve"> </w:t>
      </w:r>
      <w:r w:rsidRPr="00036FAC">
        <w:t>It</w:t>
      </w:r>
      <w:r w:rsidR="00907D8C">
        <w:t xml:space="preserve"> </w:t>
      </w:r>
      <w:r w:rsidRPr="00036FAC">
        <w:t>exists</w:t>
      </w:r>
      <w:r w:rsidR="00907D8C">
        <w:t xml:space="preserve"> </w:t>
      </w:r>
      <w:r w:rsidRPr="00036FAC">
        <w:t>not</w:t>
      </w:r>
      <w:r w:rsidR="00907D8C">
        <w:t xml:space="preserve"> </w:t>
      </w:r>
      <w:r w:rsidRPr="00036FAC">
        <w:t>only</w:t>
      </w:r>
      <w:r w:rsidR="00907D8C">
        <w:t xml:space="preserve"> </w:t>
      </w:r>
      <w:r w:rsidRPr="00036FAC">
        <w:t>to</w:t>
      </w:r>
      <w:r w:rsidR="00907D8C">
        <w:t xml:space="preserve"> </w:t>
      </w:r>
      <w:r w:rsidRPr="00036FAC">
        <w:t>legislate</w:t>
      </w:r>
      <w:r w:rsidR="00907D8C">
        <w:t xml:space="preserve"> </w:t>
      </w:r>
      <w:r w:rsidRPr="00036FAC">
        <w:t>but</w:t>
      </w:r>
      <w:r w:rsidR="00907D8C">
        <w:t xml:space="preserve"> </w:t>
      </w:r>
      <w:r w:rsidRPr="00036FAC">
        <w:t>also</w:t>
      </w:r>
      <w:r w:rsidR="00907D8C">
        <w:t xml:space="preserve"> </w:t>
      </w:r>
      <w:r w:rsidRPr="00036FAC">
        <w:t>to</w:t>
      </w:r>
      <w:r w:rsidR="00907D8C">
        <w:t xml:space="preserve"> </w:t>
      </w:r>
      <w:r w:rsidRPr="00036FAC">
        <w:t>scrutinise</w:t>
      </w:r>
      <w:r w:rsidR="00907D8C">
        <w:t xml:space="preserve"> </w:t>
      </w:r>
      <w:r w:rsidRPr="00036FAC">
        <w:t>legislation</w:t>
      </w:r>
      <w:r w:rsidR="00907D8C">
        <w:t xml:space="preserve"> </w:t>
      </w:r>
      <w:r w:rsidRPr="00036FAC">
        <w:t>and</w:t>
      </w:r>
      <w:r w:rsidR="00907D8C">
        <w:t xml:space="preserve"> </w:t>
      </w:r>
      <w:r w:rsidRPr="00036FAC">
        <w:t>hold</w:t>
      </w:r>
      <w:r w:rsidR="00907D8C">
        <w:t xml:space="preserve"> </w:t>
      </w:r>
      <w:r w:rsidRPr="00036FAC">
        <w:t>the</w:t>
      </w:r>
      <w:r w:rsidR="00907D8C">
        <w:t xml:space="preserve"> </w:t>
      </w:r>
      <w:r w:rsidRPr="00036FAC">
        <w:t>executive</w:t>
      </w:r>
      <w:r w:rsidR="00907D8C">
        <w:t xml:space="preserve"> </w:t>
      </w:r>
      <w:r w:rsidRPr="00036FAC">
        <w:t>branch</w:t>
      </w:r>
      <w:r w:rsidR="00907D8C">
        <w:t xml:space="preserve"> </w:t>
      </w:r>
      <w:r w:rsidRPr="00036FAC">
        <w:t>of</w:t>
      </w:r>
      <w:r w:rsidR="00907D8C">
        <w:t xml:space="preserve"> </w:t>
      </w:r>
      <w:r w:rsidRPr="00036FAC">
        <w:t>government</w:t>
      </w:r>
      <w:r w:rsidR="00907D8C">
        <w:t xml:space="preserve"> </w:t>
      </w:r>
      <w:r w:rsidRPr="00036FAC">
        <w:t>to</w:t>
      </w:r>
      <w:r w:rsidR="00907D8C">
        <w:t xml:space="preserve"> </w:t>
      </w:r>
      <w:r w:rsidRPr="00036FAC">
        <w:t>account.</w:t>
      </w:r>
      <w:r w:rsidR="00907D8C">
        <w:t xml:space="preserve"> </w:t>
      </w:r>
      <w:r w:rsidRPr="00036FAC">
        <w:t>Parliament</w:t>
      </w:r>
      <w:r w:rsidR="00907D8C">
        <w:t xml:space="preserve"> </w:t>
      </w:r>
      <w:r w:rsidRPr="00036FAC">
        <w:t>also</w:t>
      </w:r>
      <w:r w:rsidR="00907D8C">
        <w:t xml:space="preserve"> </w:t>
      </w:r>
      <w:r w:rsidRPr="00036FAC">
        <w:t>supervises</w:t>
      </w:r>
      <w:r w:rsidR="00907D8C">
        <w:t xml:space="preserve"> </w:t>
      </w:r>
      <w:r w:rsidRPr="00036FAC">
        <w:t>the</w:t>
      </w:r>
      <w:r w:rsidR="00907D8C">
        <w:t xml:space="preserve"> </w:t>
      </w:r>
      <w:r w:rsidRPr="00036FAC">
        <w:t>Government</w:t>
      </w:r>
      <w:r w:rsidR="00907D8C">
        <w:t xml:space="preserve"> </w:t>
      </w:r>
      <w:r w:rsidRPr="00036FAC">
        <w:t>through</w:t>
      </w:r>
      <w:r w:rsidR="00907D8C">
        <w:t xml:space="preserve"> </w:t>
      </w:r>
      <w:r w:rsidRPr="00036FAC">
        <w:t>the</w:t>
      </w:r>
      <w:r w:rsidR="00907D8C">
        <w:t xml:space="preserve"> </w:t>
      </w:r>
      <w:r w:rsidRPr="00036FAC">
        <w:t>annual</w:t>
      </w:r>
      <w:r w:rsidR="00907D8C">
        <w:t xml:space="preserve"> </w:t>
      </w:r>
      <w:r w:rsidRPr="00036FAC">
        <w:t>grant</w:t>
      </w:r>
      <w:r w:rsidR="00907D8C">
        <w:t xml:space="preserve"> </w:t>
      </w:r>
      <w:r w:rsidRPr="00036FAC">
        <w:t>of</w:t>
      </w:r>
      <w:r w:rsidR="00907D8C">
        <w:t xml:space="preserve"> </w:t>
      </w:r>
      <w:r w:rsidRPr="00036FAC">
        <w:t>financial</w:t>
      </w:r>
      <w:r w:rsidR="00907D8C">
        <w:t xml:space="preserve"> </w:t>
      </w:r>
      <w:r w:rsidRPr="00036FAC">
        <w:t>authority</w:t>
      </w:r>
      <w:r w:rsidR="00907D8C">
        <w:t xml:space="preserve"> </w:t>
      </w:r>
      <w:r w:rsidRPr="00036FAC">
        <w:t>and</w:t>
      </w:r>
      <w:r w:rsidR="00907D8C">
        <w:t xml:space="preserve"> </w:t>
      </w:r>
      <w:r w:rsidRPr="00036FAC">
        <w:t>scrutiny</w:t>
      </w:r>
      <w:r w:rsidR="00907D8C">
        <w:t xml:space="preserve"> </w:t>
      </w:r>
      <w:r w:rsidRPr="00036FAC">
        <w:t>of</w:t>
      </w:r>
      <w:r w:rsidR="00907D8C">
        <w:t xml:space="preserve"> </w:t>
      </w:r>
      <w:r w:rsidRPr="00036FAC">
        <w:t>delegated</w:t>
      </w:r>
      <w:r w:rsidR="00907D8C">
        <w:t xml:space="preserve"> </w:t>
      </w:r>
      <w:r w:rsidRPr="00036FAC">
        <w:t>powers</w:t>
      </w:r>
      <w:r w:rsidR="00907D8C">
        <w:t xml:space="preserve"> </w:t>
      </w:r>
      <w:r w:rsidRPr="00036FAC">
        <w:t>and</w:t>
      </w:r>
      <w:r w:rsidR="00907D8C">
        <w:t xml:space="preserve"> </w:t>
      </w:r>
      <w:r w:rsidRPr="00036FAC">
        <w:t>functions.</w:t>
      </w:r>
      <w:r w:rsidR="00907D8C">
        <w:t xml:space="preserve"> </w:t>
      </w:r>
      <w:r w:rsidRPr="00036FAC">
        <w:t>Sessions</w:t>
      </w:r>
      <w:r w:rsidR="00907D8C">
        <w:t xml:space="preserve"> </w:t>
      </w:r>
      <w:r w:rsidRPr="00036FAC">
        <w:t>of</w:t>
      </w:r>
      <w:r w:rsidR="00907D8C">
        <w:t xml:space="preserve"> </w:t>
      </w:r>
      <w:r w:rsidRPr="00036FAC">
        <w:t>Parliament</w:t>
      </w:r>
      <w:r w:rsidR="00907D8C">
        <w:t xml:space="preserve"> </w:t>
      </w:r>
      <w:r w:rsidRPr="00036FAC">
        <w:t>are</w:t>
      </w:r>
      <w:r w:rsidR="00907D8C">
        <w:t xml:space="preserve"> </w:t>
      </w:r>
      <w:r w:rsidRPr="00036FAC">
        <w:t>broadcast</w:t>
      </w:r>
      <w:r w:rsidR="00907D8C">
        <w:t xml:space="preserve"> </w:t>
      </w:r>
      <w:r w:rsidRPr="00036FAC">
        <w:t>live</w:t>
      </w:r>
      <w:r w:rsidR="00907D8C">
        <w:t xml:space="preserve"> </w:t>
      </w:r>
      <w:r w:rsidRPr="00036FAC">
        <w:t>on</w:t>
      </w:r>
      <w:r w:rsidR="00907D8C">
        <w:t xml:space="preserve"> </w:t>
      </w:r>
      <w:r w:rsidRPr="00036FAC">
        <w:t>radio</w:t>
      </w:r>
      <w:r w:rsidR="00907D8C">
        <w:t xml:space="preserve"> </w:t>
      </w:r>
      <w:r w:rsidRPr="00036FAC">
        <w:t>and</w:t>
      </w:r>
      <w:r w:rsidR="00907D8C">
        <w:t xml:space="preserve"> </w:t>
      </w:r>
      <w:r w:rsidRPr="00036FAC">
        <w:t>television.</w:t>
      </w:r>
    </w:p>
    <w:p w:rsidR="00036FAC" w:rsidRPr="00036FAC" w:rsidRDefault="00036FAC" w:rsidP="006C436C">
      <w:pPr>
        <w:pStyle w:val="H23G"/>
      </w:pPr>
      <w:bookmarkStart w:id="104" w:name="_Toc114894966"/>
      <w:bookmarkStart w:id="105" w:name="_Toc114895857"/>
      <w:bookmarkStart w:id="106" w:name="_Toc115493397"/>
      <w:bookmarkStart w:id="107" w:name="_Toc115493741"/>
      <w:bookmarkStart w:id="108" w:name="_Toc115493816"/>
      <w:bookmarkStart w:id="109" w:name="_Toc118100611"/>
      <w:bookmarkStart w:id="110" w:name="_Toc125278897"/>
      <w:r w:rsidRPr="00036FAC">
        <w:tab/>
        <w:t>(c)</w:t>
      </w:r>
      <w:r w:rsidRPr="00036FAC">
        <w:tab/>
        <w:t>Executive</w:t>
      </w:r>
      <w:bookmarkEnd w:id="104"/>
      <w:bookmarkEnd w:id="105"/>
      <w:bookmarkEnd w:id="106"/>
      <w:bookmarkEnd w:id="107"/>
      <w:bookmarkEnd w:id="108"/>
      <w:bookmarkEnd w:id="109"/>
      <w:bookmarkEnd w:id="110"/>
    </w:p>
    <w:p w:rsidR="00036FAC" w:rsidRPr="00036FAC" w:rsidRDefault="00036FAC" w:rsidP="001722E9">
      <w:pPr>
        <w:pStyle w:val="SingleTxtG"/>
      </w:pPr>
      <w:r w:rsidRPr="00036FAC">
        <w:t>148.</w:t>
      </w:r>
      <w:r w:rsidRPr="00036FAC">
        <w:tab/>
        <w:t>The</w:t>
      </w:r>
      <w:r w:rsidR="00907D8C">
        <w:t xml:space="preserve"> </w:t>
      </w:r>
      <w:r w:rsidRPr="00036FAC">
        <w:t>executive</w:t>
      </w:r>
      <w:r w:rsidR="00907D8C">
        <w:t xml:space="preserve"> </w:t>
      </w:r>
      <w:r w:rsidRPr="00036FAC">
        <w:t>governs.</w:t>
      </w:r>
      <w:r w:rsidR="00907D8C">
        <w:t xml:space="preserve"> </w:t>
      </w:r>
      <w:r w:rsidRPr="00036FAC">
        <w:t>It</w:t>
      </w:r>
      <w:r w:rsidR="00907D8C">
        <w:t xml:space="preserve"> </w:t>
      </w:r>
      <w:r w:rsidRPr="00036FAC">
        <w:t>comprises</w:t>
      </w:r>
      <w:r w:rsidR="00907D8C">
        <w:t xml:space="preserve"> </w:t>
      </w:r>
      <w:r w:rsidRPr="00036FAC">
        <w:t>Ministers</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(collectively,</w:t>
      </w:r>
      <w:r w:rsidR="00907D8C">
        <w:t xml:space="preserve"> </w:t>
      </w:r>
      <w:r w:rsidRPr="00036FAC">
        <w:t>the</w:t>
      </w:r>
      <w:r w:rsidR="00907D8C">
        <w:t xml:space="preserve"> </w:t>
      </w:r>
      <w:r w:rsidRPr="00036FAC">
        <w:t>Executive</w:t>
      </w:r>
      <w:r w:rsidR="00907D8C">
        <w:t xml:space="preserve"> </w:t>
      </w:r>
      <w:r w:rsidRPr="00036FAC">
        <w:t>Council),</w:t>
      </w:r>
      <w:r w:rsidR="00907D8C">
        <w:t xml:space="preserve"> </w:t>
      </w:r>
      <w:r w:rsidRPr="00036FAC">
        <w:t>the</w:t>
      </w:r>
      <w:r w:rsidR="00907D8C">
        <w:t xml:space="preserve"> </w:t>
      </w:r>
      <w:r w:rsidRPr="00036FAC">
        <w:t>public</w:t>
      </w:r>
      <w:r w:rsidR="00907D8C">
        <w:t xml:space="preserve"> </w:t>
      </w:r>
      <w:r w:rsidRPr="00036FAC">
        <w:t>service,</w:t>
      </w:r>
      <w:r w:rsidR="00907D8C">
        <w:t xml:space="preserve"> </w:t>
      </w:r>
      <w:r w:rsidRPr="00036FAC">
        <w:t>and</w:t>
      </w:r>
      <w:r w:rsidR="00907D8C">
        <w:t xml:space="preserve"> </w:t>
      </w:r>
      <w:r w:rsidRPr="00036FAC">
        <w:t>some</w:t>
      </w:r>
      <w:r w:rsidR="00907D8C">
        <w:t xml:space="preserve"> </w:t>
      </w:r>
      <w:r w:rsidRPr="00036FAC">
        <w:t>statutory</w:t>
      </w:r>
      <w:r w:rsidR="00907D8C">
        <w:t xml:space="preserve"> </w:t>
      </w:r>
      <w:r w:rsidRPr="00036FAC">
        <w:t>bodies.</w:t>
      </w:r>
      <w:r w:rsidR="00907D8C">
        <w:t xml:space="preserve"> </w:t>
      </w:r>
      <w:r w:rsidRPr="00036FAC">
        <w:t>Only</w:t>
      </w:r>
      <w:r w:rsidR="00907D8C">
        <w:t xml:space="preserve"> </w:t>
      </w:r>
      <w:r w:rsidRPr="00036FAC">
        <w:t>Members</w:t>
      </w:r>
      <w:r w:rsidR="00907D8C">
        <w:t xml:space="preserve"> </w:t>
      </w:r>
      <w:r w:rsidRPr="00036FAC">
        <w:t>of</w:t>
      </w:r>
      <w:r w:rsidR="00907D8C">
        <w:t xml:space="preserve"> </w:t>
      </w:r>
      <w:r w:rsidRPr="00036FAC">
        <w:t>Parliament</w:t>
      </w:r>
      <w:r w:rsidR="00907D8C">
        <w:t xml:space="preserve"> </w:t>
      </w:r>
      <w:r w:rsidRPr="00036FAC">
        <w:t>may</w:t>
      </w:r>
      <w:r w:rsidR="00907D8C">
        <w:t xml:space="preserve"> </w:t>
      </w:r>
      <w:r w:rsidRPr="00036FAC">
        <w:t>be</w:t>
      </w:r>
      <w:r w:rsidR="00907D8C">
        <w:t xml:space="preserve"> </w:t>
      </w:r>
      <w:r w:rsidRPr="00036FAC">
        <w:t>Ministers</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By</w:t>
      </w:r>
      <w:r w:rsidR="00907D8C">
        <w:t xml:space="preserve"> </w:t>
      </w:r>
      <w:r w:rsidRPr="00036FAC">
        <w:t>convention,</w:t>
      </w:r>
      <w:r w:rsidR="00907D8C">
        <w:t xml:space="preserve"> </w:t>
      </w:r>
      <w:r w:rsidRPr="00036FAC">
        <w:t>the</w:t>
      </w:r>
      <w:r w:rsidR="00907D8C">
        <w:t xml:space="preserve"> </w:t>
      </w:r>
      <w:r w:rsidRPr="00036FAC">
        <w:t>Prime</w:t>
      </w:r>
      <w:r w:rsidR="00907D8C">
        <w:t xml:space="preserve"> </w:t>
      </w:r>
      <w:r w:rsidRPr="00036FAC">
        <w:t>Minister</w:t>
      </w:r>
      <w:r w:rsidR="00907D8C">
        <w:t xml:space="preserve"> </w:t>
      </w:r>
      <w:r w:rsidRPr="00036FAC">
        <w:t>and</w:t>
      </w:r>
      <w:r w:rsidR="00907D8C">
        <w:t xml:space="preserve"> </w:t>
      </w:r>
      <w:r w:rsidRPr="00036FAC">
        <w:t>other</w:t>
      </w:r>
      <w:r w:rsidR="00907D8C">
        <w:t xml:space="preserve"> </w:t>
      </w:r>
      <w:r w:rsidRPr="00036FAC">
        <w:t>Ministers</w:t>
      </w:r>
      <w:r w:rsidR="00907D8C">
        <w:t xml:space="preserve"> </w:t>
      </w:r>
      <w:r w:rsidRPr="00036FAC">
        <w:t>may</w:t>
      </w:r>
      <w:r w:rsidR="00907D8C">
        <w:t xml:space="preserve"> </w:t>
      </w:r>
      <w:r w:rsidRPr="00036FAC">
        <w:t>hold</w:t>
      </w:r>
      <w:r w:rsidR="00907D8C">
        <w:t xml:space="preserve"> </w:t>
      </w:r>
      <w:r w:rsidRPr="00036FAC">
        <w:t>office</w:t>
      </w:r>
      <w:r w:rsidR="00907D8C">
        <w:t xml:space="preserve"> </w:t>
      </w:r>
      <w:r w:rsidRPr="00036FAC">
        <w:t>as</w:t>
      </w:r>
      <w:r w:rsidR="00907D8C">
        <w:t xml:space="preserve"> </w:t>
      </w:r>
      <w:r w:rsidRPr="00036FAC">
        <w:t>Government</w:t>
      </w:r>
      <w:r w:rsidR="00907D8C">
        <w:t xml:space="preserve"> </w:t>
      </w:r>
      <w:r w:rsidRPr="00036FAC">
        <w:t>only</w:t>
      </w:r>
      <w:r w:rsidR="00907D8C">
        <w:t xml:space="preserve"> </w:t>
      </w:r>
      <w:r w:rsidRPr="00036FAC">
        <w:t>while</w:t>
      </w:r>
      <w:r w:rsidR="00907D8C">
        <w:t xml:space="preserve"> </w:t>
      </w:r>
      <w:r w:rsidRPr="00036FAC">
        <w:t>they</w:t>
      </w:r>
      <w:r w:rsidR="00907D8C">
        <w:t xml:space="preserve"> </w:t>
      </w:r>
      <w:r w:rsidRPr="00036FAC">
        <w:t>are</w:t>
      </w:r>
      <w:r w:rsidR="00907D8C">
        <w:t xml:space="preserve"> </w:t>
      </w:r>
      <w:r w:rsidRPr="00036FAC">
        <w:t>able</w:t>
      </w:r>
      <w:r w:rsidR="00907D8C">
        <w:t xml:space="preserve"> </w:t>
      </w:r>
      <w:r w:rsidRPr="00036FAC">
        <w:t>to</w:t>
      </w:r>
      <w:r w:rsidR="00907D8C">
        <w:t xml:space="preserve"> </w:t>
      </w:r>
      <w:r w:rsidRPr="00036FAC">
        <w:t>win</w:t>
      </w:r>
      <w:r w:rsidR="00907D8C">
        <w:t xml:space="preserve"> </w:t>
      </w:r>
      <w:r w:rsidRPr="00036FAC">
        <w:t>a</w:t>
      </w:r>
      <w:r w:rsidR="00907D8C">
        <w:t xml:space="preserve"> </w:t>
      </w:r>
      <w:r w:rsidRPr="00036FAC">
        <w:t>vote</w:t>
      </w:r>
      <w:r w:rsidR="00907D8C">
        <w:t xml:space="preserve"> </w:t>
      </w:r>
      <w:r w:rsidRPr="00036FAC">
        <w:t>in</w:t>
      </w:r>
      <w:r w:rsidR="00907D8C">
        <w:t xml:space="preserve"> </w:t>
      </w:r>
      <w:r w:rsidRPr="00036FAC">
        <w:t>the</w:t>
      </w:r>
      <w:r w:rsidR="00907D8C">
        <w:t xml:space="preserve"> </w:t>
      </w:r>
      <w:r w:rsidRPr="00036FAC">
        <w:t>House</w:t>
      </w:r>
      <w:r w:rsidR="00907D8C">
        <w:t xml:space="preserve"> </w:t>
      </w:r>
      <w:r w:rsidRPr="00036FAC">
        <w:t>on</w:t>
      </w:r>
      <w:r w:rsidR="00907D8C">
        <w:t xml:space="preserve"> </w:t>
      </w:r>
      <w:r w:rsidRPr="00036FAC">
        <w:t>matters</w:t>
      </w:r>
      <w:r w:rsidR="00907D8C">
        <w:t xml:space="preserve"> </w:t>
      </w:r>
      <w:r w:rsidRPr="00036FAC">
        <w:t>of</w:t>
      </w:r>
      <w:r w:rsidR="00907D8C">
        <w:t xml:space="preserve"> </w:t>
      </w:r>
      <w:r w:rsidRPr="00036FAC">
        <w:t>confidence</w:t>
      </w:r>
      <w:r w:rsidR="00907D8C">
        <w:t xml:space="preserve"> </w:t>
      </w:r>
      <w:r w:rsidRPr="00036FAC">
        <w:t>(issues</w:t>
      </w:r>
      <w:r w:rsidR="00907D8C">
        <w:t xml:space="preserve"> </w:t>
      </w:r>
      <w:r w:rsidRPr="00036FAC">
        <w:t>vital</w:t>
      </w:r>
      <w:r w:rsidR="00907D8C">
        <w:t xml:space="preserve"> </w:t>
      </w:r>
      <w:r w:rsidRPr="00036FAC">
        <w:t>to</w:t>
      </w:r>
      <w:r w:rsidR="00907D8C">
        <w:t xml:space="preserve"> </w:t>
      </w:r>
      <w:r w:rsidRPr="00036FAC">
        <w:t>the</w:t>
      </w:r>
      <w:r w:rsidR="00907D8C">
        <w:t xml:space="preserve"> </w:t>
      </w:r>
      <w:r w:rsidRPr="00036FAC">
        <w:t>Government</w:t>
      </w:r>
      <w:r w:rsidR="003E4D94">
        <w:t>’</w:t>
      </w:r>
      <w:r w:rsidRPr="00036FAC">
        <w:t>s</w:t>
      </w:r>
      <w:r w:rsidR="00907D8C">
        <w:t xml:space="preserve"> </w:t>
      </w:r>
      <w:r w:rsidRPr="00036FAC">
        <w:t>programme)</w:t>
      </w:r>
      <w:r w:rsidR="00907D8C">
        <w:t xml:space="preserve"> </w:t>
      </w:r>
      <w:r w:rsidRPr="00036FAC">
        <w:t>and</w:t>
      </w:r>
      <w:r w:rsidR="00907D8C">
        <w:t xml:space="preserve"> </w:t>
      </w:r>
      <w:r w:rsidRPr="00036FAC">
        <w:t>supply</w:t>
      </w:r>
      <w:r w:rsidR="00907D8C">
        <w:t xml:space="preserve"> </w:t>
      </w:r>
      <w:r w:rsidRPr="00036FAC">
        <w:t>(finance).</w:t>
      </w:r>
      <w:r w:rsidR="00907D8C">
        <w:t xml:space="preserve"> </w:t>
      </w:r>
      <w:r w:rsidRPr="00036FAC">
        <w:t>This</w:t>
      </w:r>
      <w:r w:rsidR="00907D8C">
        <w:t xml:space="preserve"> </w:t>
      </w:r>
      <w:r w:rsidRPr="00036FAC">
        <w:t>means</w:t>
      </w:r>
      <w:r w:rsidR="00907D8C">
        <w:t xml:space="preserve"> </w:t>
      </w:r>
      <w:r w:rsidRPr="00036FAC">
        <w:t>that</w:t>
      </w:r>
      <w:r w:rsidR="00907D8C">
        <w:t xml:space="preserve"> </w:t>
      </w:r>
      <w:r w:rsidRPr="00036FAC">
        <w:t>Ministers</w:t>
      </w:r>
      <w:r w:rsidR="00907D8C">
        <w:t xml:space="preserve"> </w:t>
      </w:r>
      <w:r w:rsidRPr="00036FAC">
        <w:t>are</w:t>
      </w:r>
      <w:r w:rsidR="00907D8C">
        <w:t xml:space="preserve"> </w:t>
      </w:r>
      <w:r w:rsidRPr="00036FAC">
        <w:t>accountable</w:t>
      </w:r>
      <w:r w:rsidR="00907D8C">
        <w:t xml:space="preserve"> </w:t>
      </w:r>
      <w:r w:rsidRPr="00036FAC">
        <w:t>to</w:t>
      </w:r>
      <w:r w:rsidR="00907D8C">
        <w:t xml:space="preserve"> </w:t>
      </w:r>
      <w:r w:rsidRPr="00036FAC">
        <w:t>Parliament</w:t>
      </w:r>
      <w:r w:rsidR="00907D8C">
        <w:t xml:space="preserve"> </w:t>
      </w:r>
      <w:r w:rsidRPr="00036FAC">
        <w:t>for</w:t>
      </w:r>
      <w:r w:rsidR="00907D8C">
        <w:t xml:space="preserve"> </w:t>
      </w:r>
      <w:r w:rsidRPr="00036FAC">
        <w:t>the</w:t>
      </w:r>
      <w:r w:rsidR="00907D8C">
        <w:t xml:space="preserve"> </w:t>
      </w:r>
      <w:r w:rsidRPr="00036FAC">
        <w:t>performance</w:t>
      </w:r>
      <w:r w:rsidR="00907D8C">
        <w:t xml:space="preserve"> </w:t>
      </w:r>
      <w:r w:rsidRPr="00036FAC">
        <w:t>of</w:t>
      </w:r>
      <w:r w:rsidR="00907D8C">
        <w:t xml:space="preserve"> </w:t>
      </w:r>
      <w:r w:rsidRPr="00036FAC">
        <w:t>the</w:t>
      </w:r>
      <w:r w:rsidR="00907D8C">
        <w:t xml:space="preserve"> </w:t>
      </w:r>
      <w:r w:rsidRPr="00036FAC">
        <w:t>Government.</w:t>
      </w:r>
      <w:r w:rsidR="00907D8C">
        <w:t xml:space="preserve"> </w:t>
      </w:r>
      <w:r w:rsidRPr="00036FAC">
        <w:t>Most</w:t>
      </w:r>
      <w:r w:rsidR="00907D8C">
        <w:t xml:space="preserve"> </w:t>
      </w:r>
      <w:r w:rsidRPr="00036FAC">
        <w:t>Ministers</w:t>
      </w:r>
      <w:r w:rsidR="00907D8C">
        <w:t xml:space="preserve"> </w:t>
      </w:r>
      <w:r w:rsidRPr="00036FAC">
        <w:t>are</w:t>
      </w:r>
      <w:r w:rsidR="00907D8C">
        <w:t xml:space="preserve"> </w:t>
      </w:r>
      <w:r w:rsidRPr="00036FAC">
        <w:t>in</w:t>
      </w:r>
      <w:r w:rsidR="00907D8C">
        <w:t xml:space="preserve"> </w:t>
      </w:r>
      <w:r w:rsidRPr="00036FAC">
        <w:t>the</w:t>
      </w:r>
      <w:r w:rsidR="00907D8C">
        <w:t xml:space="preserve"> </w:t>
      </w:r>
      <w:r w:rsidRPr="00036FAC">
        <w:t>Cabinet.</w:t>
      </w:r>
      <w:r w:rsidR="00907D8C">
        <w:t xml:space="preserve"> </w:t>
      </w:r>
      <w:r w:rsidRPr="00036FAC">
        <w:t>This</w:t>
      </w:r>
      <w:r w:rsidR="00907D8C">
        <w:t xml:space="preserve"> </w:t>
      </w:r>
      <w:r w:rsidRPr="00036FAC">
        <w:t>is</w:t>
      </w:r>
      <w:r w:rsidR="00907D8C">
        <w:t xml:space="preserve"> </w:t>
      </w:r>
      <w:r w:rsidRPr="00036FAC">
        <w:t>the</w:t>
      </w:r>
      <w:r w:rsidR="00907D8C">
        <w:t xml:space="preserve"> </w:t>
      </w:r>
      <w:r w:rsidRPr="00036FAC">
        <w:t>body</w:t>
      </w:r>
      <w:r w:rsidR="00907D8C">
        <w:t xml:space="preserve"> </w:t>
      </w:r>
      <w:r w:rsidRPr="00036FAC">
        <w:t>that</w:t>
      </w:r>
      <w:r w:rsidR="00907D8C">
        <w:t xml:space="preserve"> </w:t>
      </w:r>
      <w:r w:rsidRPr="00036FAC">
        <w:t>makes</w:t>
      </w:r>
      <w:r w:rsidR="00907D8C">
        <w:t xml:space="preserve"> </w:t>
      </w:r>
      <w:r w:rsidRPr="00036FAC">
        <w:t>policy</w:t>
      </w:r>
      <w:r w:rsidR="00907D8C">
        <w:t xml:space="preserve"> </w:t>
      </w:r>
      <w:r w:rsidRPr="00036FAC">
        <w:t>decisions</w:t>
      </w:r>
      <w:r w:rsidR="00907D8C">
        <w:t xml:space="preserve"> </w:t>
      </w:r>
      <w:r w:rsidRPr="00036FAC">
        <w:t>and</w:t>
      </w:r>
      <w:r w:rsidR="00907D8C">
        <w:t xml:space="preserve"> </w:t>
      </w:r>
      <w:r w:rsidRPr="00036FAC">
        <w:t>supervises</w:t>
      </w:r>
      <w:r w:rsidR="00907D8C">
        <w:t xml:space="preserve"> </w:t>
      </w:r>
      <w:r w:rsidRPr="00036FAC">
        <w:t>the</w:t>
      </w:r>
      <w:r w:rsidR="00907D8C">
        <w:t xml:space="preserve"> </w:t>
      </w:r>
      <w:r w:rsidRPr="00036FAC">
        <w:t>administration</w:t>
      </w:r>
      <w:r w:rsidR="00907D8C">
        <w:t xml:space="preserve"> </w:t>
      </w:r>
      <w:r w:rsidRPr="00036FAC">
        <w:t>of</w:t>
      </w:r>
      <w:r w:rsidR="00907D8C">
        <w:t xml:space="preserve"> </w:t>
      </w:r>
      <w:r w:rsidRPr="00036FAC">
        <w:t>law</w:t>
      </w:r>
      <w:r w:rsidR="00907D8C">
        <w:t xml:space="preserve"> </w:t>
      </w:r>
      <w:r w:rsidRPr="00036FAC">
        <w:t>and</w:t>
      </w:r>
      <w:r w:rsidR="00907D8C">
        <w:t xml:space="preserve"> </w:t>
      </w:r>
      <w:r w:rsidRPr="00036FAC">
        <w:t>policy</w:t>
      </w:r>
      <w:r w:rsidR="00907D8C">
        <w:t xml:space="preserve"> </w:t>
      </w:r>
      <w:r w:rsidRPr="00036FAC">
        <w:t>by</w:t>
      </w:r>
      <w:r w:rsidR="00907D8C">
        <w:t xml:space="preserve"> </w:t>
      </w:r>
      <w:r w:rsidRPr="00036FAC">
        <w:t>the</w:t>
      </w:r>
      <w:r w:rsidR="00907D8C">
        <w:t xml:space="preserve"> </w:t>
      </w:r>
      <w:r w:rsidRPr="00036FAC">
        <w:t>public</w:t>
      </w:r>
      <w:r w:rsidR="00907D8C">
        <w:t xml:space="preserve"> </w:t>
      </w:r>
      <w:r w:rsidRPr="00036FAC">
        <w:t>service.</w:t>
      </w:r>
    </w:p>
    <w:p w:rsidR="00036FAC" w:rsidRPr="00036FAC" w:rsidRDefault="00036FAC" w:rsidP="001722E9">
      <w:pPr>
        <w:pStyle w:val="SingleTxtG"/>
      </w:pPr>
      <w:r w:rsidRPr="00036FAC">
        <w:t>149.</w:t>
      </w:r>
      <w:r w:rsidRPr="00036FAC">
        <w:tab/>
        <w:t>The</w:t>
      </w:r>
      <w:r w:rsidR="00907D8C">
        <w:t xml:space="preserve"> </w:t>
      </w:r>
      <w:r w:rsidRPr="00036FAC">
        <w:t>Prime</w:t>
      </w:r>
      <w:r w:rsidR="00907D8C">
        <w:t xml:space="preserve"> </w:t>
      </w:r>
      <w:r w:rsidRPr="00036FAC">
        <w:t>Minister</w:t>
      </w:r>
      <w:r w:rsidR="00907D8C">
        <w:t xml:space="preserve"> </w:t>
      </w:r>
      <w:r w:rsidRPr="00036FAC">
        <w:t>is</w:t>
      </w:r>
      <w:r w:rsidR="00907D8C">
        <w:t xml:space="preserve"> </w:t>
      </w:r>
      <w:r w:rsidRPr="00036FAC">
        <w:t>the</w:t>
      </w:r>
      <w:r w:rsidR="00907D8C">
        <w:t xml:space="preserve"> </w:t>
      </w:r>
      <w:r w:rsidRPr="00036FAC">
        <w:t>head</w:t>
      </w:r>
      <w:r w:rsidR="00907D8C">
        <w:t xml:space="preserve"> </w:t>
      </w:r>
      <w:r w:rsidRPr="00036FAC">
        <w:t>of</w:t>
      </w:r>
      <w:r w:rsidR="00907D8C">
        <w:t xml:space="preserve"> </w:t>
      </w:r>
      <w:r w:rsidRPr="00036FAC">
        <w:t>Government,</w:t>
      </w:r>
      <w:r w:rsidR="00907D8C">
        <w:t xml:space="preserve"> </w:t>
      </w:r>
      <w:r w:rsidRPr="00036FAC">
        <w:t>chairs</w:t>
      </w:r>
      <w:r w:rsidR="00907D8C">
        <w:t xml:space="preserve"> </w:t>
      </w:r>
      <w:r w:rsidRPr="00036FAC">
        <w:t>the</w:t>
      </w:r>
      <w:r w:rsidR="00907D8C">
        <w:t xml:space="preserve"> </w:t>
      </w:r>
      <w:r w:rsidRPr="00036FAC">
        <w:t>Cabinet,</w:t>
      </w:r>
      <w:r w:rsidR="00907D8C">
        <w:t xml:space="preserve"> </w:t>
      </w:r>
      <w:r w:rsidRPr="00036FAC">
        <w:t>and</w:t>
      </w:r>
      <w:r w:rsidR="00907D8C">
        <w:t xml:space="preserve"> </w:t>
      </w:r>
      <w:r w:rsidRPr="00036FAC">
        <w:t>has</w:t>
      </w:r>
      <w:r w:rsidR="00907D8C">
        <w:t xml:space="preserve"> </w:t>
      </w:r>
      <w:r w:rsidRPr="00036FAC">
        <w:t>a</w:t>
      </w:r>
      <w:r w:rsidR="00907D8C">
        <w:t xml:space="preserve"> </w:t>
      </w:r>
      <w:r w:rsidRPr="00036FAC">
        <w:t>coordinating</w:t>
      </w:r>
      <w:r w:rsidR="00907D8C">
        <w:t xml:space="preserve"> </w:t>
      </w:r>
      <w:r w:rsidRPr="00036FAC">
        <w:t>role</w:t>
      </w:r>
      <w:r w:rsidR="00907D8C">
        <w:t xml:space="preserve"> </w:t>
      </w:r>
      <w:r w:rsidRPr="00036FAC">
        <w:t>across</w:t>
      </w:r>
      <w:r w:rsidR="00907D8C">
        <w:t xml:space="preserve"> </w:t>
      </w:r>
      <w:r w:rsidRPr="00036FAC">
        <w:t>all</w:t>
      </w:r>
      <w:r w:rsidR="00907D8C">
        <w:t xml:space="preserve"> </w:t>
      </w:r>
      <w:r w:rsidRPr="00036FAC">
        <w:t>areas</w:t>
      </w:r>
      <w:r w:rsidR="00907D8C">
        <w:t xml:space="preserve"> </w:t>
      </w:r>
      <w:r w:rsidRPr="00036FAC">
        <w:t>of</w:t>
      </w:r>
      <w:r w:rsidR="00907D8C">
        <w:t xml:space="preserve"> </w:t>
      </w:r>
      <w:r w:rsidRPr="00036FAC">
        <w:t>Government.</w:t>
      </w:r>
      <w:r w:rsidR="00907D8C">
        <w:t xml:space="preserve"> </w:t>
      </w:r>
      <w:r w:rsidRPr="00036FAC">
        <w:t>By</w:t>
      </w:r>
      <w:r w:rsidR="00907D8C">
        <w:t xml:space="preserve"> </w:t>
      </w:r>
      <w:r w:rsidRPr="00036FAC">
        <w:t>convention,</w:t>
      </w:r>
      <w:r w:rsidR="00907D8C">
        <w:t xml:space="preserve"> </w:t>
      </w:r>
      <w:r w:rsidRPr="00036FAC">
        <w:t>the</w:t>
      </w:r>
      <w:r w:rsidR="00907D8C">
        <w:t xml:space="preserve"> </w:t>
      </w:r>
      <w:r w:rsidRPr="00036FAC">
        <w:t>Prime</w:t>
      </w:r>
      <w:r w:rsidR="00907D8C">
        <w:t xml:space="preserve"> </w:t>
      </w:r>
      <w:r w:rsidRPr="00036FAC">
        <w:t>Minister</w:t>
      </w:r>
      <w:r w:rsidR="00907D8C">
        <w:t xml:space="preserve"> </w:t>
      </w:r>
      <w:r w:rsidRPr="00036FAC">
        <w:t>alone</w:t>
      </w:r>
      <w:r w:rsidR="00907D8C">
        <w:t xml:space="preserve"> </w:t>
      </w:r>
      <w:r w:rsidRPr="00036FAC">
        <w:t>can</w:t>
      </w:r>
      <w:r w:rsidR="00907D8C">
        <w:t xml:space="preserve"> </w:t>
      </w:r>
      <w:r w:rsidRPr="00036FAC">
        <w:t>advise</w:t>
      </w:r>
      <w:r w:rsidR="00907D8C">
        <w:t xml:space="preserve"> </w:t>
      </w:r>
      <w:r w:rsidRPr="00036FAC">
        <w:t>the</w:t>
      </w:r>
      <w:r w:rsidR="00907D8C">
        <w:t xml:space="preserve"> </w:t>
      </w:r>
      <w:r w:rsidRPr="00036FAC">
        <w:t>Governor-General</w:t>
      </w:r>
      <w:r w:rsidR="00907D8C">
        <w:t xml:space="preserve"> </w:t>
      </w:r>
      <w:r w:rsidRPr="00036FAC">
        <w:t>to</w:t>
      </w:r>
      <w:r w:rsidR="00907D8C">
        <w:t xml:space="preserve"> </w:t>
      </w:r>
      <w:r w:rsidRPr="00036FAC">
        <w:t>dissolve</w:t>
      </w:r>
      <w:r w:rsidR="00907D8C">
        <w:t xml:space="preserve"> </w:t>
      </w:r>
      <w:r w:rsidRPr="00036FAC">
        <w:t>Parliament</w:t>
      </w:r>
      <w:r w:rsidR="00907D8C">
        <w:t xml:space="preserve"> </w:t>
      </w:r>
      <w:r w:rsidRPr="00036FAC">
        <w:t>and</w:t>
      </w:r>
      <w:r w:rsidR="00907D8C">
        <w:t xml:space="preserve"> </w:t>
      </w:r>
      <w:r w:rsidRPr="00036FAC">
        <w:t>call</w:t>
      </w:r>
      <w:r w:rsidR="00907D8C">
        <w:t xml:space="preserve"> </w:t>
      </w:r>
      <w:r w:rsidRPr="00036FAC">
        <w:t>an</w:t>
      </w:r>
      <w:r w:rsidR="00907D8C">
        <w:t xml:space="preserve"> </w:t>
      </w:r>
      <w:r w:rsidRPr="00036FAC">
        <w:t>election,</w:t>
      </w:r>
      <w:r w:rsidR="00907D8C">
        <w:t xml:space="preserve"> </w:t>
      </w:r>
      <w:r w:rsidRPr="00036FAC">
        <w:t>or</w:t>
      </w:r>
      <w:r w:rsidR="00907D8C">
        <w:t xml:space="preserve"> </w:t>
      </w:r>
      <w:r w:rsidRPr="00036FAC">
        <w:t>accept</w:t>
      </w:r>
      <w:r w:rsidR="00907D8C">
        <w:t xml:space="preserve"> </w:t>
      </w:r>
      <w:r w:rsidRPr="00036FAC">
        <w:t>the</w:t>
      </w:r>
      <w:r w:rsidR="00907D8C">
        <w:t xml:space="preserve"> </w:t>
      </w:r>
      <w:r w:rsidRPr="00036FAC">
        <w:t>resignation</w:t>
      </w:r>
      <w:r w:rsidR="00907D8C">
        <w:t xml:space="preserve"> </w:t>
      </w:r>
      <w:r w:rsidRPr="00036FAC">
        <w:t>of</w:t>
      </w:r>
      <w:r w:rsidR="00907D8C">
        <w:t xml:space="preserve"> </w:t>
      </w:r>
      <w:r w:rsidRPr="00036FAC">
        <w:t>Ministers.</w:t>
      </w:r>
    </w:p>
    <w:p w:rsidR="00036FAC" w:rsidRPr="00036FAC" w:rsidRDefault="00036FAC" w:rsidP="001722E9">
      <w:pPr>
        <w:pStyle w:val="SingleTxtG"/>
      </w:pPr>
      <w:r w:rsidRPr="00036FAC">
        <w:t>150.</w:t>
      </w:r>
      <w:r w:rsidRPr="00036FAC">
        <w:tab/>
        <w:t>Each</w:t>
      </w:r>
      <w:r w:rsidR="00907D8C">
        <w:t xml:space="preserve"> </w:t>
      </w:r>
      <w:r w:rsidRPr="00036FAC">
        <w:t>department</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service</w:t>
      </w:r>
      <w:r w:rsidR="00907D8C">
        <w:t xml:space="preserve"> </w:t>
      </w:r>
      <w:r w:rsidRPr="00036FAC">
        <w:t>has</w:t>
      </w:r>
      <w:r w:rsidR="00907D8C">
        <w:t xml:space="preserve"> </w:t>
      </w:r>
      <w:r w:rsidRPr="00036FAC">
        <w:t>an</w:t>
      </w:r>
      <w:r w:rsidR="00907D8C">
        <w:t xml:space="preserve"> </w:t>
      </w:r>
      <w:r w:rsidRPr="00036FAC">
        <w:t>appointed</w:t>
      </w:r>
      <w:r w:rsidR="00907D8C">
        <w:t xml:space="preserve"> </w:t>
      </w:r>
      <w:r w:rsidRPr="00036FAC">
        <w:t>Minister</w:t>
      </w:r>
      <w:r w:rsidR="00907D8C">
        <w:t xml:space="preserve"> </w:t>
      </w:r>
      <w:r w:rsidRPr="00036FAC">
        <w:t>as</w:t>
      </w:r>
      <w:r w:rsidR="00907D8C">
        <w:t xml:space="preserve"> </w:t>
      </w:r>
      <w:r w:rsidRPr="00036FAC">
        <w:t>its</w:t>
      </w:r>
      <w:r w:rsidR="00907D8C">
        <w:t xml:space="preserve"> </w:t>
      </w:r>
      <w:r w:rsidRPr="00036FAC">
        <w:t>political</w:t>
      </w:r>
      <w:r w:rsidR="00907D8C">
        <w:t xml:space="preserve"> </w:t>
      </w:r>
      <w:r w:rsidRPr="00036FAC">
        <w:t>head</w:t>
      </w:r>
      <w:r w:rsidR="00907D8C">
        <w:t xml:space="preserve"> </w:t>
      </w:r>
      <w:r w:rsidRPr="00036FAC">
        <w:t>and</w:t>
      </w:r>
      <w:r w:rsidR="00907D8C">
        <w:t xml:space="preserve"> </w:t>
      </w:r>
      <w:r w:rsidRPr="00036FAC">
        <w:t>a</w:t>
      </w:r>
      <w:r w:rsidR="00907D8C">
        <w:t xml:space="preserve"> </w:t>
      </w:r>
      <w:r w:rsidRPr="00036FAC">
        <w:t>public</w:t>
      </w:r>
      <w:r w:rsidR="00907D8C">
        <w:t xml:space="preserve"> </w:t>
      </w:r>
      <w:r w:rsidRPr="00036FAC">
        <w:t>servant</w:t>
      </w:r>
      <w:r w:rsidR="00907D8C">
        <w:t xml:space="preserve"> </w:t>
      </w:r>
      <w:r w:rsidRPr="00036FAC">
        <w:t>as</w:t>
      </w:r>
      <w:r w:rsidR="00907D8C">
        <w:t xml:space="preserve"> </w:t>
      </w:r>
      <w:r w:rsidRPr="00036FAC">
        <w:t>its</w:t>
      </w:r>
      <w:r w:rsidR="00907D8C">
        <w:t xml:space="preserve"> </w:t>
      </w:r>
      <w:r w:rsidRPr="00036FAC">
        <w:t>administrative</w:t>
      </w:r>
      <w:r w:rsidR="00907D8C">
        <w:t xml:space="preserve"> </w:t>
      </w:r>
      <w:r w:rsidRPr="00036FAC">
        <w:t>head.</w:t>
      </w:r>
      <w:r w:rsidR="00907D8C">
        <w:t xml:space="preserve"> </w:t>
      </w:r>
      <w:r w:rsidRPr="00036FAC">
        <w:t>The</w:t>
      </w:r>
      <w:r w:rsidR="00907D8C">
        <w:t xml:space="preserve"> </w:t>
      </w:r>
      <w:r w:rsidRPr="00036FAC">
        <w:t>role</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service</w:t>
      </w:r>
      <w:r w:rsidR="00907D8C">
        <w:t xml:space="preserve"> </w:t>
      </w:r>
      <w:r w:rsidRPr="00036FAC">
        <w:t>is</w:t>
      </w:r>
      <w:r w:rsidR="00907D8C">
        <w:t xml:space="preserve"> </w:t>
      </w:r>
      <w:r w:rsidRPr="00036FAC">
        <w:t>set</w:t>
      </w:r>
      <w:r w:rsidR="00907D8C">
        <w:t xml:space="preserve"> </w:t>
      </w:r>
      <w:r w:rsidRPr="00036FAC">
        <w:t>out</w:t>
      </w:r>
      <w:r w:rsidR="00907D8C">
        <w:t xml:space="preserve"> </w:t>
      </w:r>
      <w:r w:rsidRPr="00036FAC">
        <w:t>in</w:t>
      </w:r>
      <w:r w:rsidR="00907D8C">
        <w:t xml:space="preserve"> </w:t>
      </w:r>
      <w:r w:rsidRPr="00036FAC">
        <w:t>various</w:t>
      </w:r>
      <w:r w:rsidR="00907D8C">
        <w:t xml:space="preserve"> </w:t>
      </w:r>
      <w:r w:rsidRPr="00036FAC">
        <w:t>pieces</w:t>
      </w:r>
      <w:r w:rsidR="00907D8C">
        <w:t xml:space="preserve"> </w:t>
      </w:r>
      <w:r w:rsidRPr="00036FAC">
        <w:t>of</w:t>
      </w:r>
      <w:r w:rsidR="00907D8C">
        <w:t xml:space="preserve"> </w:t>
      </w:r>
      <w:r w:rsidRPr="00036FAC">
        <w:t>legislation,</w:t>
      </w:r>
      <w:r w:rsidR="00907D8C">
        <w:t xml:space="preserve"> </w:t>
      </w:r>
      <w:r w:rsidRPr="00036FAC">
        <w:t>including</w:t>
      </w:r>
      <w:r w:rsidR="00907D8C">
        <w:t xml:space="preserve"> </w:t>
      </w:r>
      <w:r w:rsidRPr="00036FAC">
        <w:t>the</w:t>
      </w:r>
      <w:r w:rsidR="00907D8C">
        <w:t xml:space="preserve"> </w:t>
      </w:r>
      <w:r w:rsidRPr="00036FAC">
        <w:t>State</w:t>
      </w:r>
      <w:r w:rsidR="00907D8C">
        <w:t xml:space="preserve"> </w:t>
      </w:r>
      <w:r w:rsidRPr="00036FAC">
        <w:t>Sector</w:t>
      </w:r>
      <w:r w:rsidR="00907D8C">
        <w:t xml:space="preserve"> </w:t>
      </w:r>
      <w:r w:rsidRPr="00036FAC">
        <w:t>Act</w:t>
      </w:r>
      <w:r w:rsidR="00907D8C">
        <w:t xml:space="preserve"> </w:t>
      </w:r>
      <w:r w:rsidRPr="00036FAC">
        <w:t>1988,</w:t>
      </w:r>
      <w:r w:rsidR="00907D8C">
        <w:t xml:space="preserve"> </w:t>
      </w:r>
      <w:r w:rsidRPr="00036FAC">
        <w:t>Public</w:t>
      </w:r>
      <w:r w:rsidR="00907D8C">
        <w:t xml:space="preserve"> </w:t>
      </w:r>
      <w:r w:rsidRPr="00036FAC">
        <w:t>Finance</w:t>
      </w:r>
      <w:r w:rsidR="00907D8C">
        <w:t xml:space="preserve"> </w:t>
      </w:r>
      <w:r w:rsidRPr="00036FAC">
        <w:t>Act</w:t>
      </w:r>
      <w:r w:rsidR="00907D8C">
        <w:t xml:space="preserve"> </w:t>
      </w:r>
      <w:r w:rsidRPr="00036FAC">
        <w:t>1989,</w:t>
      </w:r>
      <w:r w:rsidR="00907D8C">
        <w:t xml:space="preserve"> </w:t>
      </w:r>
      <w:r w:rsidRPr="00036FAC">
        <w:t>and</w:t>
      </w:r>
      <w:r w:rsidR="00907D8C">
        <w:t xml:space="preserve"> </w:t>
      </w:r>
      <w:r w:rsidRPr="00036FAC">
        <w:t>Official</w:t>
      </w:r>
      <w:r w:rsidR="00907D8C">
        <w:t xml:space="preserve"> </w:t>
      </w:r>
      <w:r w:rsidRPr="00036FAC">
        <w:t>Information</w:t>
      </w:r>
      <w:r w:rsidR="00907D8C">
        <w:t xml:space="preserve"> </w:t>
      </w:r>
      <w:r w:rsidRPr="00036FAC">
        <w:t>Act</w:t>
      </w:r>
      <w:r w:rsidR="00907D8C">
        <w:t xml:space="preserve"> </w:t>
      </w:r>
      <w:r w:rsidRPr="00036FAC">
        <w:t>1982.</w:t>
      </w:r>
      <w:r w:rsidR="00907D8C">
        <w:t xml:space="preserve"> </w:t>
      </w:r>
      <w:r w:rsidRPr="00036FAC">
        <w:t>Constitutional</w:t>
      </w:r>
      <w:r w:rsidR="00907D8C">
        <w:t xml:space="preserve"> </w:t>
      </w:r>
      <w:r w:rsidRPr="00036FAC">
        <w:t>principles</w:t>
      </w:r>
      <w:r w:rsidR="00907D8C">
        <w:t xml:space="preserve"> </w:t>
      </w:r>
      <w:r w:rsidRPr="00036FAC">
        <w:t>and</w:t>
      </w:r>
      <w:r w:rsidR="00907D8C">
        <w:t xml:space="preserve"> </w:t>
      </w:r>
      <w:r w:rsidRPr="00036FAC">
        <w:t>these</w:t>
      </w:r>
      <w:r w:rsidR="00907D8C">
        <w:t xml:space="preserve"> </w:t>
      </w:r>
      <w:r w:rsidRPr="00036FAC">
        <w:t>statutes</w:t>
      </w:r>
      <w:r w:rsidR="00907D8C">
        <w:t xml:space="preserve"> </w:t>
      </w:r>
      <w:r w:rsidRPr="00036FAC">
        <w:t>dictate</w:t>
      </w:r>
      <w:r w:rsidR="00907D8C">
        <w:t xml:space="preserve"> </w:t>
      </w:r>
      <w:r w:rsidRPr="00036FAC">
        <w:t>that</w:t>
      </w:r>
      <w:r w:rsidR="00907D8C">
        <w:t xml:space="preserve"> </w:t>
      </w:r>
      <w:r w:rsidRPr="00036FAC">
        <w:t>members</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service</w:t>
      </w:r>
      <w:r w:rsidR="00907D8C">
        <w:t xml:space="preserve"> </w:t>
      </w:r>
      <w:r w:rsidRPr="00036FAC">
        <w:t>act</w:t>
      </w:r>
      <w:r w:rsidR="00907D8C">
        <w:t xml:space="preserve"> </w:t>
      </w:r>
      <w:r w:rsidRPr="00036FAC">
        <w:t>in</w:t>
      </w:r>
      <w:r w:rsidR="00907D8C">
        <w:t xml:space="preserve"> </w:t>
      </w:r>
      <w:r w:rsidRPr="00036FAC">
        <w:t>accordance</w:t>
      </w:r>
      <w:r w:rsidR="00907D8C">
        <w:t xml:space="preserve"> </w:t>
      </w:r>
      <w:r w:rsidRPr="00036FAC">
        <w:t>with</w:t>
      </w:r>
      <w:r w:rsidR="00907D8C">
        <w:t xml:space="preserve"> </w:t>
      </w:r>
      <w:r w:rsidRPr="00036FAC">
        <w:t>the</w:t>
      </w:r>
      <w:r w:rsidR="00907D8C">
        <w:t xml:space="preserve"> </w:t>
      </w:r>
      <w:r w:rsidRPr="00036FAC">
        <w:t>law</w:t>
      </w:r>
      <w:r w:rsidR="00907D8C">
        <w:t xml:space="preserve"> </w:t>
      </w:r>
      <w:r w:rsidRPr="00036FAC">
        <w:t>and,</w:t>
      </w:r>
      <w:r w:rsidR="00907D8C">
        <w:t xml:space="preserve"> </w:t>
      </w:r>
      <w:r w:rsidRPr="00036FAC">
        <w:t>in</w:t>
      </w:r>
      <w:r w:rsidR="00907D8C">
        <w:t xml:space="preserve"> </w:t>
      </w:r>
      <w:r w:rsidRPr="00036FAC">
        <w:t>the</w:t>
      </w:r>
      <w:r w:rsidR="00907D8C">
        <w:t xml:space="preserve"> </w:t>
      </w:r>
      <w:r w:rsidRPr="00036FAC">
        <w:t>spirit</w:t>
      </w:r>
      <w:r w:rsidR="00907D8C">
        <w:t xml:space="preserve"> </w:t>
      </w:r>
      <w:r w:rsidRPr="00036FAC">
        <w:t>of</w:t>
      </w:r>
      <w:r w:rsidR="00907D8C">
        <w:t xml:space="preserve"> </w:t>
      </w:r>
      <w:r w:rsidRPr="00036FAC">
        <w:t>service</w:t>
      </w:r>
      <w:r w:rsidR="00907D8C">
        <w:t xml:space="preserve"> </w:t>
      </w:r>
      <w:r w:rsidRPr="00036FAC">
        <w:t>to</w:t>
      </w:r>
      <w:r w:rsidR="00907D8C">
        <w:t xml:space="preserve"> </w:t>
      </w:r>
      <w:r w:rsidRPr="00036FAC">
        <w:t>the</w:t>
      </w:r>
      <w:r w:rsidR="00907D8C">
        <w:t xml:space="preserve"> </w:t>
      </w:r>
      <w:r w:rsidRPr="00036FAC">
        <w:t>community,</w:t>
      </w:r>
      <w:r w:rsidR="00907D8C">
        <w:t xml:space="preserve"> </w:t>
      </w:r>
      <w:r w:rsidRPr="00036FAC">
        <w:t>provide</w:t>
      </w:r>
      <w:r w:rsidR="00907D8C">
        <w:t xml:space="preserve"> </w:t>
      </w:r>
      <w:r w:rsidRPr="00036FAC">
        <w:t>free</w:t>
      </w:r>
      <w:r w:rsidR="00907D8C">
        <w:t xml:space="preserve"> </w:t>
      </w:r>
      <w:r w:rsidRPr="00036FAC">
        <w:t>and</w:t>
      </w:r>
      <w:r w:rsidR="00907D8C">
        <w:t xml:space="preserve"> </w:t>
      </w:r>
      <w:r w:rsidRPr="00036FAC">
        <w:t>frank</w:t>
      </w:r>
      <w:r w:rsidR="00907D8C">
        <w:t xml:space="preserve"> </w:t>
      </w:r>
      <w:r w:rsidRPr="00036FAC">
        <w:t>advice</w:t>
      </w:r>
      <w:r w:rsidR="00907D8C">
        <w:t xml:space="preserve"> </w:t>
      </w:r>
      <w:r w:rsidRPr="00036FAC">
        <w:t>to</w:t>
      </w:r>
      <w:r w:rsidR="00907D8C">
        <w:t xml:space="preserve"> </w:t>
      </w:r>
      <w:r w:rsidRPr="00036FAC">
        <w:t>Ministers</w:t>
      </w:r>
      <w:r w:rsidR="00907D8C">
        <w:t xml:space="preserve"> </w:t>
      </w:r>
      <w:r w:rsidRPr="00036FAC">
        <w:t>and</w:t>
      </w:r>
      <w:r w:rsidR="00907D8C">
        <w:t xml:space="preserve"> </w:t>
      </w:r>
      <w:r w:rsidRPr="00036FAC">
        <w:t>give</w:t>
      </w:r>
      <w:r w:rsidR="00907D8C">
        <w:t xml:space="preserve"> </w:t>
      </w:r>
      <w:r w:rsidRPr="00036FAC">
        <w:t>effect</w:t>
      </w:r>
      <w:r w:rsidR="00907D8C">
        <w:t xml:space="preserve"> </w:t>
      </w:r>
      <w:r w:rsidRPr="00036FAC">
        <w:t>to</w:t>
      </w:r>
      <w:r w:rsidR="00907D8C">
        <w:t xml:space="preserve"> </w:t>
      </w:r>
      <w:r w:rsidRPr="00036FAC">
        <w:t>ministerial</w:t>
      </w:r>
      <w:r w:rsidR="00907D8C">
        <w:t xml:space="preserve"> </w:t>
      </w:r>
      <w:r w:rsidRPr="00036FAC">
        <w:t>decisions.</w:t>
      </w:r>
    </w:p>
    <w:p w:rsidR="00036FAC" w:rsidRPr="00036FAC" w:rsidRDefault="00036FAC" w:rsidP="006C436C">
      <w:pPr>
        <w:pStyle w:val="H23G"/>
      </w:pPr>
      <w:bookmarkStart w:id="111" w:name="_Toc114894967"/>
      <w:bookmarkStart w:id="112" w:name="_Toc114895858"/>
      <w:bookmarkStart w:id="113" w:name="_Toc115493398"/>
      <w:bookmarkStart w:id="114" w:name="_Toc115493742"/>
      <w:bookmarkStart w:id="115" w:name="_Toc115493817"/>
      <w:bookmarkStart w:id="116" w:name="_Toc118100612"/>
      <w:bookmarkStart w:id="117" w:name="_Toc125278898"/>
      <w:r w:rsidRPr="00036FAC">
        <w:tab/>
        <w:t>(d)</w:t>
      </w:r>
      <w:r w:rsidRPr="00036FAC">
        <w:tab/>
        <w:t>Judiciary</w:t>
      </w:r>
      <w:bookmarkEnd w:id="111"/>
      <w:bookmarkEnd w:id="112"/>
      <w:bookmarkEnd w:id="113"/>
      <w:bookmarkEnd w:id="114"/>
      <w:bookmarkEnd w:id="115"/>
      <w:bookmarkEnd w:id="116"/>
      <w:bookmarkEnd w:id="117"/>
    </w:p>
    <w:p w:rsidR="00036FAC" w:rsidRPr="00036FAC" w:rsidRDefault="00036FAC" w:rsidP="001722E9">
      <w:pPr>
        <w:pStyle w:val="SingleTxtG"/>
      </w:pPr>
      <w:r w:rsidRPr="00036FAC">
        <w:t>151.</w:t>
      </w:r>
      <w:r w:rsidRPr="00036FAC">
        <w:tab/>
        <w:t>The</w:t>
      </w:r>
      <w:r w:rsidR="00907D8C">
        <w:t xml:space="preserve"> </w:t>
      </w:r>
      <w:r w:rsidRPr="00036FAC">
        <w:t>independence</w:t>
      </w:r>
      <w:r w:rsidR="00907D8C">
        <w:t xml:space="preserve"> </w:t>
      </w:r>
      <w:r w:rsidRPr="00036FAC">
        <w:t>of</w:t>
      </w:r>
      <w:r w:rsidR="00907D8C">
        <w:t xml:space="preserve"> </w:t>
      </w:r>
      <w:r w:rsidRPr="00036FAC">
        <w:t>the</w:t>
      </w:r>
      <w:r w:rsidR="00907D8C">
        <w:t xml:space="preserve"> </w:t>
      </w:r>
      <w:r w:rsidRPr="00036FAC">
        <w:t>judiciary</w:t>
      </w:r>
      <w:r w:rsidR="00907D8C">
        <w:t xml:space="preserve"> </w:t>
      </w:r>
      <w:r w:rsidRPr="00036FAC">
        <w:t>is</w:t>
      </w:r>
      <w:r w:rsidR="00907D8C">
        <w:t xml:space="preserve"> </w:t>
      </w:r>
      <w:r w:rsidRPr="00036FAC">
        <w:t>an</w:t>
      </w:r>
      <w:r w:rsidR="00907D8C">
        <w:t xml:space="preserve"> </w:t>
      </w:r>
      <w:r w:rsidRPr="00036FAC">
        <w:t>important</w:t>
      </w:r>
      <w:r w:rsidR="00907D8C">
        <w:t xml:space="preserve"> </w:t>
      </w:r>
      <w:r w:rsidRPr="00036FAC">
        <w:t>principle</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constitution;</w:t>
      </w:r>
      <w:r w:rsidR="00907D8C">
        <w:t xml:space="preserve"> </w:t>
      </w:r>
      <w:r w:rsidRPr="00036FAC">
        <w:t>consequently</w:t>
      </w:r>
      <w:r w:rsidR="00907D8C">
        <w:t xml:space="preserve"> </w:t>
      </w:r>
      <w:r w:rsidRPr="00036FAC">
        <w:t>freedom</w:t>
      </w:r>
      <w:r w:rsidR="00907D8C">
        <w:t xml:space="preserve"> </w:t>
      </w:r>
      <w:r w:rsidRPr="00036FAC">
        <w:t>from</w:t>
      </w:r>
      <w:r w:rsidR="00907D8C">
        <w:t xml:space="preserve"> </w:t>
      </w:r>
      <w:r w:rsidRPr="00036FAC">
        <w:t>political</w:t>
      </w:r>
      <w:r w:rsidR="00907D8C">
        <w:t xml:space="preserve"> </w:t>
      </w:r>
      <w:r w:rsidRPr="00036FAC">
        <w:t>interference</w:t>
      </w:r>
      <w:r w:rsidR="00907D8C">
        <w:t xml:space="preserve"> </w:t>
      </w:r>
      <w:r w:rsidRPr="00036FAC">
        <w:t>is</w:t>
      </w:r>
      <w:r w:rsidR="00907D8C">
        <w:t xml:space="preserve"> </w:t>
      </w:r>
      <w:r w:rsidRPr="00036FAC">
        <w:t>an</w:t>
      </w:r>
      <w:r w:rsidR="00907D8C">
        <w:t xml:space="preserve"> </w:t>
      </w:r>
      <w:r w:rsidRPr="00036FAC">
        <w:t>essential</w:t>
      </w:r>
      <w:r w:rsidR="00907D8C">
        <w:t xml:space="preserve"> </w:t>
      </w:r>
      <w:r w:rsidRPr="00036FAC">
        <w:t>feature</w:t>
      </w:r>
      <w:r w:rsidR="00907D8C">
        <w:t xml:space="preserve"> </w:t>
      </w:r>
      <w:r w:rsidRPr="00036FAC">
        <w:t>of</w:t>
      </w:r>
      <w:r w:rsidR="00907D8C">
        <w:t xml:space="preserve"> </w:t>
      </w:r>
      <w:r w:rsidRPr="00036FAC">
        <w:t>the</w:t>
      </w:r>
      <w:r w:rsidR="00907D8C">
        <w:t xml:space="preserve"> </w:t>
      </w:r>
      <w:r w:rsidRPr="00036FAC">
        <w:t>judiciary</w:t>
      </w:r>
      <w:r w:rsidR="003E4D94">
        <w:t>’</w:t>
      </w:r>
      <w:r w:rsidRPr="00036FAC">
        <w:t>s</w:t>
      </w:r>
      <w:r w:rsidR="00907D8C">
        <w:t xml:space="preserve"> </w:t>
      </w:r>
      <w:r w:rsidRPr="00036FAC">
        <w:t>position.</w:t>
      </w:r>
      <w:r w:rsidR="00907D8C">
        <w:t xml:space="preserve"> </w:t>
      </w:r>
      <w:r w:rsidRPr="00036FAC">
        <w:t>This</w:t>
      </w:r>
      <w:r w:rsidR="00907D8C">
        <w:t xml:space="preserve"> </w:t>
      </w:r>
      <w:r w:rsidRPr="00036FAC">
        <w:t>principle</w:t>
      </w:r>
      <w:r w:rsidR="00907D8C">
        <w:t xml:space="preserve"> </w:t>
      </w:r>
      <w:r w:rsidRPr="00036FAC">
        <w:t>is</w:t>
      </w:r>
      <w:r w:rsidR="00907D8C">
        <w:t xml:space="preserve"> </w:t>
      </w:r>
      <w:r w:rsidRPr="00036FAC">
        <w:t>reflected</w:t>
      </w:r>
      <w:r w:rsidR="00907D8C">
        <w:t xml:space="preserve"> </w:t>
      </w:r>
      <w:r w:rsidRPr="00036FAC">
        <w:t>in</w:t>
      </w:r>
      <w:r w:rsidR="00907D8C">
        <w:t xml:space="preserve"> </w:t>
      </w:r>
      <w:r w:rsidRPr="00036FAC">
        <w:t>the</w:t>
      </w:r>
      <w:r w:rsidR="00907D8C">
        <w:t xml:space="preserve"> </w:t>
      </w:r>
      <w:r w:rsidRPr="00036FAC">
        <w:t>standing</w:t>
      </w:r>
      <w:r w:rsidR="00907D8C">
        <w:t xml:space="preserve"> </w:t>
      </w:r>
      <w:r w:rsidRPr="00036FAC">
        <w:t>orders</w:t>
      </w:r>
      <w:r w:rsidR="00907D8C">
        <w:t xml:space="preserve"> </w:t>
      </w:r>
      <w:r w:rsidRPr="00036FAC">
        <w:t>of</w:t>
      </w:r>
      <w:r w:rsidR="00907D8C">
        <w:t xml:space="preserve"> </w:t>
      </w:r>
      <w:r w:rsidRPr="00036FAC">
        <w:t>the</w:t>
      </w:r>
      <w:r w:rsidR="00907D8C">
        <w:t xml:space="preserve"> </w:t>
      </w:r>
      <w:r w:rsidRPr="00036FAC">
        <w:t>House</w:t>
      </w:r>
      <w:r w:rsidR="00907D8C">
        <w:t xml:space="preserve"> </w:t>
      </w:r>
      <w:r w:rsidRPr="00036FAC">
        <w:t>of</w:t>
      </w:r>
      <w:r w:rsidR="00907D8C">
        <w:t xml:space="preserve"> </w:t>
      </w:r>
      <w:r w:rsidRPr="00036FAC">
        <w:t>Representatives</w:t>
      </w:r>
      <w:r w:rsidR="00907D8C">
        <w:t xml:space="preserve"> </w:t>
      </w:r>
      <w:r w:rsidRPr="00036FAC">
        <w:t>(their</w:t>
      </w:r>
      <w:r w:rsidR="00907D8C">
        <w:t xml:space="preserve"> </w:t>
      </w:r>
      <w:r w:rsidRPr="00036FAC">
        <w:t>rules),</w:t>
      </w:r>
      <w:r w:rsidR="00907D8C">
        <w:t xml:space="preserve"> </w:t>
      </w:r>
      <w:r w:rsidRPr="00036FAC">
        <w:t>which</w:t>
      </w:r>
      <w:r w:rsidR="00907D8C">
        <w:t xml:space="preserve"> </w:t>
      </w:r>
      <w:r w:rsidRPr="00036FAC">
        <w:t>prohibit</w:t>
      </w:r>
      <w:r w:rsidR="00907D8C">
        <w:t xml:space="preserve"> </w:t>
      </w:r>
      <w:r w:rsidRPr="00036FAC">
        <w:t>a</w:t>
      </w:r>
      <w:r w:rsidR="00907D8C">
        <w:t xml:space="preserve"> </w:t>
      </w:r>
      <w:r w:rsidRPr="00036FAC">
        <w:t>member</w:t>
      </w:r>
      <w:r w:rsidR="00907D8C">
        <w:t xml:space="preserve"> </w:t>
      </w:r>
      <w:r w:rsidRPr="00036FAC">
        <w:t>from</w:t>
      </w:r>
      <w:r w:rsidR="00907D8C">
        <w:t xml:space="preserve"> </w:t>
      </w:r>
      <w:r w:rsidRPr="00036FAC">
        <w:t>criticising</w:t>
      </w:r>
      <w:r w:rsidR="00907D8C">
        <w:t xml:space="preserve"> </w:t>
      </w:r>
      <w:r w:rsidRPr="00036FAC">
        <w:t>a</w:t>
      </w:r>
      <w:r w:rsidR="00907D8C">
        <w:t xml:space="preserve"> </w:t>
      </w:r>
      <w:r w:rsidRPr="00036FAC">
        <w:t>judge.</w:t>
      </w:r>
      <w:r w:rsidR="00907D8C">
        <w:t xml:space="preserve"> </w:t>
      </w:r>
      <w:r w:rsidRPr="00036FAC">
        <w:t>Further,</w:t>
      </w:r>
      <w:r w:rsidR="00907D8C">
        <w:t xml:space="preserve"> </w:t>
      </w:r>
      <w:r w:rsidRPr="00036FAC">
        <w:t>the</w:t>
      </w:r>
      <w:r w:rsidR="00907D8C">
        <w:t xml:space="preserve"> </w:t>
      </w:r>
      <w:r w:rsidRPr="00036FAC">
        <w:t>Constitution</w:t>
      </w:r>
      <w:r w:rsidR="00907D8C">
        <w:t xml:space="preserve"> </w:t>
      </w:r>
      <w:r w:rsidRPr="00036FAC">
        <w:t>Act</w:t>
      </w:r>
      <w:r w:rsidR="00907D8C">
        <w:t xml:space="preserve"> </w:t>
      </w:r>
      <w:r w:rsidRPr="00036FAC">
        <w:t>1986</w:t>
      </w:r>
      <w:r w:rsidR="00907D8C">
        <w:t xml:space="preserve"> </w:t>
      </w:r>
      <w:r w:rsidRPr="00036FAC">
        <w:t>protects</w:t>
      </w:r>
      <w:r w:rsidR="00907D8C">
        <w:t xml:space="preserve"> </w:t>
      </w:r>
      <w:r w:rsidRPr="00036FAC">
        <w:t>judges</w:t>
      </w:r>
      <w:r w:rsidR="00907D8C">
        <w:t xml:space="preserve"> </w:t>
      </w:r>
      <w:r w:rsidRPr="00036FAC">
        <w:t>of</w:t>
      </w:r>
      <w:r w:rsidR="00907D8C">
        <w:t xml:space="preserve"> </w:t>
      </w:r>
      <w:r w:rsidRPr="00036FAC">
        <w:t>the</w:t>
      </w:r>
      <w:r w:rsidR="00907D8C">
        <w:t xml:space="preserve"> </w:t>
      </w:r>
      <w:r w:rsidRPr="00036FAC">
        <w:t>Supreme</w:t>
      </w:r>
      <w:r w:rsidR="00907D8C">
        <w:t xml:space="preserve"> </w:t>
      </w:r>
      <w:r w:rsidRPr="00036FAC">
        <w:t>Court,</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and</w:t>
      </w:r>
      <w:r w:rsidR="00907D8C">
        <w:t xml:space="preserve"> </w:t>
      </w:r>
      <w:r w:rsidRPr="00036FAC">
        <w:t>High</w:t>
      </w:r>
      <w:r w:rsidR="00907D8C">
        <w:t xml:space="preserve"> </w:t>
      </w:r>
      <w:r w:rsidRPr="00036FAC">
        <w:t>Courts</w:t>
      </w:r>
      <w:r w:rsidR="00907D8C">
        <w:t xml:space="preserve"> </w:t>
      </w:r>
      <w:r w:rsidRPr="00036FAC">
        <w:t>from</w:t>
      </w:r>
      <w:r w:rsidR="00907D8C">
        <w:t xml:space="preserve"> </w:t>
      </w:r>
      <w:r w:rsidRPr="00036FAC">
        <w:t>salary</w:t>
      </w:r>
      <w:r w:rsidR="00907D8C">
        <w:t xml:space="preserve"> </w:t>
      </w:r>
      <w:r w:rsidRPr="00036FAC">
        <w:t>reductions</w:t>
      </w:r>
      <w:r w:rsidR="00907D8C">
        <w:t xml:space="preserve"> </w:t>
      </w:r>
      <w:r w:rsidRPr="00036FAC">
        <w:t>and</w:t>
      </w:r>
      <w:r w:rsidR="00907D8C">
        <w:t xml:space="preserve"> </w:t>
      </w:r>
      <w:r w:rsidRPr="00036FAC">
        <w:t>politically</w:t>
      </w:r>
      <w:r w:rsidR="00907D8C">
        <w:t xml:space="preserve"> </w:t>
      </w:r>
      <w:r w:rsidRPr="00036FAC">
        <w:t>motivated</w:t>
      </w:r>
      <w:r w:rsidR="00907D8C">
        <w:t xml:space="preserve"> </w:t>
      </w:r>
      <w:r w:rsidRPr="00036FAC">
        <w:t>removal</w:t>
      </w:r>
      <w:r w:rsidR="00907D8C">
        <w:t xml:space="preserve"> </w:t>
      </w:r>
      <w:r w:rsidRPr="00036FAC">
        <w:t>from</w:t>
      </w:r>
      <w:r w:rsidR="00907D8C">
        <w:t xml:space="preserve"> </w:t>
      </w:r>
      <w:r w:rsidRPr="00036FAC">
        <w:t>office.</w:t>
      </w:r>
    </w:p>
    <w:p w:rsidR="00036FAC" w:rsidRPr="00036FAC" w:rsidRDefault="00036FAC" w:rsidP="001722E9">
      <w:pPr>
        <w:pStyle w:val="SingleTxtG"/>
      </w:pPr>
      <w:r w:rsidRPr="00036FAC">
        <w:t>152.</w:t>
      </w:r>
      <w:r w:rsidRPr="00036FAC">
        <w:tab/>
        <w:t>The</w:t>
      </w:r>
      <w:r w:rsidR="00907D8C">
        <w:t xml:space="preserve"> </w:t>
      </w:r>
      <w:r w:rsidRPr="00036FAC">
        <w:t>New</w:t>
      </w:r>
      <w:r w:rsidR="00907D8C">
        <w:t xml:space="preserve"> </w:t>
      </w:r>
      <w:r w:rsidRPr="00036FAC">
        <w:t>Zealand</w:t>
      </w:r>
      <w:r w:rsidR="00907D8C">
        <w:t xml:space="preserve"> </w:t>
      </w:r>
      <w:r w:rsidRPr="00036FAC">
        <w:t>courts</w:t>
      </w:r>
      <w:r w:rsidR="00907D8C">
        <w:t xml:space="preserve"> </w:t>
      </w:r>
      <w:r w:rsidRPr="00036FAC">
        <w:t>operate</w:t>
      </w:r>
      <w:r w:rsidR="00907D8C">
        <w:t xml:space="preserve"> </w:t>
      </w:r>
      <w:r w:rsidRPr="00036FAC">
        <w:t>on</w:t>
      </w:r>
      <w:r w:rsidR="00907D8C">
        <w:t xml:space="preserve"> </w:t>
      </w:r>
      <w:r w:rsidRPr="00036FAC">
        <w:t>an</w:t>
      </w:r>
      <w:r w:rsidR="00907D8C">
        <w:t xml:space="preserve"> </w:t>
      </w:r>
      <w:r w:rsidRPr="00036FAC">
        <w:t>adversarial</w:t>
      </w:r>
      <w:r w:rsidR="00907D8C">
        <w:t xml:space="preserve"> </w:t>
      </w:r>
      <w:r w:rsidRPr="00036FAC">
        <w:t>system.</w:t>
      </w:r>
      <w:r w:rsidR="00907D8C">
        <w:t xml:space="preserve"> </w:t>
      </w:r>
      <w:r w:rsidRPr="00036FAC">
        <w:t>The</w:t>
      </w:r>
      <w:r w:rsidR="00907D8C">
        <w:t xml:space="preserve"> </w:t>
      </w:r>
      <w:r w:rsidRPr="00036FAC">
        <w:t>highest</w:t>
      </w:r>
      <w:r w:rsidR="00907D8C">
        <w:t xml:space="preserve"> </w:t>
      </w:r>
      <w:r w:rsidRPr="00036FAC">
        <w:t>court</w:t>
      </w:r>
      <w:r w:rsidR="00907D8C">
        <w:t xml:space="preserve"> </w:t>
      </w:r>
      <w:r w:rsidRPr="00036FAC">
        <w:t>is</w:t>
      </w:r>
      <w:r w:rsidR="00907D8C">
        <w:t xml:space="preserve"> </w:t>
      </w:r>
      <w:r w:rsidRPr="00036FAC">
        <w:t>the</w:t>
      </w:r>
      <w:r w:rsidR="00907D8C">
        <w:t xml:space="preserve"> </w:t>
      </w:r>
      <w:r w:rsidRPr="00036FAC">
        <w:t>Supreme</w:t>
      </w:r>
      <w:r w:rsidR="00907D8C">
        <w:t xml:space="preserve"> </w:t>
      </w:r>
      <w:r w:rsidRPr="00036FAC">
        <w:t>Court</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based</w:t>
      </w:r>
      <w:r w:rsidR="00907D8C">
        <w:t xml:space="preserve"> </w:t>
      </w:r>
      <w:r w:rsidRPr="00036FAC">
        <w:t>in</w:t>
      </w:r>
      <w:r w:rsidR="00907D8C">
        <w:t xml:space="preserve"> </w:t>
      </w:r>
      <w:r w:rsidRPr="00036FAC">
        <w:t>Wellington.</w:t>
      </w:r>
      <w:r w:rsidR="00907D8C">
        <w:t xml:space="preserve"> </w:t>
      </w:r>
      <w:r w:rsidRPr="00036FAC">
        <w:t>The</w:t>
      </w:r>
      <w:r w:rsidR="00907D8C">
        <w:t xml:space="preserve"> </w:t>
      </w:r>
      <w:r w:rsidRPr="00036FAC">
        <w:t>Supreme</w:t>
      </w:r>
      <w:r w:rsidR="00907D8C">
        <w:t xml:space="preserve"> </w:t>
      </w:r>
      <w:r w:rsidRPr="00036FAC">
        <w:t>Court</w:t>
      </w:r>
      <w:r w:rsidR="00907D8C">
        <w:t xml:space="preserve"> </w:t>
      </w:r>
      <w:r w:rsidRPr="00036FAC">
        <w:t>was</w:t>
      </w:r>
      <w:r w:rsidR="00907D8C">
        <w:t xml:space="preserve"> </w:t>
      </w:r>
      <w:r w:rsidRPr="00036FAC">
        <w:t>established</w:t>
      </w:r>
      <w:r w:rsidR="00907D8C">
        <w:t xml:space="preserve"> </w:t>
      </w:r>
      <w:r w:rsidRPr="00036FAC">
        <w:t>on</w:t>
      </w:r>
      <w:r w:rsidR="00907D8C">
        <w:t xml:space="preserve"> </w:t>
      </w:r>
      <w:r w:rsidRPr="00036FAC">
        <w:t>1</w:t>
      </w:r>
      <w:r w:rsidR="00907D8C">
        <w:t xml:space="preserve"> </w:t>
      </w:r>
      <w:r w:rsidRPr="00036FAC">
        <w:t>January</w:t>
      </w:r>
      <w:r w:rsidR="00907D8C">
        <w:t xml:space="preserve"> </w:t>
      </w:r>
      <w:r w:rsidRPr="00036FAC">
        <w:t>2004.</w:t>
      </w:r>
      <w:r w:rsidR="00907D8C">
        <w:t xml:space="preserve"> </w:t>
      </w:r>
      <w:r w:rsidRPr="00036FAC">
        <w:t>Before</w:t>
      </w:r>
      <w:r w:rsidR="00907D8C">
        <w:t xml:space="preserve"> </w:t>
      </w:r>
      <w:r w:rsidRPr="00036FAC">
        <w:t>then,</w:t>
      </w:r>
      <w:r w:rsidR="00907D8C">
        <w:t xml:space="preserve"> </w:t>
      </w:r>
      <w:r w:rsidRPr="00036FAC">
        <w:t>the</w:t>
      </w:r>
      <w:r w:rsidR="00907D8C">
        <w:t xml:space="preserve"> </w:t>
      </w:r>
      <w:r w:rsidRPr="00036FAC">
        <w:t>Judicial</w:t>
      </w:r>
      <w:r w:rsidR="00907D8C">
        <w:t xml:space="preserve"> </w:t>
      </w:r>
      <w:r w:rsidRPr="00036FAC">
        <w:t>Committee</w:t>
      </w:r>
      <w:r w:rsidR="00907D8C">
        <w:t xml:space="preserve"> </w:t>
      </w:r>
      <w:r w:rsidRPr="00036FAC">
        <w:t>of</w:t>
      </w:r>
      <w:r w:rsidR="00907D8C">
        <w:t xml:space="preserve"> </w:t>
      </w:r>
      <w:r w:rsidRPr="00036FAC">
        <w:t>the</w:t>
      </w:r>
      <w:r w:rsidR="00907D8C">
        <w:t xml:space="preserve"> </w:t>
      </w:r>
      <w:r w:rsidRPr="00036FAC">
        <w:t>Privy</w:t>
      </w:r>
      <w:r w:rsidR="00907D8C">
        <w:t xml:space="preserve"> </w:t>
      </w:r>
      <w:r w:rsidRPr="00036FAC">
        <w:t>Council</w:t>
      </w:r>
      <w:r w:rsidR="00907D8C">
        <w:t xml:space="preserve"> </w:t>
      </w:r>
      <w:r w:rsidRPr="00036FAC">
        <w:t>in</w:t>
      </w:r>
      <w:r w:rsidR="00907D8C">
        <w:t xml:space="preserve"> </w:t>
      </w:r>
      <w:r w:rsidRPr="00036FAC">
        <w:t>London</w:t>
      </w:r>
      <w:r w:rsidR="00907D8C">
        <w:t xml:space="preserve"> </w:t>
      </w:r>
      <w:r w:rsidRPr="00036FAC">
        <w:t>was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final</w:t>
      </w:r>
      <w:r w:rsidR="00907D8C">
        <w:t xml:space="preserve"> </w:t>
      </w:r>
      <w:r w:rsidRPr="00036FAC">
        <w:t>appellate</w:t>
      </w:r>
      <w:r w:rsidR="00907D8C">
        <w:t xml:space="preserve"> </w:t>
      </w:r>
      <w:r w:rsidRPr="00036FAC">
        <w:t>court.</w:t>
      </w:r>
      <w:r w:rsidR="00907D8C">
        <w:t xml:space="preserve"> </w:t>
      </w:r>
      <w:r w:rsidRPr="00036FAC">
        <w:t>Appeals</w:t>
      </w:r>
      <w:r w:rsidR="00907D8C">
        <w:t xml:space="preserve"> </w:t>
      </w:r>
      <w:r w:rsidRPr="00036FAC">
        <w:t>against</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decisions</w:t>
      </w:r>
      <w:r w:rsidR="00907D8C">
        <w:t xml:space="preserve"> </w:t>
      </w:r>
      <w:r w:rsidRPr="00036FAC">
        <w:t>made</w:t>
      </w:r>
      <w:r w:rsidR="00907D8C">
        <w:t xml:space="preserve"> </w:t>
      </w:r>
      <w:r w:rsidRPr="00036FAC">
        <w:t>before</w:t>
      </w:r>
      <w:r w:rsidR="00907D8C">
        <w:t xml:space="preserve"> </w:t>
      </w:r>
      <w:r w:rsidRPr="00036FAC">
        <w:t>31</w:t>
      </w:r>
      <w:r w:rsidR="00907D8C">
        <w:t xml:space="preserve"> </w:t>
      </w:r>
      <w:r w:rsidRPr="00036FAC">
        <w:t>December</w:t>
      </w:r>
      <w:r w:rsidR="00907D8C">
        <w:t xml:space="preserve"> </w:t>
      </w:r>
      <w:r w:rsidRPr="00036FAC">
        <w:t>2003</w:t>
      </w:r>
      <w:r w:rsidR="00907D8C">
        <w:t xml:space="preserve"> </w:t>
      </w:r>
      <w:r w:rsidRPr="00036FAC">
        <w:t>can</w:t>
      </w:r>
      <w:r w:rsidR="00907D8C">
        <w:t xml:space="preserve"> </w:t>
      </w:r>
      <w:r w:rsidRPr="00036FAC">
        <w:t>still</w:t>
      </w:r>
      <w:r w:rsidR="00907D8C">
        <w:t xml:space="preserve"> </w:t>
      </w:r>
      <w:r w:rsidRPr="00036FAC">
        <w:t>be</w:t>
      </w:r>
      <w:r w:rsidR="00907D8C">
        <w:t xml:space="preserve"> </w:t>
      </w:r>
      <w:r w:rsidRPr="00036FAC">
        <w:t>made</w:t>
      </w:r>
      <w:r w:rsidR="00907D8C">
        <w:t xml:space="preserve"> </w:t>
      </w:r>
      <w:r w:rsidRPr="00036FAC">
        <w:t>to</w:t>
      </w:r>
      <w:r w:rsidR="00907D8C">
        <w:t xml:space="preserve"> </w:t>
      </w:r>
      <w:r w:rsidRPr="00036FAC">
        <w:t>the</w:t>
      </w:r>
      <w:r w:rsidR="00907D8C">
        <w:t xml:space="preserve"> </w:t>
      </w:r>
      <w:r w:rsidRPr="00036FAC">
        <w:t>Judicial</w:t>
      </w:r>
      <w:r w:rsidR="00907D8C">
        <w:t xml:space="preserve"> </w:t>
      </w:r>
      <w:r w:rsidRPr="00036FAC">
        <w:t>Committee.</w:t>
      </w:r>
      <w:r w:rsidR="00907D8C">
        <w:t xml:space="preserve"> </w:t>
      </w:r>
      <w:r w:rsidRPr="00036FAC">
        <w:t>The</w:t>
      </w:r>
      <w:r w:rsidR="00907D8C">
        <w:t xml:space="preserve"> </w:t>
      </w:r>
      <w:r w:rsidRPr="00036FAC">
        <w:t>second</w:t>
      </w:r>
      <w:r w:rsidR="00907D8C">
        <w:t xml:space="preserve"> </w:t>
      </w:r>
      <w:r w:rsidRPr="00036FAC">
        <w:t>highest</w:t>
      </w:r>
      <w:r w:rsidR="00907D8C">
        <w:t xml:space="preserve"> </w:t>
      </w:r>
      <w:r w:rsidRPr="00036FAC">
        <w:t>court</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It</w:t>
      </w:r>
      <w:r w:rsidR="00907D8C">
        <w:t xml:space="preserve"> </w:t>
      </w:r>
      <w:r w:rsidRPr="00036FAC">
        <w:t>is</w:t>
      </w:r>
      <w:r w:rsidR="00907D8C">
        <w:t xml:space="preserve"> </w:t>
      </w:r>
      <w:r w:rsidRPr="00036FAC">
        <w:t>the</w:t>
      </w:r>
      <w:r w:rsidR="00907D8C">
        <w:t xml:space="preserve"> </w:t>
      </w:r>
      <w:r w:rsidRPr="00036FAC">
        <w:t>principal</w:t>
      </w:r>
      <w:r w:rsidR="00907D8C">
        <w:t xml:space="preserve"> </w:t>
      </w:r>
      <w:r w:rsidRPr="00036FAC">
        <w:t>intermediate</w:t>
      </w:r>
      <w:r w:rsidR="00907D8C">
        <w:t xml:space="preserve"> </w:t>
      </w:r>
      <w:r w:rsidRPr="00036FAC">
        <w:t>appellate</w:t>
      </w:r>
      <w:r w:rsidR="00907D8C">
        <w:t xml:space="preserve"> </w:t>
      </w:r>
      <w:r w:rsidRPr="00036FAC">
        <w:t>court</w:t>
      </w:r>
      <w:r w:rsidR="00907D8C">
        <w:t xml:space="preserve"> </w:t>
      </w:r>
      <w:r w:rsidRPr="00036FAC">
        <w:t>and</w:t>
      </w:r>
      <w:r w:rsidR="00907D8C">
        <w:t xml:space="preserve"> </w:t>
      </w:r>
      <w:r w:rsidRPr="00036FAC">
        <w:t>hears</w:t>
      </w:r>
      <w:r w:rsidR="00907D8C">
        <w:t xml:space="preserve"> </w:t>
      </w:r>
      <w:r w:rsidRPr="00036FAC">
        <w:t>the</w:t>
      </w:r>
      <w:r w:rsidR="00907D8C">
        <w:t xml:space="preserve"> </w:t>
      </w:r>
      <w:r w:rsidRPr="00036FAC">
        <w:t>vast</w:t>
      </w:r>
      <w:r w:rsidR="00907D8C">
        <w:t xml:space="preserve"> </w:t>
      </w:r>
      <w:r w:rsidRPr="00036FAC">
        <w:t>majority</w:t>
      </w:r>
      <w:r w:rsidR="00907D8C">
        <w:t xml:space="preserve"> </w:t>
      </w:r>
      <w:r w:rsidRPr="00036FAC">
        <w:t>of</w:t>
      </w:r>
      <w:r w:rsidR="00907D8C">
        <w:t xml:space="preserve"> </w:t>
      </w:r>
      <w:r w:rsidRPr="00036FAC">
        <w:t>appeals.</w:t>
      </w:r>
      <w:r w:rsidR="00907D8C">
        <w:t xml:space="preserve"> </w:t>
      </w:r>
      <w:r w:rsidRPr="00036FAC">
        <w:t>Below</w:t>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is</w:t>
      </w:r>
      <w:r w:rsidR="00907D8C">
        <w:t xml:space="preserve"> </w:t>
      </w:r>
      <w:r w:rsidRPr="00036FAC">
        <w:t>the</w:t>
      </w:r>
      <w:r w:rsidR="00907D8C">
        <w:t xml:space="preserve"> </w:t>
      </w:r>
      <w:r w:rsidRPr="00036FAC">
        <w:t>High</w:t>
      </w:r>
      <w:r w:rsidR="00907D8C">
        <w:t xml:space="preserve"> </w:t>
      </w:r>
      <w:r w:rsidRPr="00036FAC">
        <w:t>Court,</w:t>
      </w:r>
      <w:r w:rsidR="00907D8C">
        <w:t xml:space="preserve"> </w:t>
      </w:r>
      <w:r w:rsidRPr="00036FAC">
        <w:t>which</w:t>
      </w:r>
      <w:r w:rsidR="00907D8C">
        <w:t xml:space="preserve"> </w:t>
      </w:r>
      <w:r w:rsidRPr="00036FAC">
        <w:t>is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only</w:t>
      </w:r>
      <w:r w:rsidR="00907D8C">
        <w:t xml:space="preserve"> </w:t>
      </w:r>
      <w:r w:rsidRPr="00036FAC">
        <w:t>court</w:t>
      </w:r>
      <w:r w:rsidR="00907D8C">
        <w:t xml:space="preserve"> </w:t>
      </w:r>
      <w:r w:rsidRPr="00036FAC">
        <w:t>of</w:t>
      </w:r>
      <w:r w:rsidR="00907D8C">
        <w:t xml:space="preserve"> </w:t>
      </w:r>
      <w:r w:rsidRPr="00036FAC">
        <w:t>general</w:t>
      </w:r>
      <w:r w:rsidR="00907D8C">
        <w:t xml:space="preserve"> </w:t>
      </w:r>
      <w:r w:rsidRPr="00036FAC">
        <w:t>jurisdiction.</w:t>
      </w:r>
      <w:r w:rsidR="00907D8C">
        <w:t xml:space="preserve"> </w:t>
      </w:r>
      <w:r w:rsidRPr="00036FAC">
        <w:t>It</w:t>
      </w:r>
      <w:r w:rsidR="00907D8C">
        <w:t xml:space="preserve"> </w:t>
      </w:r>
      <w:r w:rsidRPr="00036FAC">
        <w:t>hears</w:t>
      </w:r>
      <w:r w:rsidR="00907D8C">
        <w:t xml:space="preserve"> </w:t>
      </w:r>
      <w:r w:rsidRPr="00036FAC">
        <w:t>the</w:t>
      </w:r>
      <w:r w:rsidR="00907D8C">
        <w:t xml:space="preserve"> </w:t>
      </w:r>
      <w:r w:rsidRPr="00036FAC">
        <w:t>most</w:t>
      </w:r>
      <w:r w:rsidR="00907D8C">
        <w:t xml:space="preserve"> </w:t>
      </w:r>
      <w:r w:rsidRPr="00036FAC">
        <w:t>serious</w:t>
      </w:r>
      <w:r w:rsidR="00907D8C">
        <w:t xml:space="preserve"> </w:t>
      </w:r>
      <w:r w:rsidRPr="00036FAC">
        <w:t>jury</w:t>
      </w:r>
      <w:r w:rsidR="00907D8C">
        <w:t xml:space="preserve"> </w:t>
      </w:r>
      <w:r w:rsidRPr="00036FAC">
        <w:t>trials</w:t>
      </w:r>
      <w:r w:rsidR="00907D8C">
        <w:t xml:space="preserve"> </w:t>
      </w:r>
      <w:r w:rsidRPr="00036FAC">
        <w:t>and</w:t>
      </w:r>
      <w:r w:rsidR="00907D8C">
        <w:t xml:space="preserve"> </w:t>
      </w:r>
      <w:r w:rsidRPr="00036FAC">
        <w:t>civil</w:t>
      </w:r>
      <w:r w:rsidR="00907D8C">
        <w:t xml:space="preserve"> </w:t>
      </w:r>
      <w:r w:rsidRPr="00036FAC">
        <w:t>cases</w:t>
      </w:r>
      <w:r w:rsidR="00907D8C">
        <w:t xml:space="preserve"> </w:t>
      </w:r>
      <w:r w:rsidRPr="00036FAC">
        <w:t>as</w:t>
      </w:r>
      <w:r w:rsidR="00907D8C">
        <w:t xml:space="preserve"> </w:t>
      </w:r>
      <w:r w:rsidRPr="00036FAC">
        <w:t>well</w:t>
      </w:r>
      <w:r w:rsidR="00907D8C">
        <w:t xml:space="preserve"> </w:t>
      </w:r>
      <w:r w:rsidRPr="00036FAC">
        <w:t>as</w:t>
      </w:r>
      <w:r w:rsidR="00907D8C">
        <w:t xml:space="preserve"> </w:t>
      </w:r>
      <w:r w:rsidRPr="00036FAC">
        <w:t>administrative</w:t>
      </w:r>
      <w:r w:rsidR="00907D8C">
        <w:t xml:space="preserve"> </w:t>
      </w:r>
      <w:r w:rsidRPr="00036FAC">
        <w:t>law</w:t>
      </w:r>
      <w:r w:rsidR="00907D8C">
        <w:t xml:space="preserve"> </w:t>
      </w:r>
      <w:r w:rsidRPr="00036FAC">
        <w:t>cases.</w:t>
      </w:r>
    </w:p>
    <w:p w:rsidR="00036FAC" w:rsidRPr="00036FAC" w:rsidRDefault="00036FAC" w:rsidP="001722E9">
      <w:pPr>
        <w:pStyle w:val="SingleTxtG"/>
      </w:pPr>
      <w:r w:rsidRPr="00036FAC">
        <w:t>153.</w:t>
      </w:r>
      <w:r w:rsidRPr="00036FAC">
        <w:tab/>
        <w:t>Below</w:t>
      </w:r>
      <w:r w:rsidR="00907D8C">
        <w:t xml:space="preserve"> </w:t>
      </w:r>
      <w:r w:rsidRPr="00036FAC">
        <w:t>the</w:t>
      </w:r>
      <w:r w:rsidR="00907D8C">
        <w:t xml:space="preserve"> </w:t>
      </w:r>
      <w:r w:rsidRPr="00036FAC">
        <w:t>High</w:t>
      </w:r>
      <w:r w:rsidR="00907D8C">
        <w:t xml:space="preserve"> </w:t>
      </w:r>
      <w:r w:rsidRPr="00036FAC">
        <w:t>Court</w:t>
      </w:r>
      <w:r w:rsidR="00907D8C">
        <w:t xml:space="preserve"> </w:t>
      </w:r>
      <w:r w:rsidRPr="00036FAC">
        <w:t>are</w:t>
      </w:r>
      <w:r w:rsidR="00907D8C">
        <w:t xml:space="preserve"> </w:t>
      </w:r>
      <w:r w:rsidRPr="00036FAC">
        <w:t>the</w:t>
      </w:r>
      <w:r w:rsidR="00907D8C">
        <w:t xml:space="preserve"> </w:t>
      </w:r>
      <w:r w:rsidRPr="00036FAC">
        <w:t>District</w:t>
      </w:r>
      <w:r w:rsidR="00907D8C">
        <w:t xml:space="preserve"> </w:t>
      </w:r>
      <w:r w:rsidRPr="00036FAC">
        <w:t>Courts.</w:t>
      </w:r>
      <w:r w:rsidR="00907D8C">
        <w:t xml:space="preserve"> </w:t>
      </w:r>
      <w:r w:rsidRPr="00036FAC">
        <w:t>They</w:t>
      </w:r>
      <w:r w:rsidR="00907D8C">
        <w:t xml:space="preserve"> </w:t>
      </w:r>
      <w:r w:rsidRPr="00036FAC">
        <w:t>deal</w:t>
      </w:r>
      <w:r w:rsidR="00907D8C">
        <w:t xml:space="preserve"> </w:t>
      </w:r>
      <w:r w:rsidRPr="00036FAC">
        <w:t>with</w:t>
      </w:r>
      <w:r w:rsidR="00907D8C">
        <w:t xml:space="preserve"> </w:t>
      </w:r>
      <w:r w:rsidRPr="00036FAC">
        <w:t>a</w:t>
      </w:r>
      <w:r w:rsidR="00907D8C">
        <w:t xml:space="preserve"> </w:t>
      </w:r>
      <w:r w:rsidRPr="00036FAC">
        <w:t>large</w:t>
      </w:r>
      <w:r w:rsidR="00907D8C">
        <w:t xml:space="preserve"> </w:t>
      </w:r>
      <w:r w:rsidRPr="00036FAC">
        <w:t>number</w:t>
      </w:r>
      <w:r w:rsidR="00907D8C">
        <w:t xml:space="preserve"> </w:t>
      </w:r>
      <w:r w:rsidRPr="00036FAC">
        <w:t>of</w:t>
      </w:r>
      <w:r w:rsidR="00907D8C">
        <w:t xml:space="preserve"> </w:t>
      </w:r>
      <w:r w:rsidRPr="00036FAC">
        <w:t>criminal</w:t>
      </w:r>
      <w:r w:rsidR="00907D8C">
        <w:t xml:space="preserve"> </w:t>
      </w:r>
      <w:r w:rsidRPr="00036FAC">
        <w:t>and</w:t>
      </w:r>
      <w:r w:rsidR="00907D8C">
        <w:t xml:space="preserve"> </w:t>
      </w:r>
      <w:r w:rsidRPr="00036FAC">
        <w:t>civil</w:t>
      </w:r>
      <w:r w:rsidR="00907D8C">
        <w:t xml:space="preserve"> </w:t>
      </w:r>
      <w:r w:rsidRPr="00036FAC">
        <w:t>cases</w:t>
      </w:r>
      <w:r w:rsidR="00907D8C">
        <w:t xml:space="preserve"> </w:t>
      </w:r>
      <w:r w:rsidRPr="00036FAC">
        <w:t>and</w:t>
      </w:r>
      <w:r w:rsidR="00907D8C">
        <w:t xml:space="preserve"> </w:t>
      </w:r>
      <w:r w:rsidRPr="00036FAC">
        <w:t>conduct</w:t>
      </w:r>
      <w:r w:rsidR="00907D8C">
        <w:t xml:space="preserve"> </w:t>
      </w:r>
      <w:r w:rsidRPr="00036FAC">
        <w:t>some</w:t>
      </w:r>
      <w:r w:rsidR="00907D8C">
        <w:t xml:space="preserve"> </w:t>
      </w:r>
      <w:r w:rsidRPr="00036FAC">
        <w:t>jury</w:t>
      </w:r>
      <w:r w:rsidR="00907D8C">
        <w:t xml:space="preserve"> </w:t>
      </w:r>
      <w:r w:rsidRPr="00036FAC">
        <w:t>trials.</w:t>
      </w:r>
      <w:r w:rsidR="00907D8C">
        <w:t xml:space="preserve"> </w:t>
      </w:r>
      <w:r w:rsidRPr="00036FAC">
        <w:t>The</w:t>
      </w:r>
      <w:r w:rsidR="00907D8C">
        <w:t xml:space="preserve"> </w:t>
      </w:r>
      <w:r w:rsidRPr="00036FAC">
        <w:t>Family</w:t>
      </w:r>
      <w:r w:rsidR="00907D8C">
        <w:t xml:space="preserve"> </w:t>
      </w:r>
      <w:r w:rsidRPr="00036FAC">
        <w:t>Court,</w:t>
      </w:r>
      <w:r w:rsidR="00907D8C">
        <w:t xml:space="preserve"> </w:t>
      </w:r>
      <w:r w:rsidRPr="00036FAC">
        <w:t>a</w:t>
      </w:r>
      <w:r w:rsidR="00907D8C">
        <w:t xml:space="preserve"> </w:t>
      </w:r>
      <w:r w:rsidRPr="00036FAC">
        <w:t>division</w:t>
      </w:r>
      <w:r w:rsidR="00907D8C">
        <w:t xml:space="preserve"> </w:t>
      </w:r>
      <w:r w:rsidRPr="00036FAC">
        <w:t>of</w:t>
      </w:r>
      <w:r w:rsidR="00907D8C">
        <w:t xml:space="preserve"> </w:t>
      </w:r>
      <w:r w:rsidRPr="00036FAC">
        <w:t>the</w:t>
      </w:r>
      <w:r w:rsidR="00907D8C">
        <w:t xml:space="preserve"> </w:t>
      </w:r>
      <w:r w:rsidRPr="00036FAC">
        <w:t>District</w:t>
      </w:r>
      <w:r w:rsidR="00907D8C">
        <w:t xml:space="preserve"> </w:t>
      </w:r>
      <w:r w:rsidRPr="00036FAC">
        <w:t>Court,</w:t>
      </w:r>
      <w:r w:rsidR="00907D8C">
        <w:t xml:space="preserve"> </w:t>
      </w:r>
      <w:r w:rsidRPr="00036FAC">
        <w:t>deals</w:t>
      </w:r>
      <w:r w:rsidR="00907D8C">
        <w:t xml:space="preserve"> </w:t>
      </w:r>
      <w:r w:rsidRPr="00036FAC">
        <w:t>with</w:t>
      </w:r>
      <w:r w:rsidR="00907D8C">
        <w:t xml:space="preserve"> </w:t>
      </w:r>
      <w:r w:rsidRPr="00036FAC">
        <w:t>matters</w:t>
      </w:r>
      <w:r w:rsidR="00907D8C">
        <w:t xml:space="preserve"> </w:t>
      </w:r>
      <w:r w:rsidRPr="00036FAC">
        <w:t>of</w:t>
      </w:r>
      <w:r w:rsidR="00907D8C">
        <w:t xml:space="preserve"> </w:t>
      </w:r>
      <w:r w:rsidRPr="00036FAC">
        <w:t>family</w:t>
      </w:r>
      <w:r w:rsidR="00907D8C">
        <w:t xml:space="preserve"> </w:t>
      </w:r>
      <w:r w:rsidRPr="00036FAC">
        <w:t>law.</w:t>
      </w:r>
      <w:r w:rsidR="00907D8C">
        <w:t xml:space="preserve"> </w:t>
      </w:r>
      <w:r w:rsidRPr="00036FAC">
        <w:t>The</w:t>
      </w:r>
      <w:r w:rsidR="00907D8C">
        <w:t xml:space="preserve"> </w:t>
      </w:r>
      <w:r w:rsidRPr="00036FAC">
        <w:t>Youth</w:t>
      </w:r>
      <w:r w:rsidR="00907D8C">
        <w:t xml:space="preserve"> </w:t>
      </w:r>
      <w:r w:rsidRPr="00036FAC">
        <w:t>Court</w:t>
      </w:r>
      <w:r w:rsidR="00907D8C">
        <w:t xml:space="preserve"> </w:t>
      </w:r>
      <w:r w:rsidRPr="00036FAC">
        <w:t>deals</w:t>
      </w:r>
      <w:r w:rsidR="00907D8C">
        <w:t xml:space="preserve"> </w:t>
      </w:r>
      <w:r w:rsidRPr="00036FAC">
        <w:t>with</w:t>
      </w:r>
      <w:r w:rsidR="00907D8C">
        <w:t xml:space="preserve"> </w:t>
      </w:r>
      <w:r w:rsidRPr="00036FAC">
        <w:t>serious</w:t>
      </w:r>
      <w:r w:rsidR="00907D8C">
        <w:t xml:space="preserve"> </w:t>
      </w:r>
      <w:r w:rsidRPr="00036FAC">
        <w:t>and</w:t>
      </w:r>
      <w:r w:rsidR="00907D8C">
        <w:t xml:space="preserve"> </w:t>
      </w:r>
      <w:r w:rsidRPr="00036FAC">
        <w:t>persistent</w:t>
      </w:r>
      <w:r w:rsidR="00907D8C">
        <w:t xml:space="preserve"> </w:t>
      </w:r>
      <w:r w:rsidRPr="00036FAC">
        <w:t>criminal</w:t>
      </w:r>
      <w:r w:rsidR="00907D8C">
        <w:t xml:space="preserve"> </w:t>
      </w:r>
      <w:r w:rsidRPr="00036FAC">
        <w:t>offending</w:t>
      </w:r>
      <w:r w:rsidR="00907D8C">
        <w:t xml:space="preserve"> </w:t>
      </w:r>
      <w:r w:rsidRPr="00036FAC">
        <w:t>by</w:t>
      </w:r>
      <w:r w:rsidR="00907D8C">
        <w:t xml:space="preserve"> </w:t>
      </w:r>
      <w:r w:rsidRPr="00036FAC">
        <w:t>young</w:t>
      </w:r>
      <w:r w:rsidR="00907D8C">
        <w:t xml:space="preserve"> </w:t>
      </w:r>
      <w:r w:rsidRPr="00036FAC">
        <w:t>people</w:t>
      </w:r>
      <w:r w:rsidR="00907D8C">
        <w:t xml:space="preserve"> </w:t>
      </w:r>
      <w:r w:rsidRPr="00036FAC">
        <w:t>aged</w:t>
      </w:r>
      <w:r w:rsidR="00907D8C">
        <w:t xml:space="preserve"> </w:t>
      </w:r>
      <w:r w:rsidRPr="00036FAC">
        <w:t>14–16</w:t>
      </w:r>
      <w:r w:rsidR="00907D8C">
        <w:t xml:space="preserve"> </w:t>
      </w:r>
      <w:r w:rsidRPr="00036FAC">
        <w:t>years.</w:t>
      </w:r>
      <w:r w:rsidR="00907D8C">
        <w:t xml:space="preserve"> </w:t>
      </w:r>
      <w:r w:rsidRPr="00036FAC">
        <w:t>Disputes</w:t>
      </w:r>
      <w:r w:rsidR="00907D8C">
        <w:t xml:space="preserve"> </w:t>
      </w:r>
      <w:r w:rsidRPr="00036FAC">
        <w:t>Tribunals</w:t>
      </w:r>
      <w:r w:rsidR="00907D8C">
        <w:t xml:space="preserve"> </w:t>
      </w:r>
      <w:r w:rsidRPr="00036FAC">
        <w:t>(established</w:t>
      </w:r>
      <w:r w:rsidR="00907D8C">
        <w:t xml:space="preserve"> </w:t>
      </w:r>
      <w:r w:rsidRPr="00036FAC">
        <w:t>as</w:t>
      </w:r>
      <w:r w:rsidR="00907D8C">
        <w:t xml:space="preserve"> </w:t>
      </w:r>
      <w:r w:rsidRPr="00036FAC">
        <w:t>divisions</w:t>
      </w:r>
      <w:r w:rsidR="00907D8C">
        <w:t xml:space="preserve"> </w:t>
      </w:r>
      <w:r w:rsidRPr="00036FAC">
        <w:t>of</w:t>
      </w:r>
      <w:r w:rsidR="00907D8C">
        <w:t xml:space="preserve"> </w:t>
      </w:r>
      <w:r w:rsidRPr="00036FAC">
        <w:t>District</w:t>
      </w:r>
      <w:r w:rsidR="00907D8C">
        <w:t xml:space="preserve"> </w:t>
      </w:r>
      <w:r w:rsidRPr="00036FAC">
        <w:t>Courts)</w:t>
      </w:r>
      <w:r w:rsidR="00907D8C">
        <w:t xml:space="preserve"> </w:t>
      </w:r>
      <w:r w:rsidRPr="00036FAC">
        <w:t>deal</w:t>
      </w:r>
      <w:r w:rsidR="00907D8C">
        <w:t xml:space="preserve"> </w:t>
      </w:r>
      <w:r w:rsidRPr="00036FAC">
        <w:t>with</w:t>
      </w:r>
      <w:r w:rsidR="00907D8C">
        <w:t xml:space="preserve"> </w:t>
      </w:r>
      <w:r w:rsidRPr="00036FAC">
        <w:t>lower</w:t>
      </w:r>
      <w:r w:rsidR="00907D8C">
        <w:t xml:space="preserve"> </w:t>
      </w:r>
      <w:r w:rsidRPr="00036FAC">
        <w:t>level</w:t>
      </w:r>
      <w:r w:rsidR="00907D8C">
        <w:t xml:space="preserve"> </w:t>
      </w:r>
      <w:r w:rsidRPr="00036FAC">
        <w:t>civil</w:t>
      </w:r>
      <w:r w:rsidR="00907D8C">
        <w:t xml:space="preserve"> </w:t>
      </w:r>
      <w:r w:rsidRPr="00036FAC">
        <w:t>disputes</w:t>
      </w:r>
      <w:r w:rsidR="00907D8C">
        <w:t xml:space="preserve"> </w:t>
      </w:r>
      <w:r w:rsidRPr="00036FAC">
        <w:t>(other</w:t>
      </w:r>
      <w:r w:rsidR="00907D8C">
        <w:t xml:space="preserve"> </w:t>
      </w:r>
      <w:r w:rsidRPr="00036FAC">
        <w:t>than</w:t>
      </w:r>
      <w:r w:rsidR="00907D8C">
        <w:t xml:space="preserve"> </w:t>
      </w:r>
      <w:r w:rsidRPr="00036FAC">
        <w:t>debt</w:t>
      </w:r>
      <w:r w:rsidR="00907D8C">
        <w:t xml:space="preserve"> </w:t>
      </w:r>
      <w:r w:rsidRPr="00036FAC">
        <w:t>recovery)</w:t>
      </w:r>
      <w:r w:rsidR="00907D8C">
        <w:t xml:space="preserve"> </w:t>
      </w:r>
      <w:r w:rsidRPr="00036FAC">
        <w:t>by</w:t>
      </w:r>
      <w:r w:rsidR="00907D8C">
        <w:t xml:space="preserve"> </w:t>
      </w:r>
      <w:r w:rsidRPr="00036FAC">
        <w:t>way</w:t>
      </w:r>
      <w:r w:rsidR="00907D8C">
        <w:t xml:space="preserve"> </w:t>
      </w:r>
      <w:r w:rsidRPr="00036FAC">
        <w:t>of</w:t>
      </w:r>
      <w:r w:rsidR="00907D8C">
        <w:t xml:space="preserve"> </w:t>
      </w:r>
      <w:r w:rsidRPr="00036FAC">
        <w:t>a</w:t>
      </w:r>
      <w:r w:rsidR="00907D8C">
        <w:t xml:space="preserve"> </w:t>
      </w:r>
      <w:r w:rsidRPr="00036FAC">
        <w:t>simplified</w:t>
      </w:r>
      <w:r w:rsidR="00907D8C">
        <w:t xml:space="preserve"> </w:t>
      </w:r>
      <w:r w:rsidRPr="00036FAC">
        <w:t>procedure.</w:t>
      </w:r>
      <w:r w:rsidR="00907D8C">
        <w:t xml:space="preserve"> </w:t>
      </w:r>
      <w:r w:rsidRPr="00036FAC">
        <w:t>In</w:t>
      </w:r>
      <w:r w:rsidR="00907D8C">
        <w:t xml:space="preserve"> </w:t>
      </w:r>
      <w:r w:rsidRPr="00036FAC">
        <w:t>addition,</w:t>
      </w:r>
      <w:r w:rsidR="00907D8C">
        <w:t xml:space="preserve"> </w:t>
      </w:r>
      <w:r w:rsidRPr="00036FAC">
        <w:t>there</w:t>
      </w:r>
      <w:r w:rsidR="00907D8C">
        <w:t xml:space="preserve"> </w:t>
      </w:r>
      <w:r w:rsidRPr="00036FAC">
        <w:t>are</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specialist</w:t>
      </w:r>
      <w:r w:rsidR="00907D8C">
        <w:t xml:space="preserve"> </w:t>
      </w:r>
      <w:r w:rsidRPr="00036FAC">
        <w:t>courts</w:t>
      </w:r>
      <w:r w:rsidR="00907D8C">
        <w:t xml:space="preserve"> </w:t>
      </w:r>
      <w:r w:rsidRPr="00036FAC">
        <w:t>(including</w:t>
      </w:r>
      <w:r w:rsidR="00907D8C">
        <w:t xml:space="preserve"> </w:t>
      </w:r>
      <w:r w:rsidRPr="00036FAC">
        <w:t>the</w:t>
      </w:r>
      <w:r w:rsidR="00907D8C">
        <w:t xml:space="preserve"> </w:t>
      </w:r>
      <w:r w:rsidRPr="00036FAC">
        <w:t>Employment</w:t>
      </w:r>
      <w:r w:rsidR="00907D8C">
        <w:t xml:space="preserve"> </w:t>
      </w:r>
      <w:r w:rsidRPr="00036FAC">
        <w:t>Court,</w:t>
      </w:r>
      <w:r w:rsidR="00907D8C">
        <w:t xml:space="preserve"> </w:t>
      </w:r>
      <w:r w:rsidRPr="00036FAC">
        <w:t>Environment</w:t>
      </w:r>
      <w:r w:rsidR="00907D8C">
        <w:t xml:space="preserve"> </w:t>
      </w:r>
      <w:r w:rsidRPr="00036FAC">
        <w:t>Court,</w:t>
      </w:r>
      <w:r w:rsidR="00907D8C">
        <w:t xml:space="preserve"> </w:t>
      </w:r>
      <w:r w:rsidRPr="00036FAC">
        <w:t>and</w:t>
      </w:r>
      <w:r w:rsidR="00907D8C">
        <w:t xml:space="preserve"> </w:t>
      </w:r>
      <w:r w:rsidRPr="00036FAC">
        <w:t>Māori</w:t>
      </w:r>
      <w:r w:rsidR="00907D8C">
        <w:t xml:space="preserve"> </w:t>
      </w:r>
      <w:r w:rsidRPr="00036FAC">
        <w:t>Land</w:t>
      </w:r>
      <w:r w:rsidR="00907D8C">
        <w:t xml:space="preserve"> </w:t>
      </w:r>
      <w:r w:rsidRPr="00036FAC">
        <w:t>Court)</w:t>
      </w:r>
      <w:r w:rsidR="00907D8C">
        <w:t xml:space="preserve"> </w:t>
      </w:r>
      <w:r w:rsidRPr="00036FAC">
        <w:t>and</w:t>
      </w:r>
      <w:r w:rsidR="00907D8C">
        <w:t xml:space="preserve"> </w:t>
      </w:r>
      <w:r w:rsidRPr="00036FAC">
        <w:t>approximately</w:t>
      </w:r>
      <w:r w:rsidR="00907D8C">
        <w:t xml:space="preserve"> </w:t>
      </w:r>
      <w:r w:rsidRPr="00036FAC">
        <w:t>100</w:t>
      </w:r>
      <w:r w:rsidR="00907D8C">
        <w:t xml:space="preserve"> </w:t>
      </w:r>
      <w:r w:rsidRPr="00036FAC">
        <w:t>tribunals</w:t>
      </w:r>
      <w:r w:rsidR="00907D8C">
        <w:t xml:space="preserve"> </w:t>
      </w:r>
      <w:r w:rsidRPr="00036FAC">
        <w:t>(for</w:t>
      </w:r>
      <w:r w:rsidR="00907D8C">
        <w:t xml:space="preserve"> </w:t>
      </w:r>
      <w:r w:rsidRPr="00036FAC">
        <w:t>example,</w:t>
      </w:r>
      <w:r w:rsidR="00907D8C">
        <w:t xml:space="preserve"> </w:t>
      </w:r>
      <w:r w:rsidRPr="00036FAC">
        <w:t>the</w:t>
      </w:r>
      <w:r w:rsidR="00907D8C">
        <w:t xml:space="preserve"> </w:t>
      </w:r>
      <w:r w:rsidRPr="00036FAC">
        <w:t>Accident</w:t>
      </w:r>
      <w:r w:rsidR="00907D8C">
        <w:t xml:space="preserve"> </w:t>
      </w:r>
      <w:r w:rsidRPr="00036FAC">
        <w:t>Compensation</w:t>
      </w:r>
      <w:r w:rsidR="00907D8C">
        <w:t xml:space="preserve"> </w:t>
      </w:r>
      <w:r w:rsidRPr="00036FAC">
        <w:t>Appeal</w:t>
      </w:r>
      <w:r w:rsidR="00907D8C">
        <w:t xml:space="preserve"> </w:t>
      </w:r>
      <w:r w:rsidRPr="00036FAC">
        <w:t>Authority,</w:t>
      </w:r>
      <w:r w:rsidR="00907D8C">
        <w:t xml:space="preserve"> </w:t>
      </w:r>
      <w:r w:rsidRPr="00036FAC">
        <w:t>Copyright</w:t>
      </w:r>
      <w:r w:rsidR="00907D8C">
        <w:t xml:space="preserve"> </w:t>
      </w:r>
      <w:r w:rsidRPr="00036FAC">
        <w:t>Tribunal,</w:t>
      </w:r>
      <w:r w:rsidR="00907D8C">
        <w:t xml:space="preserve"> </w:t>
      </w:r>
      <w:r w:rsidRPr="00036FAC">
        <w:t>Deportation</w:t>
      </w:r>
      <w:r w:rsidR="00907D8C">
        <w:t xml:space="preserve"> </w:t>
      </w:r>
      <w:r w:rsidRPr="00036FAC">
        <w:t>Review</w:t>
      </w:r>
      <w:r w:rsidR="00907D8C">
        <w:t xml:space="preserve"> </w:t>
      </w:r>
      <w:r w:rsidRPr="00036FAC">
        <w:t>Tribunal,</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and</w:t>
      </w:r>
      <w:r w:rsidR="00907D8C">
        <w:t xml:space="preserve"> </w:t>
      </w:r>
      <w:r w:rsidRPr="00036FAC">
        <w:t>Tenancy</w:t>
      </w:r>
      <w:r w:rsidR="00907D8C">
        <w:t xml:space="preserve"> </w:t>
      </w:r>
      <w:r w:rsidRPr="00036FAC">
        <w:t>Tribunal).</w:t>
      </w:r>
    </w:p>
    <w:p w:rsidR="00036FAC" w:rsidRPr="00036FAC" w:rsidRDefault="00036FAC" w:rsidP="006C436C">
      <w:pPr>
        <w:pStyle w:val="H23G"/>
      </w:pPr>
      <w:bookmarkStart w:id="118" w:name="_Toc114894968"/>
      <w:bookmarkStart w:id="119" w:name="_Toc114895859"/>
      <w:bookmarkStart w:id="120" w:name="_Toc115493399"/>
      <w:bookmarkStart w:id="121" w:name="_Toc115493743"/>
      <w:bookmarkStart w:id="122" w:name="_Toc115493818"/>
      <w:bookmarkStart w:id="123" w:name="_Toc118100613"/>
      <w:bookmarkStart w:id="124" w:name="_Toc125278899"/>
      <w:r w:rsidRPr="00036FAC">
        <w:tab/>
        <w:t>(e)</w:t>
      </w:r>
      <w:r w:rsidRPr="00036FAC">
        <w:tab/>
        <w:t>Electoral</w:t>
      </w:r>
      <w:r w:rsidR="00907D8C">
        <w:t xml:space="preserve"> </w:t>
      </w:r>
      <w:r w:rsidRPr="00036FAC">
        <w:t>system</w:t>
      </w:r>
      <w:bookmarkEnd w:id="118"/>
      <w:bookmarkEnd w:id="119"/>
      <w:bookmarkEnd w:id="120"/>
      <w:bookmarkEnd w:id="121"/>
      <w:bookmarkEnd w:id="122"/>
      <w:bookmarkEnd w:id="123"/>
      <w:bookmarkEnd w:id="124"/>
    </w:p>
    <w:p w:rsidR="00036FAC" w:rsidRPr="00036FAC" w:rsidRDefault="00036FAC" w:rsidP="001722E9">
      <w:pPr>
        <w:pStyle w:val="SingleTxtG"/>
      </w:pPr>
      <w:r w:rsidRPr="00036FAC">
        <w:t>154.</w:t>
      </w:r>
      <w:r w:rsidRPr="00036FAC">
        <w:tab/>
        <w:t>New</w:t>
      </w:r>
      <w:r w:rsidR="00907D8C">
        <w:t xml:space="preserve"> </w:t>
      </w:r>
      <w:r w:rsidRPr="00036FAC">
        <w:t>Zealand</w:t>
      </w:r>
      <w:r w:rsidR="003E4D94">
        <w:t>’</w:t>
      </w:r>
      <w:r w:rsidRPr="00036FAC">
        <w:t>s</w:t>
      </w:r>
      <w:r w:rsidR="00907D8C">
        <w:t xml:space="preserve"> </w:t>
      </w:r>
      <w:r w:rsidRPr="00036FAC">
        <w:t>first</w:t>
      </w:r>
      <w:r w:rsidR="00907D8C">
        <w:t xml:space="preserve"> </w:t>
      </w:r>
      <w:r w:rsidRPr="00036FAC">
        <w:t>parliamentary</w:t>
      </w:r>
      <w:r w:rsidR="00907D8C">
        <w:t xml:space="preserve"> </w:t>
      </w:r>
      <w:r w:rsidRPr="00036FAC">
        <w:t>elections</w:t>
      </w:r>
      <w:r w:rsidR="00907D8C">
        <w:t xml:space="preserve"> </w:t>
      </w:r>
      <w:r w:rsidRPr="00036FAC">
        <w:t>were</w:t>
      </w:r>
      <w:r w:rsidR="00907D8C">
        <w:t xml:space="preserve"> </w:t>
      </w:r>
      <w:r w:rsidRPr="00036FAC">
        <w:t>held</w:t>
      </w:r>
      <w:r w:rsidR="00907D8C">
        <w:t xml:space="preserve"> </w:t>
      </w:r>
      <w:r w:rsidRPr="00036FAC">
        <w:t>in</w:t>
      </w:r>
      <w:r w:rsidR="00907D8C">
        <w:t xml:space="preserve"> </w:t>
      </w:r>
      <w:r w:rsidRPr="00036FAC">
        <w:t>1853,</w:t>
      </w:r>
      <w:r w:rsidR="00907D8C">
        <w:t xml:space="preserve"> </w:t>
      </w:r>
      <w:r w:rsidRPr="00036FAC">
        <w:t>with</w:t>
      </w:r>
      <w:r w:rsidR="00907D8C">
        <w:t xml:space="preserve"> </w:t>
      </w:r>
      <w:r w:rsidRPr="00036FAC">
        <w:t>universal</w:t>
      </w:r>
      <w:r w:rsidR="00907D8C">
        <w:t xml:space="preserve"> </w:t>
      </w:r>
      <w:r w:rsidRPr="00036FAC">
        <w:t>suffrage</w:t>
      </w:r>
      <w:r w:rsidR="00907D8C">
        <w:t xml:space="preserve"> </w:t>
      </w:r>
      <w:r w:rsidRPr="00036FAC">
        <w:t>achieved</w:t>
      </w:r>
      <w:r w:rsidR="00907D8C">
        <w:t xml:space="preserve"> </w:t>
      </w:r>
      <w:r w:rsidRPr="00036FAC">
        <w:t>by</w:t>
      </w:r>
      <w:r w:rsidR="00907D8C">
        <w:t xml:space="preserve"> </w:t>
      </w:r>
      <w:r w:rsidRPr="00036FAC">
        <w:t>1893.</w:t>
      </w:r>
      <w:r w:rsidR="00907D8C">
        <w:t xml:space="preserve"> </w:t>
      </w:r>
      <w:r w:rsidRPr="00036FAC">
        <w:t>In</w:t>
      </w:r>
      <w:r w:rsidR="00907D8C">
        <w:t xml:space="preserve"> </w:t>
      </w:r>
      <w:r w:rsidRPr="00036FAC">
        <w:t>this</w:t>
      </w:r>
      <w:r w:rsidR="00907D8C">
        <w:t xml:space="preserve"> </w:t>
      </w:r>
      <w:r w:rsidRPr="00036FAC">
        <w:t>year,</w:t>
      </w:r>
      <w:r w:rsidR="00907D8C">
        <w:t xml:space="preserve"> </w:t>
      </w:r>
      <w:r w:rsidRPr="00036FAC">
        <w:t>New</w:t>
      </w:r>
      <w:r w:rsidR="00907D8C">
        <w:t xml:space="preserve"> </w:t>
      </w:r>
      <w:r w:rsidRPr="00036FAC">
        <w:t>Zealand</w:t>
      </w:r>
      <w:r w:rsidR="00907D8C">
        <w:t xml:space="preserve"> </w:t>
      </w:r>
      <w:r w:rsidR="00B85D72">
        <w:t>beca</w:t>
      </w:r>
      <w:r w:rsidRPr="00036FAC">
        <w:t>me</w:t>
      </w:r>
      <w:r w:rsidR="00907D8C">
        <w:t xml:space="preserve"> </w:t>
      </w:r>
      <w:r w:rsidRPr="00036FAC">
        <w:t>the</w:t>
      </w:r>
      <w:r w:rsidR="00907D8C">
        <w:t xml:space="preserve"> </w:t>
      </w:r>
      <w:r w:rsidRPr="00036FAC">
        <w:t>first</w:t>
      </w:r>
      <w:r w:rsidR="00907D8C">
        <w:t xml:space="preserve"> </w:t>
      </w:r>
      <w:r w:rsidRPr="00036FAC">
        <w:t>country</w:t>
      </w:r>
      <w:r w:rsidR="00907D8C">
        <w:t xml:space="preserve"> </w:t>
      </w:r>
      <w:r w:rsidRPr="00036FAC">
        <w:t>in</w:t>
      </w:r>
      <w:r w:rsidR="00907D8C">
        <w:t xml:space="preserve"> </w:t>
      </w:r>
      <w:r w:rsidRPr="00036FAC">
        <w:t>the</w:t>
      </w:r>
      <w:r w:rsidR="00907D8C">
        <w:t xml:space="preserve"> </w:t>
      </w:r>
      <w:r w:rsidRPr="00036FAC">
        <w:t>world</w:t>
      </w:r>
      <w:r w:rsidR="00907D8C">
        <w:t xml:space="preserve"> </w:t>
      </w:r>
      <w:r w:rsidRPr="00036FAC">
        <w:t>to</w:t>
      </w:r>
      <w:r w:rsidR="00907D8C">
        <w:t xml:space="preserve"> </w:t>
      </w:r>
      <w:r w:rsidRPr="00036FAC">
        <w:t>grant</w:t>
      </w:r>
      <w:r w:rsidR="00907D8C">
        <w:t xml:space="preserve"> </w:t>
      </w:r>
      <w:r w:rsidRPr="00036FAC">
        <w:t>women</w:t>
      </w:r>
      <w:r w:rsidR="00907D8C">
        <w:t xml:space="preserve"> </w:t>
      </w:r>
      <w:r w:rsidRPr="00036FAC">
        <w:t>the</w:t>
      </w:r>
      <w:r w:rsidR="00907D8C">
        <w:t xml:space="preserve"> </w:t>
      </w:r>
      <w:r w:rsidRPr="00036FAC">
        <w:t>vote.</w:t>
      </w:r>
      <w:r w:rsidR="00907D8C">
        <w:t xml:space="preserve"> </w:t>
      </w:r>
      <w:r w:rsidRPr="00036FAC">
        <w:t>The</w:t>
      </w:r>
      <w:r w:rsidR="00907D8C">
        <w:t xml:space="preserve"> </w:t>
      </w:r>
      <w:r w:rsidRPr="00036FAC">
        <w:t>Electoral</w:t>
      </w:r>
      <w:r w:rsidR="00907D8C">
        <w:t xml:space="preserve"> </w:t>
      </w:r>
      <w:r w:rsidRPr="00036FAC">
        <w:t>Referendum</w:t>
      </w:r>
      <w:r w:rsidR="00907D8C">
        <w:t xml:space="preserve"> </w:t>
      </w:r>
      <w:r w:rsidRPr="00036FAC">
        <w:t>Act</w:t>
      </w:r>
      <w:r w:rsidR="00907D8C">
        <w:t xml:space="preserve"> </w:t>
      </w:r>
      <w:r w:rsidRPr="00036FAC">
        <w:t>1991</w:t>
      </w:r>
      <w:r w:rsidR="00907D8C">
        <w:t xml:space="preserve"> </w:t>
      </w:r>
      <w:r w:rsidRPr="00036FAC">
        <w:t>provided</w:t>
      </w:r>
      <w:r w:rsidR="00907D8C">
        <w:t xml:space="preserve"> </w:t>
      </w:r>
      <w:r w:rsidRPr="00036FAC">
        <w:t>for</w:t>
      </w:r>
      <w:r w:rsidR="00907D8C">
        <w:t xml:space="preserve"> </w:t>
      </w:r>
      <w:r w:rsidRPr="00036FAC">
        <w:t>an</w:t>
      </w:r>
      <w:r w:rsidR="00907D8C">
        <w:t xml:space="preserve"> </w:t>
      </w:r>
      <w:r w:rsidRPr="00036FAC">
        <w:t>indicative</w:t>
      </w:r>
      <w:r w:rsidR="00907D8C">
        <w:t xml:space="preserve"> </w:t>
      </w:r>
      <w:r w:rsidRPr="00036FAC">
        <w:t>referendum</w:t>
      </w:r>
      <w:r w:rsidR="00907D8C">
        <w:t xml:space="preserve"> </w:t>
      </w:r>
      <w:r w:rsidRPr="00036FAC">
        <w:t>on</w:t>
      </w:r>
      <w:r w:rsidR="00907D8C">
        <w:t xml:space="preserve"> </w:t>
      </w:r>
      <w:r w:rsidRPr="00036FAC">
        <w:t>electoral</w:t>
      </w:r>
      <w:r w:rsidR="00907D8C">
        <w:t xml:space="preserve"> </w:t>
      </w:r>
      <w:r w:rsidRPr="00036FAC">
        <w:t>reform</w:t>
      </w:r>
      <w:r w:rsidR="00907D8C">
        <w:t xml:space="preserve"> </w:t>
      </w:r>
      <w:r w:rsidRPr="00036FAC">
        <w:t>that</w:t>
      </w:r>
      <w:r w:rsidR="00907D8C">
        <w:t xml:space="preserve"> </w:t>
      </w:r>
      <w:r w:rsidRPr="00036FAC">
        <w:t>asked</w:t>
      </w:r>
      <w:r w:rsidR="00907D8C">
        <w:t xml:space="preserve"> </w:t>
      </w:r>
      <w:r w:rsidRPr="00036FAC">
        <w:t>voters</w:t>
      </w:r>
      <w:r w:rsidR="00907D8C">
        <w:t xml:space="preserve"> </w:t>
      </w:r>
      <w:r w:rsidRPr="00036FAC">
        <w:t>to</w:t>
      </w:r>
      <w:r w:rsidR="00907D8C">
        <w:t xml:space="preserve"> </w:t>
      </w:r>
      <w:r w:rsidRPr="00036FAC">
        <w:t>choose</w:t>
      </w:r>
      <w:r w:rsidR="00907D8C">
        <w:t xml:space="preserve"> </w:t>
      </w:r>
      <w:r w:rsidRPr="00036FAC">
        <w:t>between</w:t>
      </w:r>
      <w:r w:rsidR="00907D8C">
        <w:t xml:space="preserve"> </w:t>
      </w:r>
      <w:r w:rsidRPr="00036FAC">
        <w:t>the</w:t>
      </w:r>
      <w:r w:rsidR="00907D8C">
        <w:t xml:space="preserve"> </w:t>
      </w:r>
      <w:r w:rsidRPr="00036FAC">
        <w:t>status</w:t>
      </w:r>
      <w:r w:rsidR="00907D8C">
        <w:t xml:space="preserve"> </w:t>
      </w:r>
      <w:r w:rsidRPr="00036FAC">
        <w:t>quo</w:t>
      </w:r>
      <w:r w:rsidR="00907D8C">
        <w:t xml:space="preserve"> </w:t>
      </w:r>
      <w:r w:rsidRPr="00036FAC">
        <w:t>(a</w:t>
      </w:r>
      <w:r w:rsidR="00907D8C">
        <w:t xml:space="preserve"> </w:t>
      </w:r>
      <w:r w:rsidRPr="00036FAC">
        <w:t>simple</w:t>
      </w:r>
      <w:r w:rsidR="00907D8C">
        <w:t xml:space="preserve"> </w:t>
      </w:r>
      <w:r w:rsidRPr="00036FAC">
        <w:t>plurality</w:t>
      </w:r>
      <w:r w:rsidR="00907D8C">
        <w:t xml:space="preserve"> </w:t>
      </w:r>
      <w:r w:rsidRPr="00036FAC">
        <w:t>system</w:t>
      </w:r>
      <w:r w:rsidR="00907D8C">
        <w:t xml:space="preserve"> </w:t>
      </w:r>
      <w:r w:rsidRPr="00036FAC">
        <w:t>referred</w:t>
      </w:r>
      <w:r w:rsidR="00907D8C">
        <w:t xml:space="preserve"> </w:t>
      </w:r>
      <w:r w:rsidRPr="00036FAC">
        <w:t>to</w:t>
      </w:r>
      <w:r w:rsidR="00907D8C">
        <w:t xml:space="preserve"> </w:t>
      </w:r>
      <w:r w:rsidRPr="00036FAC">
        <w:t>as</w:t>
      </w:r>
      <w:r w:rsidR="00907D8C">
        <w:t xml:space="preserve"> </w:t>
      </w:r>
      <w:r w:rsidR="003E4D94">
        <w:t>“</w:t>
      </w:r>
      <w:r w:rsidRPr="00036FAC">
        <w:t>first</w:t>
      </w:r>
      <w:r w:rsidR="00907D8C">
        <w:t xml:space="preserve"> </w:t>
      </w:r>
      <w:r w:rsidRPr="00036FAC">
        <w:t>past</w:t>
      </w:r>
      <w:r w:rsidR="00907D8C">
        <w:t xml:space="preserve"> </w:t>
      </w:r>
      <w:r w:rsidRPr="00036FAC">
        <w:t>the</w:t>
      </w:r>
      <w:r w:rsidR="00907D8C">
        <w:t xml:space="preserve"> </w:t>
      </w:r>
      <w:r w:rsidRPr="00036FAC">
        <w:t>post</w:t>
      </w:r>
      <w:r w:rsidR="003E4D94">
        <w:t>”</w:t>
      </w:r>
      <w:r w:rsidRPr="00036FAC">
        <w:t>)</w:t>
      </w:r>
      <w:r w:rsidR="00907D8C">
        <w:t xml:space="preserve"> </w:t>
      </w:r>
      <w:r w:rsidRPr="00036FAC">
        <w:t>and</w:t>
      </w:r>
      <w:r w:rsidR="00907D8C">
        <w:t xml:space="preserve"> </w:t>
      </w:r>
      <w:r w:rsidRPr="00036FAC">
        <w:t>electoral</w:t>
      </w:r>
      <w:r w:rsidR="00907D8C">
        <w:t xml:space="preserve"> </w:t>
      </w:r>
      <w:r w:rsidRPr="00036FAC">
        <w:t>reform.</w:t>
      </w:r>
      <w:r w:rsidR="00907D8C">
        <w:t xml:space="preserve"> </w:t>
      </w:r>
      <w:r w:rsidRPr="00036FAC">
        <w:t>The</w:t>
      </w:r>
      <w:r w:rsidR="00907D8C">
        <w:t xml:space="preserve"> </w:t>
      </w:r>
      <w:r w:rsidRPr="00036FAC">
        <w:t>majority</w:t>
      </w:r>
      <w:r w:rsidR="00907D8C">
        <w:t xml:space="preserve"> </w:t>
      </w:r>
      <w:r w:rsidRPr="00036FAC">
        <w:t>of</w:t>
      </w:r>
      <w:r w:rsidR="00907D8C">
        <w:t xml:space="preserve"> </w:t>
      </w:r>
      <w:r w:rsidRPr="00036FAC">
        <w:t>voters</w:t>
      </w:r>
      <w:r w:rsidR="00907D8C">
        <w:t xml:space="preserve"> </w:t>
      </w:r>
      <w:r w:rsidRPr="00036FAC">
        <w:t>chose</w:t>
      </w:r>
      <w:r w:rsidR="00907D8C">
        <w:t xml:space="preserve"> </w:t>
      </w:r>
      <w:r w:rsidRPr="00036FAC">
        <w:t>the</w:t>
      </w:r>
      <w:r w:rsidR="00907D8C">
        <w:t xml:space="preserve"> </w:t>
      </w:r>
      <w:r w:rsidRPr="00036FAC">
        <w:t>Mixed</w:t>
      </w:r>
      <w:r w:rsidR="00907D8C">
        <w:t xml:space="preserve"> </w:t>
      </w:r>
      <w:r w:rsidRPr="00036FAC">
        <w:t>Member</w:t>
      </w:r>
      <w:r w:rsidR="00907D8C">
        <w:t xml:space="preserve"> </w:t>
      </w:r>
      <w:r w:rsidRPr="00036FAC">
        <w:t>Proportional</w:t>
      </w:r>
      <w:r w:rsidR="00907D8C">
        <w:t xml:space="preserve"> </w:t>
      </w:r>
      <w:r w:rsidRPr="00036FAC">
        <w:t>Representation</w:t>
      </w:r>
      <w:r w:rsidR="00907D8C">
        <w:t xml:space="preserve"> </w:t>
      </w:r>
      <w:r w:rsidRPr="00036FAC">
        <w:t>(MMP)</w:t>
      </w:r>
      <w:r w:rsidR="00907D8C">
        <w:t xml:space="preserve"> </w:t>
      </w:r>
      <w:r w:rsidRPr="00036FAC">
        <w:t>system.</w:t>
      </w:r>
      <w:r w:rsidR="00907D8C">
        <w:t xml:space="preserve"> </w:t>
      </w:r>
      <w:r w:rsidRPr="00036FAC">
        <w:t>MMP</w:t>
      </w:r>
      <w:r w:rsidR="00907D8C">
        <w:t xml:space="preserve"> </w:t>
      </w:r>
      <w:r w:rsidRPr="00036FAC">
        <w:t>was</w:t>
      </w:r>
      <w:r w:rsidR="00907D8C">
        <w:t xml:space="preserve"> </w:t>
      </w:r>
      <w:r w:rsidRPr="00036FAC">
        <w:t>introduced</w:t>
      </w:r>
      <w:r w:rsidR="00907D8C">
        <w:t xml:space="preserve"> </w:t>
      </w:r>
      <w:r w:rsidRPr="00036FAC">
        <w:t>after</w:t>
      </w:r>
      <w:r w:rsidR="00907D8C">
        <w:t xml:space="preserve"> </w:t>
      </w:r>
      <w:r w:rsidRPr="00036FAC">
        <w:t>the</w:t>
      </w:r>
      <w:r w:rsidR="00907D8C">
        <w:t xml:space="preserve"> </w:t>
      </w:r>
      <w:r w:rsidRPr="00036FAC">
        <w:t>second</w:t>
      </w:r>
      <w:r w:rsidR="00907D8C">
        <w:t xml:space="preserve"> </w:t>
      </w:r>
      <w:r w:rsidRPr="00036FAC">
        <w:t>and</w:t>
      </w:r>
      <w:r w:rsidR="00907D8C">
        <w:t xml:space="preserve"> </w:t>
      </w:r>
      <w:r w:rsidRPr="00036FAC">
        <w:t>final</w:t>
      </w:r>
      <w:r w:rsidR="00907D8C">
        <w:t xml:space="preserve"> </w:t>
      </w:r>
      <w:r w:rsidRPr="00036FAC">
        <w:t>binding</w:t>
      </w:r>
      <w:r w:rsidR="00907D8C">
        <w:t xml:space="preserve"> </w:t>
      </w:r>
      <w:r w:rsidRPr="00036FAC">
        <w:t>referendum</w:t>
      </w:r>
      <w:r w:rsidR="00907D8C">
        <w:t xml:space="preserve"> </w:t>
      </w:r>
      <w:r w:rsidRPr="00036FAC">
        <w:t>held</w:t>
      </w:r>
      <w:r w:rsidR="00907D8C">
        <w:t xml:space="preserve"> </w:t>
      </w:r>
      <w:r w:rsidRPr="00036FAC">
        <w:t>in</w:t>
      </w:r>
      <w:r w:rsidR="00907D8C">
        <w:t xml:space="preserve"> </w:t>
      </w:r>
      <w:r w:rsidRPr="00036FAC">
        <w:t>conjunction</w:t>
      </w:r>
      <w:r w:rsidR="00907D8C">
        <w:t xml:space="preserve"> </w:t>
      </w:r>
      <w:r w:rsidRPr="00036FAC">
        <w:t>with</w:t>
      </w:r>
      <w:r w:rsidR="00907D8C">
        <w:t xml:space="preserve"> </w:t>
      </w:r>
      <w:r w:rsidRPr="00036FAC">
        <w:t>the</w:t>
      </w:r>
      <w:r w:rsidR="00907D8C">
        <w:t xml:space="preserve"> </w:t>
      </w:r>
      <w:r w:rsidRPr="00036FAC">
        <w:t>1993</w:t>
      </w:r>
      <w:r w:rsidR="00907D8C">
        <w:t xml:space="preserve"> </w:t>
      </w:r>
      <w:r w:rsidRPr="00036FAC">
        <w:t>general</w:t>
      </w:r>
      <w:r w:rsidR="00907D8C">
        <w:t xml:space="preserve"> </w:t>
      </w:r>
      <w:r w:rsidRPr="00036FAC">
        <w:t>election.</w:t>
      </w:r>
    </w:p>
    <w:p w:rsidR="00036FAC" w:rsidRPr="00036FAC" w:rsidRDefault="00036FAC" w:rsidP="001722E9">
      <w:pPr>
        <w:pStyle w:val="SingleTxtG"/>
      </w:pPr>
      <w:r w:rsidRPr="00036FAC">
        <w:t>155.</w:t>
      </w:r>
      <w:r w:rsidRPr="00036FAC">
        <w:tab/>
        <w:t>The</w:t>
      </w:r>
      <w:r w:rsidR="00907D8C">
        <w:t xml:space="preserve"> </w:t>
      </w:r>
      <w:r w:rsidRPr="00036FAC">
        <w:t>Electoral</w:t>
      </w:r>
      <w:r w:rsidR="00907D8C">
        <w:t xml:space="preserve"> </w:t>
      </w:r>
      <w:r w:rsidRPr="00036FAC">
        <w:t>Act</w:t>
      </w:r>
      <w:r w:rsidR="00907D8C">
        <w:t xml:space="preserve"> </w:t>
      </w:r>
      <w:r w:rsidRPr="00036FAC">
        <w:t>1993</w:t>
      </w:r>
      <w:r w:rsidR="00907D8C">
        <w:t xml:space="preserve"> </w:t>
      </w:r>
      <w:r w:rsidRPr="00036FAC">
        <w:t>prescribes</w:t>
      </w:r>
      <w:r w:rsidR="00907D8C">
        <w:t xml:space="preserve"> </w:t>
      </w:r>
      <w:r w:rsidRPr="00036FAC">
        <w:t>the</w:t>
      </w:r>
      <w:r w:rsidR="00907D8C">
        <w:t xml:space="preserve"> </w:t>
      </w:r>
      <w:r w:rsidRPr="00036FAC">
        <w:t>electoral</w:t>
      </w:r>
      <w:r w:rsidR="00907D8C">
        <w:t xml:space="preserve"> </w:t>
      </w:r>
      <w:r w:rsidRPr="00036FAC">
        <w:t>system.</w:t>
      </w:r>
      <w:r w:rsidR="00907D8C">
        <w:t xml:space="preserve"> </w:t>
      </w:r>
      <w:r w:rsidRPr="00036FAC">
        <w:t>Under</w:t>
      </w:r>
      <w:r w:rsidR="00907D8C">
        <w:t xml:space="preserve"> </w:t>
      </w:r>
      <w:r w:rsidRPr="00036FAC">
        <w:t>MMP,</w:t>
      </w:r>
      <w:r w:rsidR="00907D8C">
        <w:t xml:space="preserve"> </w:t>
      </w:r>
      <w:r w:rsidRPr="00036FAC">
        <w:t>voters</w:t>
      </w:r>
      <w:r w:rsidR="00907D8C">
        <w:t xml:space="preserve"> </w:t>
      </w:r>
      <w:r w:rsidRPr="00036FAC">
        <w:t>have</w:t>
      </w:r>
      <w:r w:rsidR="00907D8C">
        <w:t xml:space="preserve"> </w:t>
      </w:r>
      <w:r w:rsidRPr="00036FAC">
        <w:t>a</w:t>
      </w:r>
      <w:r w:rsidR="00907D8C">
        <w:t xml:space="preserve"> </w:t>
      </w:r>
      <w:r w:rsidRPr="00036FAC">
        <w:t>party</w:t>
      </w:r>
      <w:r w:rsidR="00907D8C">
        <w:t xml:space="preserve"> </w:t>
      </w:r>
      <w:r w:rsidRPr="00036FAC">
        <w:t>vote</w:t>
      </w:r>
      <w:r w:rsidR="00907D8C">
        <w:t xml:space="preserve"> </w:t>
      </w:r>
      <w:r w:rsidRPr="00036FAC">
        <w:t>and</w:t>
      </w:r>
      <w:r w:rsidR="00907D8C">
        <w:t xml:space="preserve"> </w:t>
      </w:r>
      <w:r w:rsidRPr="00036FAC">
        <w:t>an</w:t>
      </w:r>
      <w:r w:rsidR="00907D8C">
        <w:t xml:space="preserve"> </w:t>
      </w:r>
      <w:r w:rsidRPr="00036FAC">
        <w:t>electorate</w:t>
      </w:r>
      <w:r w:rsidR="00907D8C">
        <w:t xml:space="preserve"> </w:t>
      </w:r>
      <w:r w:rsidRPr="00036FAC">
        <w:t>vote.</w:t>
      </w:r>
      <w:r w:rsidR="00907D8C">
        <w:t xml:space="preserve"> </w:t>
      </w:r>
      <w:r w:rsidRPr="00036FAC">
        <w:t>The</w:t>
      </w:r>
      <w:r w:rsidR="00907D8C">
        <w:t xml:space="preserve"> </w:t>
      </w:r>
      <w:r w:rsidRPr="00036FAC">
        <w:t>party</w:t>
      </w:r>
      <w:r w:rsidR="00907D8C">
        <w:t xml:space="preserve"> </w:t>
      </w:r>
      <w:r w:rsidRPr="00036FAC">
        <w:t>vote</w:t>
      </w:r>
      <w:r w:rsidR="00907D8C">
        <w:t xml:space="preserve"> </w:t>
      </w:r>
      <w:r w:rsidRPr="00036FAC">
        <w:t>enables</w:t>
      </w:r>
      <w:r w:rsidR="00907D8C">
        <w:t xml:space="preserve"> </w:t>
      </w:r>
      <w:r w:rsidRPr="00036FAC">
        <w:t>voters</w:t>
      </w:r>
      <w:r w:rsidR="00907D8C">
        <w:t xml:space="preserve"> </w:t>
      </w:r>
      <w:r w:rsidRPr="00036FAC">
        <w:t>to</w:t>
      </w:r>
      <w:r w:rsidR="00907D8C">
        <w:t xml:space="preserve"> </w:t>
      </w:r>
      <w:r w:rsidRPr="00036FAC">
        <w:t>choose</w:t>
      </w:r>
      <w:r w:rsidR="00907D8C">
        <w:t xml:space="preserve"> </w:t>
      </w:r>
      <w:r w:rsidRPr="00036FAC">
        <w:t>which</w:t>
      </w:r>
      <w:r w:rsidR="00907D8C">
        <w:t xml:space="preserve"> </w:t>
      </w:r>
      <w:r w:rsidRPr="00036FAC">
        <w:t>party</w:t>
      </w:r>
      <w:r w:rsidR="00907D8C">
        <w:t xml:space="preserve"> </w:t>
      </w:r>
      <w:r w:rsidRPr="00036FAC">
        <w:t>they</w:t>
      </w:r>
      <w:r w:rsidR="00907D8C">
        <w:t xml:space="preserve"> </w:t>
      </w:r>
      <w:r w:rsidRPr="00036FAC">
        <w:t>would</w:t>
      </w:r>
      <w:r w:rsidR="00907D8C">
        <w:t xml:space="preserve"> </w:t>
      </w:r>
      <w:r w:rsidRPr="00036FAC">
        <w:t>like</w:t>
      </w:r>
      <w:r w:rsidR="00907D8C">
        <w:t xml:space="preserve"> </w:t>
      </w:r>
      <w:r w:rsidRPr="00036FAC">
        <w:t>represented</w:t>
      </w:r>
      <w:r w:rsidR="00907D8C">
        <w:t xml:space="preserve"> </w:t>
      </w:r>
      <w:r w:rsidRPr="00036FAC">
        <w:t>in</w:t>
      </w:r>
      <w:r w:rsidR="00907D8C">
        <w:t xml:space="preserve"> </w:t>
      </w:r>
      <w:r w:rsidRPr="00036FAC">
        <w:t>Parliament.</w:t>
      </w:r>
      <w:r w:rsidR="00907D8C">
        <w:t xml:space="preserve"> </w:t>
      </w:r>
      <w:r w:rsidRPr="00036FAC">
        <w:t>As</w:t>
      </w:r>
      <w:r w:rsidR="00907D8C">
        <w:t xml:space="preserve"> </w:t>
      </w:r>
      <w:r w:rsidRPr="00036FAC">
        <w:t>of</w:t>
      </w:r>
      <w:r w:rsidR="00907D8C">
        <w:t xml:space="preserve"> </w:t>
      </w:r>
      <w:r w:rsidRPr="00036FAC">
        <w:t>June</w:t>
      </w:r>
      <w:r w:rsidR="00907D8C">
        <w:t xml:space="preserve"> </w:t>
      </w:r>
      <w:r w:rsidRPr="00036FAC">
        <w:t>2010,</w:t>
      </w:r>
      <w:r w:rsidR="00907D8C">
        <w:t xml:space="preserve"> </w:t>
      </w:r>
      <w:r w:rsidRPr="00036FAC">
        <w:t>there</w:t>
      </w:r>
      <w:r w:rsidR="00907D8C">
        <w:t xml:space="preserve"> </w:t>
      </w:r>
      <w:r w:rsidRPr="00036FAC">
        <w:t>were</w:t>
      </w:r>
      <w:r w:rsidR="00907D8C">
        <w:t xml:space="preserve"> </w:t>
      </w:r>
      <w:r w:rsidRPr="00036FAC">
        <w:t>16</w:t>
      </w:r>
      <w:r w:rsidR="00907D8C">
        <w:t xml:space="preserve"> </w:t>
      </w:r>
      <w:r w:rsidRPr="00036FAC">
        <w:t>registered</w:t>
      </w:r>
      <w:r w:rsidR="00907D8C">
        <w:t xml:space="preserve"> </w:t>
      </w:r>
      <w:r w:rsidRPr="00036FAC">
        <w:t>political</w:t>
      </w:r>
      <w:r w:rsidR="00907D8C">
        <w:t xml:space="preserve"> </w:t>
      </w:r>
      <w:r w:rsidRPr="00036FAC">
        <w:t>parties.</w:t>
      </w:r>
      <w:r w:rsidR="00907D8C">
        <w:t xml:space="preserve"> </w:t>
      </w:r>
      <w:r w:rsidRPr="00036FAC">
        <w:t>The</w:t>
      </w:r>
      <w:r w:rsidR="00907D8C">
        <w:t xml:space="preserve"> </w:t>
      </w:r>
      <w:r w:rsidRPr="00036FAC">
        <w:t>electorate</w:t>
      </w:r>
      <w:r w:rsidR="00907D8C">
        <w:t xml:space="preserve"> </w:t>
      </w:r>
      <w:r w:rsidRPr="00036FAC">
        <w:t>vote</w:t>
      </w:r>
      <w:r w:rsidR="00907D8C">
        <w:t xml:space="preserve"> </w:t>
      </w:r>
      <w:r w:rsidRPr="00036FAC">
        <w:t>enables</w:t>
      </w:r>
      <w:r w:rsidR="00907D8C">
        <w:t xml:space="preserve"> </w:t>
      </w:r>
      <w:r w:rsidRPr="00036FAC">
        <w:t>voters</w:t>
      </w:r>
      <w:r w:rsidR="00907D8C">
        <w:t xml:space="preserve"> </w:t>
      </w:r>
      <w:r w:rsidRPr="00036FAC">
        <w:t>to</w:t>
      </w:r>
      <w:r w:rsidR="00907D8C">
        <w:t xml:space="preserve"> </w:t>
      </w:r>
      <w:r w:rsidRPr="00036FAC">
        <w:t>choose</w:t>
      </w:r>
      <w:r w:rsidR="00907D8C">
        <w:t xml:space="preserve"> </w:t>
      </w:r>
      <w:r w:rsidRPr="00036FAC">
        <w:t>a</w:t>
      </w:r>
      <w:r w:rsidR="00907D8C">
        <w:t xml:space="preserve"> </w:t>
      </w:r>
      <w:r w:rsidRPr="00036FAC">
        <w:t>Member</w:t>
      </w:r>
      <w:r w:rsidR="00907D8C">
        <w:t xml:space="preserve"> </w:t>
      </w:r>
      <w:r w:rsidRPr="00036FAC">
        <w:t>of</w:t>
      </w:r>
      <w:r w:rsidR="00907D8C">
        <w:t xml:space="preserve"> </w:t>
      </w:r>
      <w:r w:rsidRPr="00036FAC">
        <w:t>Parliament</w:t>
      </w:r>
      <w:r w:rsidR="00907D8C">
        <w:t xml:space="preserve"> </w:t>
      </w:r>
      <w:r w:rsidRPr="00036FAC">
        <w:t>(MP)</w:t>
      </w:r>
      <w:r w:rsidR="00907D8C">
        <w:t xml:space="preserve"> </w:t>
      </w:r>
      <w:r w:rsidRPr="00036FAC">
        <w:t>to</w:t>
      </w:r>
      <w:r w:rsidR="00907D8C">
        <w:t xml:space="preserve"> </w:t>
      </w:r>
      <w:r w:rsidRPr="00036FAC">
        <w:t>represent</w:t>
      </w:r>
      <w:r w:rsidR="00907D8C">
        <w:t xml:space="preserve"> </w:t>
      </w:r>
      <w:r w:rsidRPr="00036FAC">
        <w:t>their</w:t>
      </w:r>
      <w:r w:rsidR="00907D8C">
        <w:t xml:space="preserve"> </w:t>
      </w:r>
      <w:r w:rsidRPr="00036FAC">
        <w:t>electorate.</w:t>
      </w:r>
    </w:p>
    <w:p w:rsidR="00036FAC" w:rsidRPr="00036FAC" w:rsidRDefault="00036FAC" w:rsidP="001722E9">
      <w:pPr>
        <w:pStyle w:val="SingleTxtG"/>
      </w:pPr>
      <w:r w:rsidRPr="00036FAC">
        <w:t>156.</w:t>
      </w:r>
      <w:r w:rsidRPr="00036FAC">
        <w:tab/>
        <w:t>Under</w:t>
      </w:r>
      <w:r w:rsidR="00907D8C">
        <w:t xml:space="preserve"> </w:t>
      </w:r>
      <w:r w:rsidRPr="00036FAC">
        <w:t>the</w:t>
      </w:r>
      <w:r w:rsidR="00907D8C">
        <w:t xml:space="preserve"> </w:t>
      </w:r>
      <w:r w:rsidRPr="00036FAC">
        <w:t>MMP</w:t>
      </w:r>
      <w:r w:rsidR="00907D8C">
        <w:t xml:space="preserve"> </w:t>
      </w:r>
      <w:r w:rsidRPr="00036FAC">
        <w:t>system,</w:t>
      </w:r>
      <w:r w:rsidR="00907D8C">
        <w:t xml:space="preserve"> </w:t>
      </w:r>
      <w:r w:rsidRPr="00036FAC">
        <w:t>there</w:t>
      </w:r>
      <w:r w:rsidR="00907D8C">
        <w:t xml:space="preserve"> </w:t>
      </w:r>
      <w:r w:rsidRPr="00036FAC">
        <w:t>will</w:t>
      </w:r>
      <w:r w:rsidR="00907D8C">
        <w:t xml:space="preserve"> </w:t>
      </w:r>
      <w:r w:rsidRPr="00036FAC">
        <w:t>usually</w:t>
      </w:r>
      <w:r w:rsidR="00907D8C">
        <w:t xml:space="preserve"> </w:t>
      </w:r>
      <w:r w:rsidRPr="00036FAC">
        <w:t>be</w:t>
      </w:r>
      <w:r w:rsidR="00907D8C">
        <w:t xml:space="preserve"> </w:t>
      </w:r>
      <w:r w:rsidRPr="00036FAC">
        <w:t>120</w:t>
      </w:r>
      <w:r w:rsidR="00907D8C">
        <w:t xml:space="preserve"> </w:t>
      </w:r>
      <w:r w:rsidRPr="00036FAC">
        <w:t>MPs</w:t>
      </w:r>
      <w:r w:rsidR="00907D8C">
        <w:t xml:space="preserve"> </w:t>
      </w:r>
      <w:r w:rsidRPr="00036FAC">
        <w:t>(although</w:t>
      </w:r>
      <w:r w:rsidR="00907D8C">
        <w:t xml:space="preserve"> </w:t>
      </w:r>
      <w:r w:rsidRPr="00036FAC">
        <w:t>currently</w:t>
      </w:r>
      <w:r w:rsidR="00907D8C">
        <w:t xml:space="preserve"> </w:t>
      </w:r>
      <w:r w:rsidRPr="00036FAC">
        <w:t>there</w:t>
      </w:r>
      <w:r w:rsidR="00907D8C">
        <w:t xml:space="preserve"> </w:t>
      </w:r>
      <w:r w:rsidRPr="00036FAC">
        <w:t>are</w:t>
      </w:r>
      <w:r w:rsidR="00907D8C">
        <w:t xml:space="preserve"> </w:t>
      </w:r>
      <w:r w:rsidRPr="00036FAC">
        <w:t>122).</w:t>
      </w:r>
      <w:r w:rsidR="00907D8C">
        <w:t xml:space="preserve"> </w:t>
      </w:r>
      <w:r w:rsidRPr="00036FAC">
        <w:t>In</w:t>
      </w:r>
      <w:r w:rsidR="00907D8C">
        <w:t xml:space="preserve"> </w:t>
      </w:r>
      <w:r w:rsidRPr="00036FAC">
        <w:t>the</w:t>
      </w:r>
      <w:r w:rsidR="00907D8C">
        <w:t xml:space="preserve"> </w:t>
      </w:r>
      <w:r w:rsidRPr="00036FAC">
        <w:t>Parliament</w:t>
      </w:r>
      <w:r w:rsidR="00907D8C">
        <w:t xml:space="preserve"> </w:t>
      </w:r>
      <w:r w:rsidRPr="00036FAC">
        <w:t>elected</w:t>
      </w:r>
      <w:r w:rsidR="00907D8C">
        <w:t xml:space="preserve"> </w:t>
      </w:r>
      <w:r w:rsidRPr="00036FAC">
        <w:t>in</w:t>
      </w:r>
      <w:r w:rsidR="00907D8C">
        <w:t xml:space="preserve"> </w:t>
      </w:r>
      <w:r w:rsidRPr="00036FAC">
        <w:t>November</w:t>
      </w:r>
      <w:r w:rsidR="00907D8C">
        <w:t xml:space="preserve"> </w:t>
      </w:r>
      <w:r w:rsidRPr="00036FAC">
        <w:t>2008,</w:t>
      </w:r>
      <w:r w:rsidR="00907D8C">
        <w:t xml:space="preserve"> </w:t>
      </w:r>
      <w:r w:rsidRPr="00036FAC">
        <w:t>there</w:t>
      </w:r>
      <w:r w:rsidR="00907D8C">
        <w:t xml:space="preserve"> </w:t>
      </w:r>
      <w:r w:rsidRPr="00036FAC">
        <w:t>were</w:t>
      </w:r>
      <w:r w:rsidR="00907D8C">
        <w:t xml:space="preserve"> </w:t>
      </w:r>
      <w:r w:rsidRPr="00036FAC">
        <w:t>52</w:t>
      </w:r>
      <w:r w:rsidR="00907D8C">
        <w:t xml:space="preserve"> </w:t>
      </w:r>
      <w:r w:rsidRPr="00036FAC">
        <w:t>party</w:t>
      </w:r>
      <w:r w:rsidR="00907D8C">
        <w:t xml:space="preserve"> </w:t>
      </w:r>
      <w:r w:rsidRPr="00036FAC">
        <w:t>list</w:t>
      </w:r>
      <w:r w:rsidR="00907D8C">
        <w:t xml:space="preserve"> </w:t>
      </w:r>
      <w:r w:rsidRPr="00036FAC">
        <w:t>members,</w:t>
      </w:r>
      <w:r w:rsidR="00907D8C">
        <w:t xml:space="preserve"> </w:t>
      </w:r>
      <w:r w:rsidRPr="00036FAC">
        <w:t>63</w:t>
      </w:r>
      <w:r w:rsidR="00907D8C">
        <w:t xml:space="preserve"> </w:t>
      </w:r>
      <w:r w:rsidRPr="00036FAC">
        <w:t>general</w:t>
      </w:r>
      <w:r w:rsidR="00907D8C">
        <w:t xml:space="preserve"> </w:t>
      </w:r>
      <w:r w:rsidRPr="00036FAC">
        <w:t>electorate</w:t>
      </w:r>
      <w:r w:rsidR="00907D8C">
        <w:t xml:space="preserve"> </w:t>
      </w:r>
      <w:r w:rsidRPr="00036FAC">
        <w:t>members,</w:t>
      </w:r>
      <w:r w:rsidR="00907D8C">
        <w:t xml:space="preserve"> </w:t>
      </w:r>
      <w:r w:rsidRPr="00036FAC">
        <w:t>and</w:t>
      </w:r>
      <w:r w:rsidR="00907D8C">
        <w:t xml:space="preserve"> </w:t>
      </w:r>
      <w:r w:rsidRPr="00036FAC">
        <w:t>seven</w:t>
      </w:r>
      <w:r w:rsidR="00907D8C">
        <w:t xml:space="preserve"> </w:t>
      </w:r>
      <w:r w:rsidRPr="00036FAC">
        <w:t>Māori</w:t>
      </w:r>
      <w:r w:rsidR="00907D8C">
        <w:t xml:space="preserve"> </w:t>
      </w:r>
      <w:r w:rsidRPr="00036FAC">
        <w:t>electorate</w:t>
      </w:r>
      <w:r w:rsidR="00907D8C">
        <w:t xml:space="preserve"> </w:t>
      </w:r>
      <w:r w:rsidRPr="00036FAC">
        <w:t>members.</w:t>
      </w:r>
      <w:r w:rsidR="00907D8C">
        <w:t xml:space="preserve"> </w:t>
      </w:r>
      <w:r w:rsidRPr="00036FAC">
        <w:t>The</w:t>
      </w:r>
      <w:r w:rsidR="00907D8C">
        <w:t xml:space="preserve"> </w:t>
      </w:r>
      <w:r w:rsidRPr="00036FAC">
        <w:t>general</w:t>
      </w:r>
      <w:r w:rsidR="00907D8C">
        <w:t xml:space="preserve"> </w:t>
      </w:r>
      <w:r w:rsidRPr="00036FAC">
        <w:t>and</w:t>
      </w:r>
      <w:r w:rsidR="00907D8C">
        <w:t xml:space="preserve"> </w:t>
      </w:r>
      <w:r w:rsidRPr="00036FAC">
        <w:t>Māori</w:t>
      </w:r>
      <w:r w:rsidR="00907D8C">
        <w:t xml:space="preserve"> </w:t>
      </w:r>
      <w:r w:rsidRPr="00036FAC">
        <w:t>electorates</w:t>
      </w:r>
      <w:r w:rsidR="00907D8C">
        <w:t xml:space="preserve"> </w:t>
      </w:r>
      <w:r w:rsidRPr="00036FAC">
        <w:t>are</w:t>
      </w:r>
      <w:r w:rsidR="00907D8C">
        <w:t xml:space="preserve"> </w:t>
      </w:r>
      <w:r w:rsidRPr="00036FAC">
        <w:t>geographical</w:t>
      </w:r>
      <w:r w:rsidR="00907D8C">
        <w:t xml:space="preserve"> </w:t>
      </w:r>
      <w:r w:rsidRPr="00036FAC">
        <w:t>areas</w:t>
      </w:r>
      <w:r w:rsidR="00907D8C">
        <w:t xml:space="preserve"> </w:t>
      </w:r>
      <w:r w:rsidRPr="00036FAC">
        <w:t>of</w:t>
      </w:r>
      <w:r w:rsidR="00907D8C">
        <w:t xml:space="preserve"> </w:t>
      </w:r>
      <w:r w:rsidRPr="00036FAC">
        <w:t>similar</w:t>
      </w:r>
      <w:r w:rsidR="00907D8C">
        <w:t xml:space="preserve"> </w:t>
      </w:r>
      <w:r w:rsidRPr="00036FAC">
        <w:t>populations,</w:t>
      </w:r>
      <w:r w:rsidR="00907D8C">
        <w:t xml:space="preserve"> </w:t>
      </w:r>
      <w:r w:rsidRPr="00036FAC">
        <w:t>with</w:t>
      </w:r>
      <w:r w:rsidR="00907D8C">
        <w:t xml:space="preserve"> </w:t>
      </w:r>
      <w:r w:rsidRPr="00036FAC">
        <w:t>the</w:t>
      </w:r>
      <w:r w:rsidR="00907D8C">
        <w:t xml:space="preserve"> </w:t>
      </w:r>
      <w:r w:rsidRPr="00036FAC">
        <w:t>Māori</w:t>
      </w:r>
      <w:r w:rsidR="00907D8C">
        <w:t xml:space="preserve"> </w:t>
      </w:r>
      <w:r w:rsidRPr="00036FAC">
        <w:t>seats</w:t>
      </w:r>
      <w:r w:rsidR="00907D8C">
        <w:t xml:space="preserve"> </w:t>
      </w:r>
      <w:r w:rsidRPr="00036FAC">
        <w:t>overlaying</w:t>
      </w:r>
      <w:r w:rsidR="00907D8C">
        <w:t xml:space="preserve"> </w:t>
      </w:r>
      <w:r w:rsidRPr="00036FAC">
        <w:t>the</w:t>
      </w:r>
      <w:r w:rsidR="00907D8C">
        <w:t xml:space="preserve"> </w:t>
      </w:r>
      <w:r w:rsidRPr="00036FAC">
        <w:t>general</w:t>
      </w:r>
      <w:r w:rsidR="00907D8C">
        <w:t xml:space="preserve"> </w:t>
      </w:r>
      <w:r w:rsidRPr="00036FAC">
        <w:t>ones.</w:t>
      </w:r>
      <w:r w:rsidR="00907D8C">
        <w:t xml:space="preserve"> </w:t>
      </w:r>
      <w:r w:rsidRPr="00036FAC">
        <w:t>Following</w:t>
      </w:r>
      <w:r w:rsidR="00907D8C">
        <w:t xml:space="preserve"> </w:t>
      </w:r>
      <w:r w:rsidRPr="00036FAC">
        <w:t>the</w:t>
      </w:r>
      <w:r w:rsidR="00907D8C">
        <w:t xml:space="preserve"> </w:t>
      </w:r>
      <w:r w:rsidRPr="00036FAC">
        <w:t>2008</w:t>
      </w:r>
      <w:r w:rsidR="00907D8C">
        <w:t xml:space="preserve"> </w:t>
      </w:r>
      <w:r w:rsidRPr="00036FAC">
        <w:t>general</w:t>
      </w:r>
      <w:r w:rsidR="00907D8C">
        <w:t xml:space="preserve"> </w:t>
      </w:r>
      <w:r w:rsidRPr="00036FAC">
        <w:t>election,</w:t>
      </w:r>
      <w:r w:rsidR="00907D8C">
        <w:t xml:space="preserve"> </w:t>
      </w:r>
      <w:r w:rsidRPr="00036FAC">
        <w:t>there</w:t>
      </w:r>
      <w:r w:rsidR="00907D8C">
        <w:t xml:space="preserve"> </w:t>
      </w:r>
      <w:r w:rsidRPr="00036FAC">
        <w:t>were</w:t>
      </w:r>
      <w:r w:rsidR="00907D8C">
        <w:t xml:space="preserve"> </w:t>
      </w:r>
      <w:r w:rsidRPr="00036FAC">
        <w:t>21</w:t>
      </w:r>
      <w:r w:rsidR="00907D8C">
        <w:t xml:space="preserve"> </w:t>
      </w:r>
      <w:r w:rsidRPr="00036FAC">
        <w:t>MPs</w:t>
      </w:r>
      <w:r w:rsidR="00907D8C">
        <w:t xml:space="preserve"> </w:t>
      </w:r>
      <w:r w:rsidRPr="00036FAC">
        <w:t>who</w:t>
      </w:r>
      <w:r w:rsidR="00907D8C">
        <w:t xml:space="preserve"> </w:t>
      </w:r>
      <w:r w:rsidRPr="00036FAC">
        <w:t>identified</w:t>
      </w:r>
      <w:r w:rsidR="00907D8C">
        <w:t xml:space="preserve"> </w:t>
      </w:r>
      <w:r w:rsidRPr="00036FAC">
        <w:t>as</w:t>
      </w:r>
      <w:r w:rsidR="00907D8C">
        <w:t xml:space="preserve"> </w:t>
      </w:r>
      <w:r w:rsidRPr="00036FAC">
        <w:t>Māori</w:t>
      </w:r>
      <w:r w:rsidR="00907D8C">
        <w:t xml:space="preserve"> </w:t>
      </w:r>
      <w:r w:rsidRPr="00036FAC">
        <w:t>(17</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all</w:t>
      </w:r>
      <w:r w:rsidR="00907D8C">
        <w:t xml:space="preserve"> </w:t>
      </w:r>
      <w:r w:rsidRPr="00036FAC">
        <w:t>122</w:t>
      </w:r>
      <w:r w:rsidR="00907D8C">
        <w:t xml:space="preserve"> </w:t>
      </w:r>
      <w:r w:rsidRPr="00036FAC">
        <w:t>MPs</w:t>
      </w:r>
      <w:r w:rsidR="00907D8C">
        <w:t xml:space="preserve"> </w:t>
      </w:r>
      <w:r w:rsidRPr="00036FAC">
        <w:t>in</w:t>
      </w:r>
      <w:r w:rsidR="00907D8C">
        <w:t xml:space="preserve"> </w:t>
      </w:r>
      <w:r w:rsidRPr="00036FAC">
        <w:t>Parliament),</w:t>
      </w:r>
      <w:r w:rsidR="00907D8C">
        <w:t xml:space="preserve"> </w:t>
      </w:r>
      <w:r w:rsidRPr="00036FAC">
        <w:t>five</w:t>
      </w:r>
      <w:r w:rsidR="00907D8C">
        <w:t xml:space="preserve"> </w:t>
      </w:r>
      <w:r w:rsidRPr="00036FAC">
        <w:t>MPs</w:t>
      </w:r>
      <w:r w:rsidR="00907D8C">
        <w:t xml:space="preserve"> </w:t>
      </w:r>
      <w:r w:rsidRPr="00036FAC">
        <w:t>of</w:t>
      </w:r>
      <w:r w:rsidR="00907D8C">
        <w:t xml:space="preserve"> </w:t>
      </w:r>
      <w:r w:rsidRPr="00036FAC">
        <w:t>Pacific</w:t>
      </w:r>
      <w:r w:rsidR="00907D8C">
        <w:t xml:space="preserve"> </w:t>
      </w:r>
      <w:r w:rsidRPr="00036FAC">
        <w:t>descent,</w:t>
      </w:r>
      <w:r w:rsidR="00907D8C">
        <w:t xml:space="preserve"> </w:t>
      </w:r>
      <w:r w:rsidRPr="00036FAC">
        <w:t>and</w:t>
      </w:r>
      <w:r w:rsidR="00907D8C">
        <w:t xml:space="preserve"> </w:t>
      </w:r>
      <w:r w:rsidRPr="00036FAC">
        <w:t>six</w:t>
      </w:r>
      <w:r w:rsidR="00907D8C">
        <w:t xml:space="preserve"> </w:t>
      </w:r>
      <w:r w:rsidRPr="00036FAC">
        <w:t>MPs</w:t>
      </w:r>
      <w:r w:rsidR="00907D8C">
        <w:t xml:space="preserve"> </w:t>
      </w:r>
      <w:r w:rsidRPr="00036FAC">
        <w:t>of</w:t>
      </w:r>
      <w:r w:rsidR="00907D8C">
        <w:t xml:space="preserve"> </w:t>
      </w:r>
      <w:r w:rsidRPr="00036FAC">
        <w:t>Asian</w:t>
      </w:r>
      <w:r w:rsidR="00907D8C">
        <w:t xml:space="preserve"> </w:t>
      </w:r>
      <w:r w:rsidRPr="00036FAC">
        <w:t>descent.</w:t>
      </w:r>
      <w:r w:rsidR="00907D8C">
        <w:t xml:space="preserve"> </w:t>
      </w:r>
      <w:r w:rsidRPr="00036FAC">
        <w:t>There</w:t>
      </w:r>
      <w:r w:rsidR="00907D8C">
        <w:t xml:space="preserve"> </w:t>
      </w:r>
      <w:r w:rsidRPr="00036FAC">
        <w:t>are</w:t>
      </w:r>
      <w:r w:rsidR="00907D8C">
        <w:t xml:space="preserve"> </w:t>
      </w:r>
      <w:r w:rsidRPr="00036FAC">
        <w:t>now</w:t>
      </w:r>
      <w:r w:rsidR="00907D8C">
        <w:t xml:space="preserve"> </w:t>
      </w:r>
      <w:r w:rsidRPr="00036FAC">
        <w:t>38</w:t>
      </w:r>
      <w:r w:rsidR="00907D8C">
        <w:t xml:space="preserve"> </w:t>
      </w:r>
      <w:r w:rsidRPr="00036FAC">
        <w:t>women</w:t>
      </w:r>
      <w:r w:rsidR="00907D8C">
        <w:t xml:space="preserve"> </w:t>
      </w:r>
      <w:r w:rsidRPr="00036FAC">
        <w:t>MPs</w:t>
      </w:r>
      <w:r w:rsidR="00907D8C">
        <w:t xml:space="preserve"> </w:t>
      </w:r>
      <w:r w:rsidRPr="00036FAC">
        <w:t>in</w:t>
      </w:r>
      <w:r w:rsidR="00907D8C">
        <w:t xml:space="preserve"> </w:t>
      </w:r>
      <w:r w:rsidRPr="00036FAC">
        <w:t>the</w:t>
      </w:r>
      <w:r w:rsidR="00907D8C">
        <w:t xml:space="preserve"> </w:t>
      </w:r>
      <w:r w:rsidRPr="00036FAC">
        <w:t>current</w:t>
      </w:r>
      <w:r w:rsidR="00907D8C">
        <w:t xml:space="preserve"> </w:t>
      </w:r>
      <w:r w:rsidRPr="00036FAC">
        <w:t>Parliament</w:t>
      </w:r>
      <w:r w:rsidR="00907D8C">
        <w:t xml:space="preserve"> </w:t>
      </w:r>
      <w:r w:rsidRPr="00036FAC">
        <w:t>(31</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all</w:t>
      </w:r>
      <w:r w:rsidR="00907D8C">
        <w:t xml:space="preserve"> </w:t>
      </w:r>
      <w:r w:rsidRPr="00036FAC">
        <w:t>122</w:t>
      </w:r>
      <w:r w:rsidR="00907D8C">
        <w:t xml:space="preserve"> </w:t>
      </w:r>
      <w:r w:rsidRPr="00036FAC">
        <w:t>MPs</w:t>
      </w:r>
      <w:r w:rsidR="00907D8C">
        <w:t xml:space="preserve"> </w:t>
      </w:r>
      <w:r w:rsidRPr="00036FAC">
        <w:t>in</w:t>
      </w:r>
      <w:r w:rsidR="00907D8C">
        <w:t xml:space="preserve"> </w:t>
      </w:r>
      <w:r w:rsidRPr="00036FAC">
        <w:t>Parliament).</w:t>
      </w:r>
      <w:r w:rsidR="00907D8C">
        <w:t xml:space="preserve"> </w:t>
      </w:r>
      <w:r w:rsidRPr="00036FAC">
        <w:t>The</w:t>
      </w:r>
      <w:r w:rsidR="00907D8C">
        <w:t xml:space="preserve"> </w:t>
      </w:r>
      <w:r w:rsidRPr="00036FAC">
        <w:t>estimated</w:t>
      </w:r>
      <w:r w:rsidR="00907D8C">
        <w:t xml:space="preserve"> </w:t>
      </w:r>
      <w:r w:rsidRPr="00036FAC">
        <w:t>eligible</w:t>
      </w:r>
      <w:r w:rsidR="00907D8C">
        <w:t xml:space="preserve"> </w:t>
      </w:r>
      <w:r w:rsidRPr="00036FAC">
        <w:t>voting</w:t>
      </w:r>
      <w:r w:rsidR="00907D8C">
        <w:t xml:space="preserve"> </w:t>
      </w:r>
      <w:r w:rsidRPr="00036FAC">
        <w:t>population</w:t>
      </w:r>
      <w:r w:rsidR="00907D8C">
        <w:t xml:space="preserve"> </w:t>
      </w:r>
      <w:r w:rsidRPr="00036FAC">
        <w:t>at</w:t>
      </w:r>
      <w:r w:rsidR="00907D8C">
        <w:t xml:space="preserve"> </w:t>
      </w:r>
      <w:r w:rsidRPr="00036FAC">
        <w:t>30</w:t>
      </w:r>
      <w:r w:rsidR="00907D8C">
        <w:t xml:space="preserve"> </w:t>
      </w:r>
      <w:r w:rsidRPr="00036FAC">
        <w:t>June</w:t>
      </w:r>
      <w:r w:rsidR="00907D8C">
        <w:t xml:space="preserve"> </w:t>
      </w:r>
      <w:r w:rsidRPr="00036FAC">
        <w:t>2009</w:t>
      </w:r>
      <w:r w:rsidR="00907D8C">
        <w:t xml:space="preserve"> </w:t>
      </w:r>
      <w:r w:rsidRPr="00036FAC">
        <w:t>(using</w:t>
      </w:r>
      <w:r w:rsidR="00907D8C">
        <w:t xml:space="preserve"> </w:t>
      </w:r>
      <w:r w:rsidRPr="00036FAC">
        <w:t>2006</w:t>
      </w:r>
      <w:r w:rsidR="00907D8C">
        <w:t xml:space="preserve"> </w:t>
      </w:r>
      <w:r w:rsidRPr="00036FAC">
        <w:t>Census</w:t>
      </w:r>
      <w:r w:rsidR="00907D8C">
        <w:t xml:space="preserve"> </w:t>
      </w:r>
      <w:r w:rsidRPr="00036FAC">
        <w:t>data)</w:t>
      </w:r>
      <w:r w:rsidR="00907D8C">
        <w:t xml:space="preserve"> </w:t>
      </w:r>
      <w:r w:rsidRPr="00036FAC">
        <w:t>was</w:t>
      </w:r>
      <w:r w:rsidR="00907D8C">
        <w:t xml:space="preserve"> </w:t>
      </w:r>
      <w:r w:rsidRPr="00036FAC">
        <w:t>3,177,800.</w:t>
      </w:r>
    </w:p>
    <w:p w:rsidR="00036FAC" w:rsidRPr="00036FAC" w:rsidRDefault="00036FAC" w:rsidP="006C436C">
      <w:pPr>
        <w:pStyle w:val="H23G"/>
      </w:pPr>
      <w:bookmarkStart w:id="125" w:name="_Toc114894969"/>
      <w:bookmarkStart w:id="126" w:name="_Toc114895860"/>
      <w:bookmarkStart w:id="127" w:name="_Toc115493400"/>
      <w:bookmarkStart w:id="128" w:name="_Toc115493744"/>
      <w:bookmarkStart w:id="129" w:name="_Toc115493819"/>
      <w:bookmarkStart w:id="130" w:name="_Toc118100614"/>
      <w:bookmarkStart w:id="131" w:name="_Toc125278900"/>
      <w:r w:rsidRPr="00036FAC">
        <w:tab/>
        <w:t>2.</w:t>
      </w:r>
      <w:r w:rsidRPr="00036FAC">
        <w:tab/>
        <w:t>Māori</w:t>
      </w:r>
      <w:r w:rsidR="00907D8C">
        <w:t xml:space="preserve"> </w:t>
      </w:r>
      <w:r w:rsidRPr="00036FAC">
        <w:t>representation</w:t>
      </w:r>
      <w:bookmarkEnd w:id="125"/>
      <w:bookmarkEnd w:id="126"/>
      <w:bookmarkEnd w:id="127"/>
      <w:bookmarkEnd w:id="128"/>
      <w:bookmarkEnd w:id="129"/>
      <w:bookmarkEnd w:id="130"/>
      <w:bookmarkEnd w:id="131"/>
    </w:p>
    <w:p w:rsidR="00036FAC" w:rsidRPr="00036FAC" w:rsidRDefault="00036FAC" w:rsidP="00B85D72">
      <w:pPr>
        <w:pStyle w:val="SingleTxtG"/>
      </w:pPr>
      <w:r w:rsidRPr="00036FAC">
        <w:t>157.</w:t>
      </w:r>
      <w:r w:rsidRPr="00036FAC">
        <w:tab/>
        <w:t>The</w:t>
      </w:r>
      <w:r w:rsidR="00907D8C">
        <w:t xml:space="preserve"> </w:t>
      </w:r>
      <w:r w:rsidRPr="00036FAC">
        <w:t>New</w:t>
      </w:r>
      <w:r w:rsidR="00907D8C">
        <w:t xml:space="preserve"> </w:t>
      </w:r>
      <w:r w:rsidRPr="00036FAC">
        <w:t>Zealand</w:t>
      </w:r>
      <w:r w:rsidR="00907D8C">
        <w:t xml:space="preserve"> </w:t>
      </w:r>
      <w:r w:rsidRPr="00036FAC">
        <w:t>Parliament</w:t>
      </w:r>
      <w:r w:rsidR="00907D8C">
        <w:t xml:space="preserve"> </w:t>
      </w:r>
      <w:r w:rsidRPr="00036FAC">
        <w:t>established</w:t>
      </w:r>
      <w:r w:rsidR="00907D8C">
        <w:t xml:space="preserve"> </w:t>
      </w:r>
      <w:r w:rsidRPr="00036FAC">
        <w:t>four</w:t>
      </w:r>
      <w:r w:rsidR="00907D8C">
        <w:t xml:space="preserve"> </w:t>
      </w:r>
      <w:r w:rsidRPr="00036FAC">
        <w:t>Māori</w:t>
      </w:r>
      <w:r w:rsidR="00907D8C">
        <w:t xml:space="preserve"> </w:t>
      </w:r>
      <w:r w:rsidRPr="00036FAC">
        <w:t>seats</w:t>
      </w:r>
      <w:r w:rsidR="00907D8C">
        <w:t xml:space="preserve"> </w:t>
      </w:r>
      <w:r w:rsidRPr="00036FAC">
        <w:t>in</w:t>
      </w:r>
      <w:r w:rsidR="00907D8C">
        <w:t xml:space="preserve"> </w:t>
      </w:r>
      <w:r w:rsidRPr="00036FAC">
        <w:t>1867</w:t>
      </w:r>
      <w:r w:rsidR="00907D8C">
        <w:t xml:space="preserve"> </w:t>
      </w:r>
      <w:r w:rsidRPr="00036FAC">
        <w:t>to</w:t>
      </w:r>
      <w:r w:rsidR="00907D8C">
        <w:t xml:space="preserve"> </w:t>
      </w:r>
      <w:r w:rsidRPr="00036FAC">
        <w:t>give</w:t>
      </w:r>
      <w:r w:rsidR="00907D8C">
        <w:t xml:space="preserve"> </w:t>
      </w:r>
      <w:r w:rsidRPr="00036FAC">
        <w:t>Māori</w:t>
      </w:r>
      <w:r w:rsidR="00907D8C">
        <w:t xml:space="preserve"> </w:t>
      </w:r>
      <w:r w:rsidRPr="00036FAC">
        <w:t>a</w:t>
      </w:r>
      <w:r w:rsidR="00907D8C">
        <w:t xml:space="preserve"> </w:t>
      </w:r>
      <w:r w:rsidRPr="00036FAC">
        <w:t>direct</w:t>
      </w:r>
      <w:r w:rsidR="00907D8C">
        <w:t xml:space="preserve"> </w:t>
      </w:r>
      <w:r w:rsidRPr="00036FAC">
        <w:t>say</w:t>
      </w:r>
      <w:r w:rsidR="00907D8C">
        <w:t xml:space="preserve"> </w:t>
      </w:r>
      <w:r w:rsidRPr="00036FAC">
        <w:t>in</w:t>
      </w:r>
      <w:r w:rsidR="00907D8C">
        <w:t xml:space="preserve"> </w:t>
      </w:r>
      <w:r w:rsidRPr="00036FAC">
        <w:t>Parliament.</w:t>
      </w:r>
      <w:r w:rsidR="00907D8C">
        <w:t xml:space="preserve"> </w:t>
      </w:r>
      <w:r w:rsidRPr="00036FAC">
        <w:t>This</w:t>
      </w:r>
      <w:r w:rsidR="00907D8C">
        <w:t xml:space="preserve"> </w:t>
      </w:r>
      <w:r w:rsidRPr="00036FAC">
        <w:t>was</w:t>
      </w:r>
      <w:r w:rsidR="00907D8C">
        <w:t xml:space="preserve"> </w:t>
      </w:r>
      <w:r w:rsidRPr="00036FAC">
        <w:t>seen</w:t>
      </w:r>
      <w:r w:rsidR="00907D8C">
        <w:t xml:space="preserve"> </w:t>
      </w:r>
      <w:r w:rsidRPr="00036FAC">
        <w:t>as</w:t>
      </w:r>
      <w:r w:rsidR="00907D8C">
        <w:t xml:space="preserve"> </w:t>
      </w:r>
      <w:r w:rsidRPr="00036FAC">
        <w:t>a</w:t>
      </w:r>
      <w:r w:rsidR="00907D8C">
        <w:t xml:space="preserve"> </w:t>
      </w:r>
      <w:r w:rsidRPr="00036FAC">
        <w:t>temporary</w:t>
      </w:r>
      <w:r w:rsidR="00907D8C">
        <w:t xml:space="preserve"> </w:t>
      </w:r>
      <w:r w:rsidRPr="00036FAC">
        <w:t>measure</w:t>
      </w:r>
      <w:r w:rsidR="00907D8C">
        <w:t xml:space="preserve"> </w:t>
      </w:r>
      <w:r w:rsidRPr="00036FAC">
        <w:t>as</w:t>
      </w:r>
      <w:r w:rsidR="00907D8C">
        <w:t xml:space="preserve"> </w:t>
      </w:r>
      <w:r w:rsidRPr="00036FAC">
        <w:t>collective</w:t>
      </w:r>
      <w:r w:rsidR="00907D8C">
        <w:t xml:space="preserve"> </w:t>
      </w:r>
      <w:r w:rsidRPr="00036FAC">
        <w:t>land</w:t>
      </w:r>
      <w:r w:rsidR="00907D8C">
        <w:t xml:space="preserve"> </w:t>
      </w:r>
      <w:r w:rsidRPr="00036FAC">
        <w:t>ownership</w:t>
      </w:r>
      <w:r w:rsidR="00907D8C">
        <w:t xml:space="preserve"> </w:t>
      </w:r>
      <w:r w:rsidRPr="00036FAC">
        <w:t>made</w:t>
      </w:r>
      <w:r w:rsidR="00907D8C">
        <w:t xml:space="preserve"> </w:t>
      </w:r>
      <w:r w:rsidRPr="00036FAC">
        <w:t>it</w:t>
      </w:r>
      <w:r w:rsidR="00907D8C">
        <w:t xml:space="preserve"> </w:t>
      </w:r>
      <w:r w:rsidRPr="00036FAC">
        <w:t>difficult</w:t>
      </w:r>
      <w:r w:rsidR="00907D8C">
        <w:t xml:space="preserve"> </w:t>
      </w:r>
      <w:r w:rsidRPr="00036FAC">
        <w:t>for</w:t>
      </w:r>
      <w:r w:rsidR="00907D8C">
        <w:t xml:space="preserve"> </w:t>
      </w:r>
      <w:r w:rsidRPr="00036FAC">
        <w:t>Māori</w:t>
      </w:r>
      <w:r w:rsidR="00907D8C">
        <w:t xml:space="preserve"> </w:t>
      </w:r>
      <w:r w:rsidRPr="00036FAC">
        <w:t>to</w:t>
      </w:r>
      <w:r w:rsidR="00907D8C">
        <w:t xml:space="preserve"> </w:t>
      </w:r>
      <w:r w:rsidRPr="00036FAC">
        <w:t>meet</w:t>
      </w:r>
      <w:r w:rsidR="00907D8C">
        <w:t xml:space="preserve"> </w:t>
      </w:r>
      <w:r w:rsidRPr="00036FAC">
        <w:t>the</w:t>
      </w:r>
      <w:r w:rsidR="00907D8C">
        <w:t xml:space="preserve"> </w:t>
      </w:r>
      <w:r w:rsidRPr="00036FAC">
        <w:t>property</w:t>
      </w:r>
      <w:r w:rsidR="00907D8C">
        <w:t xml:space="preserve"> </w:t>
      </w:r>
      <w:r w:rsidRPr="00036FAC">
        <w:t>qualification</w:t>
      </w:r>
      <w:r w:rsidR="00907D8C">
        <w:t xml:space="preserve"> </w:t>
      </w:r>
      <w:r w:rsidRPr="00036FAC">
        <w:t>of</w:t>
      </w:r>
      <w:r w:rsidR="00907D8C">
        <w:t xml:space="preserve"> </w:t>
      </w:r>
      <w:r w:rsidRPr="00036FAC">
        <w:t>the</w:t>
      </w:r>
      <w:r w:rsidR="00907D8C">
        <w:t xml:space="preserve"> </w:t>
      </w:r>
      <w:r w:rsidRPr="00036FAC">
        <w:t>time.</w:t>
      </w:r>
      <w:r w:rsidR="00907D8C">
        <w:t xml:space="preserve"> </w:t>
      </w:r>
      <w:r w:rsidRPr="00036FAC">
        <w:t>All</w:t>
      </w:r>
      <w:r w:rsidR="00907D8C">
        <w:t xml:space="preserve"> </w:t>
      </w:r>
      <w:r w:rsidRPr="00036FAC">
        <w:t>Māori</w:t>
      </w:r>
      <w:r w:rsidR="00907D8C">
        <w:t xml:space="preserve"> </w:t>
      </w:r>
      <w:r w:rsidRPr="00036FAC">
        <w:t>men</w:t>
      </w:r>
      <w:r w:rsidR="00907D8C">
        <w:t xml:space="preserve"> </w:t>
      </w:r>
      <w:r w:rsidRPr="00036FAC">
        <w:t>over</w:t>
      </w:r>
      <w:r w:rsidR="00907D8C">
        <w:t xml:space="preserve"> </w:t>
      </w:r>
      <w:r w:rsidRPr="00036FAC">
        <w:t>21</w:t>
      </w:r>
      <w:r w:rsidR="00907D8C">
        <w:t xml:space="preserve"> </w:t>
      </w:r>
      <w:r w:rsidRPr="00036FAC">
        <w:t>years</w:t>
      </w:r>
      <w:r w:rsidR="00907D8C">
        <w:t xml:space="preserve"> </w:t>
      </w:r>
      <w:r w:rsidRPr="00036FAC">
        <w:t>of</w:t>
      </w:r>
      <w:r w:rsidR="00907D8C">
        <w:t xml:space="preserve"> </w:t>
      </w:r>
      <w:r w:rsidRPr="00036FAC">
        <w:t>age</w:t>
      </w:r>
      <w:r w:rsidR="00907D8C">
        <w:t xml:space="preserve"> </w:t>
      </w:r>
      <w:r w:rsidRPr="00036FAC">
        <w:t>were</w:t>
      </w:r>
      <w:r w:rsidR="00907D8C">
        <w:t xml:space="preserve"> </w:t>
      </w:r>
      <w:r w:rsidRPr="00036FAC">
        <w:t>eligible</w:t>
      </w:r>
      <w:r w:rsidR="00907D8C">
        <w:t xml:space="preserve"> </w:t>
      </w:r>
      <w:r w:rsidRPr="00036FAC">
        <w:t>to</w:t>
      </w:r>
      <w:r w:rsidR="00907D8C">
        <w:t xml:space="preserve"> </w:t>
      </w:r>
      <w:r w:rsidRPr="00036FAC">
        <w:t>vote</w:t>
      </w:r>
      <w:r w:rsidR="00907D8C">
        <w:t xml:space="preserve"> </w:t>
      </w:r>
      <w:r w:rsidRPr="00036FAC">
        <w:t>regardless</w:t>
      </w:r>
      <w:r w:rsidR="00907D8C">
        <w:t xml:space="preserve"> </w:t>
      </w:r>
      <w:r w:rsidRPr="00036FAC">
        <w:t>of</w:t>
      </w:r>
      <w:r w:rsidR="00907D8C">
        <w:t xml:space="preserve"> </w:t>
      </w:r>
      <w:r w:rsidRPr="00036FAC">
        <w:t>property</w:t>
      </w:r>
      <w:r w:rsidR="00907D8C">
        <w:t xml:space="preserve"> </w:t>
      </w:r>
      <w:r w:rsidRPr="00036FAC">
        <w:t>ownership.</w:t>
      </w:r>
      <w:r w:rsidR="00907D8C">
        <w:t xml:space="preserve"> </w:t>
      </w:r>
      <w:r w:rsidRPr="00036FAC">
        <w:t>The</w:t>
      </w:r>
      <w:r w:rsidR="00907D8C">
        <w:t xml:space="preserve"> </w:t>
      </w:r>
      <w:r w:rsidRPr="00036FAC">
        <w:t>Māori</w:t>
      </w:r>
      <w:r w:rsidR="00907D8C">
        <w:t xml:space="preserve"> </w:t>
      </w:r>
      <w:r w:rsidRPr="00036FAC">
        <w:t>electorates</w:t>
      </w:r>
      <w:r w:rsidR="00907D8C">
        <w:t xml:space="preserve"> </w:t>
      </w:r>
      <w:r w:rsidRPr="00036FAC">
        <w:t>remained</w:t>
      </w:r>
      <w:r w:rsidR="00907D8C">
        <w:t xml:space="preserve"> </w:t>
      </w:r>
      <w:r w:rsidRPr="00036FAC">
        <w:t>in</w:t>
      </w:r>
      <w:r w:rsidR="00907D8C">
        <w:t xml:space="preserve"> </w:t>
      </w:r>
      <w:r w:rsidRPr="00036FAC">
        <w:t>place</w:t>
      </w:r>
      <w:r w:rsidR="00907D8C">
        <w:t xml:space="preserve"> </w:t>
      </w:r>
      <w:r w:rsidRPr="00036FAC">
        <w:t>after</w:t>
      </w:r>
      <w:r w:rsidR="00907D8C">
        <w:t xml:space="preserve"> </w:t>
      </w:r>
      <w:r w:rsidRPr="00036FAC">
        <w:t>universal</w:t>
      </w:r>
      <w:r w:rsidR="00907D8C">
        <w:t xml:space="preserve"> </w:t>
      </w:r>
      <w:r w:rsidRPr="00036FAC">
        <w:t>suffrage</w:t>
      </w:r>
      <w:r w:rsidR="00907D8C">
        <w:t xml:space="preserve"> </w:t>
      </w:r>
      <w:r w:rsidRPr="00036FAC">
        <w:t>was</w:t>
      </w:r>
      <w:r w:rsidR="00907D8C">
        <w:t xml:space="preserve"> </w:t>
      </w:r>
      <w:r w:rsidRPr="00036FAC">
        <w:t>extended</w:t>
      </w:r>
      <w:r w:rsidR="00907D8C">
        <w:t xml:space="preserve"> </w:t>
      </w:r>
      <w:r w:rsidRPr="00036FAC">
        <w:t>to</w:t>
      </w:r>
      <w:r w:rsidR="00907D8C">
        <w:t xml:space="preserve"> </w:t>
      </w:r>
      <w:r w:rsidRPr="00036FAC">
        <w:t>European</w:t>
      </w:r>
      <w:r w:rsidR="00907D8C">
        <w:t xml:space="preserve"> </w:t>
      </w:r>
      <w:r w:rsidRPr="00036FAC">
        <w:t>males</w:t>
      </w:r>
      <w:r w:rsidR="00907D8C">
        <w:t xml:space="preserve"> </w:t>
      </w:r>
      <w:r w:rsidRPr="00036FAC">
        <w:t>in</w:t>
      </w:r>
      <w:r w:rsidR="00907D8C">
        <w:t xml:space="preserve"> </w:t>
      </w:r>
      <w:r w:rsidRPr="00036FAC">
        <w:t>1879.</w:t>
      </w:r>
    </w:p>
    <w:p w:rsidR="00036FAC" w:rsidRPr="00036FAC" w:rsidRDefault="00036FAC" w:rsidP="00B85D72">
      <w:pPr>
        <w:pStyle w:val="SingleTxtG"/>
      </w:pPr>
      <w:r w:rsidRPr="00036FAC">
        <w:t>158.</w:t>
      </w:r>
      <w:r w:rsidRPr="00036FAC">
        <w:tab/>
        <w:t>Today,</w:t>
      </w:r>
      <w:r w:rsidR="00907D8C">
        <w:t xml:space="preserve"> </w:t>
      </w:r>
      <w:r w:rsidRPr="00036FAC">
        <w:t>the</w:t>
      </w:r>
      <w:r w:rsidR="00907D8C">
        <w:t xml:space="preserve"> </w:t>
      </w:r>
      <w:r w:rsidRPr="00036FAC">
        <w:t>Electoral</w:t>
      </w:r>
      <w:r w:rsidR="00907D8C">
        <w:t xml:space="preserve"> </w:t>
      </w:r>
      <w:r w:rsidRPr="00036FAC">
        <w:t>Act</w:t>
      </w:r>
      <w:r w:rsidR="00907D8C">
        <w:t xml:space="preserve"> </w:t>
      </w:r>
      <w:r w:rsidRPr="00036FAC">
        <w:t>1993</w:t>
      </w:r>
      <w:r w:rsidR="00907D8C">
        <w:t xml:space="preserve"> </w:t>
      </w:r>
      <w:r w:rsidRPr="00036FAC">
        <w:t>gives</w:t>
      </w:r>
      <w:r w:rsidR="00907D8C">
        <w:t xml:space="preserve"> </w:t>
      </w:r>
      <w:r w:rsidRPr="00036FAC">
        <w:t>New</w:t>
      </w:r>
      <w:r w:rsidR="00907D8C">
        <w:t xml:space="preserve"> </w:t>
      </w:r>
      <w:r w:rsidRPr="00036FAC">
        <w:t>Zealand</w:t>
      </w:r>
      <w:r w:rsidR="00907D8C">
        <w:t xml:space="preserve"> </w:t>
      </w:r>
      <w:r w:rsidRPr="00036FAC">
        <w:t>Māori</w:t>
      </w:r>
      <w:r w:rsidR="00907D8C">
        <w:t xml:space="preserve"> </w:t>
      </w:r>
      <w:r w:rsidRPr="00036FAC">
        <w:t>the</w:t>
      </w:r>
      <w:r w:rsidR="00907D8C">
        <w:t xml:space="preserve"> </w:t>
      </w:r>
      <w:r w:rsidRPr="00036FAC">
        <w:t>option</w:t>
      </w:r>
      <w:r w:rsidR="00907D8C">
        <w:t xml:space="preserve"> </w:t>
      </w:r>
      <w:r w:rsidRPr="00036FAC">
        <w:t>of</w:t>
      </w:r>
      <w:r w:rsidR="00907D8C">
        <w:t xml:space="preserve"> </w:t>
      </w:r>
      <w:r w:rsidRPr="00036FAC">
        <w:t>registering</w:t>
      </w:r>
      <w:r w:rsidR="00907D8C">
        <w:t xml:space="preserve"> </w:t>
      </w:r>
      <w:r w:rsidRPr="00036FAC">
        <w:t>as</w:t>
      </w:r>
      <w:r w:rsidR="00907D8C">
        <w:t xml:space="preserve"> </w:t>
      </w:r>
      <w:r w:rsidRPr="00036FAC">
        <w:t>an</w:t>
      </w:r>
      <w:r w:rsidR="00907D8C">
        <w:t xml:space="preserve"> </w:t>
      </w:r>
      <w:r w:rsidRPr="00036FAC">
        <w:t>elector</w:t>
      </w:r>
      <w:r w:rsidR="00907D8C">
        <w:t xml:space="preserve"> </w:t>
      </w:r>
      <w:r w:rsidRPr="00036FAC">
        <w:t>of</w:t>
      </w:r>
      <w:r w:rsidR="00907D8C">
        <w:t xml:space="preserve"> </w:t>
      </w:r>
      <w:r w:rsidRPr="00036FAC">
        <w:t>a</w:t>
      </w:r>
      <w:r w:rsidR="00907D8C">
        <w:t xml:space="preserve"> </w:t>
      </w:r>
      <w:r w:rsidRPr="00036FAC">
        <w:t>Māori</w:t>
      </w:r>
      <w:r w:rsidR="00907D8C">
        <w:t xml:space="preserve"> </w:t>
      </w:r>
      <w:r w:rsidRPr="00036FAC">
        <w:t>electorate</w:t>
      </w:r>
      <w:r w:rsidR="00907D8C">
        <w:t xml:space="preserve"> </w:t>
      </w:r>
      <w:r w:rsidRPr="00036FAC">
        <w:t>or</w:t>
      </w:r>
      <w:r w:rsidR="00907D8C">
        <w:t xml:space="preserve"> </w:t>
      </w:r>
      <w:r w:rsidRPr="00036FAC">
        <w:t>a</w:t>
      </w:r>
      <w:r w:rsidR="00907D8C">
        <w:t xml:space="preserve"> </w:t>
      </w:r>
      <w:r w:rsidRPr="00036FAC">
        <w:t>general</w:t>
      </w:r>
      <w:r w:rsidR="00907D8C">
        <w:t xml:space="preserve"> </w:t>
      </w:r>
      <w:r w:rsidRPr="00036FAC">
        <w:t>electorate.</w:t>
      </w:r>
      <w:r w:rsidR="00907D8C">
        <w:t xml:space="preserve"> </w:t>
      </w:r>
      <w:r w:rsidRPr="00036FAC">
        <w:t>The</w:t>
      </w:r>
      <w:r w:rsidR="00907D8C">
        <w:t xml:space="preserve"> </w:t>
      </w:r>
      <w:r w:rsidRPr="00036FAC">
        <w:t>Māori</w:t>
      </w:r>
      <w:r w:rsidR="00907D8C">
        <w:t xml:space="preserve"> </w:t>
      </w:r>
      <w:r w:rsidRPr="00036FAC">
        <w:t>Electoral</w:t>
      </w:r>
      <w:r w:rsidR="00907D8C">
        <w:t xml:space="preserve"> </w:t>
      </w:r>
      <w:r w:rsidRPr="00036FAC">
        <w:t>Option</w:t>
      </w:r>
      <w:r w:rsidR="00907D8C">
        <w:t xml:space="preserve"> </w:t>
      </w:r>
      <w:r w:rsidRPr="00036FAC">
        <w:t>is</w:t>
      </w:r>
      <w:r w:rsidR="00907D8C">
        <w:t xml:space="preserve"> </w:t>
      </w:r>
      <w:r w:rsidRPr="00036FAC">
        <w:t>held</w:t>
      </w:r>
      <w:r w:rsidR="00907D8C">
        <w:t xml:space="preserve"> </w:t>
      </w:r>
      <w:r w:rsidRPr="00036FAC">
        <w:t>every</w:t>
      </w:r>
      <w:r w:rsidR="00907D8C">
        <w:t xml:space="preserve"> </w:t>
      </w:r>
      <w:r w:rsidRPr="00036FAC">
        <w:t>five</w:t>
      </w:r>
      <w:r w:rsidR="00907D8C">
        <w:t xml:space="preserve"> </w:t>
      </w:r>
      <w:r w:rsidRPr="00036FAC">
        <w:t>years,</w:t>
      </w:r>
      <w:r w:rsidR="00907D8C">
        <w:t xml:space="preserve"> </w:t>
      </w:r>
      <w:r w:rsidRPr="00036FAC">
        <w:t>just</w:t>
      </w:r>
      <w:r w:rsidR="00907D8C">
        <w:t xml:space="preserve"> </w:t>
      </w:r>
      <w:r w:rsidRPr="00036FAC">
        <w:t>after</w:t>
      </w:r>
      <w:r w:rsidR="00907D8C">
        <w:t xml:space="preserve"> </w:t>
      </w:r>
      <w:r w:rsidRPr="00036FAC">
        <w:t>the</w:t>
      </w:r>
      <w:r w:rsidR="00907D8C">
        <w:t xml:space="preserve"> </w:t>
      </w:r>
      <w:r w:rsidRPr="00036FAC">
        <w:t>population</w:t>
      </w:r>
      <w:r w:rsidR="00907D8C">
        <w:t xml:space="preserve"> </w:t>
      </w:r>
      <w:r w:rsidRPr="00036FAC">
        <w:t>census.</w:t>
      </w:r>
      <w:r w:rsidR="00907D8C">
        <w:t xml:space="preserve"> </w:t>
      </w:r>
      <w:r w:rsidRPr="00036FAC">
        <w:t>A</w:t>
      </w:r>
      <w:r w:rsidR="00907D8C">
        <w:t xml:space="preserve"> </w:t>
      </w:r>
      <w:r w:rsidRPr="00036FAC">
        <w:t>person</w:t>
      </w:r>
      <w:r w:rsidR="00907D8C">
        <w:t xml:space="preserve"> </w:t>
      </w:r>
      <w:r w:rsidRPr="00036FAC">
        <w:t>cannot</w:t>
      </w:r>
      <w:r w:rsidR="00907D8C">
        <w:t xml:space="preserve"> </w:t>
      </w:r>
      <w:r w:rsidRPr="00036FAC">
        <w:t>change</w:t>
      </w:r>
      <w:r w:rsidR="00907D8C">
        <w:t xml:space="preserve"> </w:t>
      </w:r>
      <w:r w:rsidRPr="00036FAC">
        <w:t>electoral</w:t>
      </w:r>
      <w:r w:rsidR="00907D8C">
        <w:t xml:space="preserve"> </w:t>
      </w:r>
      <w:r w:rsidRPr="00036FAC">
        <w:t>rolls</w:t>
      </w:r>
      <w:r w:rsidR="00907D8C">
        <w:t xml:space="preserve"> </w:t>
      </w:r>
      <w:r w:rsidRPr="00036FAC">
        <w:t>in</w:t>
      </w:r>
      <w:r w:rsidR="00907D8C">
        <w:t xml:space="preserve"> </w:t>
      </w:r>
      <w:r w:rsidRPr="00036FAC">
        <w:t>between</w:t>
      </w:r>
      <w:r w:rsidR="00907D8C">
        <w:t xml:space="preserve"> </w:t>
      </w:r>
      <w:r w:rsidRPr="00036FAC">
        <w:t>Māori</w:t>
      </w:r>
      <w:r w:rsidR="00907D8C">
        <w:t xml:space="preserve"> </w:t>
      </w:r>
      <w:r w:rsidRPr="00036FAC">
        <w:t>Electoral</w:t>
      </w:r>
      <w:r w:rsidR="00907D8C">
        <w:t xml:space="preserve"> </w:t>
      </w:r>
      <w:r w:rsidRPr="00036FAC">
        <w:t>Options.</w:t>
      </w:r>
      <w:r w:rsidR="00907D8C">
        <w:t xml:space="preserve"> </w:t>
      </w:r>
      <w:r w:rsidRPr="00036FAC">
        <w:t>The</w:t>
      </w:r>
      <w:r w:rsidR="00907D8C">
        <w:t xml:space="preserve"> </w:t>
      </w:r>
      <w:r w:rsidRPr="00036FAC">
        <w:t>next</w:t>
      </w:r>
      <w:r w:rsidR="00907D8C">
        <w:t xml:space="preserve"> </w:t>
      </w:r>
      <w:r w:rsidRPr="00036FAC">
        <w:t>Māori</w:t>
      </w:r>
      <w:r w:rsidR="00907D8C">
        <w:t xml:space="preserve"> </w:t>
      </w:r>
      <w:r w:rsidRPr="00036FAC">
        <w:t>Electoral</w:t>
      </w:r>
      <w:r w:rsidR="00907D8C">
        <w:t xml:space="preserve"> </w:t>
      </w:r>
      <w:r w:rsidRPr="00036FAC">
        <w:t>Option</w:t>
      </w:r>
      <w:r w:rsidR="00907D8C">
        <w:t xml:space="preserve"> </w:t>
      </w:r>
      <w:r w:rsidRPr="00036FAC">
        <w:t>will</w:t>
      </w:r>
      <w:r w:rsidR="00907D8C">
        <w:t xml:space="preserve"> </w:t>
      </w:r>
      <w:r w:rsidRPr="00036FAC">
        <w:t>take</w:t>
      </w:r>
      <w:r w:rsidR="00907D8C">
        <w:t xml:space="preserve"> </w:t>
      </w:r>
      <w:r w:rsidRPr="00036FAC">
        <w:t>place</w:t>
      </w:r>
      <w:r w:rsidR="00907D8C">
        <w:t xml:space="preserve"> </w:t>
      </w:r>
      <w:r w:rsidRPr="00036FAC">
        <w:t>in</w:t>
      </w:r>
      <w:r w:rsidR="00907D8C">
        <w:t xml:space="preserve"> </w:t>
      </w:r>
      <w:r w:rsidRPr="00036FAC">
        <w:t>2012.</w:t>
      </w:r>
    </w:p>
    <w:p w:rsidR="00036FAC" w:rsidRPr="00036FAC" w:rsidRDefault="00036FAC" w:rsidP="00B85D72">
      <w:pPr>
        <w:pStyle w:val="SingleTxtG"/>
      </w:pPr>
      <w:r w:rsidRPr="00036FAC">
        <w:t>159.</w:t>
      </w:r>
      <w:r w:rsidRPr="00036FAC">
        <w:tab/>
        <w:t>The</w:t>
      </w:r>
      <w:r w:rsidR="00907D8C">
        <w:t xml:space="preserve"> </w:t>
      </w:r>
      <w:r w:rsidRPr="00036FAC">
        <w:t>number</w:t>
      </w:r>
      <w:r w:rsidR="00907D8C">
        <w:t xml:space="preserve"> </w:t>
      </w:r>
      <w:r w:rsidRPr="00036FAC">
        <w:t>of</w:t>
      </w:r>
      <w:r w:rsidR="00907D8C">
        <w:t xml:space="preserve"> </w:t>
      </w:r>
      <w:r w:rsidRPr="00036FAC">
        <w:t>Māori</w:t>
      </w:r>
      <w:r w:rsidR="00907D8C">
        <w:t xml:space="preserve"> </w:t>
      </w:r>
      <w:r w:rsidRPr="00036FAC">
        <w:t>seats</w:t>
      </w:r>
      <w:r w:rsidR="00907D8C">
        <w:t xml:space="preserve"> </w:t>
      </w:r>
      <w:r w:rsidRPr="00036FAC">
        <w:t>was</w:t>
      </w:r>
      <w:r w:rsidR="00907D8C">
        <w:t xml:space="preserve"> </w:t>
      </w:r>
      <w:r w:rsidRPr="00036FAC">
        <w:t>fixed</w:t>
      </w:r>
      <w:r w:rsidR="00907D8C">
        <w:t xml:space="preserve"> </w:t>
      </w:r>
      <w:r w:rsidRPr="00036FAC">
        <w:t>at</w:t>
      </w:r>
      <w:r w:rsidR="00907D8C">
        <w:t xml:space="preserve"> </w:t>
      </w:r>
      <w:r w:rsidRPr="00036FAC">
        <w:t>four</w:t>
      </w:r>
      <w:r w:rsidR="00907D8C">
        <w:t xml:space="preserve"> </w:t>
      </w:r>
      <w:r w:rsidRPr="00036FAC">
        <w:t>until</w:t>
      </w:r>
      <w:r w:rsidR="00907D8C">
        <w:t xml:space="preserve"> </w:t>
      </w:r>
      <w:r w:rsidRPr="00036FAC">
        <w:t>1996</w:t>
      </w:r>
      <w:r w:rsidR="00907D8C">
        <w:t xml:space="preserve"> </w:t>
      </w:r>
      <w:r w:rsidRPr="00036FAC">
        <w:t>but</w:t>
      </w:r>
      <w:r w:rsidR="00907D8C">
        <w:t xml:space="preserve"> </w:t>
      </w:r>
      <w:r w:rsidRPr="00036FAC">
        <w:t>is</w:t>
      </w:r>
      <w:r w:rsidR="00907D8C">
        <w:t xml:space="preserve"> </w:t>
      </w:r>
      <w:r w:rsidRPr="00036FAC">
        <w:t>now</w:t>
      </w:r>
      <w:r w:rsidR="00907D8C">
        <w:t xml:space="preserve"> </w:t>
      </w:r>
      <w:r w:rsidRPr="00036FAC">
        <w:t>based</w:t>
      </w:r>
      <w:r w:rsidR="00907D8C">
        <w:t xml:space="preserve"> </w:t>
      </w:r>
      <w:r w:rsidRPr="00036FAC">
        <w:t>on</w:t>
      </w:r>
      <w:r w:rsidR="00907D8C">
        <w:t xml:space="preserve"> </w:t>
      </w:r>
      <w:r w:rsidRPr="00036FAC">
        <w:t>the</w:t>
      </w:r>
      <w:r w:rsidR="00907D8C">
        <w:t xml:space="preserve"> </w:t>
      </w:r>
      <w:r w:rsidRPr="00036FAC">
        <w:t>proportion</w:t>
      </w:r>
      <w:r w:rsidR="00907D8C">
        <w:t xml:space="preserve"> </w:t>
      </w:r>
      <w:r w:rsidRPr="00036FAC">
        <w:t>of</w:t>
      </w:r>
      <w:r w:rsidR="00907D8C">
        <w:t xml:space="preserve"> </w:t>
      </w:r>
      <w:r w:rsidRPr="00036FAC">
        <w:t>electors</w:t>
      </w:r>
      <w:r w:rsidR="00907D8C">
        <w:t xml:space="preserve"> </w:t>
      </w:r>
      <w:r w:rsidRPr="00036FAC">
        <w:t>on</w:t>
      </w:r>
      <w:r w:rsidR="00907D8C">
        <w:t xml:space="preserve"> </w:t>
      </w:r>
      <w:r w:rsidRPr="00036FAC">
        <w:t>the</w:t>
      </w:r>
      <w:r w:rsidR="00907D8C">
        <w:t xml:space="preserve"> </w:t>
      </w:r>
      <w:r w:rsidRPr="00036FAC">
        <w:t>Māori</w:t>
      </w:r>
      <w:r w:rsidR="00907D8C">
        <w:t xml:space="preserve"> </w:t>
      </w:r>
      <w:r w:rsidRPr="00036FAC">
        <w:t>roll.</w:t>
      </w:r>
      <w:r w:rsidR="00907D8C">
        <w:t xml:space="preserve"> </w:t>
      </w:r>
      <w:r w:rsidRPr="00036FAC">
        <w:t>This</w:t>
      </w:r>
      <w:r w:rsidR="00907D8C">
        <w:t xml:space="preserve"> </w:t>
      </w:r>
      <w:r w:rsidRPr="00036FAC">
        <w:t>ensures</w:t>
      </w:r>
      <w:r w:rsidR="00907D8C">
        <w:t xml:space="preserve"> </w:t>
      </w:r>
      <w:r w:rsidRPr="00036FAC">
        <w:t>that</w:t>
      </w:r>
      <w:r w:rsidR="00907D8C">
        <w:t xml:space="preserve"> </w:t>
      </w:r>
      <w:r w:rsidRPr="00036FAC">
        <w:t>Māori</w:t>
      </w:r>
      <w:r w:rsidR="00907D8C">
        <w:t xml:space="preserve"> </w:t>
      </w:r>
      <w:r w:rsidRPr="00036FAC">
        <w:t>and</w:t>
      </w:r>
      <w:r w:rsidR="00907D8C">
        <w:t xml:space="preserve"> </w:t>
      </w:r>
      <w:r w:rsidRPr="00036FAC">
        <w:t>general</w:t>
      </w:r>
      <w:r w:rsidR="00907D8C">
        <w:t xml:space="preserve"> </w:t>
      </w:r>
      <w:r w:rsidRPr="00036FAC">
        <w:t>electorates</w:t>
      </w:r>
      <w:r w:rsidR="00907D8C">
        <w:t xml:space="preserve"> </w:t>
      </w:r>
      <w:r w:rsidRPr="00036FAC">
        <w:t>have</w:t>
      </w:r>
      <w:r w:rsidR="00907D8C">
        <w:t xml:space="preserve"> </w:t>
      </w:r>
      <w:r w:rsidRPr="00036FAC">
        <w:t>approximately</w:t>
      </w:r>
      <w:r w:rsidR="00907D8C">
        <w:t xml:space="preserve"> </w:t>
      </w:r>
      <w:r w:rsidRPr="00036FAC">
        <w:t>the</w:t>
      </w:r>
      <w:r w:rsidR="00907D8C">
        <w:t xml:space="preserve"> </w:t>
      </w:r>
      <w:r w:rsidRPr="00036FAC">
        <w:t>same</w:t>
      </w:r>
      <w:r w:rsidR="00907D8C">
        <w:t xml:space="preserve"> </w:t>
      </w:r>
      <w:r w:rsidRPr="00036FAC">
        <w:t>population.</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Māori</w:t>
      </w:r>
      <w:r w:rsidR="00907D8C">
        <w:t xml:space="preserve"> </w:t>
      </w:r>
      <w:r w:rsidRPr="00036FAC">
        <w:t>seats</w:t>
      </w:r>
      <w:r w:rsidR="00907D8C">
        <w:t xml:space="preserve"> </w:t>
      </w:r>
      <w:r w:rsidRPr="00036FAC">
        <w:t>in</w:t>
      </w:r>
      <w:r w:rsidR="00907D8C">
        <w:t xml:space="preserve"> </w:t>
      </w:r>
      <w:r w:rsidRPr="00036FAC">
        <w:t>Parliament</w:t>
      </w:r>
      <w:r w:rsidR="00907D8C">
        <w:t xml:space="preserve"> </w:t>
      </w:r>
      <w:r w:rsidRPr="00036FAC">
        <w:t>has</w:t>
      </w:r>
      <w:r w:rsidR="00907D8C">
        <w:t xml:space="preserve"> </w:t>
      </w:r>
      <w:r w:rsidRPr="00036FAC">
        <w:t>increased</w:t>
      </w:r>
      <w:r w:rsidR="00907D8C">
        <w:t xml:space="preserve"> </w:t>
      </w:r>
      <w:r w:rsidRPr="00036FAC">
        <w:t>from</w:t>
      </w:r>
      <w:r w:rsidR="00907D8C">
        <w:t xml:space="preserve"> </w:t>
      </w:r>
      <w:r w:rsidRPr="00036FAC">
        <w:t>four</w:t>
      </w:r>
      <w:r w:rsidR="00907D8C">
        <w:t xml:space="preserve"> </w:t>
      </w:r>
      <w:r w:rsidRPr="00036FAC">
        <w:t>under</w:t>
      </w:r>
      <w:r w:rsidR="00907D8C">
        <w:t xml:space="preserve"> </w:t>
      </w:r>
      <w:r w:rsidRPr="00036FAC">
        <w:t>the</w:t>
      </w:r>
      <w:r w:rsidR="00907D8C">
        <w:t xml:space="preserve"> </w:t>
      </w:r>
      <w:r w:rsidRPr="00036FAC">
        <w:t>previous</w:t>
      </w:r>
      <w:r w:rsidR="00907D8C">
        <w:t xml:space="preserve"> </w:t>
      </w:r>
      <w:r w:rsidRPr="00036FAC">
        <w:t>system</w:t>
      </w:r>
      <w:r w:rsidR="00907D8C">
        <w:t xml:space="preserve"> </w:t>
      </w:r>
      <w:r w:rsidRPr="00036FAC">
        <w:t>to</w:t>
      </w:r>
      <w:r w:rsidR="00907D8C">
        <w:t xml:space="preserve"> </w:t>
      </w:r>
      <w:r w:rsidRPr="00036FAC">
        <w:t>seven</w:t>
      </w:r>
      <w:r w:rsidR="00907D8C">
        <w:t xml:space="preserve"> </w:t>
      </w:r>
      <w:r w:rsidRPr="00036FAC">
        <w:t>in</w:t>
      </w:r>
      <w:r w:rsidR="00907D8C">
        <w:t xml:space="preserve"> </w:t>
      </w:r>
      <w:r w:rsidRPr="00036FAC">
        <w:t>the</w:t>
      </w:r>
      <w:r w:rsidR="00907D8C">
        <w:t xml:space="preserve"> </w:t>
      </w:r>
      <w:r w:rsidRPr="00036FAC">
        <w:t>current</w:t>
      </w:r>
      <w:r w:rsidR="00907D8C">
        <w:t xml:space="preserve"> </w:t>
      </w:r>
      <w:r w:rsidRPr="00036FAC">
        <w:t>Parliament.</w:t>
      </w:r>
    </w:p>
    <w:p w:rsidR="00036FAC" w:rsidRPr="00036FAC" w:rsidRDefault="00036FAC" w:rsidP="006C436C">
      <w:pPr>
        <w:pStyle w:val="H23G"/>
      </w:pPr>
      <w:bookmarkStart w:id="132" w:name="_Toc114894970"/>
      <w:bookmarkStart w:id="133" w:name="_Toc114895861"/>
      <w:bookmarkStart w:id="134" w:name="_Toc115493401"/>
      <w:bookmarkStart w:id="135" w:name="_Toc115493745"/>
      <w:bookmarkStart w:id="136" w:name="_Toc115493820"/>
      <w:bookmarkStart w:id="137" w:name="_Toc118100615"/>
      <w:bookmarkStart w:id="138" w:name="_Toc125278901"/>
      <w:r w:rsidRPr="00036FAC">
        <w:tab/>
        <w:t>3.</w:t>
      </w:r>
      <w:r w:rsidRPr="00036FAC">
        <w:tab/>
        <w:t>Representation</w:t>
      </w:r>
      <w:r w:rsidR="00907D8C">
        <w:t xml:space="preserve"> </w:t>
      </w:r>
      <w:r w:rsidRPr="00036FAC">
        <w:t>Commission</w:t>
      </w:r>
      <w:bookmarkEnd w:id="132"/>
      <w:bookmarkEnd w:id="133"/>
      <w:bookmarkEnd w:id="134"/>
      <w:bookmarkEnd w:id="135"/>
      <w:bookmarkEnd w:id="136"/>
      <w:bookmarkEnd w:id="137"/>
      <w:bookmarkEnd w:id="138"/>
    </w:p>
    <w:p w:rsidR="00036FAC" w:rsidRPr="00036FAC" w:rsidRDefault="00036FAC" w:rsidP="00B85D72">
      <w:pPr>
        <w:pStyle w:val="SingleTxtG"/>
      </w:pPr>
      <w:r w:rsidRPr="00036FAC">
        <w:t>160.</w:t>
      </w:r>
      <w:r w:rsidRPr="00036FAC">
        <w:tab/>
        <w:t>The</w:t>
      </w:r>
      <w:r w:rsidR="00907D8C">
        <w:t xml:space="preserve"> </w:t>
      </w:r>
      <w:r w:rsidRPr="00036FAC">
        <w:t>Representation</w:t>
      </w:r>
      <w:r w:rsidR="00907D8C">
        <w:t xml:space="preserve"> </w:t>
      </w:r>
      <w:r w:rsidRPr="00036FAC">
        <w:t>Commission</w:t>
      </w:r>
      <w:r w:rsidR="00907D8C">
        <w:t xml:space="preserve"> </w:t>
      </w:r>
      <w:r w:rsidRPr="00036FAC">
        <w:t>is</w:t>
      </w:r>
      <w:r w:rsidR="00907D8C">
        <w:t xml:space="preserve"> </w:t>
      </w:r>
      <w:r w:rsidRPr="00036FAC">
        <w:t>an</w:t>
      </w:r>
      <w:r w:rsidR="00907D8C">
        <w:t xml:space="preserve"> </w:t>
      </w:r>
      <w:r w:rsidRPr="00036FAC">
        <w:t>independent</w:t>
      </w:r>
      <w:r w:rsidR="00907D8C">
        <w:t xml:space="preserve"> </w:t>
      </w:r>
      <w:r w:rsidRPr="00036FAC">
        <w:t>statutory</w:t>
      </w:r>
      <w:r w:rsidR="00907D8C">
        <w:t xml:space="preserve"> </w:t>
      </w:r>
      <w:r w:rsidRPr="00036FAC">
        <w:t>body.</w:t>
      </w:r>
      <w:r w:rsidR="00907D8C">
        <w:t xml:space="preserve"> </w:t>
      </w:r>
      <w:r w:rsidRPr="00036FAC">
        <w:t>It</w:t>
      </w:r>
      <w:r w:rsidR="00907D8C">
        <w:t xml:space="preserve"> </w:t>
      </w:r>
      <w:r w:rsidRPr="00036FAC">
        <w:t>determines</w:t>
      </w:r>
      <w:r w:rsidR="00907D8C">
        <w:t xml:space="preserve"> </w:t>
      </w:r>
      <w:r w:rsidRPr="00036FAC">
        <w:t>the</w:t>
      </w:r>
      <w:r w:rsidR="00907D8C">
        <w:t xml:space="preserve"> </w:t>
      </w:r>
      <w:r w:rsidRPr="00036FAC">
        <w:t>boundaries</w:t>
      </w:r>
      <w:r w:rsidR="00907D8C">
        <w:t xml:space="preserve"> </w:t>
      </w:r>
      <w:r w:rsidRPr="00036FAC">
        <w:t>of</w:t>
      </w:r>
      <w:r w:rsidR="00907D8C">
        <w:t xml:space="preserve"> </w:t>
      </w:r>
      <w:r w:rsidRPr="00036FAC">
        <w:t>the</w:t>
      </w:r>
      <w:r w:rsidR="00907D8C">
        <w:t xml:space="preserve"> </w:t>
      </w:r>
      <w:r w:rsidRPr="00036FAC">
        <w:t>general</w:t>
      </w:r>
      <w:r w:rsidR="00907D8C">
        <w:t xml:space="preserve"> </w:t>
      </w:r>
      <w:r w:rsidRPr="00036FAC">
        <w:t>and</w:t>
      </w:r>
      <w:r w:rsidR="00907D8C">
        <w:t xml:space="preserve"> </w:t>
      </w:r>
      <w:r w:rsidRPr="00036FAC">
        <w:t>Māori</w:t>
      </w:r>
      <w:r w:rsidR="00907D8C">
        <w:t xml:space="preserve"> </w:t>
      </w:r>
      <w:r w:rsidRPr="00036FAC">
        <w:t>electorates</w:t>
      </w:r>
      <w:r w:rsidR="00907D8C">
        <w:t xml:space="preserve"> </w:t>
      </w:r>
      <w:r w:rsidRPr="00036FAC">
        <w:t>after</w:t>
      </w:r>
      <w:r w:rsidR="00907D8C">
        <w:t xml:space="preserve"> </w:t>
      </w:r>
      <w:r w:rsidRPr="00036FAC">
        <w:t>each</w:t>
      </w:r>
      <w:r w:rsidR="00907D8C">
        <w:t xml:space="preserve"> </w:t>
      </w:r>
      <w:r w:rsidR="00C23F6E">
        <w:t>five-</w:t>
      </w:r>
      <w:r w:rsidRPr="00036FAC">
        <w:t>yearly</w:t>
      </w:r>
      <w:r w:rsidR="00907D8C">
        <w:t xml:space="preserve"> </w:t>
      </w:r>
      <w:r w:rsidRPr="00036FAC">
        <w:t>census</w:t>
      </w:r>
      <w:r w:rsidR="00907D8C">
        <w:t xml:space="preserve"> </w:t>
      </w:r>
      <w:r w:rsidRPr="00036FAC">
        <w:t>and</w:t>
      </w:r>
      <w:r w:rsidR="00907D8C">
        <w:t xml:space="preserve"> </w:t>
      </w:r>
      <w:r w:rsidRPr="00036FAC">
        <w:t>Māori</w:t>
      </w:r>
      <w:r w:rsidR="00907D8C">
        <w:t xml:space="preserve"> </w:t>
      </w:r>
      <w:r w:rsidRPr="00036FAC">
        <w:t>Electoral</w:t>
      </w:r>
      <w:r w:rsidR="00907D8C">
        <w:t xml:space="preserve"> </w:t>
      </w:r>
      <w:r w:rsidRPr="00036FAC">
        <w:t>Option.</w:t>
      </w:r>
      <w:r w:rsidR="00907D8C">
        <w:t xml:space="preserve"> </w:t>
      </w:r>
      <w:r w:rsidRPr="00036FAC">
        <w:t>The</w:t>
      </w:r>
      <w:r w:rsidR="00907D8C">
        <w:t xml:space="preserve"> </w:t>
      </w:r>
      <w:r w:rsidRPr="00036FAC">
        <w:t>electoral</w:t>
      </w:r>
      <w:r w:rsidR="00907D8C">
        <w:t xml:space="preserve"> </w:t>
      </w:r>
      <w:r w:rsidRPr="00036FAC">
        <w:t>boundaries</w:t>
      </w:r>
      <w:r w:rsidR="00907D8C">
        <w:t xml:space="preserve"> </w:t>
      </w:r>
      <w:r w:rsidRPr="00036FAC">
        <w:t>are</w:t>
      </w:r>
      <w:r w:rsidR="00907D8C">
        <w:t xml:space="preserve"> </w:t>
      </w:r>
      <w:r w:rsidRPr="00036FAC">
        <w:t>determined</w:t>
      </w:r>
      <w:r w:rsidR="00907D8C">
        <w:t xml:space="preserve"> </w:t>
      </w:r>
      <w:r w:rsidRPr="00036FAC">
        <w:t>using</w:t>
      </w:r>
      <w:r w:rsidR="00907D8C">
        <w:t xml:space="preserve"> </w:t>
      </w:r>
      <w:r w:rsidRPr="00036FAC">
        <w:t>criteria</w:t>
      </w:r>
      <w:r w:rsidR="00907D8C">
        <w:t xml:space="preserve"> </w:t>
      </w:r>
      <w:r w:rsidRPr="00036FAC">
        <w:t>set</w:t>
      </w:r>
      <w:r w:rsidR="00907D8C">
        <w:t xml:space="preserve"> </w:t>
      </w:r>
      <w:r w:rsidRPr="00036FAC">
        <w:t>in</w:t>
      </w:r>
      <w:r w:rsidR="00907D8C">
        <w:t xml:space="preserve"> </w:t>
      </w:r>
      <w:r w:rsidRPr="00036FAC">
        <w:t>law.</w:t>
      </w:r>
      <w:r w:rsidR="00907D8C">
        <w:t xml:space="preserve"> </w:t>
      </w:r>
      <w:r w:rsidRPr="00036FAC">
        <w:t>The</w:t>
      </w:r>
      <w:r w:rsidR="00907D8C">
        <w:t xml:space="preserve"> </w:t>
      </w:r>
      <w:r w:rsidRPr="00036FAC">
        <w:t>boundaries</w:t>
      </w:r>
      <w:r w:rsidR="00907D8C">
        <w:t xml:space="preserve"> </w:t>
      </w:r>
      <w:r w:rsidRPr="00036FAC">
        <w:t>were</w:t>
      </w:r>
      <w:r w:rsidR="00907D8C">
        <w:t xml:space="preserve"> </w:t>
      </w:r>
      <w:r w:rsidRPr="00036FAC">
        <w:t>last</w:t>
      </w:r>
      <w:r w:rsidR="00907D8C">
        <w:t xml:space="preserve"> </w:t>
      </w:r>
      <w:r w:rsidRPr="00036FAC">
        <w:t>updated</w:t>
      </w:r>
      <w:r w:rsidR="00907D8C">
        <w:t xml:space="preserve"> </w:t>
      </w:r>
      <w:r w:rsidRPr="00036FAC">
        <w:t>in</w:t>
      </w:r>
      <w:r w:rsidR="00907D8C">
        <w:t xml:space="preserve"> </w:t>
      </w:r>
      <w:r w:rsidRPr="00036FAC">
        <w:t>April</w:t>
      </w:r>
      <w:r w:rsidR="00907D8C">
        <w:t xml:space="preserve"> </w:t>
      </w:r>
      <w:r w:rsidRPr="00036FAC">
        <w:t>2002</w:t>
      </w:r>
      <w:r w:rsidR="00907D8C">
        <w:t xml:space="preserve"> </w:t>
      </w:r>
      <w:r w:rsidRPr="00036FAC">
        <w:t>and</w:t>
      </w:r>
      <w:r w:rsidR="00907D8C">
        <w:t xml:space="preserve"> </w:t>
      </w:r>
      <w:r w:rsidRPr="00036FAC">
        <w:t>reviewed</w:t>
      </w:r>
      <w:r w:rsidR="00907D8C">
        <w:t xml:space="preserve"> </w:t>
      </w:r>
      <w:r w:rsidRPr="00036FAC">
        <w:t>in</w:t>
      </w:r>
      <w:r w:rsidR="00907D8C">
        <w:t xml:space="preserve"> </w:t>
      </w:r>
      <w:r w:rsidRPr="00036FAC">
        <w:t>2007.</w:t>
      </w:r>
    </w:p>
    <w:p w:rsidR="00036FAC" w:rsidRPr="00036FAC" w:rsidRDefault="00036FAC" w:rsidP="00B85D72">
      <w:pPr>
        <w:pStyle w:val="SingleTxtG"/>
      </w:pPr>
      <w:r w:rsidRPr="00036FAC">
        <w:t>161.</w:t>
      </w:r>
      <w:r w:rsidRPr="00036FAC">
        <w:tab/>
        <w:t>The</w:t>
      </w:r>
      <w:r w:rsidR="00907D8C">
        <w:t xml:space="preserve"> </w:t>
      </w:r>
      <w:r w:rsidRPr="00036FAC">
        <w:t>Commission</w:t>
      </w:r>
      <w:r w:rsidR="00907D8C">
        <w:t xml:space="preserve"> </w:t>
      </w:r>
      <w:r w:rsidRPr="00036FAC">
        <w:t>comprises</w:t>
      </w:r>
      <w:r w:rsidR="00907D8C">
        <w:t xml:space="preserve"> </w:t>
      </w:r>
      <w:r w:rsidRPr="00036FAC">
        <w:t>four</w:t>
      </w:r>
      <w:r w:rsidR="00907D8C">
        <w:t xml:space="preserve"> </w:t>
      </w:r>
      <w:r w:rsidRPr="00036FAC">
        <w:t>ex</w:t>
      </w:r>
      <w:r w:rsidR="00907D8C">
        <w:t xml:space="preserve"> </w:t>
      </w:r>
      <w:r w:rsidRPr="00036FAC">
        <w:t>officio</w:t>
      </w:r>
      <w:r w:rsidR="00907D8C">
        <w:t xml:space="preserve"> </w:t>
      </w:r>
      <w:r w:rsidRPr="00036FAC">
        <w:t>members</w:t>
      </w:r>
      <w:r w:rsidR="00907D8C">
        <w:t xml:space="preserve"> </w:t>
      </w:r>
      <w:r w:rsidRPr="00036FAC">
        <w:t>(the</w:t>
      </w:r>
      <w:r w:rsidR="00907D8C">
        <w:t xml:space="preserve"> </w:t>
      </w:r>
      <w:r w:rsidRPr="00036FAC">
        <w:t>Government</w:t>
      </w:r>
      <w:r w:rsidR="00907D8C">
        <w:t xml:space="preserve"> </w:t>
      </w:r>
      <w:r w:rsidRPr="00036FAC">
        <w:t>Statistician,</w:t>
      </w:r>
      <w:r w:rsidR="00907D8C">
        <w:t xml:space="preserve"> </w:t>
      </w:r>
      <w:r w:rsidRPr="00036FAC">
        <w:t>Surveyor-General,</w:t>
      </w:r>
      <w:r w:rsidR="00907D8C">
        <w:t xml:space="preserve"> </w:t>
      </w:r>
      <w:r w:rsidRPr="00036FAC">
        <w:t>Chief</w:t>
      </w:r>
      <w:r w:rsidR="00907D8C">
        <w:t xml:space="preserve"> </w:t>
      </w:r>
      <w:r w:rsidRPr="00036FAC">
        <w:t>Electoral</w:t>
      </w:r>
      <w:r w:rsidR="00907D8C">
        <w:t xml:space="preserve"> </w:t>
      </w:r>
      <w:r w:rsidRPr="00036FAC">
        <w:t>Officer,</w:t>
      </w:r>
      <w:r w:rsidR="00907D8C">
        <w:t xml:space="preserve"> </w:t>
      </w:r>
      <w:r w:rsidRPr="00036FAC">
        <w:t>and</w:t>
      </w:r>
      <w:r w:rsidR="00907D8C">
        <w:t xml:space="preserve"> </w:t>
      </w:r>
      <w:r w:rsidRPr="00036FAC">
        <w:t>Chairperson</w:t>
      </w:r>
      <w:r w:rsidR="00907D8C">
        <w:t xml:space="preserve"> </w:t>
      </w:r>
      <w:r w:rsidRPr="00036FAC">
        <w:t>of</w:t>
      </w:r>
      <w:r w:rsidR="00907D8C">
        <w:t xml:space="preserve"> </w:t>
      </w:r>
      <w:r w:rsidRPr="00036FAC">
        <w:t>the</w:t>
      </w:r>
      <w:r w:rsidR="00907D8C">
        <w:t xml:space="preserve"> </w:t>
      </w:r>
      <w:r w:rsidRPr="00036FAC">
        <w:t>Local</w:t>
      </w:r>
      <w:r w:rsidR="00907D8C">
        <w:t xml:space="preserve"> </w:t>
      </w:r>
      <w:r w:rsidRPr="00036FAC">
        <w:t>Government</w:t>
      </w:r>
      <w:r w:rsidR="00907D8C">
        <w:t xml:space="preserve"> </w:t>
      </w:r>
      <w:r w:rsidRPr="00036FAC">
        <w:t>Commission).</w:t>
      </w:r>
      <w:r w:rsidR="00907D8C">
        <w:t xml:space="preserve"> </w:t>
      </w:r>
      <w:r w:rsidRPr="00036FAC">
        <w:t>The</w:t>
      </w:r>
      <w:r w:rsidR="00907D8C">
        <w:t xml:space="preserve"> </w:t>
      </w:r>
      <w:r w:rsidRPr="00036FAC">
        <w:t>Governor-General</w:t>
      </w:r>
      <w:r w:rsidR="00907D8C">
        <w:t xml:space="preserve"> </w:t>
      </w:r>
      <w:r w:rsidRPr="00036FAC">
        <w:t>appoints</w:t>
      </w:r>
      <w:r w:rsidR="00907D8C">
        <w:t xml:space="preserve"> </w:t>
      </w:r>
      <w:r w:rsidRPr="00036FAC">
        <w:t>another</w:t>
      </w:r>
      <w:r w:rsidR="00907D8C">
        <w:t xml:space="preserve"> </w:t>
      </w:r>
      <w:r w:rsidRPr="00036FAC">
        <w:t>two</w:t>
      </w:r>
      <w:r w:rsidR="00907D8C">
        <w:t xml:space="preserve"> </w:t>
      </w:r>
      <w:r w:rsidRPr="00036FAC">
        <w:t>members:</w:t>
      </w:r>
      <w:r w:rsidR="00907D8C">
        <w:t xml:space="preserve"> </w:t>
      </w:r>
      <w:r w:rsidRPr="00036FAC">
        <w:t>one</w:t>
      </w:r>
      <w:r w:rsidR="00907D8C">
        <w:t xml:space="preserve"> </w:t>
      </w:r>
      <w:r w:rsidRPr="00036FAC">
        <w:t>to</w:t>
      </w:r>
      <w:r w:rsidR="00907D8C">
        <w:t xml:space="preserve"> </w:t>
      </w:r>
      <w:r w:rsidRPr="00036FAC">
        <w:t>represent</w:t>
      </w:r>
      <w:r w:rsidR="00907D8C">
        <w:t xml:space="preserve"> </w:t>
      </w:r>
      <w:r w:rsidRPr="00036FAC">
        <w:t>the</w:t>
      </w:r>
      <w:r w:rsidR="00907D8C">
        <w:t xml:space="preserve"> </w:t>
      </w:r>
      <w:r w:rsidRPr="00036FAC">
        <w:t>political</w:t>
      </w:r>
      <w:r w:rsidR="00907D8C">
        <w:t xml:space="preserve"> </w:t>
      </w:r>
      <w:r w:rsidRPr="00036FAC">
        <w:t>parties</w:t>
      </w:r>
      <w:r w:rsidR="00907D8C">
        <w:t xml:space="preserve"> </w:t>
      </w:r>
      <w:r w:rsidRPr="00036FAC">
        <w:t>in</w:t>
      </w:r>
      <w:r w:rsidR="00907D8C">
        <w:t xml:space="preserve"> </w:t>
      </w:r>
      <w:r w:rsidRPr="00036FAC">
        <w:t>Government;</w:t>
      </w:r>
      <w:r w:rsidR="00907D8C">
        <w:t xml:space="preserve"> </w:t>
      </w:r>
      <w:r w:rsidRPr="00036FAC">
        <w:t>the</w:t>
      </w:r>
      <w:r w:rsidR="00907D8C">
        <w:t xml:space="preserve"> </w:t>
      </w:r>
      <w:r w:rsidRPr="00036FAC">
        <w:t>other</w:t>
      </w:r>
      <w:r w:rsidR="00907D8C">
        <w:t xml:space="preserve"> </w:t>
      </w:r>
      <w:r w:rsidRPr="00036FAC">
        <w:t>to</w:t>
      </w:r>
      <w:r w:rsidR="00907D8C">
        <w:t xml:space="preserve"> </w:t>
      </w:r>
      <w:r w:rsidRPr="00036FAC">
        <w:t>represent</w:t>
      </w:r>
      <w:r w:rsidR="00907D8C">
        <w:t xml:space="preserve"> </w:t>
      </w:r>
      <w:r w:rsidRPr="00036FAC">
        <w:t>the</w:t>
      </w:r>
      <w:r w:rsidR="00907D8C">
        <w:t xml:space="preserve"> </w:t>
      </w:r>
      <w:r w:rsidRPr="00036FAC">
        <w:t>political</w:t>
      </w:r>
      <w:r w:rsidR="00907D8C">
        <w:t xml:space="preserve"> </w:t>
      </w:r>
      <w:r w:rsidRPr="00036FAC">
        <w:t>parties</w:t>
      </w:r>
      <w:r w:rsidR="00907D8C">
        <w:t xml:space="preserve"> </w:t>
      </w:r>
      <w:r w:rsidRPr="00036FAC">
        <w:t>in</w:t>
      </w:r>
      <w:r w:rsidR="00907D8C">
        <w:t xml:space="preserve"> </w:t>
      </w:r>
      <w:r w:rsidRPr="00036FAC">
        <w:t>opposition.</w:t>
      </w:r>
      <w:r w:rsidR="00907D8C">
        <w:t xml:space="preserve"> </w:t>
      </w:r>
      <w:r w:rsidRPr="00036FAC">
        <w:t>The</w:t>
      </w:r>
      <w:r w:rsidR="00907D8C">
        <w:t xml:space="preserve"> </w:t>
      </w:r>
      <w:r w:rsidRPr="00036FAC">
        <w:t>seventh</w:t>
      </w:r>
      <w:r w:rsidR="00907D8C">
        <w:t xml:space="preserve"> </w:t>
      </w:r>
      <w:r w:rsidRPr="00036FAC">
        <w:t>member</w:t>
      </w:r>
      <w:r w:rsidR="00907D8C">
        <w:t xml:space="preserve"> </w:t>
      </w:r>
      <w:r w:rsidRPr="00036FAC">
        <w:t>and</w:t>
      </w:r>
      <w:r w:rsidR="00907D8C">
        <w:t xml:space="preserve"> </w:t>
      </w:r>
      <w:r w:rsidRPr="00036FAC">
        <w:t>Chair</w:t>
      </w:r>
      <w:r w:rsidR="00907D8C">
        <w:t xml:space="preserve"> </w:t>
      </w:r>
      <w:r w:rsidRPr="00036FAC">
        <w:t>is</w:t>
      </w:r>
      <w:r w:rsidR="00907D8C">
        <w:t xml:space="preserve"> </w:t>
      </w:r>
      <w:r w:rsidRPr="00036FAC">
        <w:t>normally</w:t>
      </w:r>
      <w:r w:rsidR="00907D8C">
        <w:t xml:space="preserve"> </w:t>
      </w:r>
      <w:r w:rsidRPr="00036FAC">
        <w:t>a</w:t>
      </w:r>
      <w:r w:rsidR="00907D8C">
        <w:t xml:space="preserve"> </w:t>
      </w:r>
      <w:r w:rsidRPr="00036FAC">
        <w:t>District</w:t>
      </w:r>
      <w:r w:rsidR="00907D8C">
        <w:t xml:space="preserve"> </w:t>
      </w:r>
      <w:r w:rsidRPr="00036FAC">
        <w:t>Court</w:t>
      </w:r>
      <w:r w:rsidR="00907D8C">
        <w:t xml:space="preserve"> </w:t>
      </w:r>
      <w:r w:rsidRPr="00036FAC">
        <w:t>Judge,</w:t>
      </w:r>
      <w:r w:rsidR="00907D8C">
        <w:t xml:space="preserve"> </w:t>
      </w:r>
      <w:r w:rsidRPr="00036FAC">
        <w:t>nominated</w:t>
      </w:r>
      <w:r w:rsidR="00907D8C">
        <w:t xml:space="preserve"> </w:t>
      </w:r>
      <w:r w:rsidRPr="00036FAC">
        <w:t>by</w:t>
      </w:r>
      <w:r w:rsidR="00907D8C">
        <w:t xml:space="preserve"> </w:t>
      </w:r>
      <w:r w:rsidRPr="00036FAC">
        <w:t>the</w:t>
      </w:r>
      <w:r w:rsidR="00907D8C">
        <w:t xml:space="preserve"> </w:t>
      </w:r>
      <w:r w:rsidRPr="00036FAC">
        <w:t>other</w:t>
      </w:r>
      <w:r w:rsidR="00907D8C">
        <w:t xml:space="preserve"> </w:t>
      </w:r>
      <w:r w:rsidRPr="00036FAC">
        <w:t>members</w:t>
      </w:r>
      <w:r w:rsidR="00907D8C">
        <w:t xml:space="preserve"> </w:t>
      </w:r>
      <w:r w:rsidRPr="00036FAC">
        <w:t>and</w:t>
      </w:r>
      <w:r w:rsidR="00907D8C">
        <w:t xml:space="preserve"> </w:t>
      </w:r>
      <w:r w:rsidRPr="00036FAC">
        <w:t>appointed</w:t>
      </w:r>
      <w:r w:rsidR="00907D8C">
        <w:t xml:space="preserve"> </w:t>
      </w:r>
      <w:r w:rsidRPr="00036FAC">
        <w:t>by</w:t>
      </w:r>
      <w:r w:rsidR="00907D8C">
        <w:t xml:space="preserve"> </w:t>
      </w:r>
      <w:r w:rsidRPr="00036FAC">
        <w:t>the</w:t>
      </w:r>
      <w:r w:rsidR="00907D8C">
        <w:t xml:space="preserve"> </w:t>
      </w:r>
      <w:r w:rsidRPr="00036FAC">
        <w:t>Governor-General.</w:t>
      </w:r>
      <w:r w:rsidR="00907D8C">
        <w:t xml:space="preserve"> </w:t>
      </w:r>
      <w:r w:rsidRPr="00036FAC">
        <w:t>Another</w:t>
      </w:r>
      <w:r w:rsidR="00907D8C">
        <w:t xml:space="preserve"> </w:t>
      </w:r>
      <w:r w:rsidRPr="00036FAC">
        <w:t>three</w:t>
      </w:r>
      <w:r w:rsidR="00907D8C">
        <w:t xml:space="preserve"> </w:t>
      </w:r>
      <w:r w:rsidRPr="00036FAC">
        <w:t>members</w:t>
      </w:r>
      <w:r w:rsidR="00907D8C">
        <w:t xml:space="preserve"> </w:t>
      </w:r>
      <w:r w:rsidRPr="00036FAC">
        <w:t>join</w:t>
      </w:r>
      <w:r w:rsidR="00907D8C">
        <w:t xml:space="preserve"> </w:t>
      </w:r>
      <w:r w:rsidRPr="00036FAC">
        <w:t>the</w:t>
      </w:r>
      <w:r w:rsidR="00907D8C">
        <w:t xml:space="preserve"> </w:t>
      </w:r>
      <w:r w:rsidRPr="00036FAC">
        <w:t>Commission</w:t>
      </w:r>
      <w:r w:rsidR="00907D8C">
        <w:t xml:space="preserve"> </w:t>
      </w:r>
      <w:r w:rsidRPr="00036FAC">
        <w:t>to</w:t>
      </w:r>
      <w:r w:rsidR="00907D8C">
        <w:t xml:space="preserve"> </w:t>
      </w:r>
      <w:r w:rsidRPr="00036FAC">
        <w:t>draw</w:t>
      </w:r>
      <w:r w:rsidR="00907D8C">
        <w:t xml:space="preserve"> </w:t>
      </w:r>
      <w:r w:rsidRPr="00036FAC">
        <w:t>the</w:t>
      </w:r>
      <w:r w:rsidR="00907D8C">
        <w:t xml:space="preserve"> </w:t>
      </w:r>
      <w:r w:rsidRPr="00036FAC">
        <w:t>Māori</w:t>
      </w:r>
      <w:r w:rsidR="00907D8C">
        <w:t xml:space="preserve"> </w:t>
      </w:r>
      <w:r w:rsidRPr="00036FAC">
        <w:t>electorates.</w:t>
      </w:r>
      <w:r w:rsidR="00907D8C">
        <w:t xml:space="preserve"> </w:t>
      </w:r>
      <w:r w:rsidRPr="00036FAC">
        <w:t>They</w:t>
      </w:r>
      <w:r w:rsidR="00907D8C">
        <w:t xml:space="preserve"> </w:t>
      </w:r>
      <w:r w:rsidRPr="00036FAC">
        <w:t>are:</w:t>
      </w:r>
      <w:r w:rsidR="00907D8C">
        <w:t xml:space="preserve"> </w:t>
      </w:r>
      <w:r w:rsidRPr="00036FAC">
        <w:t>the</w:t>
      </w:r>
      <w:r w:rsidR="00907D8C">
        <w:t xml:space="preserve"> </w:t>
      </w:r>
      <w:r w:rsidRPr="00036FAC">
        <w:t>Chief</w:t>
      </w:r>
      <w:r w:rsidR="00907D8C">
        <w:t xml:space="preserve"> </w:t>
      </w:r>
      <w:r w:rsidRPr="00036FAC">
        <w:t>Executive</w:t>
      </w:r>
      <w:r w:rsidR="00907D8C">
        <w:t xml:space="preserve"> </w:t>
      </w:r>
      <w:r w:rsidRPr="00036FAC">
        <w:t>of</w:t>
      </w:r>
      <w:r w:rsidR="00907D8C">
        <w:t xml:space="preserve"> </w:t>
      </w:r>
      <w:r w:rsidRPr="00036FAC">
        <w:t>Te</w:t>
      </w:r>
      <w:r w:rsidR="00907D8C">
        <w:t xml:space="preserve"> </w:t>
      </w:r>
      <w:r w:rsidRPr="00036FAC">
        <w:t>Puni</w:t>
      </w:r>
      <w:r w:rsidR="00907D8C">
        <w:t xml:space="preserve"> </w:t>
      </w:r>
      <w:r w:rsidRPr="00036FAC">
        <w:t>Kōkiri</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Māori</w:t>
      </w:r>
      <w:r w:rsidR="00907D8C">
        <w:t xml:space="preserve"> </w:t>
      </w:r>
      <w:r w:rsidRPr="00036FAC">
        <w:t>Development),</w:t>
      </w:r>
      <w:r w:rsidR="00907D8C">
        <w:t xml:space="preserve"> </w:t>
      </w:r>
      <w:r w:rsidRPr="00036FAC">
        <w:t>one</w:t>
      </w:r>
      <w:r w:rsidR="00907D8C">
        <w:t xml:space="preserve"> </w:t>
      </w:r>
      <w:r w:rsidRPr="00036FAC">
        <w:t>Māori</w:t>
      </w:r>
      <w:r w:rsidR="00907D8C">
        <w:t xml:space="preserve"> </w:t>
      </w:r>
      <w:r w:rsidRPr="00036FAC">
        <w:t>appointed</w:t>
      </w:r>
      <w:r w:rsidR="00907D8C">
        <w:t xml:space="preserve"> </w:t>
      </w:r>
      <w:r w:rsidRPr="00036FAC">
        <w:t>by</w:t>
      </w:r>
      <w:r w:rsidR="00907D8C">
        <w:t xml:space="preserve"> </w:t>
      </w:r>
      <w:r w:rsidRPr="00036FAC">
        <w:t>the</w:t>
      </w:r>
      <w:r w:rsidR="00907D8C">
        <w:t xml:space="preserve"> </w:t>
      </w:r>
      <w:r w:rsidRPr="00036FAC">
        <w:t>Governor-General</w:t>
      </w:r>
      <w:r w:rsidR="00907D8C">
        <w:t xml:space="preserve"> </w:t>
      </w:r>
      <w:r w:rsidRPr="00036FAC">
        <w:t>to</w:t>
      </w:r>
      <w:r w:rsidR="00907D8C">
        <w:t xml:space="preserve"> </w:t>
      </w:r>
      <w:r w:rsidRPr="00036FAC">
        <w:t>represent</w:t>
      </w:r>
      <w:r w:rsidR="00907D8C">
        <w:t xml:space="preserve"> </w:t>
      </w:r>
      <w:r w:rsidRPr="00036FAC">
        <w:t>the</w:t>
      </w:r>
      <w:r w:rsidR="00907D8C">
        <w:t xml:space="preserve"> </w:t>
      </w:r>
      <w:r w:rsidRPr="00036FAC">
        <w:t>parties</w:t>
      </w:r>
      <w:r w:rsidR="00907D8C">
        <w:t xml:space="preserve"> </w:t>
      </w:r>
      <w:r w:rsidRPr="00036FAC">
        <w:t>in</w:t>
      </w:r>
      <w:r w:rsidR="00907D8C">
        <w:t xml:space="preserve"> </w:t>
      </w:r>
      <w:r w:rsidRPr="00036FAC">
        <w:t>Government,</w:t>
      </w:r>
      <w:r w:rsidR="00907D8C">
        <w:t xml:space="preserve"> </w:t>
      </w:r>
      <w:r w:rsidRPr="00036FAC">
        <w:t>and</w:t>
      </w:r>
      <w:r w:rsidR="00907D8C">
        <w:t xml:space="preserve"> </w:t>
      </w:r>
      <w:r w:rsidRPr="00036FAC">
        <w:t>another</w:t>
      </w:r>
      <w:r w:rsidR="00907D8C">
        <w:t xml:space="preserve"> </w:t>
      </w:r>
      <w:r w:rsidRPr="00036FAC">
        <w:t>Māori</w:t>
      </w:r>
      <w:r w:rsidR="00907D8C">
        <w:t xml:space="preserve"> </w:t>
      </w:r>
      <w:r w:rsidRPr="00036FAC">
        <w:t>to</w:t>
      </w:r>
      <w:r w:rsidR="00907D8C">
        <w:t xml:space="preserve"> </w:t>
      </w:r>
      <w:r w:rsidRPr="00036FAC">
        <w:t>represent</w:t>
      </w:r>
      <w:r w:rsidR="00907D8C">
        <w:t xml:space="preserve"> </w:t>
      </w:r>
      <w:r w:rsidRPr="00036FAC">
        <w:t>the</w:t>
      </w:r>
      <w:r w:rsidR="00907D8C">
        <w:t xml:space="preserve"> </w:t>
      </w:r>
      <w:r w:rsidRPr="00036FAC">
        <w:t>parties</w:t>
      </w:r>
      <w:r w:rsidR="00907D8C">
        <w:t xml:space="preserve"> </w:t>
      </w:r>
      <w:r w:rsidRPr="00036FAC">
        <w:t>in</w:t>
      </w:r>
      <w:r w:rsidR="00907D8C">
        <w:t xml:space="preserve"> </w:t>
      </w:r>
      <w:r w:rsidRPr="00036FAC">
        <w:t>opposition.</w:t>
      </w:r>
    </w:p>
    <w:p w:rsidR="00036FAC" w:rsidRPr="00036FAC" w:rsidRDefault="00036FAC" w:rsidP="006C436C">
      <w:pPr>
        <w:pStyle w:val="H23G"/>
      </w:pPr>
      <w:r w:rsidRPr="00036FAC">
        <w:tab/>
        <w:t>4.</w:t>
      </w:r>
      <w:r w:rsidRPr="00036FAC">
        <w:tab/>
        <w:t>Treaty</w:t>
      </w:r>
      <w:r w:rsidR="00907D8C">
        <w:t xml:space="preserve"> </w:t>
      </w:r>
      <w:r w:rsidRPr="00036FAC">
        <w:t>of</w:t>
      </w:r>
      <w:r w:rsidR="00907D8C">
        <w:t xml:space="preserve"> </w:t>
      </w:r>
      <w:r w:rsidRPr="00036FAC">
        <w:t>Waitangi</w:t>
      </w:r>
      <w:r w:rsidR="00907D8C">
        <w:t xml:space="preserve"> </w:t>
      </w:r>
      <w:r w:rsidRPr="00036FAC">
        <w:t>settlements</w:t>
      </w:r>
    </w:p>
    <w:p w:rsidR="00036FAC" w:rsidRPr="00036FAC" w:rsidRDefault="00036FAC" w:rsidP="00B85D72">
      <w:pPr>
        <w:pStyle w:val="SingleTxtG"/>
      </w:pPr>
      <w:r w:rsidRPr="00036FAC">
        <w:t>162.</w:t>
      </w:r>
      <w:r w:rsidRPr="00036FAC">
        <w:tab/>
        <w:t>The</w:t>
      </w:r>
      <w:r w:rsidR="00907D8C">
        <w:t xml:space="preserve"> </w:t>
      </w:r>
      <w:r w:rsidRPr="00036FAC">
        <w:t>Waitangi</w:t>
      </w:r>
      <w:r w:rsidR="00907D8C">
        <w:t xml:space="preserve"> </w:t>
      </w:r>
      <w:r w:rsidRPr="00036FAC">
        <w:t>Tribunal</w:t>
      </w:r>
      <w:r w:rsidR="00907D8C">
        <w:t xml:space="preserve"> </w:t>
      </w:r>
      <w:r w:rsidRPr="00036FAC">
        <w:t>is</w:t>
      </w:r>
      <w:r w:rsidR="00907D8C">
        <w:t xml:space="preserve"> </w:t>
      </w:r>
      <w:r w:rsidRPr="00036FAC">
        <w:t>a</w:t>
      </w:r>
      <w:r w:rsidR="00907D8C">
        <w:t xml:space="preserve"> </w:t>
      </w:r>
      <w:r w:rsidRPr="00036FAC">
        <w:t>permanent</w:t>
      </w:r>
      <w:r w:rsidR="00907D8C">
        <w:t xml:space="preserve"> </w:t>
      </w:r>
      <w:r w:rsidRPr="00036FAC">
        <w:t>commission</w:t>
      </w:r>
      <w:r w:rsidR="00907D8C">
        <w:t xml:space="preserve"> </w:t>
      </w:r>
      <w:r w:rsidRPr="00036FAC">
        <w:t>of</w:t>
      </w:r>
      <w:r w:rsidR="00907D8C">
        <w:t xml:space="preserve"> </w:t>
      </w:r>
      <w:r w:rsidRPr="00036FAC">
        <w:t>inquiry</w:t>
      </w:r>
      <w:r w:rsidR="00907D8C">
        <w:t xml:space="preserve"> </w:t>
      </w:r>
      <w:r w:rsidRPr="00036FAC">
        <w:t>established</w:t>
      </w:r>
      <w:r w:rsidR="00907D8C">
        <w:t xml:space="preserve"> </w:t>
      </w:r>
      <w:r w:rsidRPr="00036FAC">
        <w:t>under</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Act</w:t>
      </w:r>
      <w:r w:rsidR="00907D8C">
        <w:t xml:space="preserve"> </w:t>
      </w:r>
      <w:r w:rsidRPr="00036FAC">
        <w:t>1975</w:t>
      </w:r>
      <w:r w:rsidR="00907D8C">
        <w:t xml:space="preserve"> </w:t>
      </w:r>
      <w:r w:rsidRPr="00036FAC">
        <w:t>to</w:t>
      </w:r>
      <w:r w:rsidR="00907D8C">
        <w:t xml:space="preserve"> </w:t>
      </w:r>
      <w:r w:rsidRPr="00036FAC">
        <w:t>investigate</w:t>
      </w:r>
      <w:r w:rsidR="00907D8C">
        <w:t xml:space="preserve"> </w:t>
      </w:r>
      <w:r w:rsidRPr="00036FAC">
        <w:t>Māori</w:t>
      </w:r>
      <w:r w:rsidR="00907D8C">
        <w:t xml:space="preserve"> </w:t>
      </w:r>
      <w:r w:rsidRPr="00036FAC">
        <w:t>claims</w:t>
      </w:r>
      <w:r w:rsidR="00907D8C">
        <w:t xml:space="preserve"> </w:t>
      </w:r>
      <w:r w:rsidRPr="00036FAC">
        <w:t>that</w:t>
      </w:r>
      <w:r w:rsidR="00907D8C">
        <w:t xml:space="preserve"> </w:t>
      </w:r>
      <w:r w:rsidRPr="00036FAC">
        <w:t>the</w:t>
      </w:r>
      <w:r w:rsidR="00907D8C">
        <w:t xml:space="preserve"> </w:t>
      </w:r>
      <w:r w:rsidRPr="00036FAC">
        <w:t>Crown</w:t>
      </w:r>
      <w:r w:rsidR="00907D8C">
        <w:t xml:space="preserve"> </w:t>
      </w:r>
      <w:r w:rsidRPr="00036FAC">
        <w:t>has</w:t>
      </w:r>
      <w:r w:rsidR="00907D8C">
        <w:t xml:space="preserve"> </w:t>
      </w:r>
      <w:r w:rsidRPr="00036FAC">
        <w:t>breached</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Its</w:t>
      </w:r>
      <w:r w:rsidR="00907D8C">
        <w:t xml:space="preserve"> </w:t>
      </w:r>
      <w:r w:rsidRPr="00036FAC">
        <w:t>members</w:t>
      </w:r>
      <w:r w:rsidR="00907D8C">
        <w:t xml:space="preserve"> </w:t>
      </w:r>
      <w:r w:rsidRPr="00036FAC">
        <w:t>are</w:t>
      </w:r>
      <w:r w:rsidR="00907D8C">
        <w:t xml:space="preserve"> </w:t>
      </w:r>
      <w:r w:rsidRPr="00036FAC">
        <w:t>appointed</w:t>
      </w:r>
      <w:r w:rsidR="00907D8C">
        <w:t xml:space="preserve"> </w:t>
      </w:r>
      <w:r w:rsidRPr="00036FAC">
        <w:t>by</w:t>
      </w:r>
      <w:r w:rsidR="00907D8C">
        <w:t xml:space="preserve"> </w:t>
      </w:r>
      <w:r w:rsidRPr="00036FAC">
        <w:t>the</w:t>
      </w:r>
      <w:r w:rsidR="00907D8C">
        <w:t xml:space="preserve"> </w:t>
      </w:r>
      <w:r w:rsidRPr="00036FAC">
        <w:t>Governor-General</w:t>
      </w:r>
      <w:r w:rsidR="00907D8C">
        <w:t xml:space="preserve"> </w:t>
      </w:r>
      <w:r w:rsidRPr="00036FAC">
        <w:t>on</w:t>
      </w:r>
      <w:r w:rsidR="00907D8C">
        <w:t xml:space="preserve"> </w:t>
      </w:r>
      <w:r w:rsidRPr="00036FAC">
        <w:t>the</w:t>
      </w:r>
      <w:r w:rsidR="00907D8C">
        <w:t xml:space="preserve"> </w:t>
      </w:r>
      <w:r w:rsidRPr="00036FAC">
        <w:t>recommendation</w:t>
      </w:r>
      <w:r w:rsidR="00907D8C">
        <w:t xml:space="preserve"> </w:t>
      </w:r>
      <w:r w:rsidRPr="00036FAC">
        <w:t>of</w:t>
      </w:r>
      <w:r w:rsidR="00907D8C">
        <w:t xml:space="preserve"> </w:t>
      </w:r>
      <w:r w:rsidRPr="00036FAC">
        <w:t>the</w:t>
      </w:r>
      <w:r w:rsidR="00907D8C">
        <w:t xml:space="preserve"> </w:t>
      </w:r>
      <w:r w:rsidRPr="00036FAC">
        <w:t>Minister</w:t>
      </w:r>
      <w:r w:rsidR="00907D8C">
        <w:t xml:space="preserve"> </w:t>
      </w:r>
      <w:r w:rsidRPr="00036FAC">
        <w:t>of</w:t>
      </w:r>
      <w:r w:rsidR="00907D8C">
        <w:t xml:space="preserve"> </w:t>
      </w:r>
      <w:r w:rsidRPr="00036FAC">
        <w:t>Māori</w:t>
      </w:r>
      <w:r w:rsidR="00907D8C">
        <w:t xml:space="preserve"> </w:t>
      </w:r>
      <w:r w:rsidRPr="00036FAC">
        <w:t>Affairs,</w:t>
      </w:r>
      <w:r w:rsidR="00907D8C">
        <w:t xml:space="preserve"> </w:t>
      </w:r>
      <w:r w:rsidRPr="00036FAC">
        <w:t>and</w:t>
      </w:r>
      <w:r w:rsidR="00907D8C">
        <w:t xml:space="preserve"> </w:t>
      </w:r>
      <w:r w:rsidRPr="00036FAC">
        <w:t>are</w:t>
      </w:r>
      <w:r w:rsidR="00907D8C">
        <w:t xml:space="preserve"> </w:t>
      </w:r>
      <w:r w:rsidRPr="00036FAC">
        <w:t>chosen</w:t>
      </w:r>
      <w:r w:rsidR="00907D8C">
        <w:t xml:space="preserve"> </w:t>
      </w:r>
      <w:r w:rsidRPr="00036FAC">
        <w:t>for</w:t>
      </w:r>
      <w:r w:rsidR="00907D8C">
        <w:t xml:space="preserve"> </w:t>
      </w:r>
      <w:r w:rsidRPr="00036FAC">
        <w:t>their</w:t>
      </w:r>
      <w:r w:rsidR="00907D8C">
        <w:t xml:space="preserve"> </w:t>
      </w:r>
      <w:r w:rsidRPr="00036FAC">
        <w:t>expertise</w:t>
      </w:r>
      <w:r w:rsidR="00907D8C">
        <w:t xml:space="preserve"> </w:t>
      </w:r>
      <w:r w:rsidRPr="00036FAC">
        <w:t>in</w:t>
      </w:r>
      <w:r w:rsidR="00907D8C">
        <w:t xml:space="preserve"> </w:t>
      </w:r>
      <w:r w:rsidRPr="00036FAC">
        <w:t>the</w:t>
      </w:r>
      <w:r w:rsidR="00907D8C">
        <w:t xml:space="preserve"> </w:t>
      </w:r>
      <w:r w:rsidRPr="00036FAC">
        <w:t>matters</w:t>
      </w:r>
      <w:r w:rsidR="00907D8C">
        <w:t xml:space="preserve"> </w:t>
      </w:r>
      <w:r w:rsidRPr="00036FAC">
        <w:t>likely</w:t>
      </w:r>
      <w:r w:rsidR="00907D8C">
        <w:t xml:space="preserve"> </w:t>
      </w:r>
      <w:r w:rsidRPr="00036FAC">
        <w:t>to</w:t>
      </w:r>
      <w:r w:rsidR="00907D8C">
        <w:t xml:space="preserve"> </w:t>
      </w:r>
      <w:r w:rsidRPr="00036FAC">
        <w:t>come</w:t>
      </w:r>
      <w:r w:rsidR="00907D8C">
        <w:t xml:space="preserve"> </w:t>
      </w:r>
      <w:r w:rsidRPr="00036FAC">
        <w:t>before</w:t>
      </w:r>
      <w:r w:rsidR="00907D8C">
        <w:t xml:space="preserve"> </w:t>
      </w:r>
      <w:r w:rsidRPr="00036FAC">
        <w:t>them.</w:t>
      </w:r>
      <w:r w:rsidR="00907D8C">
        <w:t xml:space="preserve"> </w:t>
      </w:r>
      <w:r w:rsidRPr="00036FAC">
        <w:t>Since</w:t>
      </w:r>
      <w:r w:rsidR="00907D8C">
        <w:t xml:space="preserve"> </w:t>
      </w:r>
      <w:r w:rsidRPr="00036FAC">
        <w:t>1985,</w:t>
      </w:r>
      <w:r w:rsidR="00907D8C">
        <w:t xml:space="preserve"> </w:t>
      </w:r>
      <w:r w:rsidRPr="00036FAC">
        <w:t>the</w:t>
      </w:r>
      <w:r w:rsidR="00907D8C">
        <w:t xml:space="preserve"> </w:t>
      </w:r>
      <w:r w:rsidRPr="00036FAC">
        <w:t>Tribunal</w:t>
      </w:r>
      <w:r w:rsidR="00907D8C">
        <w:t xml:space="preserve"> </w:t>
      </w:r>
      <w:r w:rsidRPr="00036FAC">
        <w:t>has</w:t>
      </w:r>
      <w:r w:rsidR="00907D8C">
        <w:t xml:space="preserve"> </w:t>
      </w:r>
      <w:r w:rsidRPr="00036FAC">
        <w:t>been</w:t>
      </w:r>
      <w:r w:rsidR="00907D8C">
        <w:t xml:space="preserve"> </w:t>
      </w:r>
      <w:r w:rsidRPr="00036FAC">
        <w:t>able</w:t>
      </w:r>
      <w:r w:rsidR="00907D8C">
        <w:t xml:space="preserve"> </w:t>
      </w:r>
      <w:r w:rsidRPr="00036FAC">
        <w:t>to</w:t>
      </w:r>
      <w:r w:rsidR="00907D8C">
        <w:t xml:space="preserve"> </w:t>
      </w:r>
      <w:r w:rsidRPr="00036FAC">
        <w:t>consider</w:t>
      </w:r>
      <w:r w:rsidR="00907D8C">
        <w:t xml:space="preserve"> </w:t>
      </w:r>
      <w:r w:rsidRPr="00036FAC">
        <w:t>Crown</w:t>
      </w:r>
      <w:r w:rsidR="00907D8C">
        <w:t xml:space="preserve"> </w:t>
      </w:r>
      <w:r w:rsidRPr="00036FAC">
        <w:t>acts</w:t>
      </w:r>
      <w:r w:rsidR="00907D8C">
        <w:t xml:space="preserve"> </w:t>
      </w:r>
      <w:r w:rsidRPr="00036FAC">
        <w:t>and</w:t>
      </w:r>
      <w:r w:rsidR="00907D8C">
        <w:t xml:space="preserve"> </w:t>
      </w:r>
      <w:r w:rsidRPr="00036FAC">
        <w:t>omissions</w:t>
      </w:r>
      <w:r w:rsidR="00907D8C">
        <w:t xml:space="preserve"> </w:t>
      </w:r>
      <w:r w:rsidRPr="00036FAC">
        <w:t>dating</w:t>
      </w:r>
      <w:r w:rsidR="00907D8C">
        <w:t xml:space="preserve"> </w:t>
      </w:r>
      <w:r w:rsidRPr="00036FAC">
        <w:t>back</w:t>
      </w:r>
      <w:r w:rsidR="00907D8C">
        <w:t xml:space="preserve"> </w:t>
      </w:r>
      <w:r w:rsidRPr="00036FAC">
        <w:t>to</w:t>
      </w:r>
      <w:r w:rsidR="00907D8C">
        <w:t xml:space="preserve"> </w:t>
      </w:r>
      <w:r w:rsidRPr="00036FAC">
        <w:t>1840.</w:t>
      </w:r>
      <w:r w:rsidR="00907D8C">
        <w:t xml:space="preserve"> </w:t>
      </w:r>
      <w:r w:rsidRPr="00036FAC">
        <w:t>This</w:t>
      </w:r>
      <w:r w:rsidR="00907D8C">
        <w:t xml:space="preserve"> </w:t>
      </w:r>
      <w:r w:rsidRPr="00036FAC">
        <w:t>has</w:t>
      </w:r>
      <w:r w:rsidR="00907D8C">
        <w:t xml:space="preserve"> </w:t>
      </w:r>
      <w:r w:rsidRPr="00036FAC">
        <w:t>provided</w:t>
      </w:r>
      <w:r w:rsidR="00907D8C">
        <w:t xml:space="preserve"> </w:t>
      </w:r>
      <w:r w:rsidRPr="00036FAC">
        <w:t>Māori</w:t>
      </w:r>
      <w:r w:rsidR="00907D8C">
        <w:t xml:space="preserve"> </w:t>
      </w:r>
      <w:r w:rsidRPr="00036FAC">
        <w:t>with</w:t>
      </w:r>
      <w:r w:rsidR="00907D8C">
        <w:t xml:space="preserve"> </w:t>
      </w:r>
      <w:r w:rsidRPr="00036FAC">
        <w:t>an</w:t>
      </w:r>
      <w:r w:rsidR="00907D8C">
        <w:t xml:space="preserve"> </w:t>
      </w:r>
      <w:r w:rsidRPr="00036FAC">
        <w:t>important</w:t>
      </w:r>
      <w:r w:rsidR="00907D8C">
        <w:t xml:space="preserve"> </w:t>
      </w:r>
      <w:r w:rsidRPr="00036FAC">
        <w:t>means</w:t>
      </w:r>
      <w:r w:rsidR="00907D8C">
        <w:t xml:space="preserve"> </w:t>
      </w:r>
      <w:r w:rsidRPr="00036FAC">
        <w:t>to</w:t>
      </w:r>
      <w:r w:rsidR="00907D8C">
        <w:t xml:space="preserve"> </w:t>
      </w:r>
      <w:r w:rsidRPr="00036FAC">
        <w:t>have</w:t>
      </w:r>
      <w:r w:rsidR="00907D8C">
        <w:t xml:space="preserve"> </w:t>
      </w:r>
      <w:r w:rsidRPr="00036FAC">
        <w:t>their</w:t>
      </w:r>
      <w:r w:rsidR="00907D8C">
        <w:t xml:space="preserve"> </w:t>
      </w:r>
      <w:r w:rsidRPr="00036FAC">
        <w:t>grievances</w:t>
      </w:r>
      <w:r w:rsidR="00907D8C">
        <w:t xml:space="preserve"> </w:t>
      </w:r>
      <w:r w:rsidRPr="00036FAC">
        <w:t>against</w:t>
      </w:r>
      <w:r w:rsidR="00907D8C">
        <w:t xml:space="preserve"> </w:t>
      </w:r>
      <w:r w:rsidRPr="00036FAC">
        <w:t>the</w:t>
      </w:r>
      <w:r w:rsidR="00907D8C">
        <w:t xml:space="preserve"> </w:t>
      </w:r>
      <w:r w:rsidRPr="00036FAC">
        <w:t>actions</w:t>
      </w:r>
      <w:r w:rsidR="00907D8C">
        <w:t xml:space="preserve"> </w:t>
      </w:r>
      <w:r w:rsidRPr="00036FAC">
        <w:t>of</w:t>
      </w:r>
      <w:r w:rsidR="00907D8C">
        <w:t xml:space="preserve"> </w:t>
      </w:r>
      <w:r w:rsidRPr="00036FAC">
        <w:t>past</w:t>
      </w:r>
      <w:r w:rsidR="00907D8C">
        <w:t xml:space="preserve"> </w:t>
      </w:r>
      <w:r w:rsidRPr="00036FAC">
        <w:t>governments</w:t>
      </w:r>
      <w:r w:rsidR="00907D8C">
        <w:t xml:space="preserve"> </w:t>
      </w:r>
      <w:r w:rsidRPr="00036FAC">
        <w:t>investigated.</w:t>
      </w:r>
    </w:p>
    <w:p w:rsidR="00036FAC" w:rsidRPr="00036FAC" w:rsidRDefault="00036FAC" w:rsidP="00B85D72">
      <w:pPr>
        <w:pStyle w:val="SingleTxtG"/>
      </w:pPr>
      <w:r w:rsidRPr="00036FAC">
        <w:t>163.</w:t>
      </w:r>
      <w:r w:rsidRPr="00036FAC">
        <w:tab/>
        <w:t>The</w:t>
      </w:r>
      <w:r w:rsidR="00907D8C">
        <w:t xml:space="preserve"> </w:t>
      </w:r>
      <w:r w:rsidRPr="00036FAC">
        <w:t>Waitangi</w:t>
      </w:r>
      <w:r w:rsidR="00907D8C">
        <w:t xml:space="preserve"> </w:t>
      </w:r>
      <w:r w:rsidRPr="00036FAC">
        <w:t>Tribunal</w:t>
      </w:r>
      <w:r w:rsidR="00907D8C">
        <w:t xml:space="preserve"> </w:t>
      </w:r>
      <w:r w:rsidRPr="00036FAC">
        <w:t>is</w:t>
      </w:r>
      <w:r w:rsidR="00907D8C">
        <w:t xml:space="preserve"> </w:t>
      </w:r>
      <w:r w:rsidRPr="00036FAC">
        <w:t>supported</w:t>
      </w:r>
      <w:r w:rsidR="00907D8C">
        <w:t xml:space="preserve"> </w:t>
      </w:r>
      <w:r w:rsidRPr="00036FAC">
        <w:t>by</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Justice,</w:t>
      </w:r>
      <w:r w:rsidR="00907D8C">
        <w:t xml:space="preserve"> </w:t>
      </w:r>
      <w:r w:rsidRPr="00036FAC">
        <w:t>through</w:t>
      </w:r>
      <w:r w:rsidR="00907D8C">
        <w:t xml:space="preserve"> </w:t>
      </w:r>
      <w:r w:rsidRPr="00036FAC">
        <w:t>the</w:t>
      </w:r>
      <w:r w:rsidR="00907D8C">
        <w:t xml:space="preserve"> </w:t>
      </w:r>
      <w:r w:rsidRPr="00036FAC">
        <w:t>Waitangi</w:t>
      </w:r>
      <w:r w:rsidR="00907D8C">
        <w:t xml:space="preserve"> </w:t>
      </w:r>
      <w:r w:rsidRPr="00036FAC">
        <w:t>Tribunal</w:t>
      </w:r>
      <w:r w:rsidR="00907D8C">
        <w:t xml:space="preserve"> </w:t>
      </w:r>
      <w:r w:rsidRPr="00036FAC">
        <w:t>Business</w:t>
      </w:r>
      <w:r w:rsidR="00907D8C">
        <w:t xml:space="preserve"> </w:t>
      </w:r>
      <w:r w:rsidRPr="00036FAC">
        <w:t>Unit,</w:t>
      </w:r>
      <w:r w:rsidR="00907D8C">
        <w:t xml:space="preserve"> </w:t>
      </w:r>
      <w:r w:rsidRPr="00036FAC">
        <w:t>which</w:t>
      </w:r>
      <w:r w:rsidR="00907D8C">
        <w:t xml:space="preserve"> </w:t>
      </w:r>
      <w:r w:rsidRPr="00036FAC">
        <w:t>provides</w:t>
      </w:r>
      <w:r w:rsidR="00907D8C">
        <w:t xml:space="preserve"> </w:t>
      </w:r>
      <w:r w:rsidRPr="00036FAC">
        <w:t>administrative,</w:t>
      </w:r>
      <w:r w:rsidR="00907D8C">
        <w:t xml:space="preserve"> </w:t>
      </w:r>
      <w:r w:rsidRPr="00036FAC">
        <w:t>research,</w:t>
      </w:r>
      <w:r w:rsidR="00907D8C">
        <w:t xml:space="preserve"> </w:t>
      </w:r>
      <w:r w:rsidRPr="00036FAC">
        <w:t>and</w:t>
      </w:r>
      <w:r w:rsidR="00907D8C">
        <w:t xml:space="preserve"> </w:t>
      </w:r>
      <w:r w:rsidRPr="00036FAC">
        <w:t>support</w:t>
      </w:r>
      <w:r w:rsidR="00907D8C">
        <w:t xml:space="preserve"> </w:t>
      </w:r>
      <w:r w:rsidRPr="00036FAC">
        <w:t>services.</w:t>
      </w:r>
      <w:r w:rsidR="00907D8C">
        <w:t xml:space="preserve"> </w:t>
      </w:r>
      <w:r w:rsidRPr="00036FAC">
        <w:t>The</w:t>
      </w:r>
      <w:r w:rsidR="00907D8C">
        <w:t xml:space="preserve"> </w:t>
      </w:r>
      <w:r w:rsidRPr="00036FAC">
        <w:t>Tribunal</w:t>
      </w:r>
      <w:r w:rsidR="003E4D94">
        <w:t>’</w:t>
      </w:r>
      <w:r w:rsidRPr="00036FAC">
        <w:t>s</w:t>
      </w:r>
      <w:r w:rsidR="00907D8C">
        <w:t xml:space="preserve"> </w:t>
      </w:r>
      <w:r w:rsidRPr="00036FAC">
        <w:t>chairperson</w:t>
      </w:r>
      <w:r w:rsidR="00907D8C">
        <w:t xml:space="preserve"> </w:t>
      </w:r>
      <w:r w:rsidRPr="00036FAC">
        <w:t>and</w:t>
      </w:r>
      <w:r w:rsidR="00907D8C">
        <w:t xml:space="preserve"> </w:t>
      </w:r>
      <w:r w:rsidRPr="00036FAC">
        <w:t>deputy</w:t>
      </w:r>
      <w:r w:rsidR="00907D8C">
        <w:t xml:space="preserve"> </w:t>
      </w:r>
      <w:r w:rsidRPr="00036FAC">
        <w:t>chairperson</w:t>
      </w:r>
      <w:r w:rsidR="00907D8C">
        <w:t xml:space="preserve"> </w:t>
      </w:r>
      <w:r w:rsidRPr="00036FAC">
        <w:t>are</w:t>
      </w:r>
      <w:r w:rsidR="00907D8C">
        <w:t xml:space="preserve"> </w:t>
      </w:r>
      <w:r w:rsidRPr="00036FAC">
        <w:t>based</w:t>
      </w:r>
      <w:r w:rsidR="00907D8C">
        <w:t xml:space="preserve"> </w:t>
      </w:r>
      <w:r w:rsidRPr="00036FAC">
        <w:t>in</w:t>
      </w:r>
      <w:r w:rsidR="00907D8C">
        <w:t xml:space="preserve"> </w:t>
      </w:r>
      <w:r w:rsidRPr="00036FAC">
        <w:t>Wellington</w:t>
      </w:r>
      <w:r w:rsidR="00907D8C">
        <w:t xml:space="preserve"> </w:t>
      </w:r>
      <w:r w:rsidRPr="00036FAC">
        <w:t>and</w:t>
      </w:r>
      <w:r w:rsidR="00907D8C">
        <w:t xml:space="preserve"> </w:t>
      </w:r>
      <w:r w:rsidRPr="00036FAC">
        <w:t>their</w:t>
      </w:r>
      <w:r w:rsidR="00907D8C">
        <w:t xml:space="preserve"> </w:t>
      </w:r>
      <w:r w:rsidRPr="00036FAC">
        <w:t>offices</w:t>
      </w:r>
      <w:r w:rsidR="00907D8C">
        <w:t xml:space="preserve"> </w:t>
      </w:r>
      <w:r w:rsidRPr="00036FAC">
        <w:t>are</w:t>
      </w:r>
      <w:r w:rsidR="00907D8C">
        <w:t xml:space="preserve"> </w:t>
      </w:r>
      <w:r w:rsidRPr="00036FAC">
        <w:t>located</w:t>
      </w:r>
      <w:r w:rsidR="00907D8C">
        <w:t xml:space="preserve"> </w:t>
      </w:r>
      <w:r w:rsidRPr="00036FAC">
        <w:t>alongside</w:t>
      </w:r>
      <w:r w:rsidR="00907D8C">
        <w:t xml:space="preserve"> </w:t>
      </w:r>
      <w:r w:rsidRPr="00036FAC">
        <w:t>the</w:t>
      </w:r>
      <w:r w:rsidR="00907D8C">
        <w:t xml:space="preserve"> </w:t>
      </w:r>
      <w:r w:rsidRPr="00036FAC">
        <w:t>business</w:t>
      </w:r>
      <w:r w:rsidR="00907D8C">
        <w:t xml:space="preserve"> </w:t>
      </w:r>
      <w:r w:rsidRPr="00036FAC">
        <w:t>unit</w:t>
      </w:r>
      <w:r w:rsidR="003E4D94">
        <w:t>’</w:t>
      </w:r>
      <w:r w:rsidRPr="00036FAC">
        <w:t>s</w:t>
      </w:r>
      <w:r w:rsidR="00907D8C">
        <w:t xml:space="preserve"> </w:t>
      </w:r>
      <w:r w:rsidRPr="00036FAC">
        <w:t>offices</w:t>
      </w:r>
      <w:r w:rsidR="00907D8C">
        <w:t xml:space="preserve"> </w:t>
      </w:r>
      <w:r w:rsidRPr="00036FAC">
        <w:t>in</w:t>
      </w:r>
      <w:r w:rsidR="00907D8C">
        <w:t xml:space="preserve"> </w:t>
      </w:r>
      <w:r w:rsidRPr="00036FAC">
        <w:t>the</w:t>
      </w:r>
      <w:r w:rsidR="00907D8C">
        <w:t xml:space="preserve"> </w:t>
      </w:r>
      <w:r w:rsidRPr="00036FAC">
        <w:t>central</w:t>
      </w:r>
      <w:r w:rsidR="00907D8C">
        <w:t xml:space="preserve"> </w:t>
      </w:r>
      <w:r w:rsidRPr="00036FAC">
        <w:t>business</w:t>
      </w:r>
      <w:r w:rsidR="00907D8C">
        <w:t xml:space="preserve"> </w:t>
      </w:r>
      <w:r w:rsidRPr="00036FAC">
        <w:t>district.</w:t>
      </w:r>
    </w:p>
    <w:p w:rsidR="00036FAC" w:rsidRPr="00036FAC" w:rsidRDefault="00036FAC" w:rsidP="00B85D72">
      <w:pPr>
        <w:pStyle w:val="SingleTxtG"/>
      </w:pPr>
      <w:r w:rsidRPr="00036FAC">
        <w:t>164.</w:t>
      </w:r>
      <w:r w:rsidRPr="00036FAC">
        <w:tab/>
        <w:t>The</w:t>
      </w:r>
      <w:r w:rsidR="00907D8C">
        <w:t xml:space="preserve"> </w:t>
      </w:r>
      <w:r w:rsidRPr="00036FAC">
        <w:t>role</w:t>
      </w:r>
      <w:r w:rsidR="00907D8C">
        <w:t xml:space="preserve"> </w:t>
      </w:r>
      <w:r w:rsidRPr="00036FAC">
        <w:t>of</w:t>
      </w:r>
      <w:r w:rsidR="00907D8C">
        <w:t xml:space="preserve"> </w:t>
      </w:r>
      <w:r w:rsidRPr="00036FAC">
        <w:t>the</w:t>
      </w:r>
      <w:r w:rsidR="00907D8C">
        <w:t xml:space="preserve"> </w:t>
      </w:r>
      <w:r w:rsidRPr="00036FAC">
        <w:t>Tribunal,</w:t>
      </w:r>
      <w:r w:rsidR="00907D8C">
        <w:t xml:space="preserve"> </w:t>
      </w:r>
      <w:r w:rsidRPr="00036FAC">
        <w:t>set</w:t>
      </w:r>
      <w:r w:rsidR="00907D8C">
        <w:t xml:space="preserve"> </w:t>
      </w:r>
      <w:r w:rsidRPr="00036FAC">
        <w:t>out</w:t>
      </w:r>
      <w:r w:rsidR="00907D8C">
        <w:t xml:space="preserve"> </w:t>
      </w:r>
      <w:r w:rsidRPr="00036FAC">
        <w:t>in</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Act,</w:t>
      </w:r>
      <w:r w:rsidR="00907D8C">
        <w:t xml:space="preserve"> </w:t>
      </w:r>
      <w:r w:rsidRPr="00036FAC">
        <w:t>includes</w:t>
      </w:r>
      <w:r w:rsidR="00907D8C">
        <w:t xml:space="preserve"> </w:t>
      </w:r>
      <w:r w:rsidRPr="00036FAC">
        <w:t>inquiring</w:t>
      </w:r>
      <w:r w:rsidR="00907D8C">
        <w:t xml:space="preserve"> </w:t>
      </w:r>
      <w:r w:rsidRPr="00036FAC">
        <w:t>into</w:t>
      </w:r>
      <w:r w:rsidR="00907D8C">
        <w:t xml:space="preserve"> </w:t>
      </w:r>
      <w:r w:rsidRPr="00036FAC">
        <w:t>and</w:t>
      </w:r>
      <w:r w:rsidR="00907D8C">
        <w:t xml:space="preserve"> </w:t>
      </w:r>
      <w:r w:rsidRPr="00036FAC">
        <w:t>making</w:t>
      </w:r>
      <w:r w:rsidR="00907D8C">
        <w:t xml:space="preserve"> </w:t>
      </w:r>
      <w:r w:rsidRPr="00036FAC">
        <w:t>recommendations</w:t>
      </w:r>
      <w:r w:rsidR="00907D8C">
        <w:t xml:space="preserve"> </w:t>
      </w:r>
      <w:r w:rsidRPr="00036FAC">
        <w:t>upon</w:t>
      </w:r>
      <w:r w:rsidR="00907D8C">
        <w:t xml:space="preserve"> </w:t>
      </w:r>
      <w:r w:rsidRPr="00036FAC">
        <w:t>any</w:t>
      </w:r>
      <w:r w:rsidR="00907D8C">
        <w:t xml:space="preserve"> </w:t>
      </w:r>
      <w:r w:rsidRPr="00036FAC">
        <w:t>claim</w:t>
      </w:r>
      <w:r w:rsidR="00907D8C">
        <w:t xml:space="preserve"> </w:t>
      </w:r>
      <w:r w:rsidRPr="00036FAC">
        <w:t>properly</w:t>
      </w:r>
      <w:r w:rsidR="00907D8C">
        <w:t xml:space="preserve"> </w:t>
      </w:r>
      <w:r w:rsidRPr="00036FAC">
        <w:t>submitted</w:t>
      </w:r>
      <w:r w:rsidR="00907D8C">
        <w:t xml:space="preserve"> </w:t>
      </w:r>
      <w:r w:rsidRPr="00036FAC">
        <w:t>to</w:t>
      </w:r>
      <w:r w:rsidR="00907D8C">
        <w:t xml:space="preserve"> </w:t>
      </w:r>
      <w:r w:rsidRPr="00036FAC">
        <w:t>the</w:t>
      </w:r>
      <w:r w:rsidR="00907D8C">
        <w:t xml:space="preserve"> </w:t>
      </w:r>
      <w:r w:rsidRPr="00036FAC">
        <w:t>Tribunal,</w:t>
      </w:r>
      <w:r w:rsidR="00907D8C">
        <w:t xml:space="preserve"> </w:t>
      </w:r>
      <w:r w:rsidRPr="00036FAC">
        <w:t>and</w:t>
      </w:r>
      <w:r w:rsidR="00907D8C">
        <w:t xml:space="preserve"> </w:t>
      </w:r>
      <w:r w:rsidRPr="00036FAC">
        <w:t>examining</w:t>
      </w:r>
      <w:r w:rsidR="00907D8C">
        <w:t xml:space="preserve"> </w:t>
      </w:r>
      <w:r w:rsidRPr="00036FAC">
        <w:t>and</w:t>
      </w:r>
      <w:r w:rsidR="00907D8C">
        <w:t xml:space="preserve"> </w:t>
      </w:r>
      <w:r w:rsidRPr="00036FAC">
        <w:t>reporting</w:t>
      </w:r>
      <w:r w:rsidR="00907D8C">
        <w:t xml:space="preserve"> </w:t>
      </w:r>
      <w:r w:rsidRPr="00036FAC">
        <w:t>on</w:t>
      </w:r>
      <w:r w:rsidR="00907D8C">
        <w:t xml:space="preserve"> </w:t>
      </w:r>
      <w:r w:rsidRPr="00036FAC">
        <w:t>any</w:t>
      </w:r>
      <w:r w:rsidR="00907D8C">
        <w:t xml:space="preserve"> </w:t>
      </w:r>
      <w:r w:rsidRPr="00036FAC">
        <w:t>proposed</w:t>
      </w:r>
      <w:r w:rsidR="00907D8C">
        <w:t xml:space="preserve"> </w:t>
      </w:r>
      <w:r w:rsidRPr="00036FAC">
        <w:t>legislation</w:t>
      </w:r>
      <w:r w:rsidR="00907D8C">
        <w:t xml:space="preserve"> </w:t>
      </w:r>
      <w:r w:rsidRPr="00036FAC">
        <w:t>referred</w:t>
      </w:r>
      <w:r w:rsidR="00907D8C">
        <w:t xml:space="preserve"> </w:t>
      </w:r>
      <w:r w:rsidRPr="00036FAC">
        <w:t>to</w:t>
      </w:r>
      <w:r w:rsidR="00907D8C">
        <w:t xml:space="preserve"> </w:t>
      </w:r>
      <w:r w:rsidRPr="00036FAC">
        <w:t>the</w:t>
      </w:r>
      <w:r w:rsidR="00907D8C">
        <w:t xml:space="preserve"> </w:t>
      </w:r>
      <w:r w:rsidRPr="00036FAC">
        <w:t>Tribunal</w:t>
      </w:r>
      <w:r w:rsidR="00907D8C">
        <w:t xml:space="preserve"> </w:t>
      </w:r>
      <w:r w:rsidRPr="00036FAC">
        <w:t>by</w:t>
      </w:r>
      <w:r w:rsidR="00907D8C">
        <w:t xml:space="preserve"> </w:t>
      </w:r>
      <w:r w:rsidRPr="00036FAC">
        <w:t>the</w:t>
      </w:r>
      <w:r w:rsidR="00907D8C">
        <w:t xml:space="preserve"> </w:t>
      </w:r>
      <w:r w:rsidRPr="00036FAC">
        <w:t>House</w:t>
      </w:r>
      <w:r w:rsidR="00907D8C">
        <w:t xml:space="preserve"> </w:t>
      </w:r>
      <w:r w:rsidRPr="00036FAC">
        <w:t>of</w:t>
      </w:r>
      <w:r w:rsidR="00907D8C">
        <w:t xml:space="preserve"> </w:t>
      </w:r>
      <w:r w:rsidRPr="00036FAC">
        <w:t>Representatives</w:t>
      </w:r>
      <w:r w:rsidR="00907D8C">
        <w:t xml:space="preserve"> </w:t>
      </w:r>
      <w:r w:rsidRPr="00036FAC">
        <w:t>or</w:t>
      </w:r>
      <w:r w:rsidR="00907D8C">
        <w:t xml:space="preserve"> </w:t>
      </w:r>
      <w:r w:rsidRPr="00036FAC">
        <w:t>a</w:t>
      </w:r>
      <w:r w:rsidR="00907D8C">
        <w:t xml:space="preserve"> </w:t>
      </w:r>
      <w:r w:rsidRPr="00036FAC">
        <w:t>Minister</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It</w:t>
      </w:r>
      <w:r w:rsidR="00907D8C">
        <w:t xml:space="preserve"> </w:t>
      </w:r>
      <w:r w:rsidRPr="00036FAC">
        <w:t>also</w:t>
      </w:r>
      <w:r w:rsidR="00907D8C">
        <w:t xml:space="preserve"> </w:t>
      </w:r>
      <w:r w:rsidRPr="00036FAC">
        <w:t>makes</w:t>
      </w:r>
      <w:r w:rsidR="00907D8C">
        <w:t xml:space="preserve"> </w:t>
      </w:r>
      <w:r w:rsidRPr="00036FAC">
        <w:t>recommendations</w:t>
      </w:r>
      <w:r w:rsidR="00907D8C">
        <w:t xml:space="preserve"> </w:t>
      </w:r>
      <w:r w:rsidRPr="00036FAC">
        <w:t>or</w:t>
      </w:r>
      <w:r w:rsidR="00907D8C">
        <w:t xml:space="preserve"> </w:t>
      </w:r>
      <w:r w:rsidRPr="00036FAC">
        <w:t>determinations</w:t>
      </w:r>
      <w:r w:rsidR="00907D8C">
        <w:t xml:space="preserve"> </w:t>
      </w:r>
      <w:r w:rsidRPr="00036FAC">
        <w:t>in</w:t>
      </w:r>
      <w:r w:rsidR="00907D8C">
        <w:t xml:space="preserve"> </w:t>
      </w:r>
      <w:r w:rsidRPr="00036FAC">
        <w:t>respect</w:t>
      </w:r>
      <w:r w:rsidR="00907D8C">
        <w:t xml:space="preserve"> </w:t>
      </w:r>
      <w:r w:rsidRPr="00036FAC">
        <w:t>of</w:t>
      </w:r>
      <w:r w:rsidR="00907D8C">
        <w:t xml:space="preserve"> </w:t>
      </w:r>
      <w:r w:rsidRPr="00036FAC">
        <w:t>certain</w:t>
      </w:r>
      <w:r w:rsidR="00907D8C">
        <w:t xml:space="preserve"> </w:t>
      </w:r>
      <w:r w:rsidRPr="00036FAC">
        <w:t>Crown</w:t>
      </w:r>
      <w:r w:rsidR="00907D8C">
        <w:t xml:space="preserve"> </w:t>
      </w:r>
      <w:r w:rsidRPr="00036FAC">
        <w:t>forest</w:t>
      </w:r>
      <w:r w:rsidR="00907D8C">
        <w:t xml:space="preserve"> </w:t>
      </w:r>
      <w:r w:rsidRPr="00036FAC">
        <w:t>land,</w:t>
      </w:r>
      <w:r w:rsidR="00907D8C">
        <w:t xml:space="preserve"> </w:t>
      </w:r>
      <w:r w:rsidRPr="00036FAC">
        <w:t>railways</w:t>
      </w:r>
      <w:r w:rsidR="00907D8C">
        <w:t xml:space="preserve"> </w:t>
      </w:r>
      <w:r w:rsidRPr="00036FAC">
        <w:t>land,</w:t>
      </w:r>
      <w:r w:rsidR="00907D8C">
        <w:t xml:space="preserve"> </w:t>
      </w:r>
      <w:r w:rsidRPr="00036FAC">
        <w:t>state-owned</w:t>
      </w:r>
      <w:r w:rsidR="00907D8C">
        <w:t xml:space="preserve"> </w:t>
      </w:r>
      <w:r w:rsidRPr="00036FAC">
        <w:t>enterprise</w:t>
      </w:r>
      <w:r w:rsidR="00907D8C">
        <w:t xml:space="preserve"> </w:t>
      </w:r>
      <w:r w:rsidRPr="00036FAC">
        <w:t>land,</w:t>
      </w:r>
      <w:r w:rsidR="00907D8C">
        <w:t xml:space="preserve"> </w:t>
      </w:r>
      <w:r w:rsidRPr="00036FAC">
        <w:t>and</w:t>
      </w:r>
      <w:r w:rsidR="00907D8C">
        <w:t xml:space="preserve"> </w:t>
      </w:r>
      <w:r w:rsidRPr="00036FAC">
        <w:t>land</w:t>
      </w:r>
      <w:r w:rsidR="00907D8C">
        <w:t xml:space="preserve"> </w:t>
      </w:r>
      <w:r w:rsidRPr="00036FAC">
        <w:t>transferred</w:t>
      </w:r>
      <w:r w:rsidR="00907D8C">
        <w:t xml:space="preserve"> </w:t>
      </w:r>
      <w:r w:rsidRPr="00036FAC">
        <w:t>to</w:t>
      </w:r>
      <w:r w:rsidR="00907D8C">
        <w:t xml:space="preserve"> </w:t>
      </w:r>
      <w:r w:rsidRPr="00036FAC">
        <w:t>educational</w:t>
      </w:r>
      <w:r w:rsidR="00907D8C">
        <w:t xml:space="preserve"> </w:t>
      </w:r>
      <w:r w:rsidRPr="00036FAC">
        <w:t>institutions.</w:t>
      </w:r>
    </w:p>
    <w:p w:rsidR="00036FAC" w:rsidRPr="00036FAC" w:rsidRDefault="00036FAC" w:rsidP="00B85D72">
      <w:pPr>
        <w:pStyle w:val="SingleTxtG"/>
      </w:pPr>
      <w:r w:rsidRPr="00036FAC">
        <w:t>165.</w:t>
      </w:r>
      <w:r w:rsidRPr="00036FAC">
        <w:tab/>
        <w:t>Since</w:t>
      </w:r>
      <w:r w:rsidR="00907D8C">
        <w:t xml:space="preserve"> </w:t>
      </w:r>
      <w:r w:rsidRPr="00036FAC">
        <w:t>1975,</w:t>
      </w:r>
      <w:r w:rsidR="00907D8C">
        <w:t xml:space="preserve"> </w:t>
      </w:r>
      <w:r w:rsidRPr="00036FAC">
        <w:t>the</w:t>
      </w:r>
      <w:r w:rsidR="00907D8C">
        <w:t xml:space="preserve"> </w:t>
      </w:r>
      <w:r w:rsidRPr="00036FAC">
        <w:t>Tribunal</w:t>
      </w:r>
      <w:r w:rsidR="00907D8C">
        <w:t xml:space="preserve"> </w:t>
      </w:r>
      <w:r w:rsidRPr="00036FAC">
        <w:t>has</w:t>
      </w:r>
      <w:r w:rsidR="00907D8C">
        <w:t xml:space="preserve"> </w:t>
      </w:r>
      <w:r w:rsidRPr="00036FAC">
        <w:t>registered</w:t>
      </w:r>
      <w:r w:rsidR="00907D8C">
        <w:t xml:space="preserve"> </w:t>
      </w:r>
      <w:r w:rsidRPr="00036FAC">
        <w:t>over</w:t>
      </w:r>
      <w:r w:rsidR="00907D8C">
        <w:t xml:space="preserve"> </w:t>
      </w:r>
      <w:r w:rsidRPr="00036FAC">
        <w:t>2,200</w:t>
      </w:r>
      <w:r w:rsidR="00907D8C">
        <w:t xml:space="preserve"> </w:t>
      </w:r>
      <w:r w:rsidRPr="00036FAC">
        <w:t>claims.</w:t>
      </w:r>
      <w:r w:rsidR="00907D8C">
        <w:t xml:space="preserve"> </w:t>
      </w:r>
      <w:r w:rsidRPr="00036FAC">
        <w:t>Approximately</w:t>
      </w:r>
      <w:r w:rsidR="00907D8C">
        <w:t xml:space="preserve"> </w:t>
      </w:r>
      <w:r w:rsidRPr="00036FAC">
        <w:t>1,200</w:t>
      </w:r>
      <w:r w:rsidR="00907D8C">
        <w:t xml:space="preserve"> </w:t>
      </w:r>
      <w:r w:rsidRPr="00036FAC">
        <w:t>further</w:t>
      </w:r>
      <w:r w:rsidR="00907D8C">
        <w:t xml:space="preserve"> </w:t>
      </w:r>
      <w:r w:rsidRPr="00036FAC">
        <w:t>claims,</w:t>
      </w:r>
      <w:r w:rsidR="00907D8C">
        <w:t xml:space="preserve"> </w:t>
      </w:r>
      <w:r w:rsidRPr="00036FAC">
        <w:t>most</w:t>
      </w:r>
      <w:r w:rsidR="00907D8C">
        <w:t xml:space="preserve"> </w:t>
      </w:r>
      <w:r w:rsidRPr="00036FAC">
        <w:t>of</w:t>
      </w:r>
      <w:r w:rsidR="00907D8C">
        <w:t xml:space="preserve"> </w:t>
      </w:r>
      <w:r w:rsidRPr="00036FAC">
        <w:t>which</w:t>
      </w:r>
      <w:r w:rsidR="00907D8C">
        <w:t xml:space="preserve"> </w:t>
      </w:r>
      <w:r w:rsidRPr="00036FAC">
        <w:t>were</w:t>
      </w:r>
      <w:r w:rsidR="00907D8C">
        <w:t xml:space="preserve"> </w:t>
      </w:r>
      <w:r w:rsidRPr="00036FAC">
        <w:t>filed</w:t>
      </w:r>
      <w:r w:rsidR="00907D8C">
        <w:t xml:space="preserve"> </w:t>
      </w:r>
      <w:r w:rsidRPr="00036FAC">
        <w:t>before</w:t>
      </w:r>
      <w:r w:rsidR="00907D8C">
        <w:t xml:space="preserve"> </w:t>
      </w:r>
      <w:r w:rsidRPr="00036FAC">
        <w:t>the</w:t>
      </w:r>
      <w:r w:rsidR="00907D8C">
        <w:t xml:space="preserve"> </w:t>
      </w:r>
      <w:r w:rsidRPr="00036FAC">
        <w:t>1</w:t>
      </w:r>
      <w:r w:rsidR="00907D8C">
        <w:t xml:space="preserve"> </w:t>
      </w:r>
      <w:r w:rsidRPr="00036FAC">
        <w:t>September</w:t>
      </w:r>
      <w:r w:rsidR="00907D8C">
        <w:t xml:space="preserve"> </w:t>
      </w:r>
      <w:r w:rsidRPr="00036FAC">
        <w:t>2008</w:t>
      </w:r>
      <w:r w:rsidR="00907D8C">
        <w:t xml:space="preserve"> </w:t>
      </w:r>
      <w:r w:rsidRPr="00036FAC">
        <w:t>deadline</w:t>
      </w:r>
      <w:r w:rsidR="00907D8C">
        <w:t xml:space="preserve"> </w:t>
      </w:r>
      <w:r w:rsidRPr="00036FAC">
        <w:t>for</w:t>
      </w:r>
      <w:r w:rsidR="00907D8C">
        <w:t xml:space="preserve"> </w:t>
      </w:r>
      <w:r w:rsidRPr="00036FAC">
        <w:t>lodging</w:t>
      </w:r>
      <w:r w:rsidR="00907D8C">
        <w:t xml:space="preserve"> </w:t>
      </w:r>
      <w:r w:rsidRPr="00036FAC">
        <w:t>historical</w:t>
      </w:r>
      <w:r w:rsidR="00907D8C">
        <w:t xml:space="preserve"> </w:t>
      </w:r>
      <w:r w:rsidRPr="00036FAC">
        <w:t>claims,</w:t>
      </w:r>
      <w:r w:rsidR="00907D8C">
        <w:t xml:space="preserve"> </w:t>
      </w:r>
      <w:r w:rsidRPr="00036FAC">
        <w:t>have</w:t>
      </w:r>
      <w:r w:rsidR="00907D8C">
        <w:t xml:space="preserve"> </w:t>
      </w:r>
      <w:r w:rsidRPr="00036FAC">
        <w:t>been</w:t>
      </w:r>
      <w:r w:rsidR="00907D8C">
        <w:t xml:space="preserve"> </w:t>
      </w:r>
      <w:r w:rsidRPr="00036FAC">
        <w:t>filed</w:t>
      </w:r>
      <w:r w:rsidR="00907D8C">
        <w:t xml:space="preserve"> </w:t>
      </w:r>
      <w:r w:rsidRPr="00036FAC">
        <w:t>but</w:t>
      </w:r>
      <w:r w:rsidR="00907D8C">
        <w:t xml:space="preserve"> </w:t>
      </w:r>
      <w:r w:rsidRPr="00036FAC">
        <w:t>the</w:t>
      </w:r>
      <w:r w:rsidR="00907D8C">
        <w:t xml:space="preserve"> </w:t>
      </w:r>
      <w:r w:rsidRPr="00036FAC">
        <w:t>information</w:t>
      </w:r>
      <w:r w:rsidR="00907D8C">
        <w:t xml:space="preserve"> </w:t>
      </w:r>
      <w:r w:rsidRPr="00036FAC">
        <w:t>required</w:t>
      </w:r>
      <w:r w:rsidR="00907D8C">
        <w:t xml:space="preserve"> </w:t>
      </w:r>
      <w:r w:rsidRPr="00036FAC">
        <w:t>to</w:t>
      </w:r>
      <w:r w:rsidR="00907D8C">
        <w:t xml:space="preserve"> </w:t>
      </w:r>
      <w:r w:rsidRPr="00036FAC">
        <w:t>register</w:t>
      </w:r>
      <w:r w:rsidR="00907D8C">
        <w:t xml:space="preserve"> </w:t>
      </w:r>
      <w:r w:rsidRPr="00036FAC">
        <w:t>these</w:t>
      </w:r>
      <w:r w:rsidR="00907D8C">
        <w:t xml:space="preserve"> </w:t>
      </w:r>
      <w:r w:rsidRPr="00036FAC">
        <w:t>claims</w:t>
      </w:r>
      <w:r w:rsidR="00907D8C">
        <w:t xml:space="preserve"> </w:t>
      </w:r>
      <w:r w:rsidRPr="00036FAC">
        <w:t>is</w:t>
      </w:r>
      <w:r w:rsidR="00907D8C">
        <w:t xml:space="preserve"> </w:t>
      </w:r>
      <w:r w:rsidRPr="00036FAC">
        <w:t>yet</w:t>
      </w:r>
      <w:r w:rsidR="00907D8C">
        <w:t xml:space="preserve"> </w:t>
      </w:r>
      <w:r w:rsidRPr="00036FAC">
        <w:t>to</w:t>
      </w:r>
      <w:r w:rsidR="00907D8C">
        <w:t xml:space="preserve"> </w:t>
      </w:r>
      <w:r w:rsidRPr="00036FAC">
        <w:t>be</w:t>
      </w:r>
      <w:r w:rsidR="00907D8C">
        <w:t xml:space="preserve"> </w:t>
      </w:r>
      <w:r w:rsidRPr="00036FAC">
        <w:t>provided.</w:t>
      </w:r>
    </w:p>
    <w:p w:rsidR="00036FAC" w:rsidRPr="00036FAC" w:rsidRDefault="00036FAC" w:rsidP="00B85D72">
      <w:pPr>
        <w:pStyle w:val="SingleTxtG"/>
      </w:pPr>
      <w:r w:rsidRPr="00036FAC">
        <w:t>166.</w:t>
      </w:r>
      <w:r w:rsidRPr="00036FAC">
        <w:tab/>
        <w:t>The</w:t>
      </w:r>
      <w:r w:rsidR="00907D8C">
        <w:t xml:space="preserve"> </w:t>
      </w:r>
      <w:r w:rsidRPr="00036FAC">
        <w:t>Waitangi</w:t>
      </w:r>
      <w:r w:rsidR="00907D8C">
        <w:t xml:space="preserve"> </w:t>
      </w:r>
      <w:r w:rsidRPr="00036FAC">
        <w:t>Tribunal</w:t>
      </w:r>
      <w:r w:rsidR="00907D8C">
        <w:t xml:space="preserve"> </w:t>
      </w:r>
      <w:r w:rsidRPr="00036FAC">
        <w:t>received</w:t>
      </w:r>
      <w:r w:rsidR="00907D8C">
        <w:t xml:space="preserve"> </w:t>
      </w:r>
      <w:r w:rsidRPr="00036FAC">
        <w:t>an</w:t>
      </w:r>
      <w:r w:rsidR="00907D8C">
        <w:t xml:space="preserve"> </w:t>
      </w:r>
      <w:r w:rsidRPr="00036FAC">
        <w:t>increase</w:t>
      </w:r>
      <w:r w:rsidR="00907D8C">
        <w:t xml:space="preserve"> </w:t>
      </w:r>
      <w:r w:rsidRPr="00036FAC">
        <w:t>in</w:t>
      </w:r>
      <w:r w:rsidR="00907D8C">
        <w:t xml:space="preserve"> </w:t>
      </w:r>
      <w:r w:rsidRPr="00036FAC">
        <w:t>funding</w:t>
      </w:r>
      <w:r w:rsidR="00907D8C">
        <w:t xml:space="preserve"> </w:t>
      </w:r>
      <w:r w:rsidRPr="00036FAC">
        <w:t>in</w:t>
      </w:r>
      <w:r w:rsidR="00907D8C">
        <w:t xml:space="preserve"> </w:t>
      </w:r>
      <w:r w:rsidRPr="00036FAC">
        <w:t>2007</w:t>
      </w:r>
      <w:r w:rsidR="00907D8C">
        <w:t xml:space="preserve"> </w:t>
      </w:r>
      <w:r w:rsidRPr="00036FAC">
        <w:t>and</w:t>
      </w:r>
      <w:r w:rsidR="00907D8C">
        <w:t xml:space="preserve"> </w:t>
      </w:r>
      <w:r w:rsidRPr="00036FAC">
        <w:t>its</w:t>
      </w:r>
      <w:r w:rsidR="00907D8C">
        <w:t xml:space="preserve"> </w:t>
      </w:r>
      <w:r w:rsidRPr="00036FAC">
        <w:t>current</w:t>
      </w:r>
      <w:r w:rsidR="00907D8C">
        <w:t xml:space="preserve"> </w:t>
      </w:r>
      <w:r w:rsidRPr="00036FAC">
        <w:t>total</w:t>
      </w:r>
      <w:r w:rsidR="00907D8C">
        <w:t xml:space="preserve"> </w:t>
      </w:r>
      <w:r w:rsidRPr="00036FAC">
        <w:t>operating</w:t>
      </w:r>
      <w:r w:rsidR="00907D8C">
        <w:t xml:space="preserve"> </w:t>
      </w:r>
      <w:r w:rsidRPr="00036FAC">
        <w:t>expenditure</w:t>
      </w:r>
      <w:r w:rsidR="00907D8C">
        <w:t xml:space="preserve"> </w:t>
      </w:r>
      <w:r w:rsidRPr="00036FAC">
        <w:t>is</w:t>
      </w:r>
      <w:r w:rsidR="00907D8C">
        <w:t xml:space="preserve"> </w:t>
      </w:r>
      <w:r w:rsidRPr="00036FAC">
        <w:t>$7.6</w:t>
      </w:r>
      <w:r w:rsidR="00907D8C">
        <w:t xml:space="preserve"> </w:t>
      </w:r>
      <w:r w:rsidRPr="00036FAC">
        <w:t>million</w:t>
      </w:r>
      <w:r w:rsidR="00907D8C">
        <w:t xml:space="preserve"> </w:t>
      </w:r>
      <w:r w:rsidRPr="00036FAC">
        <w:t>per</w:t>
      </w:r>
      <w:r w:rsidR="00907D8C">
        <w:t xml:space="preserve"> </w:t>
      </w:r>
      <w:r w:rsidRPr="00036FAC">
        <w:t>annum.</w:t>
      </w:r>
    </w:p>
    <w:p w:rsidR="00036FAC" w:rsidRPr="00036FAC" w:rsidRDefault="00036FAC" w:rsidP="00B85D72">
      <w:pPr>
        <w:pStyle w:val="SingleTxtG"/>
      </w:pPr>
      <w:r w:rsidRPr="00036FAC">
        <w:t>167.</w:t>
      </w:r>
      <w:r w:rsidRPr="00036FAC">
        <w:tab/>
        <w:t>If</w:t>
      </w:r>
      <w:r w:rsidR="00907D8C">
        <w:t xml:space="preserve"> </w:t>
      </w:r>
      <w:r w:rsidRPr="00036FAC">
        <w:t>the</w:t>
      </w:r>
      <w:r w:rsidR="00907D8C">
        <w:t xml:space="preserve"> </w:t>
      </w:r>
      <w:r w:rsidRPr="00036FAC">
        <w:t>Government</w:t>
      </w:r>
      <w:r w:rsidR="00907D8C">
        <w:t xml:space="preserve"> </w:t>
      </w:r>
      <w:r w:rsidRPr="00036FAC">
        <w:t>decides</w:t>
      </w:r>
      <w:r w:rsidR="00907D8C">
        <w:t xml:space="preserve"> </w:t>
      </w:r>
      <w:r w:rsidRPr="00036FAC">
        <w:t>to</w:t>
      </w:r>
      <w:r w:rsidR="00907D8C">
        <w:t xml:space="preserve"> </w:t>
      </w:r>
      <w:r w:rsidRPr="00036FAC">
        <w:t>settle</w:t>
      </w:r>
      <w:r w:rsidR="00907D8C">
        <w:t xml:space="preserve"> </w:t>
      </w:r>
      <w:r w:rsidRPr="00036FAC">
        <w:t>a</w:t>
      </w:r>
      <w:r w:rsidR="00907D8C">
        <w:t xml:space="preserve"> </w:t>
      </w:r>
      <w:r w:rsidRPr="00036FAC">
        <w:t>claim</w:t>
      </w:r>
      <w:r w:rsidR="00907D8C">
        <w:t xml:space="preserve"> </w:t>
      </w:r>
      <w:r w:rsidRPr="00036FAC">
        <w:t>(often</w:t>
      </w:r>
      <w:r w:rsidR="00907D8C">
        <w:t xml:space="preserve"> </w:t>
      </w:r>
      <w:r w:rsidRPr="00036FAC">
        <w:t>following</w:t>
      </w:r>
      <w:r w:rsidR="00907D8C">
        <w:t xml:space="preserve"> </w:t>
      </w:r>
      <w:r w:rsidRPr="00036FAC">
        <w:t>a</w:t>
      </w:r>
      <w:r w:rsidR="00907D8C">
        <w:t xml:space="preserve"> </w:t>
      </w:r>
      <w:r w:rsidRPr="00036FAC">
        <w:t>report</w:t>
      </w:r>
      <w:r w:rsidR="00907D8C">
        <w:t xml:space="preserve"> </w:t>
      </w:r>
      <w:r w:rsidRPr="00036FAC">
        <w:t>of</w:t>
      </w:r>
      <w:r w:rsidR="00907D8C">
        <w:t xml:space="preserve"> </w:t>
      </w:r>
      <w:r w:rsidRPr="00036FAC">
        <w:t>the</w:t>
      </w:r>
      <w:r w:rsidR="00907D8C">
        <w:t xml:space="preserve"> </w:t>
      </w:r>
      <w:r w:rsidRPr="00036FAC">
        <w:t>Waitangi</w:t>
      </w:r>
      <w:r w:rsidR="00907D8C">
        <w:t xml:space="preserve"> </w:t>
      </w:r>
      <w:r w:rsidRPr="00036FAC">
        <w:t>Tribunal),</w:t>
      </w:r>
      <w:r w:rsidR="00907D8C">
        <w:t xml:space="preserve"> </w:t>
      </w:r>
      <w:r w:rsidRPr="00036FAC">
        <w:t>the</w:t>
      </w:r>
      <w:r w:rsidR="00907D8C">
        <w:t xml:space="preserve"> </w:t>
      </w:r>
      <w:r w:rsidRPr="00036FAC">
        <w:t>Office</w:t>
      </w:r>
      <w:r w:rsidR="00907D8C">
        <w:t xml:space="preserve"> </w:t>
      </w:r>
      <w:r w:rsidRPr="00036FAC">
        <w:t>of</w:t>
      </w:r>
      <w:r w:rsidR="00907D8C">
        <w:t xml:space="preserve"> </w:t>
      </w:r>
      <w:r w:rsidRPr="00036FAC">
        <w:t>Treaty</w:t>
      </w:r>
      <w:r w:rsidR="00907D8C">
        <w:t xml:space="preserve"> </w:t>
      </w:r>
      <w:r w:rsidRPr="00036FAC">
        <w:t>Settlements</w:t>
      </w:r>
      <w:r w:rsidR="00907D8C">
        <w:t xml:space="preserve"> </w:t>
      </w:r>
      <w:r w:rsidRPr="00036FAC">
        <w:t>enters</w:t>
      </w:r>
      <w:r w:rsidR="00907D8C">
        <w:t xml:space="preserve"> </w:t>
      </w:r>
      <w:r w:rsidRPr="00036FAC">
        <w:t>into</w:t>
      </w:r>
      <w:r w:rsidR="00907D8C">
        <w:t xml:space="preserve"> </w:t>
      </w:r>
      <w:r w:rsidRPr="00036FAC">
        <w:t>negotiations</w:t>
      </w:r>
      <w:r w:rsidR="00907D8C">
        <w:t xml:space="preserve"> </w:t>
      </w:r>
      <w:r w:rsidRPr="00036FAC">
        <w:t>with</w:t>
      </w:r>
      <w:r w:rsidR="00907D8C">
        <w:t xml:space="preserve"> </w:t>
      </w:r>
      <w:r w:rsidRPr="00036FAC">
        <w:t>the</w:t>
      </w:r>
      <w:r w:rsidR="00907D8C">
        <w:t xml:space="preserve"> </w:t>
      </w:r>
      <w:r w:rsidRPr="00036FAC">
        <w:t>claimants.</w:t>
      </w:r>
      <w:r w:rsidR="00907D8C">
        <w:t xml:space="preserve"> </w:t>
      </w:r>
      <w:r w:rsidRPr="00036FAC">
        <w:t>A</w:t>
      </w:r>
      <w:r w:rsidR="00907D8C">
        <w:t xml:space="preserve"> </w:t>
      </w:r>
      <w:r w:rsidRPr="00036FAC">
        <w:t>Treaty</w:t>
      </w:r>
      <w:r w:rsidR="00907D8C">
        <w:t xml:space="preserve"> </w:t>
      </w:r>
      <w:r w:rsidRPr="00036FAC">
        <w:t>settlement</w:t>
      </w:r>
      <w:r w:rsidR="00907D8C">
        <w:t xml:space="preserve"> </w:t>
      </w:r>
      <w:r w:rsidRPr="00036FAC">
        <w:t>would</w:t>
      </w:r>
      <w:r w:rsidR="00907D8C">
        <w:t xml:space="preserve"> </w:t>
      </w:r>
      <w:r w:rsidRPr="00036FAC">
        <w:t>usually</w:t>
      </w:r>
      <w:r w:rsidR="00907D8C">
        <w:t xml:space="preserve"> </w:t>
      </w:r>
      <w:r w:rsidRPr="00036FAC">
        <w:t>include</w:t>
      </w:r>
      <w:r w:rsidR="00907D8C">
        <w:t xml:space="preserve"> </w:t>
      </w:r>
      <w:r w:rsidRPr="00036FAC">
        <w:t>a</w:t>
      </w:r>
      <w:r w:rsidR="00907D8C">
        <w:t xml:space="preserve"> </w:t>
      </w:r>
      <w:r w:rsidRPr="00036FAC">
        <w:t>Government</w:t>
      </w:r>
      <w:r w:rsidR="00907D8C">
        <w:t xml:space="preserve"> </w:t>
      </w:r>
      <w:r w:rsidRPr="00036FAC">
        <w:t>apology,</w:t>
      </w:r>
      <w:r w:rsidR="00907D8C">
        <w:t xml:space="preserve"> </w:t>
      </w:r>
      <w:r w:rsidRPr="00036FAC">
        <w:t>cultural</w:t>
      </w:r>
      <w:r w:rsidR="00907D8C">
        <w:t xml:space="preserve"> </w:t>
      </w:r>
      <w:r w:rsidRPr="00036FAC">
        <w:t>redress</w:t>
      </w:r>
      <w:r w:rsidR="00907D8C">
        <w:t xml:space="preserve"> </w:t>
      </w:r>
      <w:r w:rsidRPr="00036FAC">
        <w:t>(such</w:t>
      </w:r>
      <w:r w:rsidR="00907D8C">
        <w:t xml:space="preserve"> </w:t>
      </w:r>
      <w:r w:rsidRPr="00036FAC">
        <w:t>as</w:t>
      </w:r>
      <w:r w:rsidR="00907D8C">
        <w:t xml:space="preserve"> </w:t>
      </w:r>
      <w:r w:rsidRPr="00036FAC">
        <w:t>gifting</w:t>
      </w:r>
      <w:r w:rsidR="00907D8C">
        <w:t xml:space="preserve"> </w:t>
      </w:r>
      <w:r w:rsidRPr="00036FAC">
        <w:t>sites</w:t>
      </w:r>
      <w:r w:rsidR="00907D8C">
        <w:t xml:space="preserve"> </w:t>
      </w:r>
      <w:r w:rsidRPr="00036FAC">
        <w:t>of</w:t>
      </w:r>
      <w:r w:rsidR="00907D8C">
        <w:t xml:space="preserve"> </w:t>
      </w:r>
      <w:r w:rsidRPr="00036FAC">
        <w:t>cultural</w:t>
      </w:r>
      <w:r w:rsidR="00907D8C">
        <w:t xml:space="preserve"> </w:t>
      </w:r>
      <w:r w:rsidRPr="00036FAC">
        <w:t>significance),</w:t>
      </w:r>
      <w:r w:rsidR="00907D8C">
        <w:t xml:space="preserve"> </w:t>
      </w:r>
      <w:r w:rsidRPr="00036FAC">
        <w:t>and</w:t>
      </w:r>
      <w:r w:rsidR="00907D8C">
        <w:t xml:space="preserve"> </w:t>
      </w:r>
      <w:r w:rsidRPr="00036FAC">
        <w:t>commercial</w:t>
      </w:r>
      <w:r w:rsidR="00907D8C">
        <w:t xml:space="preserve"> </w:t>
      </w:r>
      <w:r w:rsidRPr="00036FAC">
        <w:t>redress</w:t>
      </w:r>
      <w:r w:rsidR="00907D8C">
        <w:t xml:space="preserve"> </w:t>
      </w:r>
      <w:r w:rsidRPr="00036FAC">
        <w:t>(which</w:t>
      </w:r>
      <w:r w:rsidR="00907D8C">
        <w:t xml:space="preserve"> </w:t>
      </w:r>
      <w:r w:rsidRPr="00036FAC">
        <w:t>may</w:t>
      </w:r>
      <w:r w:rsidR="00907D8C">
        <w:t xml:space="preserve"> </w:t>
      </w:r>
      <w:r w:rsidRPr="00036FAC">
        <w:t>be</w:t>
      </w:r>
      <w:r w:rsidR="00907D8C">
        <w:t xml:space="preserve"> </w:t>
      </w:r>
      <w:r w:rsidRPr="00036FAC">
        <w:t>a</w:t>
      </w:r>
      <w:r w:rsidR="00907D8C">
        <w:t xml:space="preserve"> </w:t>
      </w:r>
      <w:r w:rsidRPr="00036FAC">
        <w:t>combination</w:t>
      </w:r>
      <w:r w:rsidR="00907D8C">
        <w:t xml:space="preserve"> </w:t>
      </w:r>
      <w:r w:rsidRPr="00036FAC">
        <w:t>of</w:t>
      </w:r>
      <w:r w:rsidR="00907D8C">
        <w:t xml:space="preserve"> </w:t>
      </w:r>
      <w:r w:rsidRPr="00036FAC">
        <w:t>land</w:t>
      </w:r>
      <w:r w:rsidR="00907D8C">
        <w:t xml:space="preserve"> </w:t>
      </w:r>
      <w:r w:rsidRPr="00036FAC">
        <w:t>and</w:t>
      </w:r>
      <w:r w:rsidR="00907D8C">
        <w:t xml:space="preserve"> </w:t>
      </w:r>
      <w:r w:rsidRPr="00036FAC">
        <w:t>financial</w:t>
      </w:r>
      <w:r w:rsidR="00907D8C">
        <w:t xml:space="preserve"> </w:t>
      </w:r>
      <w:r w:rsidRPr="00036FAC">
        <w:t>redress).</w:t>
      </w:r>
      <w:r w:rsidR="00907D8C">
        <w:t xml:space="preserve"> </w:t>
      </w:r>
      <w:r w:rsidRPr="00036FAC">
        <w:t>Legislation</w:t>
      </w:r>
      <w:r w:rsidR="00907D8C">
        <w:t xml:space="preserve"> </w:t>
      </w:r>
      <w:r w:rsidRPr="00036FAC">
        <w:t>is</w:t>
      </w:r>
      <w:r w:rsidR="00907D8C">
        <w:t xml:space="preserve"> </w:t>
      </w:r>
      <w:r w:rsidRPr="00036FAC">
        <w:t>normally</w:t>
      </w:r>
      <w:r w:rsidR="00907D8C">
        <w:t xml:space="preserve"> </w:t>
      </w:r>
      <w:r w:rsidRPr="00036FAC">
        <w:t>required</w:t>
      </w:r>
      <w:r w:rsidR="00907D8C">
        <w:t xml:space="preserve"> </w:t>
      </w:r>
      <w:r w:rsidRPr="00036FAC">
        <w:t>to</w:t>
      </w:r>
      <w:r w:rsidR="00907D8C">
        <w:t xml:space="preserve"> </w:t>
      </w:r>
      <w:r w:rsidRPr="00036FAC">
        <w:t>implement</w:t>
      </w:r>
      <w:r w:rsidR="00907D8C">
        <w:t xml:space="preserve"> </w:t>
      </w:r>
      <w:r w:rsidRPr="00036FAC">
        <w:t>the</w:t>
      </w:r>
      <w:r w:rsidR="00907D8C">
        <w:t xml:space="preserve"> </w:t>
      </w:r>
      <w:r w:rsidRPr="00036FAC">
        <w:t>settlement</w:t>
      </w:r>
      <w:r w:rsidR="00907D8C">
        <w:t xml:space="preserve"> </w:t>
      </w:r>
      <w:r w:rsidRPr="00036FAC">
        <w:t>fully.</w:t>
      </w:r>
    </w:p>
    <w:p w:rsidR="00036FAC" w:rsidRPr="00036FAC" w:rsidRDefault="00036FAC" w:rsidP="00B85D72">
      <w:pPr>
        <w:pStyle w:val="SingleTxtG"/>
      </w:pPr>
      <w:r w:rsidRPr="00036FAC">
        <w:t>168.</w:t>
      </w:r>
      <w:r w:rsidRPr="00036FAC">
        <w:tab/>
        <w:t>The</w:t>
      </w:r>
      <w:r w:rsidR="00907D8C">
        <w:t xml:space="preserve"> </w:t>
      </w:r>
      <w:r w:rsidRPr="00036FAC">
        <w:t>Government</w:t>
      </w:r>
      <w:r w:rsidR="00907D8C">
        <w:t xml:space="preserve"> </w:t>
      </w:r>
      <w:r w:rsidRPr="00036FAC">
        <w:t>and</w:t>
      </w:r>
      <w:r w:rsidR="00907D8C">
        <w:t xml:space="preserve"> </w:t>
      </w:r>
      <w:r w:rsidRPr="00036FAC">
        <w:t>iwi</w:t>
      </w:r>
      <w:r w:rsidR="00907D8C">
        <w:t xml:space="preserve"> </w:t>
      </w:r>
      <w:r w:rsidRPr="00036FAC">
        <w:t>Māori</w:t>
      </w:r>
      <w:r w:rsidR="00907D8C">
        <w:t xml:space="preserve"> </w:t>
      </w:r>
      <w:r w:rsidRPr="00036FAC">
        <w:t>are</w:t>
      </w:r>
      <w:r w:rsidR="00907D8C">
        <w:t xml:space="preserve"> </w:t>
      </w:r>
      <w:r w:rsidRPr="00036FAC">
        <w:t>making</w:t>
      </w:r>
      <w:r w:rsidR="00907D8C">
        <w:t xml:space="preserve"> </w:t>
      </w:r>
      <w:r w:rsidRPr="00036FAC">
        <w:t>progress</w:t>
      </w:r>
      <w:r w:rsidR="00907D8C">
        <w:t xml:space="preserve"> </w:t>
      </w:r>
      <w:r w:rsidRPr="00036FAC">
        <w:t>in</w:t>
      </w:r>
      <w:r w:rsidR="00907D8C">
        <w:t xml:space="preserve"> </w:t>
      </w:r>
      <w:r w:rsidRPr="00036FAC">
        <w:t>negotiating</w:t>
      </w:r>
      <w:r w:rsidR="00907D8C">
        <w:t xml:space="preserve"> </w:t>
      </w:r>
      <w:r w:rsidRPr="00036FAC">
        <w:t>the</w:t>
      </w:r>
      <w:r w:rsidR="00907D8C">
        <w:t xml:space="preserve"> </w:t>
      </w:r>
      <w:r w:rsidRPr="00036FAC">
        <w:t>settlement</w:t>
      </w:r>
      <w:r w:rsidR="00907D8C">
        <w:t xml:space="preserve"> </w:t>
      </w:r>
      <w:r w:rsidRPr="00036FAC">
        <w:t>of</w:t>
      </w:r>
      <w:r w:rsidR="00907D8C">
        <w:t xml:space="preserve"> </w:t>
      </w:r>
      <w:r w:rsidRPr="00036FAC">
        <w:t>claims.</w:t>
      </w:r>
      <w:r w:rsidR="00907D8C">
        <w:t xml:space="preserve"> </w:t>
      </w:r>
      <w:r w:rsidRPr="00036FAC">
        <w:t>As</w:t>
      </w:r>
      <w:r w:rsidR="00907D8C">
        <w:t xml:space="preserve"> </w:t>
      </w:r>
      <w:r w:rsidRPr="00036FAC">
        <w:t>at</w:t>
      </w:r>
      <w:r w:rsidR="00907D8C">
        <w:t xml:space="preserve"> </w:t>
      </w:r>
      <w:r w:rsidRPr="00036FAC">
        <w:t>30</w:t>
      </w:r>
      <w:r w:rsidR="00907D8C">
        <w:t xml:space="preserve"> </w:t>
      </w:r>
      <w:r w:rsidRPr="00036FAC">
        <w:t>June</w:t>
      </w:r>
      <w:r w:rsidR="00907D8C">
        <w:t xml:space="preserve"> </w:t>
      </w:r>
      <w:r w:rsidRPr="00036FAC">
        <w:t>2009,</w:t>
      </w:r>
      <w:r w:rsidR="00907D8C">
        <w:t xml:space="preserve"> </w:t>
      </w:r>
      <w:r w:rsidRPr="00036FAC">
        <w:t>$NZ</w:t>
      </w:r>
      <w:r w:rsidR="00907D8C">
        <w:t xml:space="preserve"> </w:t>
      </w:r>
      <w:r w:rsidRPr="00036FAC">
        <w:t>1.057</w:t>
      </w:r>
      <w:r w:rsidR="00907D8C">
        <w:t xml:space="preserve"> </w:t>
      </w:r>
      <w:r w:rsidRPr="00036FAC">
        <w:t>billion</w:t>
      </w:r>
      <w:r w:rsidR="00907D8C">
        <w:t xml:space="preserve"> </w:t>
      </w:r>
      <w:r w:rsidRPr="00036FAC">
        <w:t>had</w:t>
      </w:r>
      <w:r w:rsidR="00907D8C">
        <w:t xml:space="preserve"> </w:t>
      </w:r>
      <w:r w:rsidRPr="00036FAC">
        <w:t>been</w:t>
      </w:r>
      <w:r w:rsidR="00907D8C">
        <w:t xml:space="preserve"> </w:t>
      </w:r>
      <w:r w:rsidRPr="00036FAC">
        <w:t>committed</w:t>
      </w:r>
      <w:r w:rsidR="00907D8C">
        <w:t xml:space="preserve"> </w:t>
      </w:r>
      <w:r w:rsidRPr="00036FAC">
        <w:t>to</w:t>
      </w:r>
      <w:r w:rsidR="00907D8C">
        <w:t xml:space="preserve"> </w:t>
      </w:r>
      <w:r w:rsidRPr="00036FAC">
        <w:t>final</w:t>
      </w:r>
      <w:r w:rsidR="00907D8C">
        <w:t xml:space="preserve"> </w:t>
      </w:r>
      <w:r w:rsidRPr="00036FAC">
        <w:t>and</w:t>
      </w:r>
      <w:r w:rsidR="00907D8C">
        <w:t xml:space="preserve"> </w:t>
      </w:r>
      <w:r w:rsidRPr="00036FAC">
        <w:t>comprehensive</w:t>
      </w:r>
      <w:r w:rsidR="00907D8C">
        <w:t xml:space="preserve"> </w:t>
      </w:r>
      <w:r w:rsidRPr="00036FAC">
        <w:t>settlements</w:t>
      </w:r>
      <w:r w:rsidR="00907D8C">
        <w:t xml:space="preserve"> </w:t>
      </w:r>
      <w:r w:rsidRPr="00036FAC">
        <w:t>and</w:t>
      </w:r>
      <w:r w:rsidR="00907D8C">
        <w:t xml:space="preserve"> </w:t>
      </w:r>
      <w:r w:rsidRPr="00036FAC">
        <w:t>several</w:t>
      </w:r>
      <w:r w:rsidR="00907D8C">
        <w:t xml:space="preserve"> </w:t>
      </w:r>
      <w:r w:rsidRPr="00036FAC">
        <w:t>part</w:t>
      </w:r>
      <w:r w:rsidR="00907D8C">
        <w:t xml:space="preserve"> </w:t>
      </w:r>
      <w:r w:rsidRPr="00036FAC">
        <w:t>settlements.</w:t>
      </w:r>
      <w:r w:rsidR="00907D8C">
        <w:t xml:space="preserve"> </w:t>
      </w:r>
      <w:r w:rsidRPr="00036FAC">
        <w:t>This</w:t>
      </w:r>
      <w:r w:rsidR="00907D8C">
        <w:t xml:space="preserve"> </w:t>
      </w:r>
      <w:r w:rsidRPr="00036FAC">
        <w:t>included</w:t>
      </w:r>
      <w:r w:rsidR="00907D8C">
        <w:t xml:space="preserve"> </w:t>
      </w:r>
      <w:r w:rsidRPr="00036FAC">
        <w:t>$22.066</w:t>
      </w:r>
      <w:r w:rsidR="00907D8C">
        <w:t xml:space="preserve"> </w:t>
      </w:r>
      <w:r w:rsidRPr="00036FAC">
        <w:t>million</w:t>
      </w:r>
      <w:r w:rsidR="00907D8C">
        <w:t xml:space="preserve"> </w:t>
      </w:r>
      <w:r w:rsidRPr="00036FAC">
        <w:t>paid</w:t>
      </w:r>
      <w:r w:rsidR="00907D8C">
        <w:t xml:space="preserve"> </w:t>
      </w:r>
      <w:r w:rsidRPr="00036FAC">
        <w:t>as</w:t>
      </w:r>
      <w:r w:rsidR="00907D8C">
        <w:t xml:space="preserve"> </w:t>
      </w:r>
      <w:r w:rsidRPr="00036FAC">
        <w:t>claimant</w:t>
      </w:r>
      <w:r w:rsidR="00907D8C">
        <w:t xml:space="preserve"> </w:t>
      </w:r>
      <w:r w:rsidRPr="00036FAC">
        <w:t>funding</w:t>
      </w:r>
      <w:r w:rsidR="00907D8C">
        <w:t xml:space="preserve"> </w:t>
      </w:r>
      <w:r w:rsidRPr="00036FAC">
        <w:t>separate</w:t>
      </w:r>
      <w:r w:rsidR="00907D8C">
        <w:t xml:space="preserve"> </w:t>
      </w:r>
      <w:r w:rsidRPr="00036FAC">
        <w:t>from</w:t>
      </w:r>
      <w:r w:rsidR="00907D8C">
        <w:t xml:space="preserve"> </w:t>
      </w:r>
      <w:r w:rsidRPr="00036FAC">
        <w:t>the</w:t>
      </w:r>
      <w:r w:rsidR="00907D8C">
        <w:t xml:space="preserve"> </w:t>
      </w:r>
      <w:r w:rsidRPr="00036FAC">
        <w:t>negotiated</w:t>
      </w:r>
      <w:r w:rsidR="00907D8C">
        <w:t xml:space="preserve"> </w:t>
      </w:r>
      <w:r w:rsidRPr="00036FAC">
        <w:t>settlement</w:t>
      </w:r>
      <w:r w:rsidR="00907D8C">
        <w:t xml:space="preserve"> </w:t>
      </w:r>
      <w:r w:rsidRPr="00036FAC">
        <w:t>redress.</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the</w:t>
      </w:r>
      <w:r w:rsidR="00907D8C">
        <w:t xml:space="preserve"> </w:t>
      </w:r>
      <w:r w:rsidRPr="00036FAC">
        <w:t>settlement</w:t>
      </w:r>
      <w:r w:rsidR="00907D8C">
        <w:t xml:space="preserve"> </w:t>
      </w:r>
      <w:r w:rsidRPr="00036FAC">
        <w:t>process</w:t>
      </w:r>
      <w:r w:rsidR="00907D8C">
        <w:t xml:space="preserve"> </w:t>
      </w:r>
      <w:r w:rsidRPr="00036FAC">
        <w:t>is</w:t>
      </w:r>
      <w:r w:rsidR="00907D8C">
        <w:t xml:space="preserve"> </w:t>
      </w:r>
      <w:r w:rsidRPr="00036FAC">
        <w:t>helping</w:t>
      </w:r>
      <w:r w:rsidR="00907D8C">
        <w:t xml:space="preserve"> </w:t>
      </w:r>
      <w:r w:rsidRPr="00036FAC">
        <w:t>to</w:t>
      </w:r>
      <w:r w:rsidR="00907D8C">
        <w:t xml:space="preserve"> </w:t>
      </w:r>
      <w:r w:rsidRPr="00036FAC">
        <w:t>re-establish</w:t>
      </w:r>
      <w:r w:rsidR="00907D8C">
        <w:t xml:space="preserve"> </w:t>
      </w:r>
      <w:r w:rsidRPr="00036FAC">
        <w:t>an</w:t>
      </w:r>
      <w:r w:rsidR="00907D8C">
        <w:t xml:space="preserve"> </w:t>
      </w:r>
      <w:r w:rsidRPr="00036FAC">
        <w:t>economic</w:t>
      </w:r>
      <w:r w:rsidR="00907D8C">
        <w:t xml:space="preserve"> </w:t>
      </w:r>
      <w:r w:rsidRPr="00036FAC">
        <w:t>base</w:t>
      </w:r>
      <w:r w:rsidR="00907D8C">
        <w:t xml:space="preserve"> </w:t>
      </w:r>
      <w:r w:rsidRPr="00036FAC">
        <w:t>for</w:t>
      </w:r>
      <w:r w:rsidR="00907D8C">
        <w:t xml:space="preserve"> </w:t>
      </w:r>
      <w:r w:rsidRPr="00036FAC">
        <w:t>future</w:t>
      </w:r>
      <w:r w:rsidR="00907D8C">
        <w:t xml:space="preserve"> </w:t>
      </w:r>
      <w:r w:rsidRPr="00036FAC">
        <w:t>Māori</w:t>
      </w:r>
      <w:r w:rsidR="00907D8C">
        <w:t xml:space="preserve"> </w:t>
      </w:r>
      <w:r w:rsidRPr="00036FAC">
        <w:t>development.</w:t>
      </w:r>
      <w:r w:rsidR="00907D8C">
        <w:t xml:space="preserve"> </w:t>
      </w:r>
      <w:r w:rsidRPr="00036FAC">
        <w:t>While</w:t>
      </w:r>
      <w:r w:rsidR="00907D8C">
        <w:t xml:space="preserve"> </w:t>
      </w:r>
      <w:r w:rsidRPr="00036FAC">
        <w:t>the</w:t>
      </w:r>
      <w:r w:rsidR="00907D8C">
        <w:t xml:space="preserve"> </w:t>
      </w:r>
      <w:r w:rsidRPr="00036FAC">
        <w:t>Government</w:t>
      </w:r>
      <w:r w:rsidR="00907D8C">
        <w:t xml:space="preserve"> </w:t>
      </w:r>
      <w:r w:rsidRPr="00036FAC">
        <w:t>recognises</w:t>
      </w:r>
      <w:r w:rsidR="00907D8C">
        <w:t xml:space="preserve"> </w:t>
      </w:r>
      <w:r w:rsidRPr="00036FAC">
        <w:t>that</w:t>
      </w:r>
      <w:r w:rsidR="00907D8C">
        <w:t xml:space="preserve"> </w:t>
      </w:r>
      <w:r w:rsidRPr="00036FAC">
        <w:t>the</w:t>
      </w:r>
      <w:r w:rsidR="00907D8C">
        <w:t xml:space="preserve"> </w:t>
      </w:r>
      <w:r w:rsidRPr="00036FAC">
        <w:t>Treaty</w:t>
      </w:r>
      <w:r w:rsidR="00907D8C">
        <w:t xml:space="preserve"> </w:t>
      </w:r>
      <w:r w:rsidRPr="00036FAC">
        <w:t>settlement</w:t>
      </w:r>
      <w:r w:rsidR="00907D8C">
        <w:t xml:space="preserve"> </w:t>
      </w:r>
      <w:r w:rsidRPr="00036FAC">
        <w:t>process</w:t>
      </w:r>
      <w:r w:rsidR="00907D8C">
        <w:t xml:space="preserve"> </w:t>
      </w:r>
      <w:r w:rsidRPr="00036FAC">
        <w:t>is</w:t>
      </w:r>
      <w:r w:rsidR="00907D8C">
        <w:t xml:space="preserve"> </w:t>
      </w:r>
      <w:r w:rsidRPr="00036FAC">
        <w:t>important,</w:t>
      </w:r>
      <w:r w:rsidR="00907D8C">
        <w:t xml:space="preserve"> </w:t>
      </w:r>
      <w:r w:rsidRPr="00036FAC">
        <w:t>it</w:t>
      </w:r>
      <w:r w:rsidR="00907D8C">
        <w:t xml:space="preserve"> </w:t>
      </w:r>
      <w:r w:rsidRPr="00036FAC">
        <w:t>should</w:t>
      </w:r>
      <w:r w:rsidR="00907D8C">
        <w:t xml:space="preserve"> </w:t>
      </w:r>
      <w:r w:rsidRPr="00036FAC">
        <w:t>not</w:t>
      </w:r>
      <w:r w:rsidR="00907D8C">
        <w:t xml:space="preserve"> </w:t>
      </w:r>
      <w:r w:rsidRPr="00036FAC">
        <w:t>be</w:t>
      </w:r>
      <w:r w:rsidR="00907D8C">
        <w:t xml:space="preserve"> </w:t>
      </w:r>
      <w:r w:rsidRPr="00036FAC">
        <w:t>seen</w:t>
      </w:r>
      <w:r w:rsidR="00907D8C">
        <w:t xml:space="preserve"> </w:t>
      </w:r>
      <w:r w:rsidRPr="00036FAC">
        <w:t>as</w:t>
      </w:r>
      <w:r w:rsidR="00907D8C">
        <w:t xml:space="preserve"> </w:t>
      </w:r>
      <w:r w:rsidRPr="00036FAC">
        <w:t>the</w:t>
      </w:r>
      <w:r w:rsidR="00907D8C">
        <w:t xml:space="preserve"> </w:t>
      </w:r>
      <w:r w:rsidRPr="00036FAC">
        <w:t>primary</w:t>
      </w:r>
      <w:r w:rsidR="00907D8C">
        <w:t xml:space="preserve"> </w:t>
      </w:r>
      <w:r w:rsidRPr="00036FAC">
        <w:t>focus</w:t>
      </w:r>
      <w:r w:rsidR="00907D8C">
        <w:t xml:space="preserve"> </w:t>
      </w:r>
      <w:r w:rsidRPr="00036FAC">
        <w:t>or</w:t>
      </w:r>
      <w:r w:rsidR="00907D8C">
        <w:t xml:space="preserve"> </w:t>
      </w:r>
      <w:r w:rsidRPr="00036FAC">
        <w:t>mechanism</w:t>
      </w:r>
      <w:r w:rsidR="00907D8C">
        <w:t xml:space="preserve"> </w:t>
      </w:r>
      <w:r w:rsidRPr="00036FAC">
        <w:t>for</w:t>
      </w:r>
      <w:r w:rsidR="00907D8C">
        <w:t xml:space="preserve"> </w:t>
      </w:r>
      <w:r w:rsidRPr="00036FAC">
        <w:t>encouraging</w:t>
      </w:r>
      <w:r w:rsidR="00907D8C">
        <w:t xml:space="preserve"> </w:t>
      </w:r>
      <w:r w:rsidRPr="00036FAC">
        <w:t>the</w:t>
      </w:r>
      <w:r w:rsidR="00907D8C">
        <w:t xml:space="preserve"> </w:t>
      </w:r>
      <w:r w:rsidRPr="00036FAC">
        <w:t>Treaty</w:t>
      </w:r>
      <w:r w:rsidR="00907D8C">
        <w:t xml:space="preserve"> </w:t>
      </w:r>
      <w:r w:rsidRPr="00036FAC">
        <w:t>relationship</w:t>
      </w:r>
      <w:r w:rsidR="00907D8C">
        <w:t xml:space="preserve"> </w:t>
      </w:r>
      <w:r w:rsidRPr="00036FAC">
        <w:t>in</w:t>
      </w:r>
      <w:r w:rsidR="00907D8C">
        <w:t xml:space="preserve"> </w:t>
      </w:r>
      <w:r w:rsidRPr="00036FAC">
        <w:t>the</w:t>
      </w:r>
      <w:r w:rsidR="00907D8C">
        <w:t xml:space="preserve"> </w:t>
      </w:r>
      <w:r w:rsidRPr="00036FAC">
        <w:t>future.</w:t>
      </w:r>
    </w:p>
    <w:p w:rsidR="00036FAC" w:rsidRPr="00036FAC" w:rsidRDefault="00036FAC" w:rsidP="006C436C">
      <w:pPr>
        <w:pStyle w:val="H23G"/>
      </w:pPr>
      <w:r w:rsidRPr="00036FAC">
        <w:tab/>
        <w:t>5.</w:t>
      </w:r>
      <w:r w:rsidRPr="00036FAC">
        <w:tab/>
        <w:t>Non-governmental</w:t>
      </w:r>
      <w:r w:rsidR="00907D8C">
        <w:t xml:space="preserve"> </w:t>
      </w:r>
      <w:r w:rsidRPr="00036FAC">
        <w:t>organi</w:t>
      </w:r>
      <w:r w:rsidR="000711F4">
        <w:t>z</w:t>
      </w:r>
      <w:r w:rsidRPr="00036FAC">
        <w:t>ations</w:t>
      </w:r>
      <w:r w:rsidR="00907D8C">
        <w:t xml:space="preserve"> </w:t>
      </w:r>
      <w:r w:rsidRPr="00036FAC">
        <w:t>(NGOs)</w:t>
      </w:r>
    </w:p>
    <w:p w:rsidR="00036FAC" w:rsidRPr="00036FAC" w:rsidRDefault="00036FAC" w:rsidP="00B85D72">
      <w:pPr>
        <w:pStyle w:val="SingleTxtG"/>
      </w:pPr>
      <w:r w:rsidRPr="00036FAC">
        <w:t>169.</w:t>
      </w:r>
      <w:r w:rsidRPr="00036FAC">
        <w:tab/>
        <w:t>A</w:t>
      </w:r>
      <w:r w:rsidR="00907D8C">
        <w:t xml:space="preserve"> </w:t>
      </w:r>
      <w:r w:rsidRPr="00036FAC">
        <w:t>study</w:t>
      </w:r>
      <w:r w:rsidR="00907D8C">
        <w:t xml:space="preserve"> </w:t>
      </w:r>
      <w:r w:rsidRPr="00036FAC">
        <w:t>conducted</w:t>
      </w:r>
      <w:r w:rsidR="00907D8C">
        <w:t xml:space="preserve"> </w:t>
      </w:r>
      <w:r w:rsidRPr="00036FAC">
        <w:t>by</w:t>
      </w:r>
      <w:r w:rsidR="00907D8C">
        <w:t xml:space="preserve"> </w:t>
      </w:r>
      <w:r w:rsidRPr="00036FAC">
        <w:t>Statistics</w:t>
      </w:r>
      <w:r w:rsidR="00907D8C">
        <w:t xml:space="preserve"> </w:t>
      </w:r>
      <w:r w:rsidRPr="00036FAC">
        <w:t>New</w:t>
      </w:r>
      <w:r w:rsidR="00907D8C">
        <w:t xml:space="preserve"> </w:t>
      </w:r>
      <w:r w:rsidRPr="00036FAC">
        <w:t>Zealand</w:t>
      </w:r>
      <w:r w:rsidR="00907D8C">
        <w:t xml:space="preserve"> </w:t>
      </w:r>
      <w:r w:rsidRPr="00036FAC">
        <w:t>published</w:t>
      </w:r>
      <w:r w:rsidR="00907D8C">
        <w:t xml:space="preserve"> </w:t>
      </w:r>
      <w:r w:rsidRPr="00036FAC">
        <w:t>in</w:t>
      </w:r>
      <w:r w:rsidR="00907D8C">
        <w:t xml:space="preserve"> </w:t>
      </w:r>
      <w:r w:rsidRPr="00036FAC">
        <w:t>2007</w:t>
      </w:r>
      <w:r w:rsidR="00907D8C">
        <w:t xml:space="preserve"> </w:t>
      </w:r>
      <w:r w:rsidRPr="00036FAC">
        <w:t>and</w:t>
      </w:r>
      <w:r w:rsidR="00907D8C">
        <w:t xml:space="preserve"> </w:t>
      </w:r>
      <w:r w:rsidRPr="00036FAC">
        <w:t>based</w:t>
      </w:r>
      <w:r w:rsidR="00907D8C">
        <w:t xml:space="preserve"> </w:t>
      </w:r>
      <w:r w:rsidRPr="00036FAC">
        <w:t>on</w:t>
      </w:r>
      <w:r w:rsidR="00907D8C">
        <w:t xml:space="preserve"> </w:t>
      </w:r>
      <w:r w:rsidRPr="00036FAC">
        <w:t>2004</w:t>
      </w:r>
      <w:r w:rsidR="00907D8C">
        <w:t xml:space="preserve"> </w:t>
      </w:r>
      <w:r w:rsidRPr="00036FAC">
        <w:t>data</w:t>
      </w:r>
      <w:r w:rsidR="00907D8C">
        <w:t xml:space="preserve"> </w:t>
      </w:r>
      <w:r w:rsidRPr="00036FAC">
        <w:t>shows</w:t>
      </w:r>
      <w:r w:rsidR="00907D8C">
        <w:t xml:space="preserve"> </w:t>
      </w:r>
      <w:r w:rsidRPr="00036FAC">
        <w:t>that</w:t>
      </w:r>
      <w:r w:rsidR="00907D8C">
        <w:t xml:space="preserve"> </w:t>
      </w:r>
      <w:r w:rsidRPr="00036FAC">
        <w:t>there</w:t>
      </w:r>
      <w:r w:rsidR="00907D8C">
        <w:t xml:space="preserve"> </w:t>
      </w:r>
      <w:r w:rsidRPr="00036FAC">
        <w:t>are</w:t>
      </w:r>
      <w:r w:rsidR="00907D8C">
        <w:t xml:space="preserve"> </w:t>
      </w:r>
      <w:r w:rsidRPr="00036FAC">
        <w:t>over</w:t>
      </w:r>
      <w:r w:rsidR="00907D8C">
        <w:t xml:space="preserve"> </w:t>
      </w:r>
      <w:r w:rsidRPr="00036FAC">
        <w:t>97,000</w:t>
      </w:r>
      <w:r w:rsidR="00907D8C">
        <w:t xml:space="preserve"> </w:t>
      </w:r>
      <w:r w:rsidRPr="00036FAC">
        <w:t>non-profit</w:t>
      </w:r>
      <w:r w:rsidR="00907D8C">
        <w:t xml:space="preserve"> </w:t>
      </w:r>
      <w:r w:rsidRPr="00036FAC">
        <w:t>institutions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The</w:t>
      </w:r>
      <w:r w:rsidR="00907D8C">
        <w:t xml:space="preserve"> </w:t>
      </w:r>
      <w:r w:rsidRPr="00036FAC">
        <w:t>sector</w:t>
      </w:r>
      <w:r w:rsidR="003E4D94">
        <w:t>’</w:t>
      </w:r>
      <w:r w:rsidRPr="00036FAC">
        <w:t>s</w:t>
      </w:r>
      <w:r w:rsidR="00907D8C">
        <w:t xml:space="preserve"> </w:t>
      </w:r>
      <w:r w:rsidRPr="00036FAC">
        <w:t>scope</w:t>
      </w:r>
      <w:r w:rsidR="00907D8C">
        <w:t xml:space="preserve"> </w:t>
      </w:r>
      <w:r w:rsidRPr="00036FAC">
        <w:t>ranges</w:t>
      </w:r>
      <w:r w:rsidR="00907D8C">
        <w:t xml:space="preserve"> </w:t>
      </w:r>
      <w:r w:rsidRPr="00036FAC">
        <w:t>from</w:t>
      </w:r>
      <w:r w:rsidR="00907D8C">
        <w:t xml:space="preserve"> </w:t>
      </w:r>
      <w:r w:rsidRPr="00036FAC">
        <w:t>service-type</w:t>
      </w:r>
      <w:r w:rsidR="00907D8C">
        <w:t xml:space="preserve"> </w:t>
      </w:r>
      <w:r w:rsidRPr="00036FAC">
        <w:t>organisations</w:t>
      </w:r>
      <w:r w:rsidR="00907D8C">
        <w:t xml:space="preserve"> </w:t>
      </w:r>
      <w:r w:rsidRPr="00036FAC">
        <w:t>to</w:t>
      </w:r>
      <w:r w:rsidR="00907D8C">
        <w:t xml:space="preserve"> </w:t>
      </w:r>
      <w:r w:rsidRPr="00036FAC">
        <w:t>those</w:t>
      </w:r>
      <w:r w:rsidR="00907D8C">
        <w:t xml:space="preserve"> </w:t>
      </w:r>
      <w:r w:rsidRPr="00036FAC">
        <w:t>that</w:t>
      </w:r>
      <w:r w:rsidR="00907D8C">
        <w:t xml:space="preserve"> </w:t>
      </w:r>
      <w:r w:rsidRPr="00036FAC">
        <w:t>offer</w:t>
      </w:r>
      <w:r w:rsidR="00907D8C">
        <w:t xml:space="preserve"> </w:t>
      </w:r>
      <w:r w:rsidRPr="00036FAC">
        <w:t>citizens</w:t>
      </w:r>
      <w:r w:rsidR="00907D8C">
        <w:t xml:space="preserve"> </w:t>
      </w:r>
      <w:r w:rsidRPr="00036FAC">
        <w:t>the</w:t>
      </w:r>
      <w:r w:rsidR="00907D8C">
        <w:t xml:space="preserve"> </w:t>
      </w:r>
      <w:r w:rsidRPr="00036FAC">
        <w:t>opportunity</w:t>
      </w:r>
      <w:r w:rsidR="00907D8C">
        <w:t xml:space="preserve"> </w:t>
      </w:r>
      <w:r w:rsidRPr="00036FAC">
        <w:t>to</w:t>
      </w:r>
      <w:r w:rsidR="00907D8C">
        <w:t xml:space="preserve"> </w:t>
      </w:r>
      <w:r w:rsidRPr="00036FAC">
        <w:t>express</w:t>
      </w:r>
      <w:r w:rsidR="00907D8C">
        <w:t xml:space="preserve"> </w:t>
      </w:r>
      <w:r w:rsidRPr="00036FAC">
        <w:t>their</w:t>
      </w:r>
      <w:r w:rsidR="00907D8C">
        <w:t xml:space="preserve"> </w:t>
      </w:r>
      <w:r w:rsidRPr="00036FAC">
        <w:t>wider</w:t>
      </w:r>
      <w:r w:rsidR="00907D8C">
        <w:t xml:space="preserve"> </w:t>
      </w:r>
      <w:r w:rsidRPr="00036FAC">
        <w:t>interests</w:t>
      </w:r>
      <w:r w:rsidR="00907D8C">
        <w:t xml:space="preserve"> </w:t>
      </w:r>
      <w:r w:rsidRPr="00036FAC">
        <w:t>and</w:t>
      </w:r>
      <w:r w:rsidR="00907D8C">
        <w:t xml:space="preserve"> </w:t>
      </w:r>
      <w:r w:rsidRPr="00036FAC">
        <w:t>values</w:t>
      </w:r>
      <w:r w:rsidR="00907D8C">
        <w:t xml:space="preserve"> </w:t>
      </w:r>
      <w:r w:rsidRPr="00036FAC">
        <w:t>(for</w:t>
      </w:r>
      <w:r w:rsidR="00907D8C">
        <w:t xml:space="preserve"> </w:t>
      </w:r>
      <w:r w:rsidRPr="00036FAC">
        <w:t>instance,</w:t>
      </w:r>
      <w:r w:rsidR="00907D8C">
        <w:t xml:space="preserve"> </w:t>
      </w:r>
      <w:r w:rsidRPr="00036FAC">
        <w:t>sport,</w:t>
      </w:r>
      <w:r w:rsidR="00907D8C">
        <w:t xml:space="preserve"> </w:t>
      </w:r>
      <w:r w:rsidRPr="00036FAC">
        <w:t>the</w:t>
      </w:r>
      <w:r w:rsidR="00907D8C">
        <w:t xml:space="preserve"> </w:t>
      </w:r>
      <w:r w:rsidRPr="00036FAC">
        <w:t>arts,</w:t>
      </w:r>
      <w:r w:rsidR="00907D8C">
        <w:t xml:space="preserve"> </w:t>
      </w:r>
      <w:r w:rsidRPr="00036FAC">
        <w:t>religion,</w:t>
      </w:r>
      <w:r w:rsidR="00907D8C">
        <w:t xml:space="preserve"> </w:t>
      </w:r>
      <w:r w:rsidRPr="00036FAC">
        <w:t>and</w:t>
      </w:r>
      <w:r w:rsidR="00907D8C">
        <w:t xml:space="preserve"> </w:t>
      </w:r>
      <w:r w:rsidRPr="00036FAC">
        <w:t>environmental</w:t>
      </w:r>
      <w:r w:rsidR="00907D8C">
        <w:t xml:space="preserve"> </w:t>
      </w:r>
      <w:r w:rsidRPr="00036FAC">
        <w:t>protection).</w:t>
      </w:r>
    </w:p>
    <w:p w:rsidR="00036FAC" w:rsidRPr="00036FAC" w:rsidRDefault="00036FAC" w:rsidP="00B85D72">
      <w:pPr>
        <w:pStyle w:val="SingleTxtG"/>
      </w:pPr>
      <w:r w:rsidRPr="00036FAC">
        <w:t>170.</w:t>
      </w:r>
      <w:r w:rsidRPr="00036FAC">
        <w:tab/>
        <w:t>The</w:t>
      </w:r>
      <w:r w:rsidR="00907D8C">
        <w:t xml:space="preserve"> </w:t>
      </w:r>
      <w:r w:rsidRPr="00036FAC">
        <w:t>Charities</w:t>
      </w:r>
      <w:r w:rsidR="00907D8C">
        <w:t xml:space="preserve"> </w:t>
      </w:r>
      <w:r w:rsidRPr="00036FAC">
        <w:t>Commission</w:t>
      </w:r>
      <w:r w:rsidR="00907D8C">
        <w:t xml:space="preserve"> </w:t>
      </w:r>
      <w:r w:rsidRPr="00036FAC">
        <w:t>registers</w:t>
      </w:r>
      <w:r w:rsidR="00907D8C">
        <w:t xml:space="preserve"> </w:t>
      </w:r>
      <w:r w:rsidRPr="00036FAC">
        <w:t>and</w:t>
      </w:r>
      <w:r w:rsidR="00907D8C">
        <w:t xml:space="preserve"> </w:t>
      </w:r>
      <w:r w:rsidRPr="00036FAC">
        <w:t>monitors</w:t>
      </w:r>
      <w:r w:rsidR="00907D8C">
        <w:t xml:space="preserve"> </w:t>
      </w:r>
      <w:r w:rsidRPr="00036FAC">
        <w:t>charities</w:t>
      </w:r>
      <w:r w:rsidR="00907D8C">
        <w:t xml:space="preserve"> </w:t>
      </w:r>
      <w:r w:rsidRPr="00036FAC">
        <w:t>in</w:t>
      </w:r>
      <w:r w:rsidR="00907D8C">
        <w:t xml:space="preserve"> </w:t>
      </w:r>
      <w:r w:rsidRPr="00036FAC">
        <w:t>accordance</w:t>
      </w:r>
      <w:r w:rsidR="00907D8C">
        <w:t xml:space="preserve"> </w:t>
      </w:r>
      <w:r w:rsidRPr="00036FAC">
        <w:t>with</w:t>
      </w:r>
      <w:r w:rsidR="00907D8C">
        <w:t xml:space="preserve"> </w:t>
      </w:r>
      <w:r w:rsidRPr="00036FAC">
        <w:t>the</w:t>
      </w:r>
      <w:r w:rsidR="00907D8C">
        <w:t xml:space="preserve"> </w:t>
      </w:r>
      <w:r w:rsidRPr="00036FAC">
        <w:t>Charities</w:t>
      </w:r>
      <w:r w:rsidR="00907D8C">
        <w:t xml:space="preserve"> </w:t>
      </w:r>
      <w:r w:rsidRPr="00036FAC">
        <w:t>Act</w:t>
      </w:r>
      <w:r w:rsidR="00907D8C">
        <w:t xml:space="preserve"> </w:t>
      </w:r>
      <w:r w:rsidRPr="00036FAC">
        <w:t>2005.</w:t>
      </w:r>
      <w:r w:rsidR="00907D8C">
        <w:t xml:space="preserve"> </w:t>
      </w:r>
      <w:r w:rsidRPr="00036FAC">
        <w:t>Registration</w:t>
      </w:r>
      <w:r w:rsidR="00907D8C">
        <w:t xml:space="preserve"> </w:t>
      </w:r>
      <w:r w:rsidRPr="00036FAC">
        <w:t>is</w:t>
      </w:r>
      <w:r w:rsidR="00907D8C">
        <w:t xml:space="preserve"> </w:t>
      </w:r>
      <w:r w:rsidRPr="00036FAC">
        <w:t>voluntary</w:t>
      </w:r>
      <w:r w:rsidR="00907D8C">
        <w:t xml:space="preserve"> </w:t>
      </w:r>
      <w:r w:rsidRPr="00036FAC">
        <w:t>and</w:t>
      </w:r>
      <w:r w:rsidR="00907D8C">
        <w:t xml:space="preserve"> </w:t>
      </w:r>
      <w:r w:rsidRPr="00036FAC">
        <w:t>free</w:t>
      </w:r>
      <w:r w:rsidR="00907D8C">
        <w:t xml:space="preserve"> </w:t>
      </w:r>
      <w:r w:rsidRPr="00036FAC">
        <w:t>but</w:t>
      </w:r>
      <w:r w:rsidR="00907D8C">
        <w:t xml:space="preserve"> </w:t>
      </w:r>
      <w:r w:rsidRPr="00036FAC">
        <w:t>a</w:t>
      </w:r>
      <w:r w:rsidR="00907D8C">
        <w:t xml:space="preserve"> </w:t>
      </w:r>
      <w:r w:rsidRPr="00036FAC">
        <w:t>prerequisite</w:t>
      </w:r>
      <w:r w:rsidR="00907D8C">
        <w:t xml:space="preserve"> </w:t>
      </w:r>
      <w:r w:rsidRPr="00036FAC">
        <w:t>for</w:t>
      </w:r>
      <w:r w:rsidR="00907D8C">
        <w:t xml:space="preserve"> </w:t>
      </w:r>
      <w:r w:rsidRPr="00036FAC">
        <w:t>tax-exempt</w:t>
      </w:r>
      <w:r w:rsidR="00907D8C">
        <w:t xml:space="preserve"> </w:t>
      </w:r>
      <w:r w:rsidRPr="00036FAC">
        <w:t>status.</w:t>
      </w:r>
      <w:r w:rsidR="00907D8C">
        <w:t xml:space="preserve"> </w:t>
      </w:r>
      <w:r w:rsidRPr="00036FAC">
        <w:t>Tax-exempt</w:t>
      </w:r>
      <w:r w:rsidR="00907D8C">
        <w:t xml:space="preserve"> </w:t>
      </w:r>
      <w:r w:rsidRPr="00036FAC">
        <w:t>status</w:t>
      </w:r>
      <w:r w:rsidR="00907D8C">
        <w:t xml:space="preserve"> </w:t>
      </w:r>
      <w:r w:rsidRPr="00036FAC">
        <w:t>means</w:t>
      </w:r>
      <w:r w:rsidR="00907D8C">
        <w:t xml:space="preserve"> </w:t>
      </w:r>
      <w:r w:rsidRPr="00036FAC">
        <w:t>registered</w:t>
      </w:r>
      <w:r w:rsidR="00907D8C">
        <w:t xml:space="preserve"> </w:t>
      </w:r>
      <w:r w:rsidRPr="00036FAC">
        <w:t>charities</w:t>
      </w:r>
      <w:r w:rsidR="00907D8C">
        <w:t xml:space="preserve"> </w:t>
      </w:r>
      <w:r w:rsidRPr="00036FAC">
        <w:t>do</w:t>
      </w:r>
      <w:r w:rsidR="00907D8C">
        <w:t xml:space="preserve"> </w:t>
      </w:r>
      <w:r w:rsidRPr="00036FAC">
        <w:t>not</w:t>
      </w:r>
      <w:r w:rsidR="00907D8C">
        <w:t xml:space="preserve"> </w:t>
      </w:r>
      <w:r w:rsidRPr="00036FAC">
        <w:t>have</w:t>
      </w:r>
      <w:r w:rsidR="00907D8C">
        <w:t xml:space="preserve"> </w:t>
      </w:r>
      <w:r w:rsidRPr="00036FAC">
        <w:t>to</w:t>
      </w:r>
      <w:r w:rsidR="00907D8C">
        <w:t xml:space="preserve"> </w:t>
      </w:r>
      <w:r w:rsidRPr="00036FAC">
        <w:t>pay</w:t>
      </w:r>
      <w:r w:rsidR="00907D8C">
        <w:t xml:space="preserve"> </w:t>
      </w:r>
      <w:r w:rsidRPr="00036FAC">
        <w:t>income</w:t>
      </w:r>
      <w:r w:rsidR="00907D8C">
        <w:t xml:space="preserve"> </w:t>
      </w:r>
      <w:r w:rsidRPr="00036FAC">
        <w:t>tax</w:t>
      </w:r>
      <w:r w:rsidR="00907D8C">
        <w:t xml:space="preserve"> </w:t>
      </w:r>
      <w:r w:rsidRPr="00036FAC">
        <w:t>(including</w:t>
      </w:r>
      <w:r w:rsidR="00907D8C">
        <w:t xml:space="preserve"> </w:t>
      </w:r>
      <w:r w:rsidRPr="00036FAC">
        <w:t>resident</w:t>
      </w:r>
      <w:r w:rsidR="00907D8C">
        <w:t xml:space="preserve"> </w:t>
      </w:r>
      <w:r w:rsidRPr="00036FAC">
        <w:t>withholding</w:t>
      </w:r>
      <w:r w:rsidR="00907D8C">
        <w:t xml:space="preserve"> </w:t>
      </w:r>
      <w:r w:rsidRPr="00036FAC">
        <w:t>tax)</w:t>
      </w:r>
      <w:r w:rsidR="00907D8C">
        <w:t xml:space="preserve"> </w:t>
      </w:r>
      <w:r w:rsidRPr="00036FAC">
        <w:t>and</w:t>
      </w:r>
      <w:r w:rsidR="00907D8C">
        <w:t xml:space="preserve"> </w:t>
      </w:r>
      <w:r w:rsidRPr="00036FAC">
        <w:t>donors</w:t>
      </w:r>
      <w:r w:rsidR="00907D8C">
        <w:t xml:space="preserve"> </w:t>
      </w:r>
      <w:r w:rsidRPr="00036FAC">
        <w:t>of</w:t>
      </w:r>
      <w:r w:rsidR="00907D8C">
        <w:t xml:space="preserve"> </w:t>
      </w:r>
      <w:r w:rsidRPr="00036FAC">
        <w:t>gifts</w:t>
      </w:r>
      <w:r w:rsidR="00907D8C">
        <w:t xml:space="preserve"> </w:t>
      </w:r>
      <w:r w:rsidRPr="00036FAC">
        <w:t>to</w:t>
      </w:r>
      <w:r w:rsidR="00907D8C">
        <w:t xml:space="preserve"> </w:t>
      </w:r>
      <w:r w:rsidRPr="00036FAC">
        <w:t>registered</w:t>
      </w:r>
      <w:r w:rsidR="00907D8C">
        <w:t xml:space="preserve"> </w:t>
      </w:r>
      <w:r w:rsidRPr="00036FAC">
        <w:t>charities</w:t>
      </w:r>
      <w:r w:rsidR="00907D8C">
        <w:t xml:space="preserve"> </w:t>
      </w:r>
      <w:r w:rsidRPr="00036FAC">
        <w:t>do</w:t>
      </w:r>
      <w:r w:rsidR="00907D8C">
        <w:t xml:space="preserve"> </w:t>
      </w:r>
      <w:r w:rsidRPr="00036FAC">
        <w:t>not</w:t>
      </w:r>
      <w:r w:rsidR="00907D8C">
        <w:t xml:space="preserve"> </w:t>
      </w:r>
      <w:r w:rsidRPr="00036FAC">
        <w:t>have</w:t>
      </w:r>
      <w:r w:rsidR="00907D8C">
        <w:t xml:space="preserve"> </w:t>
      </w:r>
      <w:r w:rsidRPr="00036FAC">
        <w:t>to</w:t>
      </w:r>
      <w:r w:rsidR="00907D8C">
        <w:t xml:space="preserve"> </w:t>
      </w:r>
      <w:r w:rsidRPr="00036FAC">
        <w:t>pay</w:t>
      </w:r>
      <w:r w:rsidR="00907D8C">
        <w:t xml:space="preserve"> </w:t>
      </w:r>
      <w:r w:rsidRPr="00036FAC">
        <w:t>gift</w:t>
      </w:r>
      <w:r w:rsidR="00907D8C">
        <w:t xml:space="preserve"> </w:t>
      </w:r>
      <w:r w:rsidRPr="00036FAC">
        <w:t>duty.</w:t>
      </w:r>
    </w:p>
    <w:p w:rsidR="00036FAC" w:rsidRPr="00036FAC" w:rsidRDefault="00036FAC" w:rsidP="00B85D72">
      <w:pPr>
        <w:pStyle w:val="SingleTxtG"/>
      </w:pPr>
      <w:r w:rsidRPr="00036FAC">
        <w:t>171.</w:t>
      </w:r>
      <w:r w:rsidRPr="00036FAC">
        <w:tab/>
        <w:t>To</w:t>
      </w:r>
      <w:r w:rsidR="00907D8C">
        <w:t xml:space="preserve"> </w:t>
      </w:r>
      <w:r w:rsidRPr="00036FAC">
        <w:t>support</w:t>
      </w:r>
      <w:r w:rsidR="00907D8C">
        <w:t xml:space="preserve"> </w:t>
      </w:r>
      <w:r w:rsidRPr="00036FAC">
        <w:t>the</w:t>
      </w:r>
      <w:r w:rsidR="00907D8C">
        <w:t xml:space="preserve"> </w:t>
      </w:r>
      <w:r w:rsidRPr="00036FAC">
        <w:t>sector,</w:t>
      </w:r>
      <w:r w:rsidR="00907D8C">
        <w:t xml:space="preserve"> </w:t>
      </w:r>
      <w:r w:rsidRPr="00036FAC">
        <w:t>the</w:t>
      </w:r>
      <w:r w:rsidR="00907D8C">
        <w:t xml:space="preserve"> </w:t>
      </w:r>
      <w:r w:rsidRPr="00036FAC">
        <w:t>Office</w:t>
      </w:r>
      <w:r w:rsidR="00907D8C">
        <w:t xml:space="preserve"> </w:t>
      </w:r>
      <w:r w:rsidRPr="00036FAC">
        <w:t>for</w:t>
      </w:r>
      <w:r w:rsidR="00907D8C">
        <w:t xml:space="preserve"> </w:t>
      </w:r>
      <w:r w:rsidRPr="00036FAC">
        <w:t>the</w:t>
      </w:r>
      <w:r w:rsidR="00907D8C">
        <w:t xml:space="preserve"> </w:t>
      </w:r>
      <w:r w:rsidRPr="00036FAC">
        <w:t>Community</w:t>
      </w:r>
      <w:r w:rsidR="00907D8C">
        <w:t xml:space="preserve"> </w:t>
      </w:r>
      <w:r w:rsidRPr="00036FAC">
        <w:t>and</w:t>
      </w:r>
      <w:r w:rsidR="00907D8C">
        <w:t xml:space="preserve"> </w:t>
      </w:r>
      <w:r w:rsidRPr="00036FAC">
        <w:t>Voluntary</w:t>
      </w:r>
      <w:r w:rsidR="00907D8C">
        <w:t xml:space="preserve"> </w:t>
      </w:r>
      <w:r w:rsidRPr="00036FAC">
        <w:t>Sector</w:t>
      </w:r>
      <w:r w:rsidR="00907D8C">
        <w:t xml:space="preserve"> </w:t>
      </w:r>
      <w:r w:rsidRPr="00036FAC">
        <w:t>(OCVS)</w:t>
      </w:r>
      <w:r w:rsidR="00907D8C">
        <w:t xml:space="preserve"> </w:t>
      </w:r>
      <w:r w:rsidRPr="00036FAC">
        <w:t>was</w:t>
      </w:r>
      <w:r w:rsidR="00907D8C">
        <w:t xml:space="preserve"> </w:t>
      </w:r>
      <w:r w:rsidRPr="00036FAC">
        <w:t>established</w:t>
      </w:r>
      <w:r w:rsidR="00907D8C">
        <w:t xml:space="preserve"> </w:t>
      </w:r>
      <w:r w:rsidRPr="00036FAC">
        <w:t>in</w:t>
      </w:r>
      <w:r w:rsidR="00907D8C">
        <w:t xml:space="preserve"> </w:t>
      </w:r>
      <w:r w:rsidRPr="00036FAC">
        <w:t>2003.</w:t>
      </w:r>
      <w:r w:rsidR="00907D8C">
        <w:t xml:space="preserve"> </w:t>
      </w:r>
      <w:r w:rsidRPr="00036FAC">
        <w:t>Located</w:t>
      </w:r>
      <w:r w:rsidR="00907D8C">
        <w:t xml:space="preserve"> </w:t>
      </w:r>
      <w:r w:rsidRPr="00036FAC">
        <w:t>within</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Social</w:t>
      </w:r>
      <w:r w:rsidR="00907D8C">
        <w:t xml:space="preserve"> </w:t>
      </w:r>
      <w:r w:rsidRPr="00036FAC">
        <w:t>Development,</w:t>
      </w:r>
      <w:r w:rsidR="00907D8C">
        <w:t xml:space="preserve"> </w:t>
      </w:r>
      <w:r w:rsidRPr="00036FAC">
        <w:t>and</w:t>
      </w:r>
      <w:r w:rsidR="00907D8C">
        <w:t xml:space="preserve"> </w:t>
      </w:r>
      <w:r w:rsidRPr="00036FAC">
        <w:t>reporting</w:t>
      </w:r>
      <w:r w:rsidR="00907D8C">
        <w:t xml:space="preserve"> </w:t>
      </w:r>
      <w:r w:rsidRPr="00036FAC">
        <w:t>to</w:t>
      </w:r>
      <w:r w:rsidR="00907D8C">
        <w:t xml:space="preserve"> </w:t>
      </w:r>
      <w:r w:rsidRPr="00036FAC">
        <w:t>the</w:t>
      </w:r>
      <w:r w:rsidR="00907D8C">
        <w:t xml:space="preserve"> </w:t>
      </w:r>
      <w:r w:rsidRPr="00036FAC">
        <w:t>Minister</w:t>
      </w:r>
      <w:r w:rsidR="00907D8C">
        <w:t xml:space="preserve"> </w:t>
      </w:r>
      <w:r w:rsidRPr="00036FAC">
        <w:t>for</w:t>
      </w:r>
      <w:r w:rsidR="00907D8C">
        <w:t xml:space="preserve"> </w:t>
      </w:r>
      <w:r w:rsidRPr="00036FAC">
        <w:t>the</w:t>
      </w:r>
      <w:r w:rsidR="00907D8C">
        <w:t xml:space="preserve"> </w:t>
      </w:r>
      <w:r w:rsidRPr="00036FAC">
        <w:t>Community</w:t>
      </w:r>
      <w:r w:rsidR="00907D8C">
        <w:t xml:space="preserve"> </w:t>
      </w:r>
      <w:r w:rsidRPr="00036FAC">
        <w:t>and</w:t>
      </w:r>
      <w:r w:rsidR="00907D8C">
        <w:t xml:space="preserve"> </w:t>
      </w:r>
      <w:r w:rsidRPr="00036FAC">
        <w:t>Voluntary</w:t>
      </w:r>
      <w:r w:rsidR="00907D8C">
        <w:t xml:space="preserve"> </w:t>
      </w:r>
      <w:r w:rsidRPr="00036FAC">
        <w:t>Sector,</w:t>
      </w:r>
      <w:r w:rsidR="00907D8C">
        <w:t xml:space="preserve"> </w:t>
      </w:r>
      <w:r w:rsidRPr="00036FAC">
        <w:t>OCVS</w:t>
      </w:r>
      <w:r w:rsidR="00907D8C">
        <w:t xml:space="preserve"> </w:t>
      </w:r>
      <w:r w:rsidRPr="00036FAC">
        <w:t>supports</w:t>
      </w:r>
      <w:r w:rsidR="00907D8C">
        <w:t xml:space="preserve"> </w:t>
      </w:r>
      <w:r w:rsidRPr="00036FAC">
        <w:t>government</w:t>
      </w:r>
      <w:r w:rsidR="00907D8C">
        <w:t xml:space="preserve"> </w:t>
      </w:r>
      <w:r w:rsidRPr="00036FAC">
        <w:t>agencies</w:t>
      </w:r>
      <w:r w:rsidR="00907D8C">
        <w:t xml:space="preserve"> </w:t>
      </w:r>
      <w:r w:rsidRPr="00036FAC">
        <w:t>to</w:t>
      </w:r>
      <w:r w:rsidR="00907D8C">
        <w:t xml:space="preserve"> </w:t>
      </w:r>
      <w:r w:rsidRPr="00036FAC">
        <w:t>strengthen</w:t>
      </w:r>
      <w:r w:rsidR="00907D8C">
        <w:t xml:space="preserve"> </w:t>
      </w:r>
      <w:r w:rsidRPr="00036FAC">
        <w:t>their</w:t>
      </w:r>
      <w:r w:rsidR="00907D8C">
        <w:t xml:space="preserve"> </w:t>
      </w:r>
      <w:r w:rsidRPr="00036FAC">
        <w:t>relationships</w:t>
      </w:r>
      <w:r w:rsidR="00907D8C">
        <w:t xml:space="preserve"> </w:t>
      </w:r>
      <w:r w:rsidRPr="00036FAC">
        <w:t>with</w:t>
      </w:r>
      <w:r w:rsidR="00907D8C">
        <w:t xml:space="preserve"> </w:t>
      </w:r>
      <w:r w:rsidRPr="00036FAC">
        <w:t>community</w:t>
      </w:r>
      <w:r w:rsidR="00907D8C">
        <w:t xml:space="preserve"> </w:t>
      </w:r>
      <w:r w:rsidRPr="00036FAC">
        <w:t>and</w:t>
      </w:r>
      <w:r w:rsidR="00907D8C">
        <w:t xml:space="preserve"> </w:t>
      </w:r>
      <w:r w:rsidRPr="00036FAC">
        <w:t>voluntary</w:t>
      </w:r>
      <w:r w:rsidR="00907D8C">
        <w:t xml:space="preserve"> </w:t>
      </w:r>
      <w:r w:rsidRPr="00036FAC">
        <w:t>organisations.</w:t>
      </w:r>
      <w:r w:rsidR="00907D8C">
        <w:t xml:space="preserve"> </w:t>
      </w:r>
      <w:r w:rsidRPr="00036FAC">
        <w:t>OCVS</w:t>
      </w:r>
      <w:r w:rsidR="00907D8C">
        <w:t xml:space="preserve"> </w:t>
      </w:r>
      <w:r w:rsidRPr="00036FAC">
        <w:t>also</w:t>
      </w:r>
      <w:r w:rsidR="00907D8C">
        <w:t xml:space="preserve"> </w:t>
      </w:r>
      <w:r w:rsidRPr="00036FAC">
        <w:t>acts</w:t>
      </w:r>
      <w:r w:rsidR="00907D8C">
        <w:t xml:space="preserve"> </w:t>
      </w:r>
      <w:r w:rsidRPr="00036FAC">
        <w:t>as</w:t>
      </w:r>
      <w:r w:rsidR="00907D8C">
        <w:t xml:space="preserve"> </w:t>
      </w:r>
      <w:r w:rsidRPr="00036FAC">
        <w:t>a</w:t>
      </w:r>
      <w:r w:rsidR="00907D8C">
        <w:t xml:space="preserve"> </w:t>
      </w:r>
      <w:r w:rsidRPr="00036FAC">
        <w:t>central</w:t>
      </w:r>
      <w:r w:rsidR="00907D8C">
        <w:t xml:space="preserve"> </w:t>
      </w:r>
      <w:r w:rsidRPr="00036FAC">
        <w:t>contact</w:t>
      </w:r>
      <w:r w:rsidR="00907D8C">
        <w:t xml:space="preserve"> </w:t>
      </w:r>
      <w:r w:rsidRPr="00036FAC">
        <w:t>point</w:t>
      </w:r>
      <w:r w:rsidR="00907D8C">
        <w:t xml:space="preserve"> </w:t>
      </w:r>
      <w:r w:rsidRPr="00036FAC">
        <w:t>to</w:t>
      </w:r>
      <w:r w:rsidR="00907D8C">
        <w:t xml:space="preserve"> </w:t>
      </w:r>
      <w:r w:rsidRPr="00036FAC">
        <w:t>address</w:t>
      </w:r>
      <w:r w:rsidR="00907D8C">
        <w:t xml:space="preserve"> </w:t>
      </w:r>
      <w:r w:rsidRPr="00036FAC">
        <w:t>cross-agency</w:t>
      </w:r>
      <w:r w:rsidR="00907D8C">
        <w:t xml:space="preserve"> </w:t>
      </w:r>
      <w:r w:rsidRPr="00036FAC">
        <w:t>issues</w:t>
      </w:r>
      <w:r w:rsidR="00907D8C">
        <w:t xml:space="preserve"> </w:t>
      </w:r>
      <w:r w:rsidRPr="00036FAC">
        <w:t>that</w:t>
      </w:r>
      <w:r w:rsidR="00907D8C">
        <w:t xml:space="preserve"> </w:t>
      </w:r>
      <w:r w:rsidRPr="00036FAC">
        <w:t>affect</w:t>
      </w:r>
      <w:r w:rsidR="00907D8C">
        <w:t xml:space="preserve"> </w:t>
      </w:r>
      <w:r w:rsidRPr="00036FAC">
        <w:t>the</w:t>
      </w:r>
      <w:r w:rsidR="00907D8C">
        <w:t xml:space="preserve"> </w:t>
      </w:r>
      <w:r w:rsidRPr="00036FAC">
        <w:t>sector</w:t>
      </w:r>
      <w:r w:rsidR="00907D8C">
        <w:t xml:space="preserve"> </w:t>
      </w:r>
      <w:r w:rsidRPr="00036FAC">
        <w:t>in</w:t>
      </w:r>
      <w:r w:rsidR="00907D8C">
        <w:t xml:space="preserve"> </w:t>
      </w:r>
      <w:r w:rsidRPr="00036FAC">
        <w:t>dealing</w:t>
      </w:r>
      <w:r w:rsidR="00907D8C">
        <w:t xml:space="preserve"> </w:t>
      </w:r>
      <w:r w:rsidRPr="00036FAC">
        <w:t>with</w:t>
      </w:r>
      <w:r w:rsidR="00907D8C">
        <w:t xml:space="preserve"> </w:t>
      </w:r>
      <w:r w:rsidRPr="00036FAC">
        <w:t>government.</w:t>
      </w:r>
      <w:r w:rsidR="00907D8C">
        <w:t xml:space="preserve"> </w:t>
      </w:r>
      <w:r w:rsidRPr="00036FAC">
        <w:t>It</w:t>
      </w:r>
      <w:r w:rsidR="00907D8C">
        <w:t xml:space="preserve"> </w:t>
      </w:r>
      <w:r w:rsidRPr="00036FAC">
        <w:t>is</w:t>
      </w:r>
      <w:r w:rsidR="00907D8C">
        <w:t xml:space="preserve"> </w:t>
      </w:r>
      <w:r w:rsidRPr="00036FAC">
        <w:t>also</w:t>
      </w:r>
      <w:r w:rsidR="00907D8C">
        <w:t xml:space="preserve"> </w:t>
      </w:r>
      <w:r w:rsidRPr="00036FAC">
        <w:t>responsible</w:t>
      </w:r>
      <w:r w:rsidR="00907D8C">
        <w:t xml:space="preserve"> </w:t>
      </w:r>
      <w:r w:rsidRPr="00036FAC">
        <w:t>for</w:t>
      </w:r>
      <w:r w:rsidR="00907D8C">
        <w:t xml:space="preserve"> </w:t>
      </w:r>
      <w:r w:rsidRPr="00036FAC">
        <w:t>raising</w:t>
      </w:r>
      <w:r w:rsidR="00907D8C">
        <w:t xml:space="preserve"> </w:t>
      </w:r>
      <w:r w:rsidRPr="00036FAC">
        <w:t>the</w:t>
      </w:r>
      <w:r w:rsidR="00907D8C">
        <w:t xml:space="preserve"> </w:t>
      </w:r>
      <w:r w:rsidRPr="00036FAC">
        <w:t>profile</w:t>
      </w:r>
      <w:r w:rsidR="00907D8C">
        <w:t xml:space="preserve"> </w:t>
      </w:r>
      <w:r w:rsidRPr="00036FAC">
        <w:t>of</w:t>
      </w:r>
      <w:r w:rsidR="00907D8C">
        <w:t xml:space="preserve"> </w:t>
      </w:r>
      <w:r w:rsidRPr="00036FAC">
        <w:t>the</w:t>
      </w:r>
      <w:r w:rsidR="00907D8C">
        <w:t xml:space="preserve"> </w:t>
      </w:r>
      <w:r w:rsidRPr="00036FAC">
        <w:t>sector</w:t>
      </w:r>
      <w:r w:rsidR="00907D8C">
        <w:t xml:space="preserve"> </w:t>
      </w:r>
      <w:r w:rsidRPr="00036FAC">
        <w:t>in</w:t>
      </w:r>
      <w:r w:rsidR="00907D8C">
        <w:t xml:space="preserve"> </w:t>
      </w:r>
      <w:r w:rsidRPr="00036FAC">
        <w:t>government.</w:t>
      </w:r>
      <w:bookmarkStart w:id="139" w:name="_Toc265677522"/>
    </w:p>
    <w:p w:rsidR="00036FAC" w:rsidRPr="00036FAC" w:rsidRDefault="00036FAC" w:rsidP="00B85D72">
      <w:pPr>
        <w:pStyle w:val="HChG"/>
      </w:pPr>
      <w:bookmarkStart w:id="140" w:name="_Toc275331895"/>
      <w:r w:rsidRPr="00036FAC">
        <w:tab/>
        <w:t>II.</w:t>
      </w:r>
      <w:r w:rsidRPr="00036FAC">
        <w:tab/>
      </w:r>
      <w:bookmarkStart w:id="141" w:name="_Toc114894972"/>
      <w:bookmarkStart w:id="142" w:name="_Toc114895863"/>
      <w:bookmarkStart w:id="143" w:name="_Toc115493403"/>
      <w:bookmarkStart w:id="144" w:name="_Toc115493747"/>
      <w:bookmarkStart w:id="145" w:name="_Toc115493822"/>
      <w:bookmarkStart w:id="146" w:name="_Toc118100617"/>
      <w:bookmarkStart w:id="147" w:name="_Toc125276399"/>
      <w:bookmarkStart w:id="148" w:name="_Toc125278798"/>
      <w:bookmarkStart w:id="149" w:name="_Toc125278903"/>
      <w:r w:rsidRPr="00036FAC">
        <w:t>General</w:t>
      </w:r>
      <w:r w:rsidR="00907D8C">
        <w:t xml:space="preserve"> </w:t>
      </w:r>
      <w:r w:rsidRPr="00036FAC">
        <w:t>framework</w:t>
      </w:r>
      <w:r w:rsidR="00907D8C">
        <w:t xml:space="preserve"> </w:t>
      </w:r>
      <w:r w:rsidRPr="00036FAC">
        <w:t>for</w:t>
      </w:r>
      <w:r w:rsidR="00907D8C">
        <w:t xml:space="preserve"> </w:t>
      </w:r>
      <w:r w:rsidRPr="00036FAC">
        <w:t>the</w:t>
      </w:r>
      <w:r w:rsidR="00907D8C">
        <w:t xml:space="preserve"> </w:t>
      </w:r>
      <w:r w:rsidRPr="00036FAC">
        <w:t>promotion</w:t>
      </w:r>
      <w:r w:rsidR="00907D8C">
        <w:t xml:space="preserve"> </w:t>
      </w:r>
      <w:r w:rsidRPr="00036FAC">
        <w:t>and</w:t>
      </w:r>
      <w:r w:rsidR="00907D8C">
        <w:t xml:space="preserve"> </w:t>
      </w:r>
      <w:r w:rsidRPr="00036FAC">
        <w:t>protection</w:t>
      </w:r>
      <w:r w:rsidR="00907D8C">
        <w:t xml:space="preserve"> </w:t>
      </w:r>
      <w:r w:rsidRPr="00036FAC">
        <w:t>of</w:t>
      </w:r>
      <w:r w:rsidR="00907D8C">
        <w:t xml:space="preserve"> </w:t>
      </w:r>
      <w:r w:rsidRPr="00036FAC">
        <w:t>human</w:t>
      </w:r>
      <w:r w:rsidR="00907D8C">
        <w:t xml:space="preserve"> </w:t>
      </w:r>
      <w:r w:rsidRPr="00036FAC">
        <w:t>rights</w:t>
      </w:r>
      <w:bookmarkEnd w:id="139"/>
      <w:bookmarkEnd w:id="140"/>
      <w:bookmarkEnd w:id="141"/>
      <w:bookmarkEnd w:id="142"/>
      <w:bookmarkEnd w:id="143"/>
      <w:bookmarkEnd w:id="144"/>
      <w:bookmarkEnd w:id="145"/>
      <w:bookmarkEnd w:id="146"/>
      <w:bookmarkEnd w:id="147"/>
      <w:bookmarkEnd w:id="148"/>
      <w:bookmarkEnd w:id="149"/>
    </w:p>
    <w:p w:rsidR="00036FAC" w:rsidRPr="00036FAC" w:rsidRDefault="00036FAC" w:rsidP="00B85D72">
      <w:pPr>
        <w:pStyle w:val="H1G"/>
      </w:pPr>
      <w:bookmarkStart w:id="150" w:name="_Toc114894973"/>
      <w:bookmarkStart w:id="151" w:name="_Toc114895864"/>
      <w:bookmarkStart w:id="152" w:name="_Toc115493404"/>
      <w:bookmarkStart w:id="153" w:name="_Toc115493748"/>
      <w:bookmarkStart w:id="154" w:name="_Toc115493823"/>
      <w:bookmarkStart w:id="155" w:name="_Toc118100618"/>
      <w:bookmarkStart w:id="156" w:name="_Toc125276400"/>
      <w:bookmarkStart w:id="157" w:name="_Toc125278799"/>
      <w:bookmarkStart w:id="158" w:name="_Toc125278904"/>
      <w:bookmarkStart w:id="159" w:name="_Toc265677523"/>
      <w:bookmarkStart w:id="160" w:name="_Toc275331896"/>
      <w:r w:rsidRPr="00036FAC">
        <w:tab/>
        <w:t>A.</w:t>
      </w:r>
      <w:r w:rsidRPr="00036FAC">
        <w:tab/>
        <w:t>N</w:t>
      </w:r>
      <w:r w:rsidRPr="00036FAC">
        <w:t>ew</w:t>
      </w:r>
      <w:r w:rsidR="00907D8C">
        <w:t xml:space="preserve"> </w:t>
      </w:r>
      <w:r w:rsidRPr="00036FAC">
        <w:t>Zealand</w:t>
      </w:r>
      <w:r w:rsidR="003E4D94">
        <w:t>’</w:t>
      </w:r>
      <w:r w:rsidRPr="00036FAC">
        <w:t>s</w:t>
      </w:r>
      <w:r w:rsidR="00907D8C">
        <w:t xml:space="preserve"> </w:t>
      </w:r>
      <w:r w:rsidRPr="00036FAC">
        <w:t>acceptance</w:t>
      </w:r>
      <w:r w:rsidR="00907D8C">
        <w:t xml:space="preserve"> </w:t>
      </w:r>
      <w:r w:rsidRPr="00036FAC">
        <w:t>of</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norms</w:t>
      </w:r>
      <w:bookmarkEnd w:id="150"/>
      <w:bookmarkEnd w:id="151"/>
      <w:bookmarkEnd w:id="152"/>
      <w:bookmarkEnd w:id="153"/>
      <w:bookmarkEnd w:id="154"/>
      <w:bookmarkEnd w:id="155"/>
      <w:bookmarkEnd w:id="156"/>
      <w:bookmarkEnd w:id="157"/>
      <w:bookmarkEnd w:id="158"/>
      <w:bookmarkEnd w:id="159"/>
      <w:bookmarkEnd w:id="160"/>
    </w:p>
    <w:p w:rsidR="00036FAC" w:rsidRPr="00036FAC" w:rsidRDefault="00036FAC" w:rsidP="00B85D72">
      <w:pPr>
        <w:pStyle w:val="SingleTxtG"/>
      </w:pPr>
      <w:r w:rsidRPr="00036FAC">
        <w:t>172.</w:t>
      </w:r>
      <w:r w:rsidRPr="00036FAC">
        <w:tab/>
        <w:t>The</w:t>
      </w:r>
      <w:r w:rsidR="00907D8C">
        <w:t xml:space="preserve"> </w:t>
      </w:r>
      <w:r w:rsidRPr="00036FAC">
        <w:t>annex</w:t>
      </w:r>
      <w:r w:rsidR="00907D8C">
        <w:t xml:space="preserve"> </w:t>
      </w:r>
      <w:r w:rsidRPr="00036FAC">
        <w:t>to</w:t>
      </w:r>
      <w:r w:rsidR="00907D8C">
        <w:t xml:space="preserve"> </w:t>
      </w:r>
      <w:r w:rsidRPr="00036FAC">
        <w:t>the</w:t>
      </w:r>
      <w:r w:rsidR="00907D8C">
        <w:t xml:space="preserve"> </w:t>
      </w:r>
      <w:r w:rsidRPr="00036FAC">
        <w:t>present</w:t>
      </w:r>
      <w:r w:rsidR="00907D8C">
        <w:t xml:space="preserve"> </w:t>
      </w:r>
      <w:r w:rsidRPr="00036FAC">
        <w:t>report</w:t>
      </w:r>
      <w:r w:rsidR="00907D8C">
        <w:t xml:space="preserve"> </w:t>
      </w:r>
      <w:r w:rsidRPr="00036FAC">
        <w:t>shows</w:t>
      </w:r>
      <w:r w:rsidR="00907D8C">
        <w:t xml:space="preserve"> </w:t>
      </w:r>
      <w:r w:rsidRPr="00036FAC">
        <w:t>that</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a</w:t>
      </w:r>
      <w:r w:rsidR="00907D8C">
        <w:t xml:space="preserve"> </w:t>
      </w:r>
      <w:r w:rsidRPr="00036FAC">
        <w:t>party</w:t>
      </w:r>
      <w:r w:rsidR="00907D8C">
        <w:t xml:space="preserve"> </w:t>
      </w:r>
      <w:r w:rsidRPr="00036FAC">
        <w:t>to</w:t>
      </w:r>
      <w:r w:rsidR="00907D8C">
        <w:t xml:space="preserve"> </w:t>
      </w:r>
      <w:r w:rsidRPr="00036FAC">
        <w:t>the</w:t>
      </w:r>
      <w:r w:rsidR="00907D8C">
        <w:t xml:space="preserve"> </w:t>
      </w:r>
      <w:r w:rsidRPr="00036FAC">
        <w:t>main</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conventions</w:t>
      </w:r>
      <w:r w:rsidR="00907D8C">
        <w:t xml:space="preserve"> </w:t>
      </w:r>
      <w:r w:rsidRPr="00036FAC">
        <w:t>and</w:t>
      </w:r>
      <w:r w:rsidR="00907D8C">
        <w:t xml:space="preserve"> </w:t>
      </w:r>
      <w:r w:rsidRPr="00036FAC">
        <w:t>protocols.</w:t>
      </w:r>
      <w:r w:rsidR="00907D8C">
        <w:t xml:space="preserve"> </w:t>
      </w:r>
      <w:r w:rsidRPr="00036FAC">
        <w:t>There</w:t>
      </w:r>
      <w:r w:rsidR="00907D8C">
        <w:t xml:space="preserve"> </w:t>
      </w:r>
      <w:r w:rsidRPr="00036FAC">
        <w:t>are</w:t>
      </w:r>
      <w:r w:rsidR="00907D8C">
        <w:t xml:space="preserve"> </w:t>
      </w:r>
      <w:r w:rsidRPr="00036FAC">
        <w:t>no</w:t>
      </w:r>
      <w:r w:rsidR="00907D8C">
        <w:t xml:space="preserve"> </w:t>
      </w:r>
      <w:r w:rsidRPr="00036FAC">
        <w:t>regional</w:t>
      </w:r>
      <w:r w:rsidR="00907D8C">
        <w:t xml:space="preserve"> </w:t>
      </w:r>
      <w:r w:rsidRPr="00036FAC">
        <w:t>human</w:t>
      </w:r>
      <w:r w:rsidR="00907D8C">
        <w:t xml:space="preserve"> </w:t>
      </w:r>
      <w:r w:rsidRPr="00036FAC">
        <w:t>rights</w:t>
      </w:r>
      <w:r w:rsidR="00907D8C">
        <w:t xml:space="preserve"> </w:t>
      </w:r>
      <w:r w:rsidRPr="00036FAC">
        <w:t>instruments</w:t>
      </w:r>
      <w:r w:rsidR="00907D8C">
        <w:t xml:space="preserve"> </w:t>
      </w:r>
      <w:r w:rsidRPr="00036FAC">
        <w:t>to</w:t>
      </w:r>
      <w:r w:rsidR="00907D8C">
        <w:t xml:space="preserve"> </w:t>
      </w:r>
      <w:r w:rsidRPr="00036FAC">
        <w:t>which</w:t>
      </w:r>
      <w:r w:rsidR="00907D8C">
        <w:t xml:space="preserve"> </w:t>
      </w:r>
      <w:r w:rsidRPr="00036FAC">
        <w:t>New</w:t>
      </w:r>
      <w:r w:rsidR="00907D8C">
        <w:t xml:space="preserve"> </w:t>
      </w:r>
      <w:r w:rsidRPr="00036FAC">
        <w:t>Zealand</w:t>
      </w:r>
      <w:r w:rsidR="00907D8C">
        <w:t xml:space="preserve"> </w:t>
      </w:r>
      <w:r w:rsidRPr="00036FAC">
        <w:t>could</w:t>
      </w:r>
      <w:r w:rsidR="00907D8C">
        <w:t xml:space="preserve"> </w:t>
      </w:r>
      <w:r w:rsidRPr="00036FAC">
        <w:t>become</w:t>
      </w:r>
      <w:r w:rsidR="00907D8C">
        <w:t xml:space="preserve"> </w:t>
      </w:r>
      <w:r w:rsidRPr="00036FAC">
        <w:t>a</w:t>
      </w:r>
      <w:r w:rsidR="00907D8C">
        <w:t xml:space="preserve"> </w:t>
      </w:r>
      <w:r w:rsidRPr="00036FAC">
        <w:t>party.</w:t>
      </w:r>
    </w:p>
    <w:p w:rsidR="00036FAC" w:rsidRPr="00036FAC" w:rsidRDefault="00036FAC" w:rsidP="00B85D72">
      <w:pPr>
        <w:pStyle w:val="H1G"/>
      </w:pPr>
      <w:bookmarkStart w:id="161" w:name="_Toc265677524"/>
      <w:bookmarkStart w:id="162" w:name="_Toc275331897"/>
      <w:r w:rsidRPr="00036FAC">
        <w:tab/>
        <w:t>B.</w:t>
      </w:r>
      <w:r w:rsidRPr="00036FAC">
        <w:tab/>
        <w:t>General</w:t>
      </w:r>
      <w:r w:rsidR="00907D8C">
        <w:t xml:space="preserve"> </w:t>
      </w:r>
      <w:r w:rsidRPr="00036FAC">
        <w:t>legal</w:t>
      </w:r>
      <w:r w:rsidR="00907D8C">
        <w:t xml:space="preserve"> </w:t>
      </w:r>
      <w:r w:rsidRPr="00036FAC">
        <w:t>framework</w:t>
      </w:r>
      <w:r w:rsidR="00907D8C">
        <w:t xml:space="preserve"> </w:t>
      </w:r>
      <w:r w:rsidRPr="00036FAC">
        <w:t>for</w:t>
      </w:r>
      <w:r w:rsidR="00907D8C">
        <w:t xml:space="preserve"> </w:t>
      </w:r>
      <w:r w:rsidRPr="00036FAC">
        <w:t>protecting</w:t>
      </w:r>
      <w:r w:rsidR="00907D8C">
        <w:t xml:space="preserve"> </w:t>
      </w:r>
      <w:r w:rsidRPr="00036FAC">
        <w:t>human</w:t>
      </w:r>
      <w:r w:rsidR="00907D8C">
        <w:t xml:space="preserve"> </w:t>
      </w:r>
      <w:r w:rsidRPr="00036FAC">
        <w:t>rights</w:t>
      </w:r>
      <w:r w:rsidR="00907D8C">
        <w:t xml:space="preserve"> </w:t>
      </w:r>
      <w:r w:rsidRPr="00036FAC">
        <w:t>at</w:t>
      </w:r>
      <w:r w:rsidR="00907D8C">
        <w:t xml:space="preserve"> </w:t>
      </w:r>
      <w:r w:rsidRPr="00036FAC">
        <w:t>the</w:t>
      </w:r>
      <w:r w:rsidR="00907D8C">
        <w:t xml:space="preserve"> </w:t>
      </w:r>
      <w:r w:rsidRPr="00036FAC">
        <w:t>national</w:t>
      </w:r>
      <w:r w:rsidR="00907D8C">
        <w:t xml:space="preserve"> </w:t>
      </w:r>
      <w:r w:rsidRPr="00036FAC">
        <w:t>level</w:t>
      </w:r>
      <w:bookmarkEnd w:id="161"/>
      <w:bookmarkEnd w:id="162"/>
    </w:p>
    <w:p w:rsidR="00036FAC" w:rsidRPr="00036FAC" w:rsidRDefault="00036FAC" w:rsidP="006C436C">
      <w:pPr>
        <w:pStyle w:val="H23G"/>
      </w:pPr>
      <w:bookmarkStart w:id="163" w:name="_Toc114894976"/>
      <w:bookmarkStart w:id="164" w:name="_Toc114895867"/>
      <w:bookmarkStart w:id="165" w:name="_Toc115493412"/>
      <w:bookmarkStart w:id="166" w:name="_Toc115493756"/>
      <w:bookmarkStart w:id="167" w:name="_Toc115493831"/>
      <w:bookmarkStart w:id="168" w:name="_Toc114894984"/>
      <w:bookmarkStart w:id="169" w:name="_Toc114895875"/>
      <w:bookmarkStart w:id="170" w:name="_Toc115493420"/>
      <w:bookmarkStart w:id="171" w:name="_Toc115493764"/>
      <w:bookmarkStart w:id="172" w:name="_Toc115493839"/>
      <w:bookmarkStart w:id="173" w:name="_Toc118100626"/>
      <w:bookmarkStart w:id="174" w:name="_Toc125276402"/>
      <w:bookmarkStart w:id="175" w:name="_Toc125278801"/>
      <w:bookmarkStart w:id="176" w:name="_Toc125278912"/>
      <w:r w:rsidRPr="00036FAC">
        <w:tab/>
        <w:t>1.</w:t>
      </w:r>
      <w:r w:rsidRPr="00036FAC">
        <w:tab/>
        <w:t>How</w:t>
      </w:r>
      <w:r w:rsidR="00907D8C">
        <w:t xml:space="preserve"> </w:t>
      </w:r>
      <w:r w:rsidRPr="00036FAC">
        <w:t>human</w:t>
      </w:r>
      <w:r w:rsidR="00907D8C">
        <w:t xml:space="preserve"> </w:t>
      </w:r>
      <w:r w:rsidRPr="00036FAC">
        <w:t>rights</w:t>
      </w:r>
      <w:r w:rsidR="00907D8C">
        <w:t xml:space="preserve"> </w:t>
      </w:r>
      <w:r w:rsidRPr="00036FAC">
        <w:t>instruments</w:t>
      </w:r>
      <w:r w:rsidR="00907D8C">
        <w:t xml:space="preserve"> </w:t>
      </w:r>
      <w:r w:rsidRPr="00036FAC">
        <w:t>are</w:t>
      </w:r>
      <w:r w:rsidR="00907D8C">
        <w:t xml:space="preserve"> </w:t>
      </w:r>
      <w:r w:rsidRPr="00036FAC">
        <w:t>made</w:t>
      </w:r>
      <w:r w:rsidR="00907D8C">
        <w:t xml:space="preserve"> </w:t>
      </w:r>
      <w:r w:rsidRPr="00036FAC">
        <w:t>part</w:t>
      </w:r>
      <w:r w:rsidR="00907D8C">
        <w:t xml:space="preserve"> </w:t>
      </w:r>
      <w:r w:rsidRPr="00036FAC">
        <w:t>of</w:t>
      </w:r>
      <w:r w:rsidR="00907D8C">
        <w:t xml:space="preserve"> </w:t>
      </w:r>
      <w:r w:rsidRPr="00036FAC">
        <w:t>the</w:t>
      </w:r>
      <w:r w:rsidR="00907D8C">
        <w:t xml:space="preserve"> </w:t>
      </w:r>
      <w:r w:rsidRPr="00036FAC">
        <w:t>national</w:t>
      </w:r>
      <w:r w:rsidR="00907D8C">
        <w:t xml:space="preserve"> </w:t>
      </w:r>
      <w:r w:rsidRPr="00036FAC">
        <w:t>legal</w:t>
      </w:r>
      <w:r w:rsidR="00907D8C">
        <w:t xml:space="preserve"> </w:t>
      </w:r>
      <w:r w:rsidRPr="00036FAC">
        <w:t>system</w:t>
      </w:r>
      <w:bookmarkEnd w:id="168"/>
      <w:bookmarkEnd w:id="169"/>
      <w:bookmarkEnd w:id="170"/>
      <w:bookmarkEnd w:id="171"/>
      <w:bookmarkEnd w:id="172"/>
      <w:bookmarkEnd w:id="173"/>
      <w:bookmarkEnd w:id="174"/>
      <w:bookmarkEnd w:id="175"/>
      <w:bookmarkEnd w:id="176"/>
    </w:p>
    <w:p w:rsidR="00036FAC" w:rsidRPr="00036FAC" w:rsidRDefault="00036FAC" w:rsidP="00B85D72">
      <w:pPr>
        <w:pStyle w:val="SingleTxtG"/>
      </w:pPr>
      <w:r w:rsidRPr="00036FAC">
        <w:t>173.</w:t>
      </w:r>
      <w:r w:rsidRPr="00036FAC">
        <w:tab/>
        <w:t>For</w:t>
      </w:r>
      <w:r w:rsidR="00907D8C">
        <w:t xml:space="preserve"> </w:t>
      </w:r>
      <w:r w:rsidRPr="00036FAC">
        <w:t>an</w:t>
      </w:r>
      <w:r w:rsidR="00907D8C">
        <w:t xml:space="preserve"> </w:t>
      </w:r>
      <w:r w:rsidRPr="00036FAC">
        <w:t>international</w:t>
      </w:r>
      <w:r w:rsidR="00907D8C">
        <w:t xml:space="preserve"> </w:t>
      </w:r>
      <w:r w:rsidRPr="00036FAC">
        <w:t>agreement</w:t>
      </w:r>
      <w:r w:rsidR="00907D8C">
        <w:t xml:space="preserve"> </w:t>
      </w:r>
      <w:r w:rsidRPr="00036FAC">
        <w:t>to</w:t>
      </w:r>
      <w:r w:rsidR="00907D8C">
        <w:t xml:space="preserve"> </w:t>
      </w:r>
      <w:r w:rsidRPr="00036FAC">
        <w:t>have</w:t>
      </w:r>
      <w:r w:rsidR="00907D8C">
        <w:t xml:space="preserve"> </w:t>
      </w:r>
      <w:r w:rsidRPr="00036FAC">
        <w:t>domestic</w:t>
      </w:r>
      <w:r w:rsidR="00907D8C">
        <w:t xml:space="preserve"> </w:t>
      </w:r>
      <w:r w:rsidRPr="00036FAC">
        <w:t>effect</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either</w:t>
      </w:r>
      <w:r w:rsidR="00907D8C">
        <w:t xml:space="preserve"> </w:t>
      </w:r>
      <w:r w:rsidRPr="00036FAC">
        <w:t>its</w:t>
      </w:r>
      <w:r w:rsidR="00907D8C">
        <w:t xml:space="preserve"> </w:t>
      </w:r>
      <w:r w:rsidRPr="00036FAC">
        <w:t>provisions</w:t>
      </w:r>
      <w:r w:rsidR="00907D8C">
        <w:t xml:space="preserve"> </w:t>
      </w:r>
      <w:r w:rsidRPr="00036FAC">
        <w:t>must</w:t>
      </w:r>
      <w:r w:rsidR="00907D8C">
        <w:t xml:space="preserve"> </w:t>
      </w:r>
      <w:r w:rsidRPr="00036FAC">
        <w:t>be</w:t>
      </w:r>
      <w:r w:rsidR="00907D8C">
        <w:t xml:space="preserve"> </w:t>
      </w:r>
      <w:r w:rsidRPr="00036FAC">
        <w:t>reflected</w:t>
      </w:r>
      <w:r w:rsidR="00907D8C">
        <w:t xml:space="preserve"> </w:t>
      </w:r>
      <w:r w:rsidRPr="00036FAC">
        <w:t>in</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existing</w:t>
      </w:r>
      <w:r w:rsidR="00907D8C">
        <w:t xml:space="preserve"> </w:t>
      </w:r>
      <w:r w:rsidRPr="00036FAC">
        <w:t>law</w:t>
      </w:r>
      <w:r w:rsidR="00907D8C">
        <w:t xml:space="preserve"> </w:t>
      </w:r>
      <w:r w:rsidRPr="00036FAC">
        <w:t>or</w:t>
      </w:r>
      <w:r w:rsidR="00907D8C">
        <w:t xml:space="preserve"> </w:t>
      </w:r>
      <w:r w:rsidRPr="00036FAC">
        <w:t>new</w:t>
      </w:r>
      <w:r w:rsidR="00907D8C">
        <w:t xml:space="preserve"> </w:t>
      </w:r>
      <w:r w:rsidRPr="00036FAC">
        <w:t>legislation</w:t>
      </w:r>
      <w:r w:rsidR="00907D8C">
        <w:t xml:space="preserve"> </w:t>
      </w:r>
      <w:r w:rsidRPr="00036FAC">
        <w:t>must</w:t>
      </w:r>
      <w:r w:rsidR="00907D8C">
        <w:t xml:space="preserve"> </w:t>
      </w:r>
      <w:r w:rsidRPr="00036FAC">
        <w:t>be</w:t>
      </w:r>
      <w:r w:rsidR="00907D8C">
        <w:t xml:space="preserve"> </w:t>
      </w:r>
      <w:r w:rsidRPr="00036FAC">
        <w:t>enacted</w:t>
      </w:r>
      <w:r w:rsidR="00907D8C">
        <w:t xml:space="preserve"> </w:t>
      </w:r>
      <w:r w:rsidRPr="00036FAC">
        <w:t>by</w:t>
      </w:r>
      <w:r w:rsidR="00907D8C">
        <w:t xml:space="preserve"> </w:t>
      </w:r>
      <w:r w:rsidRPr="00036FAC">
        <w:t>Parliament.</w:t>
      </w:r>
      <w:r w:rsidR="00907D8C">
        <w:t xml:space="preserve"> </w:t>
      </w:r>
      <w:r w:rsidRPr="00036FAC">
        <w:t>Before</w:t>
      </w:r>
      <w:r w:rsidR="00907D8C">
        <w:t xml:space="preserve"> </w:t>
      </w:r>
      <w:r w:rsidRPr="00036FAC">
        <w:t>becoming</w:t>
      </w:r>
      <w:r w:rsidR="00907D8C">
        <w:t xml:space="preserve"> </w:t>
      </w:r>
      <w:r w:rsidRPr="00036FAC">
        <w:t>a</w:t>
      </w:r>
      <w:r w:rsidR="00907D8C">
        <w:t xml:space="preserve"> </w:t>
      </w:r>
      <w:r w:rsidRPr="00036FAC">
        <w:t>party</w:t>
      </w:r>
      <w:r w:rsidR="00907D8C">
        <w:t xml:space="preserve"> </w:t>
      </w:r>
      <w:r w:rsidRPr="00036FAC">
        <w:t>to</w:t>
      </w:r>
      <w:r w:rsidR="00907D8C">
        <w:t xml:space="preserve"> </w:t>
      </w:r>
      <w:r w:rsidRPr="00036FAC">
        <w:t>an</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instrument,</w:t>
      </w:r>
      <w:r w:rsidR="00907D8C">
        <w:t xml:space="preserve"> </w:t>
      </w:r>
      <w:r w:rsidRPr="00036FAC">
        <w:t>the</w:t>
      </w:r>
      <w:r w:rsidR="00907D8C">
        <w:t xml:space="preserve"> </w:t>
      </w:r>
      <w:r w:rsidRPr="00036FAC">
        <w:t>Government</w:t>
      </w:r>
      <w:r w:rsidR="00907D8C">
        <w:t xml:space="preserve"> </w:t>
      </w:r>
      <w:r w:rsidRPr="00036FAC">
        <w:t>reviews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domestic</w:t>
      </w:r>
      <w:r w:rsidR="00907D8C">
        <w:t xml:space="preserve"> </w:t>
      </w:r>
      <w:r w:rsidRPr="00036FAC">
        <w:t>law,</w:t>
      </w:r>
      <w:r w:rsidR="00907D8C">
        <w:t xml:space="preserve"> </w:t>
      </w:r>
      <w:r w:rsidRPr="00036FAC">
        <w:t>policy,</w:t>
      </w:r>
      <w:r w:rsidR="00907D8C">
        <w:t xml:space="preserve"> </w:t>
      </w:r>
      <w:r w:rsidRPr="00036FAC">
        <w:t>and</w:t>
      </w:r>
      <w:r w:rsidR="00907D8C">
        <w:t xml:space="preserve"> </w:t>
      </w:r>
      <w:r w:rsidRPr="00036FAC">
        <w:t>practice</w:t>
      </w:r>
      <w:r w:rsidR="00907D8C">
        <w:t xml:space="preserve"> </w:t>
      </w:r>
      <w:r w:rsidRPr="00036FAC">
        <w:t>to</w:t>
      </w:r>
      <w:r w:rsidR="00907D8C">
        <w:t xml:space="preserve"> </w:t>
      </w:r>
      <w:r w:rsidRPr="00036FAC">
        <w:t>see</w:t>
      </w:r>
      <w:r w:rsidR="00907D8C">
        <w:t xml:space="preserve"> </w:t>
      </w:r>
      <w:r w:rsidRPr="00036FAC">
        <w:t>what</w:t>
      </w:r>
      <w:r w:rsidR="00907D8C">
        <w:t xml:space="preserve"> </w:t>
      </w:r>
      <w:r w:rsidRPr="00036FAC">
        <w:t>additional</w:t>
      </w:r>
      <w:r w:rsidR="00907D8C">
        <w:t xml:space="preserve"> </w:t>
      </w:r>
      <w:r w:rsidRPr="00036FAC">
        <w:t>legislation</w:t>
      </w:r>
      <w:r w:rsidR="00907D8C">
        <w:t xml:space="preserve"> </w:t>
      </w:r>
      <w:r w:rsidRPr="00036FAC">
        <w:t>or</w:t>
      </w:r>
      <w:r w:rsidR="00907D8C">
        <w:t xml:space="preserve"> </w:t>
      </w:r>
      <w:r w:rsidRPr="00036FAC">
        <w:t>amendments</w:t>
      </w:r>
      <w:r w:rsidR="00907D8C">
        <w:t xml:space="preserve"> </w:t>
      </w:r>
      <w:r w:rsidRPr="00036FAC">
        <w:t>to</w:t>
      </w:r>
      <w:r w:rsidR="00907D8C">
        <w:t xml:space="preserve"> </w:t>
      </w:r>
      <w:r w:rsidRPr="00036FAC">
        <w:t>existing</w:t>
      </w:r>
      <w:r w:rsidR="00907D8C">
        <w:t xml:space="preserve"> </w:t>
      </w:r>
      <w:r w:rsidRPr="00036FAC">
        <w:t>legislation</w:t>
      </w:r>
      <w:r w:rsidR="00907D8C">
        <w:t xml:space="preserve"> </w:t>
      </w:r>
      <w:r w:rsidRPr="00036FAC">
        <w:t>would</w:t>
      </w:r>
      <w:r w:rsidR="00907D8C">
        <w:t xml:space="preserve"> </w:t>
      </w:r>
      <w:r w:rsidRPr="00036FAC">
        <w:t>be</w:t>
      </w:r>
      <w:r w:rsidR="00907D8C">
        <w:t xml:space="preserve"> </w:t>
      </w:r>
      <w:r w:rsidRPr="00036FAC">
        <w:t>required</w:t>
      </w:r>
      <w:r w:rsidR="00907D8C">
        <w:t xml:space="preserve"> </w:t>
      </w:r>
      <w:r w:rsidRPr="00036FAC">
        <w:t>to</w:t>
      </w:r>
      <w:r w:rsidR="00907D8C">
        <w:t xml:space="preserve"> </w:t>
      </w:r>
      <w:r w:rsidRPr="00036FAC">
        <w:t>ensure</w:t>
      </w:r>
      <w:r w:rsidR="00907D8C">
        <w:t xml:space="preserve"> </w:t>
      </w:r>
      <w:r w:rsidRPr="00036FAC">
        <w:t>the</w:t>
      </w:r>
      <w:r w:rsidR="00907D8C">
        <w:t xml:space="preserve"> </w:t>
      </w:r>
      <w:r w:rsidRPr="00036FAC">
        <w:t>full</w:t>
      </w:r>
      <w:r w:rsidR="00907D8C">
        <w:t xml:space="preserve"> </w:t>
      </w:r>
      <w:r w:rsidRPr="00036FAC">
        <w:t>and</w:t>
      </w:r>
      <w:r w:rsidR="00907D8C">
        <w:t xml:space="preserve"> </w:t>
      </w:r>
      <w:r w:rsidRPr="00036FAC">
        <w:t>effective</w:t>
      </w:r>
      <w:r w:rsidR="00907D8C">
        <w:t xml:space="preserve"> </w:t>
      </w:r>
      <w:r w:rsidRPr="00036FAC">
        <w:t>implementation</w:t>
      </w:r>
      <w:r w:rsidR="00907D8C">
        <w:t xml:space="preserve"> </w:t>
      </w:r>
      <w:r w:rsidRPr="00036FAC">
        <w:t>of</w:t>
      </w:r>
      <w:r w:rsidR="00907D8C">
        <w:t xml:space="preserve"> </w:t>
      </w:r>
      <w:r w:rsidRPr="00036FAC">
        <w:t>the</w:t>
      </w:r>
      <w:r w:rsidR="00907D8C">
        <w:t xml:space="preserve"> </w:t>
      </w:r>
      <w:r w:rsidRPr="00036FAC">
        <w:t>agreement.</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obligations</w:t>
      </w:r>
      <w:r w:rsidR="00907D8C">
        <w:t xml:space="preserve"> </w:t>
      </w:r>
      <w:r w:rsidRPr="00036FAC">
        <w:t>also</w:t>
      </w:r>
      <w:r w:rsidR="00907D8C">
        <w:t xml:space="preserve"> </w:t>
      </w:r>
      <w:r w:rsidRPr="00036FAC">
        <w:t>influence</w:t>
      </w:r>
      <w:r w:rsidR="00907D8C">
        <w:t xml:space="preserve"> </w:t>
      </w:r>
      <w:r w:rsidRPr="00036FAC">
        <w:t>the</w:t>
      </w:r>
      <w:r w:rsidR="00907D8C">
        <w:t xml:space="preserve"> </w:t>
      </w:r>
      <w:r w:rsidRPr="00036FAC">
        <w:t>jurisprudence</w:t>
      </w:r>
      <w:r w:rsidR="00907D8C">
        <w:t xml:space="preserve"> </w:t>
      </w:r>
      <w:r w:rsidRPr="00036FAC">
        <w:t>of</w:t>
      </w:r>
      <w:r w:rsidR="00907D8C">
        <w:t xml:space="preserve"> </w:t>
      </w:r>
      <w:r w:rsidRPr="00036FAC">
        <w:t>the</w:t>
      </w:r>
      <w:r w:rsidR="00907D8C">
        <w:t xml:space="preserve"> </w:t>
      </w:r>
      <w:r w:rsidRPr="00036FAC">
        <w:t>courts</w:t>
      </w:r>
      <w:r w:rsidR="00907D8C">
        <w:t xml:space="preserve"> </w:t>
      </w:r>
      <w:r w:rsidRPr="00036FAC">
        <w:t>when</w:t>
      </w:r>
      <w:r w:rsidR="00907D8C">
        <w:t xml:space="preserve"> </w:t>
      </w:r>
      <w:r w:rsidRPr="00036FAC">
        <w:t>it</w:t>
      </w:r>
      <w:r w:rsidR="00907D8C">
        <w:t xml:space="preserve"> </w:t>
      </w:r>
      <w:r w:rsidRPr="00036FAC">
        <w:t>comes</w:t>
      </w:r>
      <w:r w:rsidR="00907D8C">
        <w:t xml:space="preserve"> </w:t>
      </w:r>
      <w:r w:rsidRPr="00036FAC">
        <w:t>to</w:t>
      </w:r>
      <w:r w:rsidR="00907D8C">
        <w:t xml:space="preserve"> </w:t>
      </w:r>
      <w:r w:rsidRPr="00036FAC">
        <w:t>interpreting</w:t>
      </w:r>
      <w:r w:rsidR="00907D8C">
        <w:t xml:space="preserve"> </w:t>
      </w:r>
      <w:r w:rsidRPr="00036FAC">
        <w:t>a</w:t>
      </w:r>
      <w:r w:rsidR="00907D8C">
        <w:t xml:space="preserve"> </w:t>
      </w:r>
      <w:r w:rsidRPr="00036FAC">
        <w:t>statutory</w:t>
      </w:r>
      <w:r w:rsidR="00907D8C">
        <w:t xml:space="preserve"> </w:t>
      </w:r>
      <w:r w:rsidRPr="00036FAC">
        <w:t>provision.</w:t>
      </w:r>
    </w:p>
    <w:p w:rsidR="00036FAC" w:rsidRPr="00036FAC" w:rsidRDefault="00036FAC" w:rsidP="006C436C">
      <w:pPr>
        <w:pStyle w:val="H23G"/>
      </w:pPr>
      <w:r w:rsidRPr="00036FAC">
        <w:tab/>
        <w:t>2.</w:t>
      </w:r>
      <w:r w:rsidRPr="00036FAC">
        <w:tab/>
        <w:t>Role</w:t>
      </w:r>
      <w:r w:rsidR="00907D8C">
        <w:t xml:space="preserve"> </w:t>
      </w:r>
      <w:r w:rsidRPr="00036FAC">
        <w:t>and</w:t>
      </w:r>
      <w:r w:rsidR="00907D8C">
        <w:t xml:space="preserve"> </w:t>
      </w:r>
      <w:r w:rsidRPr="00036FAC">
        <w:t>activities</w:t>
      </w:r>
      <w:r w:rsidR="00907D8C">
        <w:t xml:space="preserve"> </w:t>
      </w:r>
      <w:r w:rsidRPr="00036FAC">
        <w:t>of</w:t>
      </w:r>
      <w:r w:rsidR="00907D8C">
        <w:t xml:space="preserve"> </w:t>
      </w:r>
      <w:r w:rsidRPr="00036FAC">
        <w:t>Parliament</w:t>
      </w:r>
      <w:r w:rsidR="00907D8C">
        <w:t xml:space="preserve"> </w:t>
      </w:r>
      <w:r w:rsidRPr="00036FAC">
        <w:t>in</w:t>
      </w:r>
      <w:r w:rsidR="00907D8C">
        <w:t xml:space="preserve"> </w:t>
      </w:r>
      <w:r w:rsidRPr="00036FAC">
        <w:t>promoting</w:t>
      </w:r>
      <w:r w:rsidR="00907D8C">
        <w:t xml:space="preserve"> </w:t>
      </w:r>
      <w:r w:rsidRPr="00036FAC">
        <w:t>and</w:t>
      </w:r>
      <w:r w:rsidR="00907D8C">
        <w:t xml:space="preserve"> </w:t>
      </w:r>
      <w:r w:rsidRPr="00036FAC">
        <w:t>protecting</w:t>
      </w:r>
      <w:r w:rsidR="00907D8C">
        <w:t xml:space="preserve"> </w:t>
      </w:r>
      <w:r w:rsidRPr="00036FAC">
        <w:t>human</w:t>
      </w:r>
      <w:r w:rsidR="00907D8C">
        <w:t xml:space="preserve"> </w:t>
      </w:r>
      <w:r w:rsidRPr="00036FAC">
        <w:t>rights</w:t>
      </w:r>
    </w:p>
    <w:p w:rsidR="00036FAC" w:rsidRPr="00036FAC" w:rsidRDefault="00036FAC" w:rsidP="00B85D72">
      <w:pPr>
        <w:pStyle w:val="SingleTxtG"/>
      </w:pPr>
      <w:r w:rsidRPr="00036FAC">
        <w:t>174.</w:t>
      </w:r>
      <w:r w:rsidRPr="00036FAC">
        <w:tab/>
        <w:t>Parliament</w:t>
      </w:r>
      <w:r w:rsidR="00907D8C">
        <w:t xml:space="preserve"> </w:t>
      </w:r>
      <w:r w:rsidRPr="00036FAC">
        <w:t>exists</w:t>
      </w:r>
      <w:r w:rsidR="00907D8C">
        <w:t xml:space="preserve"> </w:t>
      </w:r>
      <w:r w:rsidRPr="00036FAC">
        <w:t>not</w:t>
      </w:r>
      <w:r w:rsidR="00907D8C">
        <w:t xml:space="preserve"> </w:t>
      </w:r>
      <w:r w:rsidRPr="00036FAC">
        <w:t>only</w:t>
      </w:r>
      <w:r w:rsidR="00907D8C">
        <w:t xml:space="preserve"> </w:t>
      </w:r>
      <w:r w:rsidRPr="00036FAC">
        <w:t>to</w:t>
      </w:r>
      <w:r w:rsidR="00907D8C">
        <w:t xml:space="preserve"> </w:t>
      </w:r>
      <w:r w:rsidRPr="00036FAC">
        <w:t>legislate</w:t>
      </w:r>
      <w:r w:rsidR="00907D8C">
        <w:t xml:space="preserve"> </w:t>
      </w:r>
      <w:r w:rsidRPr="00036FAC">
        <w:t>but</w:t>
      </w:r>
      <w:r w:rsidR="00907D8C">
        <w:t xml:space="preserve"> </w:t>
      </w:r>
      <w:r w:rsidRPr="00036FAC">
        <w:t>to</w:t>
      </w:r>
      <w:r w:rsidR="00907D8C">
        <w:t xml:space="preserve"> </w:t>
      </w:r>
      <w:r w:rsidRPr="00036FAC">
        <w:t>scrutinise</w:t>
      </w:r>
      <w:r w:rsidR="00907D8C">
        <w:t xml:space="preserve"> </w:t>
      </w:r>
      <w:r w:rsidRPr="00036FAC">
        <w:t>legislation</w:t>
      </w:r>
      <w:r w:rsidR="00907D8C">
        <w:t xml:space="preserve"> </w:t>
      </w:r>
      <w:r w:rsidRPr="00036FAC">
        <w:t>and</w:t>
      </w:r>
      <w:r w:rsidR="00907D8C">
        <w:t xml:space="preserve"> </w:t>
      </w:r>
      <w:r w:rsidRPr="00036FAC">
        <w:t>hold</w:t>
      </w:r>
      <w:r w:rsidR="00907D8C">
        <w:t xml:space="preserve"> </w:t>
      </w:r>
      <w:r w:rsidRPr="00036FAC">
        <w:t>the</w:t>
      </w:r>
      <w:r w:rsidR="00907D8C">
        <w:t xml:space="preserve"> </w:t>
      </w:r>
      <w:r w:rsidRPr="00036FAC">
        <w:t>executive</w:t>
      </w:r>
      <w:r w:rsidR="00907D8C">
        <w:t xml:space="preserve"> </w:t>
      </w:r>
      <w:r w:rsidRPr="00036FAC">
        <w:t>to</w:t>
      </w:r>
      <w:r w:rsidR="00907D8C">
        <w:t xml:space="preserve"> </w:t>
      </w:r>
      <w:r w:rsidRPr="00036FAC">
        <w:t>account.</w:t>
      </w:r>
      <w:r w:rsidR="00907D8C">
        <w:t xml:space="preserve"> </w:t>
      </w:r>
      <w:r w:rsidRPr="00036FAC">
        <w:t>It</w:t>
      </w:r>
      <w:r w:rsidR="00907D8C">
        <w:t xml:space="preserve"> </w:t>
      </w:r>
      <w:r w:rsidRPr="00036FAC">
        <w:t>achieves</w:t>
      </w:r>
      <w:r w:rsidR="00907D8C">
        <w:t xml:space="preserve"> </w:t>
      </w:r>
      <w:r w:rsidRPr="00036FAC">
        <w:t>this</w:t>
      </w:r>
      <w:r w:rsidR="00907D8C">
        <w:t xml:space="preserve"> </w:t>
      </w:r>
      <w:r w:rsidRPr="00036FAC">
        <w:t>role</w:t>
      </w:r>
      <w:r w:rsidR="00907D8C">
        <w:t xml:space="preserve"> </w:t>
      </w:r>
      <w:r w:rsidRPr="00036FAC">
        <w:t>through</w:t>
      </w:r>
      <w:r w:rsidR="00907D8C">
        <w:t xml:space="preserve"> </w:t>
      </w:r>
      <w:r w:rsidRPr="00036FAC">
        <w:t>formalised</w:t>
      </w:r>
      <w:r w:rsidR="00907D8C">
        <w:t xml:space="preserve"> </w:t>
      </w:r>
      <w:r w:rsidRPr="00036FAC">
        <w:t>processes</w:t>
      </w:r>
      <w:r w:rsidR="00907D8C">
        <w:t xml:space="preserve"> </w:t>
      </w:r>
      <w:r w:rsidRPr="00036FAC">
        <w:t>for</w:t>
      </w:r>
      <w:r w:rsidR="00907D8C">
        <w:t xml:space="preserve"> </w:t>
      </w:r>
      <w:r w:rsidRPr="00036FAC">
        <w:t>parliamentarians</w:t>
      </w:r>
      <w:r w:rsidR="00907D8C">
        <w:t xml:space="preserve"> </w:t>
      </w:r>
      <w:r w:rsidRPr="00036FAC">
        <w:t>to</w:t>
      </w:r>
      <w:r w:rsidR="00907D8C">
        <w:t xml:space="preserve"> </w:t>
      </w:r>
      <w:r w:rsidRPr="00036FAC">
        <w:t>put</w:t>
      </w:r>
      <w:r w:rsidR="00907D8C">
        <w:t xml:space="preserve"> </w:t>
      </w:r>
      <w:r w:rsidRPr="00036FAC">
        <w:t>questions</w:t>
      </w:r>
      <w:r w:rsidR="00907D8C">
        <w:t xml:space="preserve"> </w:t>
      </w:r>
      <w:r w:rsidRPr="00036FAC">
        <w:t>to</w:t>
      </w:r>
      <w:r w:rsidR="00907D8C">
        <w:t xml:space="preserve"> </w:t>
      </w:r>
      <w:r w:rsidRPr="00036FAC">
        <w:t>the</w:t>
      </w:r>
      <w:r w:rsidR="00907D8C">
        <w:t xml:space="preserve"> </w:t>
      </w:r>
      <w:r w:rsidRPr="00036FAC">
        <w:t>Government</w:t>
      </w:r>
      <w:r w:rsidR="00907D8C">
        <w:t xml:space="preserve"> </w:t>
      </w:r>
      <w:r w:rsidRPr="00036FAC">
        <w:t>(both</w:t>
      </w:r>
      <w:r w:rsidR="00907D8C">
        <w:t xml:space="preserve"> </w:t>
      </w:r>
      <w:r w:rsidRPr="00036FAC">
        <w:t>written</w:t>
      </w:r>
      <w:r w:rsidR="00907D8C">
        <w:t xml:space="preserve"> </w:t>
      </w:r>
      <w:r w:rsidRPr="00036FAC">
        <w:t>and</w:t>
      </w:r>
      <w:r w:rsidR="00907D8C">
        <w:t xml:space="preserve"> </w:t>
      </w:r>
      <w:r w:rsidRPr="00036FAC">
        <w:t>oral)</w:t>
      </w:r>
      <w:r w:rsidR="00907D8C">
        <w:t xml:space="preserve"> </w:t>
      </w:r>
      <w:r w:rsidRPr="00036FAC">
        <w:t>and</w:t>
      </w:r>
      <w:r w:rsidR="00907D8C">
        <w:t xml:space="preserve"> </w:t>
      </w:r>
      <w:r w:rsidRPr="00036FAC">
        <w:t>through</w:t>
      </w:r>
      <w:r w:rsidR="00907D8C">
        <w:t xml:space="preserve"> </w:t>
      </w:r>
      <w:r w:rsidRPr="00036FAC">
        <w:t>parliamentary</w:t>
      </w:r>
      <w:r w:rsidR="00907D8C">
        <w:t xml:space="preserve"> </w:t>
      </w:r>
      <w:r w:rsidRPr="00036FAC">
        <w:t>debate.</w:t>
      </w:r>
      <w:r w:rsidR="00907D8C">
        <w:t xml:space="preserve"> </w:t>
      </w:r>
      <w:r w:rsidRPr="00036FAC">
        <w:t>In</w:t>
      </w:r>
      <w:r w:rsidR="00907D8C">
        <w:t xml:space="preserve"> </w:t>
      </w:r>
      <w:r w:rsidRPr="00036FAC">
        <w:t>addition,</w:t>
      </w:r>
      <w:r w:rsidR="00907D8C">
        <w:t xml:space="preserve"> </w:t>
      </w:r>
      <w:r w:rsidRPr="00036FAC">
        <w:t>there</w:t>
      </w:r>
      <w:r w:rsidR="00907D8C">
        <w:t xml:space="preserve"> </w:t>
      </w:r>
      <w:r w:rsidRPr="00036FAC">
        <w:t>are</w:t>
      </w:r>
      <w:r w:rsidR="00907D8C">
        <w:t xml:space="preserve"> </w:t>
      </w:r>
      <w:r w:rsidRPr="00036FAC">
        <w:t>opportunities</w:t>
      </w:r>
      <w:r w:rsidR="00907D8C">
        <w:t xml:space="preserve"> </w:t>
      </w:r>
      <w:r w:rsidRPr="00036FAC">
        <w:t>for</w:t>
      </w:r>
      <w:r w:rsidR="00907D8C">
        <w:t xml:space="preserve"> </w:t>
      </w:r>
      <w:r w:rsidRPr="00036FAC">
        <w:t>members</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to</w:t>
      </w:r>
      <w:r w:rsidR="00907D8C">
        <w:t xml:space="preserve"> </w:t>
      </w:r>
      <w:r w:rsidRPr="00036FAC">
        <w:t>present</w:t>
      </w:r>
      <w:r w:rsidR="00907D8C">
        <w:t xml:space="preserve"> </w:t>
      </w:r>
      <w:r w:rsidRPr="00036FAC">
        <w:t>submissions</w:t>
      </w:r>
      <w:r w:rsidR="00907D8C">
        <w:t xml:space="preserve"> </w:t>
      </w:r>
      <w:r w:rsidRPr="00036FAC">
        <w:t>to</w:t>
      </w:r>
      <w:r w:rsidR="00907D8C">
        <w:t xml:space="preserve"> </w:t>
      </w:r>
      <w:r w:rsidRPr="00036FAC">
        <w:t>committees</w:t>
      </w:r>
      <w:r w:rsidR="00907D8C">
        <w:t xml:space="preserve"> </w:t>
      </w:r>
      <w:r w:rsidRPr="00036FAC">
        <w:t>of</w:t>
      </w:r>
      <w:r w:rsidR="00907D8C">
        <w:t xml:space="preserve"> </w:t>
      </w:r>
      <w:r w:rsidRPr="00036FAC">
        <w:t>Parliament</w:t>
      </w:r>
      <w:r w:rsidR="00907D8C">
        <w:t xml:space="preserve"> </w:t>
      </w:r>
      <w:r w:rsidRPr="00036FAC">
        <w:t>outlining</w:t>
      </w:r>
      <w:r w:rsidR="00907D8C">
        <w:t xml:space="preserve"> </w:t>
      </w:r>
      <w:r w:rsidRPr="00036FAC">
        <w:t>their</w:t>
      </w:r>
      <w:r w:rsidR="00907D8C">
        <w:t xml:space="preserve"> </w:t>
      </w:r>
      <w:r w:rsidRPr="00036FAC">
        <w:t>concerns</w:t>
      </w:r>
      <w:r w:rsidR="00907D8C">
        <w:t xml:space="preserve"> </w:t>
      </w:r>
      <w:r w:rsidRPr="00036FAC">
        <w:t>or</w:t>
      </w:r>
      <w:r w:rsidR="00907D8C">
        <w:t xml:space="preserve"> </w:t>
      </w:r>
      <w:r w:rsidRPr="00036FAC">
        <w:t>suggestions</w:t>
      </w:r>
      <w:r w:rsidR="00907D8C">
        <w:t xml:space="preserve"> </w:t>
      </w:r>
      <w:r w:rsidRPr="00036FAC">
        <w:t>with</w:t>
      </w:r>
      <w:r w:rsidR="00907D8C">
        <w:t xml:space="preserve"> </w:t>
      </w:r>
      <w:r w:rsidRPr="00036FAC">
        <w:t>respect</w:t>
      </w:r>
      <w:r w:rsidR="00907D8C">
        <w:t xml:space="preserve"> </w:t>
      </w:r>
      <w:r w:rsidRPr="00036FAC">
        <w:t>to</w:t>
      </w:r>
      <w:r w:rsidR="00907D8C">
        <w:t xml:space="preserve"> </w:t>
      </w:r>
      <w:r w:rsidRPr="00036FAC">
        <w:t>draft</w:t>
      </w:r>
      <w:r w:rsidR="00907D8C">
        <w:t xml:space="preserve"> </w:t>
      </w:r>
      <w:r w:rsidRPr="00036FAC">
        <w:t>legislation.</w:t>
      </w:r>
      <w:bookmarkEnd w:id="163"/>
      <w:bookmarkEnd w:id="164"/>
      <w:bookmarkEnd w:id="165"/>
      <w:bookmarkEnd w:id="166"/>
      <w:bookmarkEnd w:id="167"/>
    </w:p>
    <w:p w:rsidR="00036FAC" w:rsidRPr="00036FAC" w:rsidRDefault="00036FAC" w:rsidP="00B85D72">
      <w:pPr>
        <w:pStyle w:val="SingleTxtG"/>
      </w:pPr>
      <w:r w:rsidRPr="00036FAC">
        <w:t>175.</w:t>
      </w:r>
      <w:r w:rsidRPr="00036FAC">
        <w:tab/>
        <w:t>The</w:t>
      </w:r>
      <w:r w:rsidR="00907D8C">
        <w:t xml:space="preserve"> </w:t>
      </w:r>
      <w:r w:rsidRPr="00036FAC">
        <w:t>key</w:t>
      </w:r>
      <w:r w:rsidR="00907D8C">
        <w:t xml:space="preserve"> </w:t>
      </w:r>
      <w:r w:rsidRPr="00036FAC">
        <w:t>pieces</w:t>
      </w:r>
      <w:r w:rsidR="00907D8C">
        <w:t xml:space="preserve"> </w:t>
      </w:r>
      <w:r w:rsidRPr="00036FAC">
        <w:t>of</w:t>
      </w:r>
      <w:r w:rsidR="00907D8C">
        <w:t xml:space="preserve"> </w:t>
      </w:r>
      <w:r w:rsidRPr="00036FAC">
        <w:t>legislation</w:t>
      </w:r>
      <w:r w:rsidR="00907D8C">
        <w:t xml:space="preserve"> </w:t>
      </w:r>
      <w:r w:rsidRPr="00036FAC">
        <w:t>and</w:t>
      </w:r>
      <w:r w:rsidR="00907D8C">
        <w:t xml:space="preserve"> </w:t>
      </w:r>
      <w:r w:rsidRPr="00036FAC">
        <w:t>relevant</w:t>
      </w:r>
      <w:r w:rsidR="00907D8C">
        <w:t xml:space="preserve"> </w:t>
      </w:r>
      <w:r w:rsidRPr="00036FAC">
        <w:t>authorities</w:t>
      </w:r>
      <w:r w:rsidR="00907D8C">
        <w:t xml:space="preserve"> </w:t>
      </w:r>
      <w:r w:rsidRPr="00036FAC">
        <w:t>in</w:t>
      </w:r>
      <w:r w:rsidR="00907D8C">
        <w:t xml:space="preserve"> </w:t>
      </w:r>
      <w:r w:rsidRPr="00036FAC">
        <w:t>this</w:t>
      </w:r>
      <w:r w:rsidR="00907D8C">
        <w:t xml:space="preserve"> </w:t>
      </w:r>
      <w:r w:rsidRPr="00036FAC">
        <w:t>regard</w:t>
      </w:r>
      <w:r w:rsidR="00907D8C">
        <w:t xml:space="preserve"> </w:t>
      </w:r>
      <w:r w:rsidRPr="00036FAC">
        <w:t>are</w:t>
      </w:r>
      <w:r w:rsidR="00907D8C">
        <w:t xml:space="preserve"> </w:t>
      </w:r>
      <w:r w:rsidRPr="00036FAC">
        <w:t>described</w:t>
      </w:r>
      <w:r w:rsidR="00907D8C">
        <w:t xml:space="preserve"> </w:t>
      </w:r>
      <w:r w:rsidRPr="00036FAC">
        <w:t>in</w:t>
      </w:r>
      <w:r w:rsidR="00907D8C">
        <w:t xml:space="preserve"> </w:t>
      </w:r>
      <w:r w:rsidRPr="00036FAC">
        <w:t>the</w:t>
      </w:r>
      <w:r w:rsidR="00907D8C">
        <w:t xml:space="preserve"> </w:t>
      </w:r>
      <w:r w:rsidRPr="00036FAC">
        <w:t>following</w:t>
      </w:r>
      <w:r w:rsidR="00907D8C">
        <w:t xml:space="preserve"> </w:t>
      </w:r>
      <w:r w:rsidRPr="00036FAC">
        <w:t>paragraphs.</w:t>
      </w:r>
    </w:p>
    <w:p w:rsidR="00036FAC" w:rsidRPr="00036FAC" w:rsidRDefault="00036FAC" w:rsidP="006C436C">
      <w:pPr>
        <w:pStyle w:val="H23G"/>
      </w:pPr>
      <w:bookmarkStart w:id="177" w:name="_Toc114894977"/>
      <w:bookmarkStart w:id="178" w:name="_Toc114895868"/>
      <w:bookmarkStart w:id="179" w:name="_Toc115493413"/>
      <w:bookmarkStart w:id="180" w:name="_Toc115493757"/>
      <w:bookmarkStart w:id="181" w:name="_Toc115493832"/>
      <w:bookmarkStart w:id="182" w:name="_Toc118100628"/>
      <w:bookmarkStart w:id="183" w:name="_Toc125278914"/>
      <w:r w:rsidRPr="00036FAC">
        <w:tab/>
        <w:t>(a)</w:t>
      </w:r>
      <w:r w:rsidRPr="00036FAC">
        <w:tab/>
        <w:t>New</w:t>
      </w:r>
      <w:r w:rsidR="00907D8C">
        <w:t xml:space="preserve"> </w:t>
      </w:r>
      <w:r w:rsidRPr="00036FAC">
        <w:t>Zealand</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1990</w:t>
      </w:r>
      <w:bookmarkEnd w:id="177"/>
      <w:bookmarkEnd w:id="178"/>
      <w:bookmarkEnd w:id="179"/>
      <w:bookmarkEnd w:id="180"/>
      <w:bookmarkEnd w:id="181"/>
      <w:bookmarkEnd w:id="182"/>
      <w:bookmarkEnd w:id="183"/>
    </w:p>
    <w:p w:rsidR="00036FAC" w:rsidRPr="00036FAC" w:rsidRDefault="00036FAC" w:rsidP="00B85D72">
      <w:pPr>
        <w:pStyle w:val="SingleTxtG"/>
      </w:pPr>
      <w:r w:rsidRPr="00036FAC">
        <w:t>176.</w:t>
      </w:r>
      <w:r w:rsidRPr="00036FAC">
        <w:tab/>
        <w:t>This</w:t>
      </w:r>
      <w:r w:rsidR="00907D8C">
        <w:t xml:space="preserve"> </w:t>
      </w:r>
      <w:r w:rsidRPr="00036FAC">
        <w:t>Act</w:t>
      </w:r>
      <w:r w:rsidR="00907D8C">
        <w:t xml:space="preserve"> </w:t>
      </w:r>
      <w:r w:rsidRPr="00036FAC">
        <w:t>was</w:t>
      </w:r>
      <w:r w:rsidR="00907D8C">
        <w:t xml:space="preserve"> </w:t>
      </w:r>
      <w:r w:rsidRPr="00036FAC">
        <w:t>designed</w:t>
      </w:r>
      <w:r w:rsidR="00907D8C">
        <w:t xml:space="preserve"> </w:t>
      </w:r>
      <w:r w:rsidRPr="00036FAC">
        <w:t>to</w:t>
      </w:r>
      <w:r w:rsidR="00907D8C">
        <w:t xml:space="preserve"> </w:t>
      </w:r>
      <w:r w:rsidRPr="00036FAC">
        <w:t>affirm,</w:t>
      </w:r>
      <w:r w:rsidR="00907D8C">
        <w:t xml:space="preserve"> </w:t>
      </w:r>
      <w:r w:rsidRPr="00036FAC">
        <w:t>protect,</w:t>
      </w:r>
      <w:r w:rsidR="00907D8C">
        <w:t xml:space="preserve"> </w:t>
      </w:r>
      <w:r w:rsidRPr="00036FAC">
        <w:t>and</w:t>
      </w:r>
      <w:r w:rsidR="00907D8C">
        <w:t xml:space="preserve"> </w:t>
      </w:r>
      <w:r w:rsidRPr="00036FAC">
        <w:t>promote</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fundamental</w:t>
      </w:r>
      <w:r w:rsidR="00907D8C">
        <w:t xml:space="preserve"> </w:t>
      </w:r>
      <w:r w:rsidRPr="00036FAC">
        <w:t>freedoms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to</w:t>
      </w:r>
      <w:r w:rsidR="00907D8C">
        <w:t xml:space="preserve"> </w:t>
      </w:r>
      <w:r w:rsidRPr="00036FAC">
        <w:t>affirm</w:t>
      </w:r>
      <w:r w:rsidR="00907D8C">
        <w:t xml:space="preserve"> </w:t>
      </w:r>
      <w:r w:rsidRPr="00036FAC">
        <w:t>the</w:t>
      </w:r>
      <w:r w:rsidR="00907D8C">
        <w:t xml:space="preserve"> </w:t>
      </w:r>
      <w:r w:rsidRPr="00036FAC">
        <w:t>country</w:t>
      </w:r>
      <w:r w:rsidR="003E4D94">
        <w:t>’</w:t>
      </w:r>
      <w:r w:rsidRPr="00036FAC">
        <w:t>s</w:t>
      </w:r>
      <w:r w:rsidR="00907D8C">
        <w:t xml:space="preserve"> </w:t>
      </w:r>
      <w:r w:rsidRPr="00036FAC">
        <w:t>commitment</w:t>
      </w:r>
      <w:r w:rsidR="00907D8C">
        <w:t xml:space="preserve"> </w:t>
      </w:r>
      <w:r w:rsidRPr="00036FAC">
        <w:t>to</w:t>
      </w:r>
      <w:r w:rsidR="00907D8C">
        <w:t xml:space="preserve"> </w:t>
      </w:r>
      <w:r w:rsidRPr="00036FAC">
        <w:t>the</w:t>
      </w:r>
      <w:r w:rsidR="00907D8C">
        <w:t xml:space="preserve"> </w:t>
      </w:r>
      <w:r w:rsidRPr="00036FAC">
        <w:t>International</w:t>
      </w:r>
      <w:r w:rsidR="00907D8C">
        <w:t xml:space="preserve"> </w:t>
      </w:r>
      <w:r w:rsidRPr="00036FAC">
        <w:t>Covenant</w:t>
      </w:r>
      <w:r w:rsidR="00907D8C">
        <w:t xml:space="preserve"> </w:t>
      </w:r>
      <w:r w:rsidRPr="00036FAC">
        <w:t>on</w:t>
      </w:r>
      <w:r w:rsidR="00907D8C">
        <w:t xml:space="preserve"> </w:t>
      </w:r>
      <w:r w:rsidRPr="00036FAC">
        <w:t>Civil</w:t>
      </w:r>
      <w:r w:rsidR="00907D8C">
        <w:t xml:space="preserve"> </w:t>
      </w:r>
      <w:r w:rsidRPr="00036FAC">
        <w:t>and</w:t>
      </w:r>
      <w:r w:rsidR="00907D8C">
        <w:t xml:space="preserve"> </w:t>
      </w:r>
      <w:r w:rsidRPr="00036FAC">
        <w:t>Political</w:t>
      </w:r>
      <w:r w:rsidR="00907D8C">
        <w:t xml:space="preserve"> </w:t>
      </w:r>
      <w:r w:rsidRPr="00036FAC">
        <w:t>Rights.</w:t>
      </w:r>
      <w:r w:rsidR="00907D8C">
        <w:t xml:space="preserve"> </w:t>
      </w:r>
      <w:r w:rsidRPr="00036FAC">
        <w:t>The</w:t>
      </w:r>
      <w:r w:rsidR="00907D8C">
        <w:t xml:space="preserve"> </w:t>
      </w:r>
      <w:r w:rsidRPr="00036FAC">
        <w:t>Act</w:t>
      </w:r>
      <w:r w:rsidR="00907D8C">
        <w:t xml:space="preserve"> </w:t>
      </w:r>
      <w:r w:rsidRPr="00036FAC">
        <w:t>applies</w:t>
      </w:r>
      <w:r w:rsidR="00907D8C">
        <w:t xml:space="preserve"> </w:t>
      </w:r>
      <w:r w:rsidRPr="00036FAC">
        <w:t>to</w:t>
      </w:r>
      <w:r w:rsidR="00907D8C">
        <w:t xml:space="preserve"> </w:t>
      </w:r>
      <w:r w:rsidRPr="00036FAC">
        <w:t>actions</w:t>
      </w:r>
      <w:r w:rsidR="00907D8C">
        <w:t xml:space="preserve"> </w:t>
      </w:r>
      <w:r w:rsidRPr="00036FAC">
        <w:t>taken</w:t>
      </w:r>
      <w:r w:rsidR="00907D8C">
        <w:t xml:space="preserve"> </w:t>
      </w:r>
      <w:r w:rsidRPr="00036FAC">
        <w:t>by</w:t>
      </w:r>
      <w:r w:rsidR="00907D8C">
        <w:t xml:space="preserve"> </w:t>
      </w:r>
      <w:r w:rsidRPr="00036FAC">
        <w:t>the</w:t>
      </w:r>
      <w:r w:rsidR="00907D8C">
        <w:t xml:space="preserve"> </w:t>
      </w:r>
      <w:r w:rsidRPr="00036FAC">
        <w:t>legislative,</w:t>
      </w:r>
      <w:r w:rsidR="00907D8C">
        <w:t xml:space="preserve"> </w:t>
      </w:r>
      <w:r w:rsidRPr="00036FAC">
        <w:t>executive,</w:t>
      </w:r>
      <w:r w:rsidR="00907D8C">
        <w:t xml:space="preserve"> </w:t>
      </w:r>
      <w:r w:rsidRPr="00036FAC">
        <w:t>or</w:t>
      </w:r>
      <w:r w:rsidR="00907D8C">
        <w:t xml:space="preserve"> </w:t>
      </w:r>
      <w:r w:rsidRPr="00036FAC">
        <w:t>judicial</w:t>
      </w:r>
      <w:r w:rsidR="00907D8C">
        <w:t xml:space="preserve"> </w:t>
      </w:r>
      <w:r w:rsidRPr="00036FAC">
        <w:t>branches</w:t>
      </w:r>
      <w:r w:rsidR="00907D8C">
        <w:t xml:space="preserve"> </w:t>
      </w:r>
      <w:r w:rsidRPr="00036FAC">
        <w:t>of</w:t>
      </w:r>
      <w:r w:rsidR="00907D8C">
        <w:t xml:space="preserve"> </w:t>
      </w:r>
      <w:r w:rsidRPr="00036FAC">
        <w:t>the</w:t>
      </w:r>
      <w:r w:rsidR="00907D8C">
        <w:t xml:space="preserve"> </w:t>
      </w:r>
      <w:r w:rsidRPr="00036FAC">
        <w:t>Government</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or</w:t>
      </w:r>
      <w:r w:rsidR="00907D8C">
        <w:t xml:space="preserve"> </w:t>
      </w:r>
      <w:r w:rsidRPr="00036FAC">
        <w:t>by</w:t>
      </w:r>
      <w:r w:rsidR="00907D8C">
        <w:t xml:space="preserve"> </w:t>
      </w:r>
      <w:r w:rsidRPr="00036FAC">
        <w:t>any</w:t>
      </w:r>
      <w:r w:rsidR="00907D8C">
        <w:t xml:space="preserve"> </w:t>
      </w:r>
      <w:r w:rsidRPr="00036FAC">
        <w:t>person</w:t>
      </w:r>
      <w:r w:rsidR="00907D8C">
        <w:t xml:space="preserve"> </w:t>
      </w:r>
      <w:r w:rsidRPr="00036FAC">
        <w:t>or</w:t>
      </w:r>
      <w:r w:rsidR="00907D8C">
        <w:t xml:space="preserve"> </w:t>
      </w:r>
      <w:r w:rsidRPr="00036FAC">
        <w:t>body</w:t>
      </w:r>
      <w:r w:rsidR="00907D8C">
        <w:t xml:space="preserve"> </w:t>
      </w:r>
      <w:r w:rsidRPr="00036FAC">
        <w:t>in</w:t>
      </w:r>
      <w:r w:rsidR="00907D8C">
        <w:t xml:space="preserve"> </w:t>
      </w:r>
      <w:r w:rsidRPr="00036FAC">
        <w:t>the</w:t>
      </w:r>
      <w:r w:rsidR="00907D8C">
        <w:t xml:space="preserve"> </w:t>
      </w:r>
      <w:r w:rsidRPr="00036FAC">
        <w:t>performance</w:t>
      </w:r>
      <w:r w:rsidR="00907D8C">
        <w:t xml:space="preserve"> </w:t>
      </w:r>
      <w:r w:rsidRPr="00036FAC">
        <w:t>of</w:t>
      </w:r>
      <w:r w:rsidR="00907D8C">
        <w:t xml:space="preserve"> </w:t>
      </w:r>
      <w:r w:rsidRPr="00036FAC">
        <w:t>any</w:t>
      </w:r>
      <w:r w:rsidR="00907D8C">
        <w:t xml:space="preserve"> </w:t>
      </w:r>
      <w:r w:rsidRPr="00036FAC">
        <w:t>public</w:t>
      </w:r>
      <w:r w:rsidR="00907D8C">
        <w:t xml:space="preserve"> </w:t>
      </w:r>
      <w:r w:rsidRPr="00036FAC">
        <w:t>function,</w:t>
      </w:r>
      <w:r w:rsidR="00907D8C">
        <w:t xml:space="preserve"> </w:t>
      </w:r>
      <w:r w:rsidRPr="00036FAC">
        <w:t>power,</w:t>
      </w:r>
      <w:r w:rsidR="00907D8C">
        <w:t xml:space="preserve"> </w:t>
      </w:r>
      <w:r w:rsidRPr="00036FAC">
        <w:t>or</w:t>
      </w:r>
      <w:r w:rsidR="00907D8C">
        <w:t xml:space="preserve"> </w:t>
      </w:r>
      <w:r w:rsidRPr="00036FAC">
        <w:t>duty</w:t>
      </w:r>
      <w:r w:rsidR="00907D8C">
        <w:t xml:space="preserve"> </w:t>
      </w:r>
      <w:r w:rsidRPr="00036FAC">
        <w:t>conferred</w:t>
      </w:r>
      <w:r w:rsidR="00907D8C">
        <w:t xml:space="preserve"> </w:t>
      </w:r>
      <w:r w:rsidRPr="00036FAC">
        <w:t>or</w:t>
      </w:r>
      <w:r w:rsidR="00907D8C">
        <w:t xml:space="preserve"> </w:t>
      </w:r>
      <w:r w:rsidRPr="00036FAC">
        <w:t>imposed</w:t>
      </w:r>
      <w:r w:rsidR="00907D8C">
        <w:t xml:space="preserve"> </w:t>
      </w:r>
      <w:r w:rsidRPr="00036FAC">
        <w:t>on</w:t>
      </w:r>
      <w:r w:rsidR="00907D8C">
        <w:t xml:space="preserve"> </w:t>
      </w:r>
      <w:r w:rsidRPr="00036FAC">
        <w:t>that</w:t>
      </w:r>
      <w:r w:rsidR="00907D8C">
        <w:t xml:space="preserve"> </w:t>
      </w:r>
      <w:r w:rsidRPr="00036FAC">
        <w:t>person</w:t>
      </w:r>
      <w:r w:rsidR="00907D8C">
        <w:t xml:space="preserve"> </w:t>
      </w:r>
      <w:r w:rsidRPr="00036FAC">
        <w:t>or</w:t>
      </w:r>
      <w:r w:rsidR="00907D8C">
        <w:t xml:space="preserve"> </w:t>
      </w:r>
      <w:r w:rsidRPr="00036FAC">
        <w:t>body</w:t>
      </w:r>
      <w:r w:rsidR="00907D8C">
        <w:t xml:space="preserve"> </w:t>
      </w:r>
      <w:r w:rsidRPr="00036FAC">
        <w:t>by</w:t>
      </w:r>
      <w:r w:rsidR="00907D8C">
        <w:t xml:space="preserve"> </w:t>
      </w:r>
      <w:r w:rsidRPr="00036FAC">
        <w:t>or</w:t>
      </w:r>
      <w:r w:rsidR="00907D8C">
        <w:t xml:space="preserve"> </w:t>
      </w:r>
      <w:r w:rsidRPr="00036FAC">
        <w:t>according</w:t>
      </w:r>
      <w:r w:rsidR="00907D8C">
        <w:t xml:space="preserve"> </w:t>
      </w:r>
      <w:r w:rsidRPr="00036FAC">
        <w:t>to</w:t>
      </w:r>
      <w:r w:rsidR="00907D8C">
        <w:t xml:space="preserve"> </w:t>
      </w:r>
      <w:r w:rsidRPr="00036FAC">
        <w:t>the</w:t>
      </w:r>
      <w:r w:rsidR="00907D8C">
        <w:t xml:space="preserve"> </w:t>
      </w:r>
      <w:r w:rsidRPr="00036FAC">
        <w:t>law.</w:t>
      </w:r>
    </w:p>
    <w:p w:rsidR="00036FAC" w:rsidRPr="00036FAC" w:rsidRDefault="00036FAC" w:rsidP="00B85D72">
      <w:pPr>
        <w:pStyle w:val="SingleTxtG"/>
      </w:pPr>
      <w:r w:rsidRPr="00036FAC">
        <w:t>177.</w:t>
      </w:r>
      <w:r w:rsidRPr="00036FAC">
        <w:tab/>
        <w:t>The</w:t>
      </w:r>
      <w:r w:rsidR="00907D8C">
        <w:t xml:space="preserve"> </w:t>
      </w:r>
      <w:r w:rsidRPr="00036FAC">
        <w:t>Attorney-General</w:t>
      </w:r>
      <w:r w:rsidR="00907D8C">
        <w:t xml:space="preserve"> </w:t>
      </w:r>
      <w:r w:rsidRPr="00036FAC">
        <w:t>is</w:t>
      </w:r>
      <w:r w:rsidR="00907D8C">
        <w:t xml:space="preserve"> </w:t>
      </w:r>
      <w:r w:rsidRPr="00036FAC">
        <w:t>required</w:t>
      </w:r>
      <w:r w:rsidR="00907D8C">
        <w:t xml:space="preserve"> </w:t>
      </w:r>
      <w:r w:rsidRPr="00036FAC">
        <w:t>to</w:t>
      </w:r>
      <w:r w:rsidR="00907D8C">
        <w:t xml:space="preserve"> </w:t>
      </w:r>
      <w:r w:rsidRPr="00036FAC">
        <w:t>bring</w:t>
      </w:r>
      <w:r w:rsidR="00907D8C">
        <w:t xml:space="preserve"> </w:t>
      </w:r>
      <w:r w:rsidRPr="00036FAC">
        <w:t>to</w:t>
      </w:r>
      <w:r w:rsidR="00907D8C">
        <w:t xml:space="preserve"> </w:t>
      </w:r>
      <w:r w:rsidRPr="00036FAC">
        <w:t>Parliament</w:t>
      </w:r>
      <w:r w:rsidR="003E4D94">
        <w:t>’</w:t>
      </w:r>
      <w:r w:rsidRPr="00036FAC">
        <w:t>s</w:t>
      </w:r>
      <w:r w:rsidR="00907D8C">
        <w:t xml:space="preserve"> </w:t>
      </w:r>
      <w:r w:rsidRPr="00036FAC">
        <w:t>attention</w:t>
      </w:r>
      <w:r w:rsidR="00907D8C">
        <w:t xml:space="preserve"> </w:t>
      </w:r>
      <w:r w:rsidRPr="00036FAC">
        <w:t>any</w:t>
      </w:r>
      <w:r w:rsidR="00907D8C">
        <w:t xml:space="preserve"> </w:t>
      </w:r>
      <w:r w:rsidRPr="00036FAC">
        <w:t>provision</w:t>
      </w:r>
      <w:r w:rsidR="00907D8C">
        <w:t xml:space="preserve"> </w:t>
      </w:r>
      <w:r w:rsidRPr="00036FAC">
        <w:t>of</w:t>
      </w:r>
      <w:r w:rsidR="00907D8C">
        <w:t xml:space="preserve"> </w:t>
      </w:r>
      <w:r w:rsidRPr="00036FAC">
        <w:t>a</w:t>
      </w:r>
      <w:r w:rsidR="00907D8C">
        <w:t xml:space="preserve"> </w:t>
      </w:r>
      <w:r w:rsidRPr="00036FAC">
        <w:t>bill</w:t>
      </w:r>
      <w:r w:rsidR="00907D8C">
        <w:t xml:space="preserve"> </w:t>
      </w:r>
      <w:r w:rsidRPr="00036FAC">
        <w:t>that</w:t>
      </w:r>
      <w:r w:rsidR="00907D8C">
        <w:t xml:space="preserve"> </w:t>
      </w:r>
      <w:r w:rsidRPr="00036FAC">
        <w:t>appears</w:t>
      </w:r>
      <w:r w:rsidR="00907D8C">
        <w:t xml:space="preserve"> </w:t>
      </w:r>
      <w:r w:rsidRPr="00036FAC">
        <w:t>to</w:t>
      </w:r>
      <w:r w:rsidR="00907D8C">
        <w:t xml:space="preserve"> </w:t>
      </w:r>
      <w:r w:rsidRPr="00036FAC">
        <w:t>be</w:t>
      </w:r>
      <w:r w:rsidR="00907D8C">
        <w:t xml:space="preserve"> </w:t>
      </w:r>
      <w:r w:rsidRPr="00036FAC">
        <w:t>inconsistent</w:t>
      </w:r>
      <w:r w:rsidR="00907D8C">
        <w:t xml:space="preserve"> </w:t>
      </w:r>
      <w:r w:rsidRPr="00036FAC">
        <w:t>with</w:t>
      </w:r>
      <w:r w:rsidR="00907D8C">
        <w:t xml:space="preserve"> </w:t>
      </w:r>
      <w:r w:rsidRPr="00036FAC">
        <w:t>any</w:t>
      </w:r>
      <w:r w:rsidR="00907D8C">
        <w:t xml:space="preserve"> </w:t>
      </w:r>
      <w:r w:rsidRPr="00036FAC">
        <w:t>of</w:t>
      </w:r>
      <w:r w:rsidR="00907D8C">
        <w:t xml:space="preserve"> </w:t>
      </w:r>
      <w:r w:rsidRPr="00036FAC">
        <w:t>the</w:t>
      </w:r>
      <w:r w:rsidR="00907D8C">
        <w:t xml:space="preserve"> </w:t>
      </w:r>
      <w:r w:rsidRPr="00036FAC">
        <w:t>rights</w:t>
      </w:r>
      <w:r w:rsidR="00907D8C">
        <w:t xml:space="preserve"> </w:t>
      </w:r>
      <w:r w:rsidRPr="00036FAC">
        <w:t>or</w:t>
      </w:r>
      <w:r w:rsidR="00907D8C">
        <w:t xml:space="preserve"> </w:t>
      </w:r>
      <w:r w:rsidRPr="00036FAC">
        <w:t>freedoms</w:t>
      </w:r>
      <w:r w:rsidR="00907D8C">
        <w:t xml:space="preserve"> </w:t>
      </w:r>
      <w:r w:rsidRPr="00036FAC">
        <w:t>contained</w:t>
      </w:r>
      <w:r w:rsidR="00907D8C">
        <w:t xml:space="preserve"> </w:t>
      </w:r>
      <w:r w:rsidRPr="00036FAC">
        <w:t>in</w:t>
      </w:r>
      <w:r w:rsidR="00907D8C">
        <w:t xml:space="preserve"> </w:t>
      </w:r>
      <w:r w:rsidRPr="00036FAC">
        <w:t>the</w:t>
      </w:r>
      <w:r w:rsidR="00907D8C">
        <w:t xml:space="preserve"> </w:t>
      </w:r>
      <w:r w:rsidRPr="00036FAC">
        <w:t>Act,</w:t>
      </w:r>
      <w:r w:rsidR="00907D8C">
        <w:t xml:space="preserve"> </w:t>
      </w:r>
      <w:r w:rsidRPr="00036FAC">
        <w:t>on</w:t>
      </w:r>
      <w:r w:rsidR="00907D8C">
        <w:t xml:space="preserve"> </w:t>
      </w:r>
      <w:r w:rsidRPr="00036FAC">
        <w:t>introduction</w:t>
      </w:r>
      <w:r w:rsidR="00907D8C">
        <w:t xml:space="preserve"> </w:t>
      </w:r>
      <w:r w:rsidRPr="00036FAC">
        <w:t>in</w:t>
      </w:r>
      <w:r w:rsidR="00907D8C">
        <w:t xml:space="preserve"> </w:t>
      </w:r>
      <w:r w:rsidRPr="00036FAC">
        <w:t>the</w:t>
      </w:r>
      <w:r w:rsidR="00907D8C">
        <w:t xml:space="preserve"> </w:t>
      </w:r>
      <w:r w:rsidRPr="00036FAC">
        <w:t>case</w:t>
      </w:r>
      <w:r w:rsidR="00907D8C">
        <w:t xml:space="preserve"> </w:t>
      </w:r>
      <w:r w:rsidRPr="00036FAC">
        <w:t>of</w:t>
      </w:r>
      <w:r w:rsidR="00907D8C">
        <w:t xml:space="preserve"> </w:t>
      </w:r>
      <w:r w:rsidRPr="00036FAC">
        <w:t>a</w:t>
      </w:r>
      <w:r w:rsidR="00907D8C">
        <w:t xml:space="preserve"> </w:t>
      </w:r>
      <w:r w:rsidRPr="00036FAC">
        <w:t>government</w:t>
      </w:r>
      <w:r w:rsidR="00907D8C">
        <w:t xml:space="preserve"> </w:t>
      </w:r>
      <w:r w:rsidRPr="00036FAC">
        <w:t>bill</w:t>
      </w:r>
      <w:r w:rsidR="00907D8C">
        <w:t xml:space="preserve"> </w:t>
      </w:r>
      <w:r w:rsidRPr="00036FAC">
        <w:t>or</w:t>
      </w:r>
      <w:r w:rsidR="00907D8C">
        <w:t xml:space="preserve"> </w:t>
      </w:r>
      <w:r w:rsidRPr="00036FAC">
        <w:t>as</w:t>
      </w:r>
      <w:r w:rsidR="00907D8C">
        <w:t xml:space="preserve"> </w:t>
      </w:r>
      <w:r w:rsidRPr="00036FAC">
        <w:t>soon</w:t>
      </w:r>
      <w:r w:rsidR="00907D8C">
        <w:t xml:space="preserve"> </w:t>
      </w:r>
      <w:r w:rsidRPr="00036FAC">
        <w:t>as</w:t>
      </w:r>
      <w:r w:rsidR="00907D8C">
        <w:t xml:space="preserve"> </w:t>
      </w:r>
      <w:r w:rsidRPr="00036FAC">
        <w:t>practicable</w:t>
      </w:r>
      <w:r w:rsidR="00907D8C">
        <w:t xml:space="preserve"> </w:t>
      </w:r>
      <w:r w:rsidRPr="00036FAC">
        <w:t>after</w:t>
      </w:r>
      <w:r w:rsidR="00907D8C">
        <w:t xml:space="preserve"> </w:t>
      </w:r>
      <w:r w:rsidRPr="00036FAC">
        <w:t>introduction</w:t>
      </w:r>
      <w:r w:rsidR="00907D8C">
        <w:t xml:space="preserve"> </w:t>
      </w:r>
      <w:r w:rsidRPr="00036FAC">
        <w:t>of</w:t>
      </w:r>
      <w:r w:rsidR="00907D8C">
        <w:t xml:space="preserve"> </w:t>
      </w:r>
      <w:r w:rsidRPr="00036FAC">
        <w:t>any</w:t>
      </w:r>
      <w:r w:rsidR="00907D8C">
        <w:t xml:space="preserve"> </w:t>
      </w:r>
      <w:r w:rsidRPr="00036FAC">
        <w:t>other</w:t>
      </w:r>
      <w:r w:rsidR="00907D8C">
        <w:t xml:space="preserve"> </w:t>
      </w:r>
      <w:r w:rsidRPr="00036FAC">
        <w:t>bill.</w:t>
      </w:r>
      <w:r w:rsidR="00907D8C">
        <w:t xml:space="preserve"> </w:t>
      </w:r>
      <w:r w:rsidRPr="00036FAC">
        <w:t>The</w:t>
      </w:r>
      <w:r w:rsidR="00907D8C">
        <w:t xml:space="preserve"> </w:t>
      </w:r>
      <w:r w:rsidRPr="00036FAC">
        <w:t>Regulations</w:t>
      </w:r>
      <w:r w:rsidR="00907D8C">
        <w:t xml:space="preserve"> </w:t>
      </w:r>
      <w:r w:rsidRPr="00036FAC">
        <w:t>Review</w:t>
      </w:r>
      <w:r w:rsidR="00907D8C">
        <w:t xml:space="preserve"> </w:t>
      </w:r>
      <w:r w:rsidRPr="00036FAC">
        <w:t>Committee</w:t>
      </w:r>
      <w:r w:rsidR="00907D8C">
        <w:t xml:space="preserve"> </w:t>
      </w:r>
      <w:r w:rsidRPr="00036FAC">
        <w:t>is</w:t>
      </w:r>
      <w:r w:rsidR="00907D8C">
        <w:t xml:space="preserve"> </w:t>
      </w:r>
      <w:r w:rsidRPr="00036FAC">
        <w:t>empowered</w:t>
      </w:r>
      <w:r w:rsidR="00907D8C">
        <w:t xml:space="preserve"> </w:t>
      </w:r>
      <w:r w:rsidRPr="00036FAC">
        <w:t>to</w:t>
      </w:r>
      <w:r w:rsidR="00907D8C">
        <w:t xml:space="preserve"> </w:t>
      </w:r>
      <w:r w:rsidRPr="00036FAC">
        <w:t>bring</w:t>
      </w:r>
      <w:r w:rsidR="00907D8C">
        <w:t xml:space="preserve"> </w:t>
      </w:r>
      <w:r w:rsidRPr="00036FAC">
        <w:t>to</w:t>
      </w:r>
      <w:r w:rsidR="00907D8C">
        <w:t xml:space="preserve"> </w:t>
      </w:r>
      <w:r w:rsidRPr="00036FAC">
        <w:t>Parliament</w:t>
      </w:r>
      <w:r w:rsidR="003E4D94">
        <w:t>’</w:t>
      </w:r>
      <w:r w:rsidRPr="00036FAC">
        <w:t>s</w:t>
      </w:r>
      <w:r w:rsidR="00907D8C">
        <w:t xml:space="preserve"> </w:t>
      </w:r>
      <w:r w:rsidRPr="00036FAC">
        <w:t>attention</w:t>
      </w:r>
      <w:r w:rsidR="00907D8C">
        <w:t xml:space="preserve"> </w:t>
      </w:r>
      <w:r w:rsidRPr="00036FAC">
        <w:t>any</w:t>
      </w:r>
      <w:r w:rsidR="00907D8C">
        <w:t xml:space="preserve"> </w:t>
      </w:r>
      <w:r w:rsidRPr="00036FAC">
        <w:t>regulation</w:t>
      </w:r>
      <w:r w:rsidR="00907D8C">
        <w:t xml:space="preserve"> </w:t>
      </w:r>
      <w:r w:rsidRPr="00036FAC">
        <w:t>that</w:t>
      </w:r>
      <w:r w:rsidR="00907D8C">
        <w:t xml:space="preserve"> </w:t>
      </w:r>
      <w:r w:rsidRPr="00036FAC">
        <w:t>infringes</w:t>
      </w:r>
      <w:r w:rsidR="00907D8C">
        <w:t xml:space="preserve"> </w:t>
      </w:r>
      <w:r w:rsidRPr="00036FAC">
        <w:t>on</w:t>
      </w:r>
      <w:r w:rsidR="00907D8C">
        <w:t xml:space="preserve"> </w:t>
      </w:r>
      <w:r w:rsidRPr="00036FAC">
        <w:t>the</w:t>
      </w:r>
      <w:r w:rsidR="00907D8C">
        <w:t xml:space="preserve"> </w:t>
      </w:r>
      <w:r w:rsidRPr="00036FAC">
        <w:t>same</w:t>
      </w:r>
      <w:r w:rsidR="00907D8C">
        <w:t xml:space="preserve"> </w:t>
      </w:r>
      <w:r w:rsidRPr="00036FAC">
        <w:t>rights</w:t>
      </w:r>
      <w:r w:rsidR="00907D8C">
        <w:t xml:space="preserve"> </w:t>
      </w:r>
      <w:r w:rsidRPr="00036FAC">
        <w:t>and</w:t>
      </w:r>
      <w:r w:rsidR="00907D8C">
        <w:t xml:space="preserve"> </w:t>
      </w:r>
      <w:r w:rsidRPr="00036FAC">
        <w:t>freedoms.</w:t>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has</w:t>
      </w:r>
      <w:r w:rsidR="00907D8C">
        <w:t xml:space="preserve"> </w:t>
      </w:r>
      <w:r w:rsidRPr="00036FAC">
        <w:t>held</w:t>
      </w:r>
      <w:r w:rsidR="00907D8C">
        <w:t xml:space="preserve"> </w:t>
      </w:r>
      <w:r w:rsidRPr="00036FAC">
        <w:t>that</w:t>
      </w:r>
      <w:r w:rsidR="00907D8C">
        <w:t xml:space="preserve"> </w:t>
      </w:r>
      <w:r w:rsidRPr="00036FAC">
        <w:t>an</w:t>
      </w:r>
      <w:r w:rsidR="00907D8C">
        <w:t xml:space="preserve"> </w:t>
      </w:r>
      <w:r w:rsidRPr="00036FAC">
        <w:t>action</w:t>
      </w:r>
      <w:r w:rsidR="00907D8C">
        <w:t xml:space="preserve"> </w:t>
      </w:r>
      <w:r w:rsidRPr="00036FAC">
        <w:t>against</w:t>
      </w:r>
      <w:r w:rsidR="00907D8C">
        <w:t xml:space="preserve"> </w:t>
      </w:r>
      <w:r w:rsidRPr="00036FAC">
        <w:t>the</w:t>
      </w:r>
      <w:r w:rsidR="00907D8C">
        <w:t xml:space="preserve"> </w:t>
      </w:r>
      <w:r w:rsidRPr="00036FAC">
        <w:t>Crown</w:t>
      </w:r>
      <w:r w:rsidR="00907D8C">
        <w:t xml:space="preserve"> </w:t>
      </w:r>
      <w:r w:rsidRPr="00036FAC">
        <w:t>for</w:t>
      </w:r>
      <w:r w:rsidR="00907D8C">
        <w:t xml:space="preserve"> </w:t>
      </w:r>
      <w:r w:rsidRPr="00036FAC">
        <w:t>damages</w:t>
      </w:r>
      <w:r w:rsidR="00907D8C">
        <w:t xml:space="preserve"> </w:t>
      </w:r>
      <w:r w:rsidRPr="00036FAC">
        <w:t>is</w:t>
      </w:r>
      <w:r w:rsidR="00907D8C">
        <w:t xml:space="preserve"> </w:t>
      </w:r>
      <w:r w:rsidRPr="00036FAC">
        <w:t>available</w:t>
      </w:r>
      <w:r w:rsidR="00907D8C">
        <w:t xml:space="preserve"> </w:t>
      </w:r>
      <w:r w:rsidRPr="00036FAC">
        <w:t>in</w:t>
      </w:r>
      <w:r w:rsidR="00907D8C">
        <w:t xml:space="preserve"> </w:t>
      </w:r>
      <w:r w:rsidRPr="00036FAC">
        <w:t>respect</w:t>
      </w:r>
      <w:r w:rsidR="00907D8C">
        <w:t xml:space="preserve"> </w:t>
      </w:r>
      <w:r w:rsidRPr="00036FAC">
        <w:t>of</w:t>
      </w:r>
      <w:r w:rsidR="00907D8C">
        <w:t xml:space="preserve"> </w:t>
      </w:r>
      <w:r w:rsidRPr="00036FAC">
        <w:t>breaches</w:t>
      </w:r>
      <w:r w:rsidR="00907D8C">
        <w:t xml:space="preserve"> </w:t>
      </w:r>
      <w:r w:rsidRPr="00036FAC">
        <w:t>of</w:t>
      </w:r>
      <w:r w:rsidR="00907D8C">
        <w:t xml:space="preserve"> </w:t>
      </w:r>
      <w:r w:rsidRPr="00036FAC">
        <w:t>rights</w:t>
      </w:r>
      <w:r w:rsidR="00907D8C">
        <w:t xml:space="preserve"> </w:t>
      </w:r>
      <w:r w:rsidRPr="00036FAC">
        <w:t>and</w:t>
      </w:r>
      <w:r w:rsidR="00907D8C">
        <w:t xml:space="preserve"> </w:t>
      </w:r>
      <w:r w:rsidRPr="00036FAC">
        <w:t>freedoms</w:t>
      </w:r>
      <w:r w:rsidR="00907D8C">
        <w:t xml:space="preserve"> </w:t>
      </w:r>
      <w:r w:rsidRPr="00036FAC">
        <w:t>in</w:t>
      </w:r>
      <w:r w:rsidR="00907D8C">
        <w:t xml:space="preserve"> </w:t>
      </w:r>
      <w:r w:rsidRPr="00036FAC">
        <w:t>the</w:t>
      </w:r>
      <w:r w:rsidR="00907D8C">
        <w:t xml:space="preserve"> </w:t>
      </w:r>
      <w:r w:rsidRPr="00036FAC">
        <w:t>Act.</w:t>
      </w:r>
      <w:r w:rsidRPr="00B85D72">
        <w:rPr>
          <w:rStyle w:val="FootnoteReference"/>
        </w:rPr>
        <w:footnoteReference w:id="12"/>
      </w:r>
    </w:p>
    <w:p w:rsidR="00036FAC" w:rsidRPr="00036FAC" w:rsidRDefault="00036FAC" w:rsidP="00B85D72">
      <w:pPr>
        <w:pStyle w:val="SingleTxtG"/>
      </w:pPr>
      <w:r w:rsidRPr="00036FAC">
        <w:t>178.</w:t>
      </w:r>
      <w:r w:rsidRPr="00036FAC">
        <w:tab/>
        <w:t>The</w:t>
      </w:r>
      <w:r w:rsidR="00907D8C">
        <w:t xml:space="preserve"> </w:t>
      </w:r>
      <w:r w:rsidRPr="00036FAC">
        <w:t>Cabinet</w:t>
      </w:r>
      <w:r w:rsidR="00907D8C">
        <w:t xml:space="preserve"> </w:t>
      </w:r>
      <w:r w:rsidRPr="00036FAC">
        <w:t>requires</w:t>
      </w:r>
      <w:r w:rsidR="00907D8C">
        <w:t xml:space="preserve"> </w:t>
      </w:r>
      <w:r w:rsidRPr="00036FAC">
        <w:t>that</w:t>
      </w:r>
      <w:r w:rsidR="00907D8C">
        <w:t xml:space="preserve"> </w:t>
      </w:r>
      <w:r w:rsidRPr="00036FAC">
        <w:t>all</w:t>
      </w:r>
      <w:r w:rsidR="00907D8C">
        <w:t xml:space="preserve"> </w:t>
      </w:r>
      <w:r w:rsidRPr="00036FAC">
        <w:t>policy</w:t>
      </w:r>
      <w:r w:rsidR="00907D8C">
        <w:t xml:space="preserve"> </w:t>
      </w:r>
      <w:r w:rsidRPr="00036FAC">
        <w:t>advice</w:t>
      </w:r>
      <w:r w:rsidR="00907D8C">
        <w:t xml:space="preserve"> </w:t>
      </w:r>
      <w:r w:rsidRPr="00036FAC">
        <w:t>contains</w:t>
      </w:r>
      <w:r w:rsidR="00907D8C">
        <w:t xml:space="preserve"> </w:t>
      </w:r>
      <w:r w:rsidRPr="00036FAC">
        <w:t>a</w:t>
      </w:r>
      <w:r w:rsidR="00907D8C">
        <w:t xml:space="preserve"> </w:t>
      </w:r>
      <w:r w:rsidRPr="00036FAC">
        <w:t>statement</w:t>
      </w:r>
      <w:r w:rsidR="00907D8C">
        <w:t xml:space="preserve"> </w:t>
      </w:r>
      <w:r w:rsidRPr="00036FAC">
        <w:t>on</w:t>
      </w:r>
      <w:r w:rsidR="00907D8C">
        <w:t xml:space="preserve"> </w:t>
      </w:r>
      <w:r w:rsidRPr="00036FAC">
        <w:t>human</w:t>
      </w:r>
      <w:r w:rsidR="00907D8C">
        <w:t xml:space="preserve"> </w:t>
      </w:r>
      <w:r w:rsidRPr="00036FAC">
        <w:t>rights</w:t>
      </w:r>
      <w:r w:rsidR="00907D8C">
        <w:t xml:space="preserve"> </w:t>
      </w:r>
      <w:r w:rsidRPr="00036FAC">
        <w:t>implications,</w:t>
      </w:r>
      <w:r w:rsidR="00907D8C">
        <w:t xml:space="preserve"> </w:t>
      </w:r>
      <w:r w:rsidRPr="00036FAC">
        <w:t>addressing</w:t>
      </w:r>
      <w:r w:rsidR="00907D8C">
        <w:t xml:space="preserve"> </w:t>
      </w:r>
      <w:r w:rsidRPr="00036FAC">
        <w:t>consistency</w:t>
      </w:r>
      <w:r w:rsidR="00907D8C">
        <w:t xml:space="preserve"> </w:t>
      </w:r>
      <w:r w:rsidRPr="00036FAC">
        <w:t>with</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and</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(see</w:t>
      </w:r>
      <w:r w:rsidR="00907D8C">
        <w:t xml:space="preserve"> </w:t>
      </w:r>
      <w:r w:rsidRPr="00036FAC">
        <w:t>below).</w:t>
      </w:r>
      <w:r w:rsidR="00907D8C">
        <w:t xml:space="preserve"> </w:t>
      </w:r>
      <w:r w:rsidRPr="00036FAC">
        <w:t>Cabinet</w:t>
      </w:r>
      <w:r w:rsidR="00907D8C">
        <w:t xml:space="preserve"> </w:t>
      </w:r>
      <w:r w:rsidRPr="00036FAC">
        <w:t>also</w:t>
      </w:r>
      <w:r w:rsidR="00907D8C">
        <w:t xml:space="preserve"> </w:t>
      </w:r>
      <w:r w:rsidRPr="00036FAC">
        <w:t>requires</w:t>
      </w:r>
      <w:r w:rsidR="00907D8C">
        <w:t xml:space="preserve"> </w:t>
      </w:r>
      <w:r w:rsidRPr="00036FAC">
        <w:t>a</w:t>
      </w:r>
      <w:r w:rsidR="00907D8C">
        <w:t xml:space="preserve"> </w:t>
      </w:r>
      <w:r w:rsidRPr="00036FAC">
        <w:t>gender</w:t>
      </w:r>
      <w:r w:rsidR="00907D8C">
        <w:t xml:space="preserve"> </w:t>
      </w:r>
      <w:r w:rsidRPr="00036FAC">
        <w:t>implications</w:t>
      </w:r>
      <w:r w:rsidR="00907D8C">
        <w:t xml:space="preserve"> </w:t>
      </w:r>
      <w:r w:rsidRPr="00036FAC">
        <w:t>statement</w:t>
      </w:r>
      <w:r w:rsidR="00907D8C">
        <w:t xml:space="preserve"> </w:t>
      </w:r>
      <w:r w:rsidRPr="00036FAC">
        <w:t>and</w:t>
      </w:r>
      <w:r w:rsidR="00907D8C">
        <w:t xml:space="preserve"> </w:t>
      </w:r>
      <w:r w:rsidRPr="00036FAC">
        <w:t>disability</w:t>
      </w:r>
      <w:r w:rsidR="00907D8C">
        <w:t xml:space="preserve"> </w:t>
      </w:r>
      <w:r w:rsidRPr="00036FAC">
        <w:t>perspective</w:t>
      </w:r>
      <w:r w:rsidR="00907D8C">
        <w:t xml:space="preserve"> </w:t>
      </w:r>
      <w:r w:rsidRPr="00036FAC">
        <w:t>to</w:t>
      </w:r>
      <w:r w:rsidR="00907D8C">
        <w:t xml:space="preserve"> </w:t>
      </w:r>
      <w:r w:rsidRPr="00036FAC">
        <w:t>be</w:t>
      </w:r>
      <w:r w:rsidR="00907D8C">
        <w:t xml:space="preserve"> </w:t>
      </w:r>
      <w:r w:rsidRPr="00036FAC">
        <w:t>included</w:t>
      </w:r>
      <w:r w:rsidR="00907D8C">
        <w:t xml:space="preserve"> </w:t>
      </w:r>
      <w:r w:rsidRPr="00036FAC">
        <w:t>in</w:t>
      </w:r>
      <w:r w:rsidR="00907D8C">
        <w:t xml:space="preserve"> </w:t>
      </w:r>
      <w:r w:rsidRPr="00036FAC">
        <w:t>policy</w:t>
      </w:r>
      <w:r w:rsidR="00907D8C">
        <w:t xml:space="preserve"> </w:t>
      </w:r>
      <w:r w:rsidRPr="00036FAC">
        <w:t>advice,</w:t>
      </w:r>
      <w:r w:rsidR="00907D8C">
        <w:t xml:space="preserve"> </w:t>
      </w:r>
      <w:r w:rsidRPr="00036FAC">
        <w:t>where</w:t>
      </w:r>
      <w:r w:rsidR="00907D8C">
        <w:t xml:space="preserve"> </w:t>
      </w:r>
      <w:r w:rsidRPr="00036FAC">
        <w:t>relevant.</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Justice</w:t>
      </w:r>
      <w:r w:rsidR="00907D8C">
        <w:t xml:space="preserve"> </w:t>
      </w:r>
      <w:r w:rsidRPr="00036FAC">
        <w:t>has</w:t>
      </w:r>
      <w:r w:rsidR="00907D8C">
        <w:t xml:space="preserve"> </w:t>
      </w:r>
      <w:r w:rsidRPr="00036FAC">
        <w:t>the</w:t>
      </w:r>
      <w:r w:rsidR="00907D8C">
        <w:t xml:space="preserve"> </w:t>
      </w:r>
      <w:r w:rsidRPr="00036FAC">
        <w:t>lead</w:t>
      </w:r>
      <w:r w:rsidR="00907D8C">
        <w:t xml:space="preserve"> </w:t>
      </w:r>
      <w:r w:rsidRPr="00036FAC">
        <w:t>role</w:t>
      </w:r>
      <w:r w:rsidR="00907D8C">
        <w:t xml:space="preserve"> </w:t>
      </w:r>
      <w:r w:rsidRPr="00036FAC">
        <w:t>in</w:t>
      </w:r>
      <w:r w:rsidR="00907D8C">
        <w:t xml:space="preserve"> </w:t>
      </w:r>
      <w:r w:rsidRPr="00036FAC">
        <w:t>providing</w:t>
      </w:r>
      <w:r w:rsidR="00907D8C">
        <w:t xml:space="preserve"> </w:t>
      </w:r>
      <w:r w:rsidRPr="00036FAC">
        <w:t>policy</w:t>
      </w:r>
      <w:r w:rsidR="00907D8C">
        <w:t xml:space="preserve"> </w:t>
      </w:r>
      <w:r w:rsidRPr="00036FAC">
        <w:t>advice</w:t>
      </w:r>
      <w:r w:rsidR="00907D8C">
        <w:t xml:space="preserve"> </w:t>
      </w:r>
      <w:r w:rsidRPr="00036FAC">
        <w:t>to</w:t>
      </w:r>
      <w:r w:rsidR="00907D8C">
        <w:t xml:space="preserve"> </w:t>
      </w:r>
      <w:r w:rsidRPr="00036FAC">
        <w:t>the</w:t>
      </w:r>
      <w:r w:rsidR="00907D8C">
        <w:t xml:space="preserve"> </w:t>
      </w:r>
      <w:r w:rsidRPr="00036FAC">
        <w:t>Government</w:t>
      </w:r>
      <w:r w:rsidR="00907D8C">
        <w:t xml:space="preserve"> </w:t>
      </w:r>
      <w:r w:rsidRPr="00036FAC">
        <w:t>on</w:t>
      </w:r>
      <w:r w:rsidR="00907D8C">
        <w:t xml:space="preserve"> </w:t>
      </w:r>
      <w:r w:rsidRPr="00036FAC">
        <w:t>human</w:t>
      </w:r>
      <w:r w:rsidR="00907D8C">
        <w:t xml:space="preserve"> </w:t>
      </w:r>
      <w:r w:rsidRPr="00036FAC">
        <w:t>rights</w:t>
      </w:r>
      <w:r w:rsidR="00907D8C">
        <w:t xml:space="preserve"> </w:t>
      </w:r>
      <w:r w:rsidRPr="00036FAC">
        <w:t>issues.</w:t>
      </w:r>
      <w:r w:rsidR="00907D8C">
        <w:t xml:space="preserve"> </w:t>
      </w:r>
      <w:r w:rsidRPr="00036FAC">
        <w:t>The</w:t>
      </w:r>
      <w:r w:rsidR="00907D8C">
        <w:t xml:space="preserve"> </w:t>
      </w:r>
      <w:r w:rsidRPr="00036FAC">
        <w:t>Ministry</w:t>
      </w:r>
      <w:r w:rsidR="00907D8C">
        <w:t xml:space="preserve"> </w:t>
      </w:r>
      <w:r w:rsidRPr="00036FAC">
        <w:t>is</w:t>
      </w:r>
      <w:r w:rsidR="00907D8C">
        <w:t xml:space="preserve"> </w:t>
      </w:r>
      <w:r w:rsidRPr="00036FAC">
        <w:t>also</w:t>
      </w:r>
      <w:r w:rsidR="00907D8C">
        <w:t xml:space="preserve"> </w:t>
      </w:r>
      <w:r w:rsidRPr="00036FAC">
        <w:t>responsible</w:t>
      </w:r>
      <w:r w:rsidR="00907D8C">
        <w:t xml:space="preserve"> </w:t>
      </w:r>
      <w:r w:rsidRPr="00036FAC">
        <w:t>for</w:t>
      </w:r>
      <w:r w:rsidR="00907D8C">
        <w:t xml:space="preserve"> </w:t>
      </w:r>
      <w:r w:rsidRPr="00036FAC">
        <w:t>vetting</w:t>
      </w:r>
      <w:r w:rsidR="00907D8C">
        <w:t xml:space="preserve"> </w:t>
      </w:r>
      <w:r w:rsidRPr="00036FAC">
        <w:t>all</w:t>
      </w:r>
      <w:r w:rsidR="00907D8C">
        <w:t xml:space="preserve"> </w:t>
      </w:r>
      <w:r w:rsidRPr="00036FAC">
        <w:t>new</w:t>
      </w:r>
      <w:r w:rsidR="00907D8C">
        <w:t xml:space="preserve"> </w:t>
      </w:r>
      <w:r w:rsidRPr="00036FAC">
        <w:t>bills</w:t>
      </w:r>
      <w:r w:rsidR="00907D8C">
        <w:t xml:space="preserve"> </w:t>
      </w:r>
      <w:r w:rsidRPr="00036FAC">
        <w:t>for</w:t>
      </w:r>
      <w:r w:rsidR="00907D8C">
        <w:t xml:space="preserve"> </w:t>
      </w:r>
      <w:r w:rsidRPr="00036FAC">
        <w:t>consistency</w:t>
      </w:r>
      <w:r w:rsidR="00907D8C">
        <w:t xml:space="preserve"> </w:t>
      </w:r>
      <w:r w:rsidRPr="00036FAC">
        <w:t>with</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and</w:t>
      </w:r>
      <w:r w:rsidR="00907D8C">
        <w:t xml:space="preserve"> </w:t>
      </w:r>
      <w:r w:rsidRPr="00036FAC">
        <w:t>providing</w:t>
      </w:r>
      <w:r w:rsidR="00907D8C">
        <w:t xml:space="preserve"> </w:t>
      </w:r>
      <w:r w:rsidRPr="00036FAC">
        <w:t>legal</w:t>
      </w:r>
      <w:r w:rsidR="00907D8C">
        <w:t xml:space="preserve"> </w:t>
      </w:r>
      <w:r w:rsidRPr="00036FAC">
        <w:t>advice</w:t>
      </w:r>
      <w:r w:rsidR="00907D8C">
        <w:t xml:space="preserve"> </w:t>
      </w:r>
      <w:r w:rsidRPr="00036FAC">
        <w:t>on</w:t>
      </w:r>
      <w:r w:rsidR="00907D8C">
        <w:t xml:space="preserve"> </w:t>
      </w:r>
      <w:r w:rsidRPr="00036FAC">
        <w:t>its</w:t>
      </w:r>
      <w:r w:rsidR="00907D8C">
        <w:t xml:space="preserve"> </w:t>
      </w:r>
      <w:r w:rsidRPr="00036FAC">
        <w:t>findings</w:t>
      </w:r>
      <w:r w:rsidR="00907D8C">
        <w:t xml:space="preserve"> </w:t>
      </w:r>
      <w:r w:rsidRPr="00036FAC">
        <w:t>to</w:t>
      </w:r>
      <w:r w:rsidR="00907D8C">
        <w:t xml:space="preserve"> </w:t>
      </w:r>
      <w:r w:rsidRPr="00036FAC">
        <w:t>the</w:t>
      </w:r>
      <w:r w:rsidR="00907D8C">
        <w:t xml:space="preserve"> </w:t>
      </w:r>
      <w:r w:rsidRPr="00036FAC">
        <w:t>Attorney-General.</w:t>
      </w:r>
      <w:r w:rsidR="00907D8C">
        <w:t xml:space="preserve"> </w:t>
      </w:r>
      <w:r w:rsidRPr="00036FAC">
        <w:t>The</w:t>
      </w:r>
      <w:r w:rsidR="00907D8C">
        <w:t xml:space="preserve"> </w:t>
      </w:r>
      <w:r w:rsidRPr="00036FAC">
        <w:t>Ministry</w:t>
      </w:r>
      <w:r w:rsidR="00907D8C">
        <w:t xml:space="preserve"> </w:t>
      </w:r>
      <w:r w:rsidRPr="00036FAC">
        <w:t>has</w:t>
      </w:r>
      <w:r w:rsidR="00907D8C">
        <w:t xml:space="preserve"> </w:t>
      </w:r>
      <w:r w:rsidRPr="00036FAC">
        <w:t>published</w:t>
      </w:r>
      <w:r w:rsidR="00907D8C">
        <w:t xml:space="preserve"> </w:t>
      </w:r>
      <w:r w:rsidR="003E4D94">
        <w:t>“</w:t>
      </w:r>
      <w:r w:rsidRPr="00036FAC">
        <w:t>Guidelines</w:t>
      </w:r>
      <w:r w:rsidR="00907D8C">
        <w:t xml:space="preserve"> </w:t>
      </w:r>
      <w:r w:rsidRPr="00036FAC">
        <w:t>on</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1990</w:t>
      </w:r>
      <w:r w:rsidR="003E4D94">
        <w:t>”</w:t>
      </w:r>
      <w:r w:rsidR="00907D8C">
        <w:t xml:space="preserve"> </w:t>
      </w:r>
      <w:r w:rsidRPr="00036FAC">
        <w:t>to</w:t>
      </w:r>
      <w:r w:rsidR="00907D8C">
        <w:t xml:space="preserve"> </w:t>
      </w:r>
      <w:r w:rsidRPr="00036FAC">
        <w:t>help</w:t>
      </w:r>
      <w:r w:rsidR="00907D8C">
        <w:t xml:space="preserve"> </w:t>
      </w:r>
      <w:r w:rsidRPr="00036FAC">
        <w:t>all</w:t>
      </w:r>
      <w:r w:rsidR="00907D8C">
        <w:t xml:space="preserve"> </w:t>
      </w:r>
      <w:r w:rsidRPr="00036FAC">
        <w:t>public</w:t>
      </w:r>
      <w:r w:rsidR="00907D8C">
        <w:t xml:space="preserve"> </w:t>
      </w:r>
      <w:r w:rsidRPr="00036FAC">
        <w:t>servants</w:t>
      </w:r>
      <w:r w:rsidR="00907D8C">
        <w:t xml:space="preserve"> </w:t>
      </w:r>
      <w:r w:rsidRPr="00036FAC">
        <w:t>integrate</w:t>
      </w:r>
      <w:r w:rsidR="00907D8C">
        <w:t xml:space="preserve"> </w:t>
      </w:r>
      <w:r w:rsidRPr="00036FAC">
        <w:t>human</w:t>
      </w:r>
      <w:r w:rsidR="00907D8C">
        <w:t xml:space="preserve"> </w:t>
      </w:r>
      <w:r w:rsidRPr="00036FAC">
        <w:t>rights</w:t>
      </w:r>
      <w:r w:rsidR="00907D8C">
        <w:t xml:space="preserve"> </w:t>
      </w:r>
      <w:r w:rsidRPr="00036FAC">
        <w:t>considerations</w:t>
      </w:r>
      <w:r w:rsidR="00907D8C">
        <w:t xml:space="preserve"> </w:t>
      </w:r>
      <w:r w:rsidRPr="00036FAC">
        <w:t>into</w:t>
      </w:r>
      <w:r w:rsidR="00907D8C">
        <w:t xml:space="preserve"> </w:t>
      </w:r>
      <w:r w:rsidRPr="00036FAC">
        <w:t>policy</w:t>
      </w:r>
      <w:r w:rsidR="00907D8C">
        <w:t xml:space="preserve"> </w:t>
      </w:r>
      <w:r w:rsidRPr="00036FAC">
        <w:t>advice</w:t>
      </w:r>
      <w:r w:rsidR="00907D8C">
        <w:t xml:space="preserve"> </w:t>
      </w:r>
      <w:r w:rsidRPr="00036FAC">
        <w:t>and</w:t>
      </w:r>
      <w:r w:rsidR="00907D8C">
        <w:t xml:space="preserve"> </w:t>
      </w:r>
      <w:r w:rsidRPr="00036FAC">
        <w:t>operational</w:t>
      </w:r>
      <w:r w:rsidR="00907D8C">
        <w:t xml:space="preserve"> </w:t>
      </w:r>
      <w:r w:rsidRPr="00036FAC">
        <w:t>practice.</w:t>
      </w:r>
    </w:p>
    <w:p w:rsidR="00036FAC" w:rsidRPr="00036FAC" w:rsidRDefault="00036FAC" w:rsidP="006C436C">
      <w:pPr>
        <w:pStyle w:val="H23G"/>
      </w:pPr>
      <w:bookmarkStart w:id="184" w:name="_Toc114894978"/>
      <w:bookmarkStart w:id="185" w:name="_Toc114895869"/>
      <w:bookmarkStart w:id="186" w:name="_Toc115493414"/>
      <w:bookmarkStart w:id="187" w:name="_Toc115493758"/>
      <w:bookmarkStart w:id="188" w:name="_Toc115493833"/>
      <w:bookmarkStart w:id="189" w:name="_Toc118100629"/>
      <w:bookmarkStart w:id="190" w:name="_Toc125278915"/>
      <w:r w:rsidRPr="00036FAC">
        <w:tab/>
        <w:t>(b)</w:t>
      </w:r>
      <w:r w:rsidRPr="00036FAC">
        <w:tab/>
        <w:t>Human</w:t>
      </w:r>
      <w:r w:rsidR="00907D8C">
        <w:t xml:space="preserve"> </w:t>
      </w:r>
      <w:r w:rsidRPr="00036FAC">
        <w:t>Rights</w:t>
      </w:r>
      <w:r w:rsidR="00907D8C">
        <w:t xml:space="preserve"> </w:t>
      </w:r>
      <w:r w:rsidRPr="00036FAC">
        <w:t>Act</w:t>
      </w:r>
      <w:r w:rsidR="00907D8C">
        <w:t xml:space="preserve"> </w:t>
      </w:r>
      <w:r w:rsidRPr="00036FAC">
        <w:t>1993</w:t>
      </w:r>
      <w:bookmarkEnd w:id="184"/>
      <w:bookmarkEnd w:id="185"/>
      <w:bookmarkEnd w:id="186"/>
      <w:bookmarkEnd w:id="187"/>
      <w:bookmarkEnd w:id="188"/>
      <w:bookmarkEnd w:id="189"/>
      <w:bookmarkEnd w:id="190"/>
    </w:p>
    <w:p w:rsidR="00036FAC" w:rsidRPr="00036FAC" w:rsidRDefault="00036FAC" w:rsidP="00B85D72">
      <w:pPr>
        <w:pStyle w:val="SingleTxtG"/>
      </w:pPr>
      <w:r w:rsidRPr="00036FAC">
        <w:t>179.</w:t>
      </w:r>
      <w:r w:rsidRPr="00036FAC">
        <w:tab/>
        <w:t>This</w:t>
      </w:r>
      <w:r w:rsidR="00907D8C">
        <w:t xml:space="preserve"> </w:t>
      </w:r>
      <w:r w:rsidRPr="00036FAC">
        <w:t>Act</w:t>
      </w:r>
      <w:r w:rsidR="00907D8C">
        <w:t xml:space="preserve"> </w:t>
      </w:r>
      <w:r w:rsidRPr="00036FAC">
        <w:t>prohibits</w:t>
      </w:r>
      <w:r w:rsidR="00907D8C">
        <w:t xml:space="preserve"> </w:t>
      </w:r>
      <w:r w:rsidRPr="00036FAC">
        <w:t>discrimination</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The</w:t>
      </w:r>
      <w:r w:rsidR="00907D8C">
        <w:t xml:space="preserve"> </w:t>
      </w:r>
      <w:r w:rsidRPr="00036FAC">
        <w:t>Act</w:t>
      </w:r>
      <w:r w:rsidR="00907D8C">
        <w:t xml:space="preserve"> </w:t>
      </w:r>
      <w:r w:rsidRPr="00036FAC">
        <w:t>sets</w:t>
      </w:r>
      <w:r w:rsidR="00907D8C">
        <w:t xml:space="preserve"> </w:t>
      </w:r>
      <w:r w:rsidRPr="00036FAC">
        <w:t>out</w:t>
      </w:r>
      <w:r w:rsidR="00907D8C">
        <w:t xml:space="preserve"> </w:t>
      </w:r>
      <w:r w:rsidRPr="00036FAC">
        <w:t>13</w:t>
      </w:r>
      <w:r w:rsidR="00907D8C">
        <w:t xml:space="preserve"> </w:t>
      </w:r>
      <w:r w:rsidRPr="00036FAC">
        <w:t>prohibited</w:t>
      </w:r>
      <w:r w:rsidR="00907D8C">
        <w:t xml:space="preserve"> </w:t>
      </w:r>
      <w:r w:rsidRPr="00036FAC">
        <w:t>grounds</w:t>
      </w:r>
      <w:r w:rsidR="00907D8C">
        <w:t xml:space="preserve"> </w:t>
      </w:r>
      <w:r w:rsidRPr="00036FAC">
        <w:t>of</w:t>
      </w:r>
      <w:r w:rsidR="00907D8C">
        <w:t xml:space="preserve"> </w:t>
      </w:r>
      <w:r w:rsidRPr="00036FAC">
        <w:t>discrimination:</w:t>
      </w:r>
      <w:r w:rsidR="00907D8C">
        <w:t xml:space="preserve"> </w:t>
      </w:r>
      <w:r w:rsidRPr="00036FAC">
        <w:t>sex,</w:t>
      </w:r>
      <w:r w:rsidR="00907D8C">
        <w:t xml:space="preserve"> </w:t>
      </w:r>
      <w:r w:rsidRPr="00036FAC">
        <w:t>marital</w:t>
      </w:r>
      <w:r w:rsidR="00907D8C">
        <w:t xml:space="preserve"> </w:t>
      </w:r>
      <w:r w:rsidRPr="00036FAC">
        <w:t>status,</w:t>
      </w:r>
      <w:r w:rsidR="00907D8C">
        <w:t xml:space="preserve"> </w:t>
      </w:r>
      <w:r w:rsidRPr="00036FAC">
        <w:t>religious</w:t>
      </w:r>
      <w:r w:rsidR="00907D8C">
        <w:t xml:space="preserve"> </w:t>
      </w:r>
      <w:r w:rsidRPr="00036FAC">
        <w:t>belief,</w:t>
      </w:r>
      <w:r w:rsidR="00907D8C">
        <w:t xml:space="preserve"> </w:t>
      </w:r>
      <w:r w:rsidRPr="00036FAC">
        <w:t>ethical</w:t>
      </w:r>
      <w:r w:rsidR="00907D8C">
        <w:t xml:space="preserve"> </w:t>
      </w:r>
      <w:r w:rsidRPr="00036FAC">
        <w:t>belief,</w:t>
      </w:r>
      <w:r w:rsidR="00907D8C">
        <w:t xml:space="preserve"> </w:t>
      </w:r>
      <w:r w:rsidRPr="00036FAC">
        <w:t>colour,</w:t>
      </w:r>
      <w:r w:rsidR="00907D8C">
        <w:t xml:space="preserve"> </w:t>
      </w:r>
      <w:r w:rsidRPr="00036FAC">
        <w:t>race,</w:t>
      </w:r>
      <w:r w:rsidR="00907D8C">
        <w:t xml:space="preserve"> </w:t>
      </w:r>
      <w:r w:rsidRPr="00036FAC">
        <w:t>ethnic</w:t>
      </w:r>
      <w:r w:rsidR="00907D8C">
        <w:t xml:space="preserve"> </w:t>
      </w:r>
      <w:r w:rsidRPr="00036FAC">
        <w:t>or</w:t>
      </w:r>
      <w:r w:rsidR="00907D8C">
        <w:t xml:space="preserve"> </w:t>
      </w:r>
      <w:r w:rsidRPr="00036FAC">
        <w:t>national</w:t>
      </w:r>
      <w:r w:rsidR="00907D8C">
        <w:t xml:space="preserve"> </w:t>
      </w:r>
      <w:r w:rsidRPr="00036FAC">
        <w:t>origin,</w:t>
      </w:r>
      <w:r w:rsidR="00907D8C">
        <w:t xml:space="preserve"> </w:t>
      </w:r>
      <w:r w:rsidRPr="00036FAC">
        <w:t>disability</w:t>
      </w:r>
      <w:r w:rsidR="00907D8C">
        <w:t xml:space="preserve"> </w:t>
      </w:r>
      <w:r w:rsidRPr="00036FAC">
        <w:t>(including</w:t>
      </w:r>
      <w:r w:rsidR="00907D8C">
        <w:t xml:space="preserve"> </w:t>
      </w:r>
      <w:r w:rsidRPr="00036FAC">
        <w:t>illness),</w:t>
      </w:r>
      <w:r w:rsidR="00907D8C">
        <w:t xml:space="preserve"> </w:t>
      </w:r>
      <w:r w:rsidRPr="00036FAC">
        <w:t>age,</w:t>
      </w:r>
      <w:r w:rsidR="00907D8C">
        <w:t xml:space="preserve"> </w:t>
      </w:r>
      <w:r w:rsidRPr="00036FAC">
        <w:t>political</w:t>
      </w:r>
      <w:r w:rsidR="00907D8C">
        <w:t xml:space="preserve"> </w:t>
      </w:r>
      <w:r w:rsidRPr="00036FAC">
        <w:t>opinion,</w:t>
      </w:r>
      <w:r w:rsidR="00907D8C">
        <w:t xml:space="preserve"> </w:t>
      </w:r>
      <w:r w:rsidRPr="00036FAC">
        <w:t>employment</w:t>
      </w:r>
      <w:r w:rsidR="00907D8C">
        <w:t xml:space="preserve"> </w:t>
      </w:r>
      <w:r w:rsidRPr="00036FAC">
        <w:t>status,</w:t>
      </w:r>
      <w:r w:rsidR="00907D8C">
        <w:t xml:space="preserve"> </w:t>
      </w:r>
      <w:r w:rsidRPr="00036FAC">
        <w:t>family</w:t>
      </w:r>
      <w:r w:rsidR="00907D8C">
        <w:t xml:space="preserve"> </w:t>
      </w:r>
      <w:r w:rsidRPr="00036FAC">
        <w:t>status,</w:t>
      </w:r>
      <w:r w:rsidR="00907D8C">
        <w:t xml:space="preserve"> </w:t>
      </w:r>
      <w:r w:rsidRPr="00036FAC">
        <w:t>and</w:t>
      </w:r>
      <w:r w:rsidR="00907D8C">
        <w:t xml:space="preserve"> </w:t>
      </w:r>
      <w:r w:rsidRPr="00036FAC">
        <w:t>sexual</w:t>
      </w:r>
      <w:r w:rsidR="00907D8C">
        <w:t xml:space="preserve"> </w:t>
      </w:r>
      <w:r w:rsidRPr="00036FAC">
        <w:t>orientation.</w:t>
      </w:r>
      <w:r w:rsidR="00907D8C">
        <w:t xml:space="preserve"> </w:t>
      </w:r>
      <w:r w:rsidRPr="00036FAC">
        <w:t>The</w:t>
      </w:r>
      <w:r w:rsidR="00907D8C">
        <w:t xml:space="preserve"> </w:t>
      </w:r>
      <w:r w:rsidR="003E4D94">
        <w:t>age-</w:t>
      </w:r>
      <w:r w:rsidRPr="00036FAC">
        <w:t>discrimination</w:t>
      </w:r>
      <w:r w:rsidR="00907D8C">
        <w:t xml:space="preserve"> </w:t>
      </w:r>
      <w:r w:rsidRPr="00036FAC">
        <w:t>provisions</w:t>
      </w:r>
      <w:r w:rsidR="00907D8C">
        <w:t xml:space="preserve"> </w:t>
      </w:r>
      <w:r w:rsidRPr="00036FAC">
        <w:t>of</w:t>
      </w:r>
      <w:r w:rsidR="00907D8C">
        <w:t xml:space="preserve"> </w:t>
      </w:r>
      <w:r w:rsidRPr="00036FAC">
        <w:t>the</w:t>
      </w:r>
      <w:r w:rsidR="00907D8C">
        <w:t xml:space="preserve"> </w:t>
      </w:r>
      <w:r w:rsidRPr="00036FAC">
        <w:t>Act</w:t>
      </w:r>
      <w:r w:rsidR="00907D8C">
        <w:t xml:space="preserve"> </w:t>
      </w:r>
      <w:r w:rsidRPr="00036FAC">
        <w:t>relate</w:t>
      </w:r>
      <w:r w:rsidR="00907D8C">
        <w:t xml:space="preserve"> </w:t>
      </w:r>
      <w:r w:rsidRPr="00036FAC">
        <w:t>to</w:t>
      </w:r>
      <w:r w:rsidR="00907D8C">
        <w:t xml:space="preserve"> </w:t>
      </w:r>
      <w:r w:rsidRPr="00036FAC">
        <w:t>people</w:t>
      </w:r>
      <w:r w:rsidR="00907D8C">
        <w:t xml:space="preserve"> </w:t>
      </w:r>
      <w:r w:rsidRPr="00036FAC">
        <w:t>16</w:t>
      </w:r>
      <w:r w:rsidR="00907D8C">
        <w:t xml:space="preserve"> </w:t>
      </w:r>
      <w:r w:rsidRPr="00036FAC">
        <w:t>years</w:t>
      </w:r>
      <w:r w:rsidR="00907D8C">
        <w:t xml:space="preserve"> </w:t>
      </w:r>
      <w:r w:rsidRPr="00036FAC">
        <w:t>of</w:t>
      </w:r>
      <w:r w:rsidR="00907D8C">
        <w:t xml:space="preserve"> </w:t>
      </w:r>
      <w:r w:rsidRPr="00036FAC">
        <w:t>age</w:t>
      </w:r>
      <w:r w:rsidR="00907D8C">
        <w:t xml:space="preserve"> </w:t>
      </w:r>
      <w:r w:rsidRPr="00036FAC">
        <w:t>or</w:t>
      </w:r>
      <w:r w:rsidR="00907D8C">
        <w:t xml:space="preserve"> </w:t>
      </w:r>
      <w:r w:rsidRPr="00036FAC">
        <w:t>older.</w:t>
      </w:r>
      <w:r w:rsidR="00907D8C">
        <w:t xml:space="preserve"> </w:t>
      </w:r>
      <w:r w:rsidRPr="00036FAC">
        <w:t>Part</w:t>
      </w:r>
      <w:r w:rsidR="00907D8C">
        <w:t xml:space="preserve"> </w:t>
      </w:r>
      <w:r w:rsidRPr="00036FAC">
        <w:t>1A</w:t>
      </w:r>
      <w:r w:rsidR="00907D8C">
        <w:t xml:space="preserve"> </w:t>
      </w:r>
      <w:r w:rsidRPr="00036FAC">
        <w:t>of</w:t>
      </w:r>
      <w:r w:rsidR="00907D8C">
        <w:t xml:space="preserve"> </w:t>
      </w:r>
      <w:r w:rsidRPr="00036FAC">
        <w:t>the</w:t>
      </w:r>
      <w:r w:rsidR="00907D8C">
        <w:t xml:space="preserve"> </w:t>
      </w:r>
      <w:r w:rsidRPr="00036FAC">
        <w:t>Act</w:t>
      </w:r>
      <w:r w:rsidR="00907D8C">
        <w:t xml:space="preserve"> </w:t>
      </w:r>
      <w:r w:rsidRPr="00036FAC">
        <w:t>sets</w:t>
      </w:r>
      <w:r w:rsidR="00907D8C">
        <w:t xml:space="preserve"> </w:t>
      </w:r>
      <w:r w:rsidRPr="00036FAC">
        <w:t>out</w:t>
      </w:r>
      <w:r w:rsidR="00907D8C">
        <w:t xml:space="preserve"> </w:t>
      </w:r>
      <w:r w:rsidRPr="00036FAC">
        <w:t>the</w:t>
      </w:r>
      <w:r w:rsidR="00907D8C">
        <w:t xml:space="preserve"> </w:t>
      </w:r>
      <w:r w:rsidRPr="00036FAC">
        <w:t>non-discrimination</w:t>
      </w:r>
      <w:r w:rsidR="00907D8C">
        <w:t xml:space="preserve"> </w:t>
      </w:r>
      <w:r w:rsidRPr="00036FAC">
        <w:t>standard</w:t>
      </w:r>
      <w:r w:rsidR="00907D8C">
        <w:t xml:space="preserve"> </w:t>
      </w:r>
      <w:r w:rsidRPr="00036FAC">
        <w:t>(under</w:t>
      </w:r>
      <w:r w:rsidR="00907D8C">
        <w:t xml:space="preserve"> </w:t>
      </w:r>
      <w:r w:rsidRPr="00036FAC">
        <w:t>section</w:t>
      </w:r>
      <w:r w:rsidR="00907D8C">
        <w:t xml:space="preserve"> </w:t>
      </w:r>
      <w:r w:rsidRPr="00036FAC">
        <w:t>19</w:t>
      </w:r>
      <w:r w:rsidR="00B85D72">
        <w:t xml:space="preserve"> </w:t>
      </w:r>
      <w:r w:rsidRPr="00036FAC">
        <w:t>(1)</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that</w:t>
      </w:r>
      <w:r w:rsidR="00907D8C">
        <w:t xml:space="preserve"> </w:t>
      </w:r>
      <w:r w:rsidRPr="00036FAC">
        <w:t>applies</w:t>
      </w:r>
      <w:r w:rsidR="00907D8C">
        <w:t xml:space="preserve"> </w:t>
      </w:r>
      <w:r w:rsidRPr="00036FAC">
        <w:t>in</w:t>
      </w:r>
      <w:r w:rsidR="00907D8C">
        <w:t xml:space="preserve"> </w:t>
      </w:r>
      <w:r w:rsidRPr="00036FAC">
        <w:t>the</w:t>
      </w:r>
      <w:r w:rsidR="00907D8C">
        <w:t xml:space="preserve"> </w:t>
      </w:r>
      <w:r w:rsidRPr="00036FAC">
        <w:t>public</w:t>
      </w:r>
      <w:r w:rsidR="00907D8C">
        <w:t xml:space="preserve"> </w:t>
      </w:r>
      <w:r w:rsidRPr="00036FAC">
        <w:t>sector.</w:t>
      </w:r>
      <w:r w:rsidR="00907D8C">
        <w:t xml:space="preserve"> </w:t>
      </w:r>
      <w:r w:rsidRPr="00036FAC">
        <w:t>Part</w:t>
      </w:r>
      <w:r w:rsidR="00907D8C">
        <w:t xml:space="preserve"> </w:t>
      </w:r>
      <w:r w:rsidRPr="00036FAC">
        <w:t>II</w:t>
      </w:r>
      <w:r w:rsidR="00907D8C">
        <w:t xml:space="preserve"> </w:t>
      </w:r>
      <w:r w:rsidRPr="00036FAC">
        <w:t>sets</w:t>
      </w:r>
      <w:r w:rsidR="00907D8C">
        <w:t xml:space="preserve"> </w:t>
      </w:r>
      <w:r w:rsidRPr="00036FAC">
        <w:t>out</w:t>
      </w:r>
      <w:r w:rsidR="00907D8C">
        <w:t xml:space="preserve"> </w:t>
      </w:r>
      <w:r w:rsidRPr="00036FAC">
        <w:t>the</w:t>
      </w:r>
      <w:r w:rsidR="00907D8C">
        <w:t xml:space="preserve"> </w:t>
      </w:r>
      <w:r w:rsidRPr="00036FAC">
        <w:t>non-discrimination</w:t>
      </w:r>
      <w:r w:rsidR="00907D8C">
        <w:t xml:space="preserve"> </w:t>
      </w:r>
      <w:r w:rsidRPr="00036FAC">
        <w:t>standard</w:t>
      </w:r>
      <w:r w:rsidR="00907D8C">
        <w:t xml:space="preserve"> </w:t>
      </w:r>
      <w:r w:rsidRPr="00036FAC">
        <w:t>in</w:t>
      </w:r>
      <w:r w:rsidR="00907D8C">
        <w:t xml:space="preserve"> </w:t>
      </w:r>
      <w:r w:rsidRPr="00036FAC">
        <w:t>both</w:t>
      </w:r>
      <w:r w:rsidR="00907D8C">
        <w:t xml:space="preserve"> </w:t>
      </w:r>
      <w:r w:rsidRPr="00036FAC">
        <w:t>the</w:t>
      </w:r>
      <w:r w:rsidR="00907D8C">
        <w:t xml:space="preserve"> </w:t>
      </w:r>
      <w:r w:rsidRPr="00036FAC">
        <w:t>private</w:t>
      </w:r>
      <w:r w:rsidR="00907D8C">
        <w:t xml:space="preserve"> </w:t>
      </w:r>
      <w:r w:rsidRPr="00036FAC">
        <w:t>and</w:t>
      </w:r>
      <w:r w:rsidR="00907D8C">
        <w:t xml:space="preserve"> </w:t>
      </w:r>
      <w:r w:rsidRPr="00036FAC">
        <w:t>public</w:t>
      </w:r>
      <w:r w:rsidR="00907D8C">
        <w:t xml:space="preserve"> </w:t>
      </w:r>
      <w:r w:rsidRPr="00036FAC">
        <w:t>sectors</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employment,</w:t>
      </w:r>
      <w:r w:rsidR="00907D8C">
        <w:t xml:space="preserve"> </w:t>
      </w:r>
      <w:r w:rsidRPr="00036FAC">
        <w:t>sexual</w:t>
      </w:r>
      <w:r w:rsidR="00907D8C">
        <w:t xml:space="preserve"> </w:t>
      </w:r>
      <w:r w:rsidRPr="00036FAC">
        <w:t>harassment,</w:t>
      </w:r>
      <w:r w:rsidR="00907D8C">
        <w:t xml:space="preserve"> </w:t>
      </w:r>
      <w:r w:rsidRPr="00036FAC">
        <w:t>racial</w:t>
      </w:r>
      <w:r w:rsidR="00907D8C">
        <w:t xml:space="preserve"> </w:t>
      </w:r>
      <w:r w:rsidRPr="00036FAC">
        <w:t>disharmony,</w:t>
      </w:r>
      <w:r w:rsidR="00907D8C">
        <w:t xml:space="preserve"> </w:t>
      </w:r>
      <w:r w:rsidRPr="00036FAC">
        <w:t>racial</w:t>
      </w:r>
      <w:r w:rsidR="00907D8C">
        <w:t xml:space="preserve"> </w:t>
      </w:r>
      <w:r w:rsidRPr="00036FAC">
        <w:t>harassment,</w:t>
      </w:r>
      <w:r w:rsidR="00907D8C">
        <w:t xml:space="preserve"> </w:t>
      </w:r>
      <w:r w:rsidRPr="00036FAC">
        <w:t>and</w:t>
      </w:r>
      <w:r w:rsidR="00907D8C">
        <w:t xml:space="preserve"> </w:t>
      </w:r>
      <w:r w:rsidRPr="00036FAC">
        <w:t>victimisation.</w:t>
      </w:r>
      <w:r w:rsidR="00907D8C">
        <w:t xml:space="preserve"> </w:t>
      </w:r>
      <w:r w:rsidRPr="00036FAC">
        <w:t>It</w:t>
      </w:r>
      <w:r w:rsidR="00907D8C">
        <w:t xml:space="preserve"> </w:t>
      </w:r>
      <w:r w:rsidRPr="00036FAC">
        <w:t>also</w:t>
      </w:r>
      <w:r w:rsidR="00907D8C">
        <w:t xml:space="preserve"> </w:t>
      </w:r>
      <w:r w:rsidRPr="00036FAC">
        <w:t>provides</w:t>
      </w:r>
      <w:r w:rsidR="00907D8C">
        <w:t xml:space="preserve"> </w:t>
      </w:r>
      <w:r w:rsidRPr="00036FAC">
        <w:t>for</w:t>
      </w:r>
      <w:r w:rsidR="00907D8C">
        <w:t xml:space="preserve"> </w:t>
      </w:r>
      <w:r w:rsidRPr="00036FAC">
        <w:t>exceptions</w:t>
      </w:r>
      <w:r w:rsidR="00907D8C">
        <w:t xml:space="preserve"> </w:t>
      </w:r>
      <w:r w:rsidRPr="00036FAC">
        <w:t>to</w:t>
      </w:r>
      <w:r w:rsidR="00907D8C">
        <w:t xml:space="preserve"> </w:t>
      </w:r>
      <w:r w:rsidRPr="00036FAC">
        <w:t>the</w:t>
      </w:r>
      <w:r w:rsidR="00907D8C">
        <w:t xml:space="preserve"> </w:t>
      </w:r>
      <w:r w:rsidRPr="00036FAC">
        <w:t>prohibition</w:t>
      </w:r>
      <w:r w:rsidR="00907D8C">
        <w:t xml:space="preserve"> </w:t>
      </w:r>
      <w:r w:rsidRPr="00036FAC">
        <w:t>of</w:t>
      </w:r>
      <w:r w:rsidR="00907D8C">
        <w:t xml:space="preserve"> </w:t>
      </w:r>
      <w:r w:rsidRPr="00036FAC">
        <w:t>discrimination</w:t>
      </w:r>
      <w:r w:rsidR="00907D8C">
        <w:t xml:space="preserve"> </w:t>
      </w:r>
      <w:r w:rsidRPr="00036FAC">
        <w:t>and</w:t>
      </w:r>
      <w:r w:rsidR="00907D8C">
        <w:t xml:space="preserve"> </w:t>
      </w:r>
      <w:r w:rsidRPr="00036FAC">
        <w:t>lists</w:t>
      </w:r>
      <w:r w:rsidR="00907D8C">
        <w:t xml:space="preserve"> </w:t>
      </w:r>
      <w:r w:rsidRPr="00036FAC">
        <w:t>the</w:t>
      </w:r>
      <w:r w:rsidR="00907D8C">
        <w:t xml:space="preserve"> </w:t>
      </w:r>
      <w:r w:rsidRPr="00036FAC">
        <w:t>situations</w:t>
      </w:r>
      <w:r w:rsidR="00907D8C">
        <w:t xml:space="preserve"> </w:t>
      </w:r>
      <w:r w:rsidRPr="00036FAC">
        <w:t>in</w:t>
      </w:r>
      <w:r w:rsidR="00907D8C">
        <w:t xml:space="preserve"> </w:t>
      </w:r>
      <w:r w:rsidRPr="00036FAC">
        <w:t>which</w:t>
      </w:r>
      <w:r w:rsidR="00907D8C">
        <w:t xml:space="preserve"> </w:t>
      </w:r>
      <w:r w:rsidRPr="00036FAC">
        <w:t>the</w:t>
      </w:r>
      <w:r w:rsidR="00907D8C">
        <w:t xml:space="preserve"> </w:t>
      </w:r>
      <w:r w:rsidRPr="00036FAC">
        <w:t>prohibition</w:t>
      </w:r>
      <w:r w:rsidR="00907D8C">
        <w:t xml:space="preserve"> </w:t>
      </w:r>
      <w:r w:rsidRPr="00036FAC">
        <w:t>applies.</w:t>
      </w:r>
    </w:p>
    <w:p w:rsidR="00036FAC" w:rsidRPr="00036FAC" w:rsidRDefault="00036FAC" w:rsidP="00B85D72">
      <w:pPr>
        <w:pStyle w:val="SingleTxtG"/>
      </w:pPr>
      <w:r w:rsidRPr="00036FAC">
        <w:t>180.</w:t>
      </w:r>
      <w:r w:rsidRPr="00036FAC">
        <w:tab/>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further</w:t>
      </w:r>
      <w:r w:rsidR="00907D8C">
        <w:t xml:space="preserve"> </w:t>
      </w:r>
      <w:r w:rsidRPr="00036FAC">
        <w:t>provides</w:t>
      </w:r>
      <w:r w:rsidR="00907D8C">
        <w:t xml:space="preserve"> </w:t>
      </w:r>
      <w:r w:rsidRPr="00036FAC">
        <w:t>for</w:t>
      </w:r>
      <w:r w:rsidR="00907D8C">
        <w:t xml:space="preserve"> </w:t>
      </w:r>
      <w:r w:rsidRPr="00036FAC">
        <w:t>the</w:t>
      </w:r>
      <w:r w:rsidR="00907D8C">
        <w:t xml:space="preserve"> </w:t>
      </w:r>
      <w:r w:rsidRPr="00036FAC">
        <w:t>structure</w:t>
      </w:r>
      <w:r w:rsidR="00907D8C">
        <w:t xml:space="preserve"> </w:t>
      </w:r>
      <w:r w:rsidRPr="00036FAC">
        <w:t>and</w:t>
      </w:r>
      <w:r w:rsidR="00907D8C">
        <w:t xml:space="preserve"> </w:t>
      </w:r>
      <w:r w:rsidRPr="00036FAC">
        <w:t>mandate</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Human</w:t>
      </w:r>
      <w:r w:rsidR="00907D8C">
        <w:t xml:space="preserve"> </w:t>
      </w:r>
      <w:r w:rsidRPr="00036FAC">
        <w:t>Rights</w:t>
      </w:r>
      <w:r w:rsidR="00907D8C">
        <w:t xml:space="preserve"> </w:t>
      </w:r>
      <w:r w:rsidRPr="00036FAC">
        <w:t>Commission</w:t>
      </w:r>
      <w:r w:rsidR="00907D8C">
        <w:t xml:space="preserve"> </w:t>
      </w:r>
      <w:r w:rsidRPr="00036FAC">
        <w:t>(NZHRC)</w:t>
      </w:r>
      <w:r w:rsidR="00907D8C">
        <w:t xml:space="preserve"> </w:t>
      </w:r>
      <w:r w:rsidRPr="00036FAC">
        <w:t>(discussed</w:t>
      </w:r>
      <w:r w:rsidR="00907D8C">
        <w:t xml:space="preserve"> </w:t>
      </w:r>
      <w:r w:rsidRPr="00036FAC">
        <w:t>later</w:t>
      </w:r>
      <w:r w:rsidR="00907D8C">
        <w:t xml:space="preserve"> </w:t>
      </w:r>
      <w:r w:rsidRPr="00036FAC">
        <w:t>in</w:t>
      </w:r>
      <w:r w:rsidR="00907D8C">
        <w:t xml:space="preserve"> </w:t>
      </w:r>
      <w:r w:rsidRPr="00036FAC">
        <w:t>this</w:t>
      </w:r>
      <w:r w:rsidR="00907D8C">
        <w:t xml:space="preserve"> </w:t>
      </w:r>
      <w:r w:rsidRPr="00036FAC">
        <w:t>report),</w:t>
      </w:r>
      <w:r w:rsidR="00907D8C">
        <w:t xml:space="preserve"> </w:t>
      </w:r>
      <w:r w:rsidRPr="00036FAC">
        <w:t>including</w:t>
      </w:r>
      <w:r w:rsidR="00907D8C">
        <w:t xml:space="preserve"> </w:t>
      </w:r>
      <w:r w:rsidRPr="00036FAC">
        <w:t>the</w:t>
      </w:r>
      <w:r w:rsidR="00907D8C">
        <w:t xml:space="preserve"> </w:t>
      </w:r>
      <w:r w:rsidRPr="00036FAC">
        <w:t>appointment</w:t>
      </w:r>
      <w:r w:rsidR="00907D8C">
        <w:t xml:space="preserve"> </w:t>
      </w:r>
      <w:r w:rsidRPr="00036FAC">
        <w:t>of</w:t>
      </w:r>
      <w:r w:rsidR="00907D8C">
        <w:t xml:space="preserve"> </w:t>
      </w:r>
      <w:r w:rsidRPr="00036FAC">
        <w:t>a</w:t>
      </w:r>
      <w:r w:rsidR="00907D8C">
        <w:t xml:space="preserve"> </w:t>
      </w:r>
      <w:r w:rsidRPr="00036FAC">
        <w:t>full-time</w:t>
      </w:r>
      <w:r w:rsidR="00907D8C">
        <w:t xml:space="preserve"> </w:t>
      </w:r>
      <w:r w:rsidRPr="00036FAC">
        <w:t>Chief</w:t>
      </w:r>
      <w:r w:rsidR="00907D8C">
        <w:t xml:space="preserve"> </w:t>
      </w:r>
      <w:r w:rsidRPr="00036FAC">
        <w:t>Human</w:t>
      </w:r>
      <w:r w:rsidR="00907D8C">
        <w:t xml:space="preserve"> </w:t>
      </w:r>
      <w:r w:rsidRPr="00036FAC">
        <w:t>Rights</w:t>
      </w:r>
      <w:r w:rsidR="00907D8C">
        <w:t xml:space="preserve"> </w:t>
      </w:r>
      <w:r w:rsidRPr="00036FAC">
        <w:t>Commissioner,</w:t>
      </w:r>
      <w:r w:rsidR="00907D8C">
        <w:t xml:space="preserve"> </w:t>
      </w:r>
      <w:r w:rsidRPr="00036FAC">
        <w:t>Race</w:t>
      </w:r>
      <w:r w:rsidR="00907D8C">
        <w:t xml:space="preserve"> </w:t>
      </w:r>
      <w:r w:rsidRPr="00036FAC">
        <w:t>Relations</w:t>
      </w:r>
      <w:r w:rsidR="00907D8C">
        <w:t xml:space="preserve"> </w:t>
      </w:r>
      <w:r w:rsidRPr="00036FAC">
        <w:t>Commissioner,</w:t>
      </w:r>
      <w:r w:rsidR="00907D8C">
        <w:t xml:space="preserve"> </w:t>
      </w:r>
      <w:r w:rsidRPr="00036FAC">
        <w:t>Equal</w:t>
      </w:r>
      <w:r w:rsidR="00907D8C">
        <w:t xml:space="preserve"> </w:t>
      </w:r>
      <w:r w:rsidRPr="00036FAC">
        <w:t>Employment</w:t>
      </w:r>
      <w:r w:rsidR="00907D8C">
        <w:t xml:space="preserve"> </w:t>
      </w:r>
      <w:r w:rsidRPr="00036FAC">
        <w:t>Opportunities</w:t>
      </w:r>
      <w:r w:rsidR="00907D8C">
        <w:t xml:space="preserve"> </w:t>
      </w:r>
      <w:r w:rsidRPr="00036FAC">
        <w:t>Commissioner,</w:t>
      </w:r>
      <w:r w:rsidR="00907D8C">
        <w:t xml:space="preserve"> </w:t>
      </w:r>
      <w:r w:rsidRPr="00036FAC">
        <w:t>and</w:t>
      </w:r>
      <w:r w:rsidR="00907D8C">
        <w:t xml:space="preserve"> </w:t>
      </w:r>
      <w:r w:rsidRPr="00036FAC">
        <w:t>up</w:t>
      </w:r>
      <w:r w:rsidR="00907D8C">
        <w:t xml:space="preserve"> </w:t>
      </w:r>
      <w:r w:rsidRPr="00036FAC">
        <w:t>to</w:t>
      </w:r>
      <w:r w:rsidR="00907D8C">
        <w:t xml:space="preserve"> </w:t>
      </w:r>
      <w:r w:rsidRPr="00036FAC">
        <w:t>five</w:t>
      </w:r>
      <w:r w:rsidR="00907D8C">
        <w:t xml:space="preserve"> </w:t>
      </w:r>
      <w:r w:rsidRPr="00036FAC">
        <w:t>part</w:t>
      </w:r>
      <w:r w:rsidR="003E4D94">
        <w:t>-</w:t>
      </w:r>
      <w:r w:rsidRPr="00036FAC">
        <w:t>time</w:t>
      </w:r>
      <w:r w:rsidR="00907D8C">
        <w:t xml:space="preserve"> </w:t>
      </w:r>
      <w:r w:rsidRPr="00036FAC">
        <w:t>Commissioners.</w:t>
      </w:r>
      <w:r w:rsidR="00907D8C">
        <w:t xml:space="preserve"> </w:t>
      </w:r>
      <w:r w:rsidRPr="00036FAC">
        <w:t>It</w:t>
      </w:r>
      <w:r w:rsidR="00907D8C">
        <w:t xml:space="preserve"> </w:t>
      </w:r>
      <w:r w:rsidRPr="00036FAC">
        <w:t>established</w:t>
      </w:r>
      <w:r w:rsidR="00907D8C">
        <w:t xml:space="preserve"> </w:t>
      </w:r>
      <w:r w:rsidRPr="00036FAC">
        <w:t>an</w:t>
      </w:r>
      <w:r w:rsidR="00907D8C">
        <w:t xml:space="preserve"> </w:t>
      </w:r>
      <w:r w:rsidRPr="00036FAC">
        <w:t>independent</w:t>
      </w:r>
      <w:r w:rsidR="00907D8C">
        <w:t xml:space="preserve"> </w:t>
      </w:r>
      <w:r w:rsidRPr="00036FAC">
        <w:t>Office</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Proceedings</w:t>
      </w:r>
      <w:r w:rsidR="00907D8C">
        <w:t xml:space="preserve"> </w:t>
      </w:r>
      <w:r w:rsidRPr="00036FAC">
        <w:t>and</w:t>
      </w:r>
      <w:r w:rsidR="00907D8C">
        <w:t xml:space="preserve"> </w:t>
      </w:r>
      <w:r w:rsidRPr="00036FAC">
        <w:t>a</w:t>
      </w:r>
      <w:r w:rsidR="00907D8C">
        <w:t xml:space="preserve"> </w:t>
      </w:r>
      <w:r w:rsidRPr="00036FAC">
        <w:t>procedure</w:t>
      </w:r>
      <w:r w:rsidR="00907D8C">
        <w:t xml:space="preserve"> </w:t>
      </w:r>
      <w:r w:rsidRPr="00036FAC">
        <w:t>for</w:t>
      </w:r>
      <w:r w:rsidR="00907D8C">
        <w:t xml:space="preserve"> </w:t>
      </w:r>
      <w:r w:rsidRPr="00036FAC">
        <w:t>the</w:t>
      </w:r>
      <w:r w:rsidR="00907D8C">
        <w:t xml:space="preserve"> </w:t>
      </w:r>
      <w:r w:rsidRPr="00036FAC">
        <w:t>resolution</w:t>
      </w:r>
      <w:r w:rsidR="00907D8C">
        <w:t xml:space="preserve"> </w:t>
      </w:r>
      <w:r w:rsidRPr="00036FAC">
        <w:t>of</w:t>
      </w:r>
      <w:r w:rsidR="00907D8C">
        <w:t xml:space="preserve"> </w:t>
      </w:r>
      <w:r w:rsidRPr="00036FAC">
        <w:t>disputes</w:t>
      </w:r>
      <w:r w:rsidR="00907D8C">
        <w:t xml:space="preserve"> </w:t>
      </w:r>
      <w:r w:rsidRPr="00036FAC">
        <w:t>about</w:t>
      </w:r>
      <w:r w:rsidR="00907D8C">
        <w:t xml:space="preserve"> </w:t>
      </w:r>
      <w:r w:rsidRPr="00036FAC">
        <w:t>compliance</w:t>
      </w:r>
      <w:r w:rsidR="00907D8C">
        <w:t xml:space="preserve"> </w:t>
      </w:r>
      <w:r w:rsidRPr="00036FAC">
        <w:t>with</w:t>
      </w:r>
      <w:r w:rsidR="00907D8C">
        <w:t xml:space="preserve"> </w:t>
      </w:r>
      <w:r w:rsidRPr="00036FAC">
        <w:t>Parts</w:t>
      </w:r>
      <w:r w:rsidR="00907D8C">
        <w:t xml:space="preserve"> </w:t>
      </w:r>
      <w:r w:rsidRPr="00036FAC">
        <w:t>1A</w:t>
      </w:r>
      <w:r w:rsidR="00907D8C">
        <w:t xml:space="preserve"> </w:t>
      </w:r>
      <w:r w:rsidRPr="00036FAC">
        <w:t>and</w:t>
      </w:r>
      <w:r w:rsidR="00907D8C">
        <w:t xml:space="preserve"> </w:t>
      </w:r>
      <w:r w:rsidRPr="00036FAC">
        <w:t>2</w:t>
      </w:r>
      <w:r w:rsidR="00907D8C">
        <w:t xml:space="preserve"> </w:t>
      </w:r>
      <w:r w:rsidRPr="00036FAC">
        <w:t>of</w:t>
      </w:r>
      <w:r w:rsidR="00907D8C">
        <w:t xml:space="preserve"> </w:t>
      </w:r>
      <w:r w:rsidRPr="00036FAC">
        <w:t>the</w:t>
      </w:r>
      <w:r w:rsidR="00907D8C">
        <w:t xml:space="preserve"> </w:t>
      </w:r>
      <w:r w:rsidRPr="00036FAC">
        <w:t>Act,</w:t>
      </w:r>
      <w:r w:rsidR="00907D8C">
        <w:t xml:space="preserve"> </w:t>
      </w:r>
      <w:r w:rsidRPr="00036FAC">
        <w:t>including</w:t>
      </w:r>
      <w:r w:rsidR="00907D8C">
        <w:t xml:space="preserve"> </w:t>
      </w:r>
      <w:r w:rsidRPr="00036FAC">
        <w:t>the</w:t>
      </w:r>
      <w:r w:rsidR="00907D8C">
        <w:t xml:space="preserve"> </w:t>
      </w:r>
      <w:r w:rsidRPr="00036FAC">
        <w:t>remedies</w:t>
      </w:r>
      <w:r w:rsidR="00907D8C">
        <w:t xml:space="preserve"> </w:t>
      </w:r>
      <w:r w:rsidRPr="00036FAC">
        <w:t>available.</w:t>
      </w:r>
      <w:r w:rsidR="00907D8C">
        <w:t xml:space="preserve"> </w:t>
      </w:r>
      <w:r w:rsidRPr="00036FAC">
        <w:t>The</w:t>
      </w:r>
      <w:r w:rsidR="00907D8C">
        <w:t xml:space="preserve"> </w:t>
      </w:r>
      <w:r w:rsidRPr="00036FAC">
        <w:t>constitution,</w:t>
      </w:r>
      <w:r w:rsidR="00907D8C">
        <w:t xml:space="preserve"> </w:t>
      </w:r>
      <w:r w:rsidRPr="00036FAC">
        <w:t>functions,</w:t>
      </w:r>
      <w:r w:rsidR="00907D8C">
        <w:t xml:space="preserve"> </w:t>
      </w:r>
      <w:r w:rsidRPr="00036FAC">
        <w:t>powers,</w:t>
      </w:r>
      <w:r w:rsidR="00907D8C">
        <w:t xml:space="preserve"> </w:t>
      </w:r>
      <w:r w:rsidRPr="00036FAC">
        <w:t>and</w:t>
      </w:r>
      <w:r w:rsidR="00907D8C">
        <w:t xml:space="preserve"> </w:t>
      </w:r>
      <w:r w:rsidRPr="00036FAC">
        <w:t>procedure</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are</w:t>
      </w:r>
      <w:r w:rsidR="00907D8C">
        <w:t xml:space="preserve"> </w:t>
      </w:r>
      <w:r w:rsidRPr="00036FAC">
        <w:t>defined</w:t>
      </w:r>
      <w:r w:rsidR="00907D8C">
        <w:t xml:space="preserve"> </w:t>
      </w:r>
      <w:r w:rsidRPr="00036FAC">
        <w:t>as</w:t>
      </w:r>
      <w:r w:rsidR="00907D8C">
        <w:t xml:space="preserve"> </w:t>
      </w:r>
      <w:r w:rsidRPr="00036FAC">
        <w:t>are</w:t>
      </w:r>
      <w:r w:rsidR="00907D8C">
        <w:t xml:space="preserve"> </w:t>
      </w:r>
      <w:r w:rsidRPr="00036FAC">
        <w:t>the</w:t>
      </w:r>
      <w:r w:rsidR="00907D8C">
        <w:t xml:space="preserve"> </w:t>
      </w:r>
      <w:r w:rsidRPr="00036FAC">
        <w:t>powers</w:t>
      </w:r>
      <w:r w:rsidR="00907D8C">
        <w:t xml:space="preserve"> </w:t>
      </w:r>
      <w:r w:rsidRPr="00036FAC">
        <w:t>of</w:t>
      </w:r>
      <w:r w:rsidR="00907D8C">
        <w:t xml:space="preserve"> </w:t>
      </w:r>
      <w:r w:rsidRPr="00036FAC">
        <w:t>the</w:t>
      </w:r>
      <w:r w:rsidR="00907D8C">
        <w:t xml:space="preserve"> </w:t>
      </w:r>
      <w:r w:rsidRPr="00036FAC">
        <w:t>NZHRC</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inquiries</w:t>
      </w:r>
      <w:r w:rsidR="00907D8C">
        <w:t xml:space="preserve"> </w:t>
      </w:r>
      <w:r w:rsidRPr="00036FAC">
        <w:t>and</w:t>
      </w:r>
      <w:r w:rsidR="00907D8C">
        <w:t xml:space="preserve"> </w:t>
      </w:r>
      <w:r w:rsidRPr="00036FAC">
        <w:t>the</w:t>
      </w:r>
      <w:r w:rsidR="00907D8C">
        <w:t xml:space="preserve"> </w:t>
      </w:r>
      <w:r w:rsidRPr="00036FAC">
        <w:t>offence</w:t>
      </w:r>
      <w:r w:rsidR="00907D8C">
        <w:t xml:space="preserve"> </w:t>
      </w:r>
      <w:r w:rsidRPr="00036FAC">
        <w:t>of</w:t>
      </w:r>
      <w:r w:rsidR="00907D8C">
        <w:t xml:space="preserve"> </w:t>
      </w:r>
      <w:r w:rsidRPr="00036FAC">
        <w:t>inciting</w:t>
      </w:r>
      <w:r w:rsidR="00907D8C">
        <w:t xml:space="preserve"> </w:t>
      </w:r>
      <w:r w:rsidRPr="00036FAC">
        <w:t>racial</w:t>
      </w:r>
      <w:r w:rsidR="00907D8C">
        <w:t xml:space="preserve"> </w:t>
      </w:r>
      <w:r w:rsidRPr="00036FAC">
        <w:t>disharmony.</w:t>
      </w:r>
      <w:bookmarkStart w:id="191" w:name="_Toc114894979"/>
      <w:bookmarkStart w:id="192" w:name="_Toc114895870"/>
      <w:bookmarkStart w:id="193" w:name="_Toc115493415"/>
      <w:bookmarkStart w:id="194" w:name="_Toc115493759"/>
      <w:bookmarkStart w:id="195" w:name="_Toc115493834"/>
      <w:bookmarkStart w:id="196" w:name="_Toc118100630"/>
      <w:bookmarkStart w:id="197" w:name="_Toc125278916"/>
    </w:p>
    <w:p w:rsidR="00036FAC" w:rsidRPr="00036FAC" w:rsidRDefault="00036FAC" w:rsidP="006C436C">
      <w:pPr>
        <w:pStyle w:val="H23G"/>
      </w:pPr>
      <w:r w:rsidRPr="00036FAC">
        <w:tab/>
        <w:t>(c)</w:t>
      </w:r>
      <w:r w:rsidRPr="00036FAC">
        <w:tab/>
        <w:t>Ombudsmen</w:t>
      </w:r>
      <w:r w:rsidR="00907D8C">
        <w:t xml:space="preserve"> </w:t>
      </w:r>
      <w:r w:rsidRPr="00036FAC">
        <w:t>Act</w:t>
      </w:r>
      <w:r w:rsidR="00907D8C">
        <w:t xml:space="preserve"> </w:t>
      </w:r>
      <w:r w:rsidRPr="00036FAC">
        <w:t>1975</w:t>
      </w:r>
      <w:bookmarkEnd w:id="191"/>
      <w:bookmarkEnd w:id="192"/>
      <w:bookmarkEnd w:id="193"/>
      <w:bookmarkEnd w:id="194"/>
      <w:bookmarkEnd w:id="195"/>
      <w:bookmarkEnd w:id="196"/>
      <w:bookmarkEnd w:id="197"/>
    </w:p>
    <w:p w:rsidR="00036FAC" w:rsidRPr="00036FAC" w:rsidRDefault="00036FAC" w:rsidP="00B85D72">
      <w:pPr>
        <w:pStyle w:val="SingleTxtG"/>
      </w:pPr>
      <w:r w:rsidRPr="00036FAC">
        <w:t>181.</w:t>
      </w:r>
      <w:r w:rsidRPr="00036FAC">
        <w:tab/>
        <w:t>This</w:t>
      </w:r>
      <w:r w:rsidR="00907D8C">
        <w:t xml:space="preserve"> </w:t>
      </w:r>
      <w:r w:rsidRPr="00036FAC">
        <w:t>Act</w:t>
      </w:r>
      <w:r w:rsidR="00907D8C">
        <w:t xml:space="preserve"> </w:t>
      </w:r>
      <w:r w:rsidRPr="00036FAC">
        <w:t>provides</w:t>
      </w:r>
      <w:r w:rsidR="00907D8C">
        <w:t xml:space="preserve"> </w:t>
      </w:r>
      <w:r w:rsidRPr="00036FAC">
        <w:t>for</w:t>
      </w:r>
      <w:r w:rsidR="00907D8C">
        <w:t xml:space="preserve"> </w:t>
      </w:r>
      <w:r w:rsidRPr="00036FAC">
        <w:t>the</w:t>
      </w:r>
      <w:r w:rsidR="00907D8C">
        <w:t xml:space="preserve"> </w:t>
      </w:r>
      <w:r w:rsidRPr="00036FAC">
        <w:t>appointment</w:t>
      </w:r>
      <w:r w:rsidR="00907D8C">
        <w:t xml:space="preserve"> </w:t>
      </w:r>
      <w:r w:rsidRPr="00036FAC">
        <w:t>of</w:t>
      </w:r>
      <w:r w:rsidR="00907D8C">
        <w:t xml:space="preserve"> </w:t>
      </w:r>
      <w:r w:rsidRPr="00036FAC">
        <w:t>Ombudsmen</w:t>
      </w:r>
      <w:r w:rsidR="00907D8C">
        <w:t xml:space="preserve"> </w:t>
      </w:r>
      <w:r w:rsidRPr="00036FAC">
        <w:t>by</w:t>
      </w:r>
      <w:r w:rsidR="00907D8C">
        <w:t xml:space="preserve"> </w:t>
      </w:r>
      <w:r w:rsidRPr="00036FAC">
        <w:t>the</w:t>
      </w:r>
      <w:r w:rsidR="00907D8C">
        <w:t xml:space="preserve"> </w:t>
      </w:r>
      <w:r w:rsidRPr="00036FAC">
        <w:t>Governor-General</w:t>
      </w:r>
      <w:r w:rsidR="00907D8C">
        <w:t xml:space="preserve"> </w:t>
      </w:r>
      <w:r w:rsidRPr="00036FAC">
        <w:t>on</w:t>
      </w:r>
      <w:r w:rsidR="00907D8C">
        <w:t xml:space="preserve"> </w:t>
      </w:r>
      <w:r w:rsidRPr="00036FAC">
        <w:t>the</w:t>
      </w:r>
      <w:r w:rsidR="00907D8C">
        <w:t xml:space="preserve"> </w:t>
      </w:r>
      <w:r w:rsidRPr="00036FAC">
        <w:t>recommendation</w:t>
      </w:r>
      <w:r w:rsidR="00907D8C">
        <w:t xml:space="preserve"> </w:t>
      </w:r>
      <w:r w:rsidRPr="00036FAC">
        <w:t>of</w:t>
      </w:r>
      <w:r w:rsidR="00907D8C">
        <w:t xml:space="preserve"> </w:t>
      </w:r>
      <w:r w:rsidRPr="00036FAC">
        <w:t>the</w:t>
      </w:r>
      <w:r w:rsidR="00907D8C">
        <w:t xml:space="preserve"> </w:t>
      </w:r>
      <w:r w:rsidRPr="00036FAC">
        <w:t>House</w:t>
      </w:r>
      <w:r w:rsidR="00907D8C">
        <w:t xml:space="preserve"> </w:t>
      </w:r>
      <w:r w:rsidRPr="00036FAC">
        <w:t>of</w:t>
      </w:r>
      <w:r w:rsidR="00907D8C">
        <w:t xml:space="preserve"> </w:t>
      </w:r>
      <w:r w:rsidRPr="00036FAC">
        <w:t>Representatives.</w:t>
      </w:r>
      <w:r w:rsidR="00907D8C">
        <w:t xml:space="preserve"> </w:t>
      </w:r>
      <w:r w:rsidRPr="00036FAC">
        <w:t>The</w:t>
      </w:r>
      <w:r w:rsidR="00907D8C">
        <w:t xml:space="preserve"> </w:t>
      </w:r>
      <w:r w:rsidRPr="00036FAC">
        <w:t>Ombudsmen</w:t>
      </w:r>
      <w:r w:rsidR="00907D8C">
        <w:t xml:space="preserve"> </w:t>
      </w:r>
      <w:r w:rsidRPr="00036FAC">
        <w:t>may</w:t>
      </w:r>
      <w:r w:rsidR="00907D8C">
        <w:t xml:space="preserve"> </w:t>
      </w:r>
      <w:r w:rsidRPr="00036FAC">
        <w:t>investigate</w:t>
      </w:r>
      <w:r w:rsidR="00907D8C">
        <w:t xml:space="preserve"> </w:t>
      </w:r>
      <w:r w:rsidRPr="00036FAC">
        <w:t>any</w:t>
      </w:r>
      <w:r w:rsidR="00907D8C">
        <w:t xml:space="preserve"> </w:t>
      </w:r>
      <w:r w:rsidRPr="00036FAC">
        <w:t>decision</w:t>
      </w:r>
      <w:r w:rsidR="00907D8C">
        <w:t xml:space="preserve"> </w:t>
      </w:r>
      <w:r w:rsidRPr="00036FAC">
        <w:t>or</w:t>
      </w:r>
      <w:r w:rsidR="00907D8C">
        <w:t xml:space="preserve"> </w:t>
      </w:r>
      <w:r w:rsidRPr="00036FAC">
        <w:t>recommendation</w:t>
      </w:r>
      <w:r w:rsidR="00907D8C">
        <w:t xml:space="preserve"> </w:t>
      </w:r>
      <w:r w:rsidRPr="00036FAC">
        <w:t>made,</w:t>
      </w:r>
      <w:r w:rsidR="00907D8C">
        <w:t xml:space="preserve"> </w:t>
      </w:r>
      <w:r w:rsidRPr="00036FAC">
        <w:t>or</w:t>
      </w:r>
      <w:r w:rsidR="00907D8C">
        <w:t xml:space="preserve"> </w:t>
      </w:r>
      <w:r w:rsidRPr="00036FAC">
        <w:t>any</w:t>
      </w:r>
      <w:r w:rsidR="00907D8C">
        <w:t xml:space="preserve"> </w:t>
      </w:r>
      <w:r w:rsidRPr="00036FAC">
        <w:t>act</w:t>
      </w:r>
      <w:r w:rsidR="00907D8C">
        <w:t xml:space="preserve"> </w:t>
      </w:r>
      <w:r w:rsidRPr="00036FAC">
        <w:t>done</w:t>
      </w:r>
      <w:r w:rsidR="00907D8C">
        <w:t xml:space="preserve"> </w:t>
      </w:r>
      <w:r w:rsidRPr="00036FAC">
        <w:t>or</w:t>
      </w:r>
      <w:r w:rsidR="00907D8C">
        <w:t xml:space="preserve"> </w:t>
      </w:r>
      <w:r w:rsidRPr="00036FAC">
        <w:t>omitted,</w:t>
      </w:r>
      <w:r w:rsidR="00907D8C">
        <w:t xml:space="preserve"> </w:t>
      </w:r>
      <w:r w:rsidRPr="00036FAC">
        <w:t>relating</w:t>
      </w:r>
      <w:r w:rsidR="00907D8C">
        <w:t xml:space="preserve"> </w:t>
      </w:r>
      <w:r w:rsidRPr="00036FAC">
        <w:t>to</w:t>
      </w:r>
      <w:r w:rsidR="00907D8C">
        <w:t xml:space="preserve"> </w:t>
      </w:r>
      <w:r w:rsidRPr="00036FAC">
        <w:t>a</w:t>
      </w:r>
      <w:r w:rsidR="00907D8C">
        <w:t xml:space="preserve"> </w:t>
      </w:r>
      <w:r w:rsidRPr="00036FAC">
        <w:t>matter</w:t>
      </w:r>
      <w:r w:rsidR="00907D8C">
        <w:t xml:space="preserve"> </w:t>
      </w:r>
      <w:r w:rsidRPr="00036FAC">
        <w:t>of</w:t>
      </w:r>
      <w:r w:rsidR="00907D8C">
        <w:t xml:space="preserve"> </w:t>
      </w:r>
      <w:r w:rsidRPr="00036FAC">
        <w:t>administration</w:t>
      </w:r>
      <w:r w:rsidR="00907D8C">
        <w:t xml:space="preserve"> </w:t>
      </w:r>
      <w:r w:rsidRPr="00036FAC">
        <w:t>and</w:t>
      </w:r>
      <w:r w:rsidR="00907D8C">
        <w:t xml:space="preserve"> </w:t>
      </w:r>
      <w:r w:rsidRPr="00036FAC">
        <w:t>affecting</w:t>
      </w:r>
      <w:r w:rsidR="00907D8C">
        <w:t xml:space="preserve"> </w:t>
      </w:r>
      <w:r w:rsidRPr="00036FAC">
        <w:t>any</w:t>
      </w:r>
      <w:r w:rsidR="00907D8C">
        <w:t xml:space="preserve"> </w:t>
      </w:r>
      <w:r w:rsidRPr="00036FAC">
        <w:t>person</w:t>
      </w:r>
      <w:r w:rsidR="00907D8C">
        <w:t xml:space="preserve"> </w:t>
      </w:r>
      <w:r w:rsidRPr="00036FAC">
        <w:t>or</w:t>
      </w:r>
      <w:r w:rsidR="00907D8C">
        <w:t xml:space="preserve"> </w:t>
      </w:r>
      <w:r w:rsidRPr="00036FAC">
        <w:t>body</w:t>
      </w:r>
      <w:r w:rsidR="00907D8C">
        <w:t xml:space="preserve"> </w:t>
      </w:r>
      <w:r w:rsidRPr="00036FAC">
        <w:t>of</w:t>
      </w:r>
      <w:r w:rsidR="00907D8C">
        <w:t xml:space="preserve"> </w:t>
      </w:r>
      <w:r w:rsidRPr="00036FAC">
        <w:t>persons</w:t>
      </w:r>
      <w:r w:rsidR="00907D8C">
        <w:t xml:space="preserve"> </w:t>
      </w:r>
      <w:r w:rsidRPr="00036FAC">
        <w:t>in</w:t>
      </w:r>
      <w:r w:rsidR="00907D8C">
        <w:t xml:space="preserve"> </w:t>
      </w:r>
      <w:r w:rsidRPr="00036FAC">
        <w:t>her,</w:t>
      </w:r>
      <w:r w:rsidR="00907D8C">
        <w:t xml:space="preserve"> </w:t>
      </w:r>
      <w:r w:rsidRPr="00036FAC">
        <w:t>his,</w:t>
      </w:r>
      <w:r w:rsidR="00907D8C">
        <w:t xml:space="preserve"> </w:t>
      </w:r>
      <w:r w:rsidRPr="00036FAC">
        <w:t>or</w:t>
      </w:r>
      <w:r w:rsidR="00907D8C">
        <w:t xml:space="preserve"> </w:t>
      </w:r>
      <w:r w:rsidRPr="00036FAC">
        <w:t>its</w:t>
      </w:r>
      <w:r w:rsidR="00907D8C">
        <w:t xml:space="preserve"> </w:t>
      </w:r>
      <w:r w:rsidRPr="00036FAC">
        <w:t>personal</w:t>
      </w:r>
      <w:r w:rsidR="00907D8C">
        <w:t xml:space="preserve"> </w:t>
      </w:r>
      <w:r w:rsidRPr="00036FAC">
        <w:t>capacity</w:t>
      </w:r>
      <w:r w:rsidR="00907D8C">
        <w:t xml:space="preserve"> </w:t>
      </w:r>
      <w:r w:rsidRPr="00036FAC">
        <w:t>by</w:t>
      </w:r>
      <w:r w:rsidR="00907D8C">
        <w:t xml:space="preserve"> </w:t>
      </w:r>
      <w:r w:rsidRPr="00036FAC">
        <w:t>any</w:t>
      </w:r>
      <w:r w:rsidR="00907D8C">
        <w:t xml:space="preserve"> </w:t>
      </w:r>
      <w:r w:rsidRPr="00036FAC">
        <w:t>Minister</w:t>
      </w:r>
      <w:r w:rsidR="00907D8C">
        <w:t xml:space="preserve"> </w:t>
      </w:r>
      <w:r w:rsidRPr="00036FAC">
        <w:t>of</w:t>
      </w:r>
      <w:r w:rsidR="00907D8C">
        <w:t xml:space="preserve"> </w:t>
      </w:r>
      <w:r w:rsidRPr="00036FAC">
        <w:t>the</w:t>
      </w:r>
      <w:r w:rsidR="00907D8C">
        <w:t xml:space="preserve"> </w:t>
      </w:r>
      <w:r w:rsidRPr="00036FAC">
        <w:t>Crown,</w:t>
      </w:r>
      <w:r w:rsidR="00907D8C">
        <w:t xml:space="preserve"> </w:t>
      </w:r>
      <w:r w:rsidRPr="00036FAC">
        <w:t>government</w:t>
      </w:r>
      <w:r w:rsidR="00907D8C">
        <w:t xml:space="preserve"> </w:t>
      </w:r>
      <w:r w:rsidRPr="00036FAC">
        <w:t>department,</w:t>
      </w:r>
      <w:r w:rsidR="00907D8C">
        <w:t xml:space="preserve"> </w:t>
      </w:r>
      <w:r w:rsidRPr="00036FAC">
        <w:t>or</w:t>
      </w:r>
      <w:r w:rsidR="00907D8C">
        <w:t xml:space="preserve"> </w:t>
      </w:r>
      <w:r w:rsidRPr="00036FAC">
        <w:t>certain</w:t>
      </w:r>
      <w:r w:rsidR="00907D8C">
        <w:t xml:space="preserve"> </w:t>
      </w:r>
      <w:r w:rsidRPr="00036FAC">
        <w:t>other</w:t>
      </w:r>
      <w:r w:rsidR="00907D8C">
        <w:t xml:space="preserve"> </w:t>
      </w:r>
      <w:r w:rsidRPr="00036FAC">
        <w:t>organisations</w:t>
      </w:r>
      <w:r w:rsidR="00907D8C">
        <w:t xml:space="preserve"> </w:t>
      </w:r>
      <w:r w:rsidRPr="00036FAC">
        <w:t>that</w:t>
      </w:r>
      <w:r w:rsidR="00907D8C">
        <w:t xml:space="preserve"> </w:t>
      </w:r>
      <w:r w:rsidRPr="00036FAC">
        <w:t>are</w:t>
      </w:r>
      <w:r w:rsidR="00907D8C">
        <w:t xml:space="preserve"> </w:t>
      </w:r>
      <w:r w:rsidRPr="00036FAC">
        <w:t>listed</w:t>
      </w:r>
      <w:r w:rsidR="00907D8C">
        <w:t xml:space="preserve"> </w:t>
      </w:r>
      <w:r w:rsidRPr="00036FAC">
        <w:t>in</w:t>
      </w:r>
      <w:r w:rsidR="00907D8C">
        <w:t xml:space="preserve"> </w:t>
      </w:r>
      <w:r w:rsidRPr="00036FAC">
        <w:t>the</w:t>
      </w:r>
      <w:r w:rsidR="00907D8C">
        <w:t xml:space="preserve"> </w:t>
      </w:r>
      <w:r w:rsidRPr="00036FAC">
        <w:t>Schedules</w:t>
      </w:r>
      <w:r w:rsidR="00907D8C">
        <w:t xml:space="preserve"> </w:t>
      </w:r>
      <w:r w:rsidRPr="00036FAC">
        <w:t>of</w:t>
      </w:r>
      <w:r w:rsidR="00907D8C">
        <w:t xml:space="preserve"> </w:t>
      </w:r>
      <w:r w:rsidRPr="00036FAC">
        <w:t>the</w:t>
      </w:r>
      <w:r w:rsidR="00907D8C">
        <w:t xml:space="preserve"> </w:t>
      </w:r>
      <w:r w:rsidRPr="00036FAC">
        <w:t>Act.</w:t>
      </w:r>
      <w:r w:rsidR="00907D8C">
        <w:t xml:space="preserve"> </w:t>
      </w:r>
      <w:r w:rsidRPr="00036FAC">
        <w:t>These</w:t>
      </w:r>
      <w:r w:rsidR="00907D8C">
        <w:t xml:space="preserve"> </w:t>
      </w:r>
      <w:r w:rsidRPr="00036FAC">
        <w:t>investigations</w:t>
      </w:r>
      <w:r w:rsidR="00907D8C">
        <w:t xml:space="preserve"> </w:t>
      </w:r>
      <w:r w:rsidRPr="00036FAC">
        <w:t>occur</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of</w:t>
      </w:r>
      <w:r w:rsidR="00907D8C">
        <w:t xml:space="preserve"> </w:t>
      </w:r>
      <w:r w:rsidRPr="00036FAC">
        <w:t>a</w:t>
      </w:r>
      <w:r w:rsidR="00907D8C">
        <w:t xml:space="preserve"> </w:t>
      </w:r>
      <w:r w:rsidRPr="00036FAC">
        <w:t>complaint</w:t>
      </w:r>
      <w:r w:rsidR="00907D8C">
        <w:t xml:space="preserve"> </w:t>
      </w:r>
      <w:r w:rsidRPr="00036FAC">
        <w:t>from</w:t>
      </w:r>
      <w:r w:rsidR="00907D8C">
        <w:t xml:space="preserve"> </w:t>
      </w:r>
      <w:r w:rsidRPr="00036FAC">
        <w:t>any</w:t>
      </w:r>
      <w:r w:rsidR="00907D8C">
        <w:t xml:space="preserve"> </w:t>
      </w:r>
      <w:r w:rsidRPr="00036FAC">
        <w:t>person</w:t>
      </w:r>
      <w:r w:rsidR="00907D8C">
        <w:t xml:space="preserve"> </w:t>
      </w:r>
      <w:r w:rsidRPr="00036FAC">
        <w:t>or</w:t>
      </w:r>
      <w:r w:rsidR="00907D8C">
        <w:t xml:space="preserve"> </w:t>
      </w:r>
      <w:r w:rsidRPr="00036FAC">
        <w:t>an</w:t>
      </w:r>
      <w:r w:rsidR="00907D8C">
        <w:t xml:space="preserve"> </w:t>
      </w:r>
      <w:r w:rsidRPr="00036FAC">
        <w:t>Ombudsman</w:t>
      </w:r>
      <w:r w:rsidR="003E4D94">
        <w:t>’</w:t>
      </w:r>
      <w:r w:rsidRPr="00036FAC">
        <w:t>s</w:t>
      </w:r>
      <w:r w:rsidR="00907D8C">
        <w:t xml:space="preserve"> </w:t>
      </w:r>
      <w:r w:rsidRPr="00036FAC">
        <w:t>own</w:t>
      </w:r>
      <w:r w:rsidR="00907D8C">
        <w:t xml:space="preserve"> </w:t>
      </w:r>
      <w:r w:rsidRPr="00036FAC">
        <w:t>motion.</w:t>
      </w:r>
      <w:r w:rsidR="00907D8C">
        <w:t xml:space="preserve"> </w:t>
      </w:r>
      <w:r w:rsidRPr="00036FAC">
        <w:t>An</w:t>
      </w:r>
      <w:r w:rsidR="00907D8C">
        <w:t xml:space="preserve"> </w:t>
      </w:r>
      <w:r w:rsidRPr="00036FAC">
        <w:t>Ombudsman</w:t>
      </w:r>
      <w:r w:rsidR="00907D8C">
        <w:t xml:space="preserve"> </w:t>
      </w:r>
      <w:r w:rsidRPr="00036FAC">
        <w:t>may</w:t>
      </w:r>
      <w:r w:rsidR="00907D8C">
        <w:t xml:space="preserve"> </w:t>
      </w:r>
      <w:r w:rsidRPr="00036FAC">
        <w:t>make</w:t>
      </w:r>
      <w:r w:rsidR="00907D8C">
        <w:t xml:space="preserve"> </w:t>
      </w:r>
      <w:r w:rsidRPr="00036FAC">
        <w:t>such</w:t>
      </w:r>
      <w:r w:rsidR="00907D8C">
        <w:t xml:space="preserve"> </w:t>
      </w:r>
      <w:r w:rsidRPr="00036FAC">
        <w:t>recommendations</w:t>
      </w:r>
      <w:r w:rsidR="00907D8C">
        <w:t xml:space="preserve"> </w:t>
      </w:r>
      <w:r w:rsidRPr="00036FAC">
        <w:t>as</w:t>
      </w:r>
      <w:r w:rsidR="00907D8C">
        <w:t xml:space="preserve"> </w:t>
      </w:r>
      <w:r w:rsidRPr="00036FAC">
        <w:t>she</w:t>
      </w:r>
      <w:r w:rsidR="00907D8C">
        <w:t xml:space="preserve"> </w:t>
      </w:r>
      <w:r w:rsidRPr="00036FAC">
        <w:t>or</w:t>
      </w:r>
      <w:r w:rsidR="00907D8C">
        <w:t xml:space="preserve"> </w:t>
      </w:r>
      <w:r w:rsidRPr="00036FAC">
        <w:t>he</w:t>
      </w:r>
      <w:r w:rsidR="00907D8C">
        <w:t xml:space="preserve"> </w:t>
      </w:r>
      <w:r w:rsidRPr="00036FAC">
        <w:t>thinks</w:t>
      </w:r>
      <w:r w:rsidR="00907D8C">
        <w:t xml:space="preserve"> </w:t>
      </w:r>
      <w:r w:rsidRPr="00036FAC">
        <w:t>fit</w:t>
      </w:r>
      <w:r w:rsidR="00907D8C">
        <w:t xml:space="preserve"> </w:t>
      </w:r>
      <w:r w:rsidRPr="00036FAC">
        <w:t>and</w:t>
      </w:r>
      <w:r w:rsidR="00907D8C">
        <w:t xml:space="preserve"> </w:t>
      </w:r>
      <w:r w:rsidRPr="00036FAC">
        <w:t>report</w:t>
      </w:r>
      <w:r w:rsidR="00907D8C">
        <w:t xml:space="preserve"> </w:t>
      </w:r>
      <w:r w:rsidRPr="00036FAC">
        <w:t>these</w:t>
      </w:r>
      <w:r w:rsidR="00907D8C">
        <w:t xml:space="preserve"> </w:t>
      </w:r>
      <w:r w:rsidRPr="00036FAC">
        <w:t>to</w:t>
      </w:r>
      <w:r w:rsidR="00907D8C">
        <w:t xml:space="preserve"> </w:t>
      </w:r>
      <w:r w:rsidRPr="00036FAC">
        <w:t>the</w:t>
      </w:r>
      <w:r w:rsidR="00907D8C">
        <w:t xml:space="preserve"> </w:t>
      </w:r>
      <w:r w:rsidRPr="00036FAC">
        <w:t>appropriate</w:t>
      </w:r>
      <w:r w:rsidR="00907D8C">
        <w:t xml:space="preserve"> </w:t>
      </w:r>
      <w:r w:rsidRPr="00036FAC">
        <w:t>department</w:t>
      </w:r>
      <w:r w:rsidR="00907D8C">
        <w:t xml:space="preserve"> </w:t>
      </w:r>
      <w:r w:rsidRPr="00036FAC">
        <w:t>or</w:t>
      </w:r>
      <w:r w:rsidR="00907D8C">
        <w:t xml:space="preserve"> </w:t>
      </w:r>
      <w:r w:rsidRPr="00036FAC">
        <w:t>organisation.</w:t>
      </w:r>
      <w:r w:rsidR="00907D8C">
        <w:t xml:space="preserve"> </w:t>
      </w:r>
      <w:r w:rsidRPr="00036FAC">
        <w:t>If</w:t>
      </w:r>
      <w:r w:rsidR="00907D8C">
        <w:t xml:space="preserve"> </w:t>
      </w:r>
      <w:r w:rsidRPr="00036FAC">
        <w:t>the</w:t>
      </w:r>
      <w:r w:rsidR="00907D8C">
        <w:t xml:space="preserve"> </w:t>
      </w:r>
      <w:r w:rsidRPr="00036FAC">
        <w:t>requested</w:t>
      </w:r>
      <w:r w:rsidR="00907D8C">
        <w:t xml:space="preserve"> </w:t>
      </w:r>
      <w:r w:rsidRPr="00036FAC">
        <w:t>action</w:t>
      </w:r>
      <w:r w:rsidR="00907D8C">
        <w:t xml:space="preserve"> </w:t>
      </w:r>
      <w:r w:rsidRPr="00036FAC">
        <w:t>is</w:t>
      </w:r>
      <w:r w:rsidR="00907D8C">
        <w:t xml:space="preserve"> </w:t>
      </w:r>
      <w:r w:rsidRPr="00036FAC">
        <w:t>not</w:t>
      </w:r>
      <w:r w:rsidR="00907D8C">
        <w:t xml:space="preserve"> </w:t>
      </w:r>
      <w:r w:rsidRPr="00036FAC">
        <w:t>taken</w:t>
      </w:r>
      <w:r w:rsidR="00907D8C">
        <w:t xml:space="preserve"> </w:t>
      </w:r>
      <w:r w:rsidRPr="00036FAC">
        <w:t>within</w:t>
      </w:r>
      <w:r w:rsidR="00907D8C">
        <w:t xml:space="preserve"> </w:t>
      </w:r>
      <w:r w:rsidRPr="00036FAC">
        <w:t>a</w:t>
      </w:r>
      <w:r w:rsidR="00907D8C">
        <w:t xml:space="preserve"> </w:t>
      </w:r>
      <w:r w:rsidRPr="00036FAC">
        <w:t>reasonable</w:t>
      </w:r>
      <w:r w:rsidR="00907D8C">
        <w:t xml:space="preserve"> </w:t>
      </w:r>
      <w:r w:rsidRPr="00036FAC">
        <w:t>time,</w:t>
      </w:r>
      <w:r w:rsidR="00907D8C">
        <w:t xml:space="preserve"> </w:t>
      </w:r>
      <w:r w:rsidRPr="00036FAC">
        <w:t>then</w:t>
      </w:r>
      <w:r w:rsidR="00907D8C">
        <w:t xml:space="preserve"> </w:t>
      </w:r>
      <w:r w:rsidRPr="00036FAC">
        <w:t>the</w:t>
      </w:r>
      <w:r w:rsidR="00907D8C">
        <w:t xml:space="preserve"> </w:t>
      </w:r>
      <w:r w:rsidRPr="00036FAC">
        <w:t>report</w:t>
      </w:r>
      <w:r w:rsidR="00907D8C">
        <w:t xml:space="preserve"> </w:t>
      </w:r>
      <w:r w:rsidRPr="00036FAC">
        <w:t>may</w:t>
      </w:r>
      <w:r w:rsidR="00907D8C">
        <w:t xml:space="preserve"> </w:t>
      </w:r>
      <w:r w:rsidRPr="00036FAC">
        <w:t>be</w:t>
      </w:r>
      <w:r w:rsidR="00907D8C">
        <w:t xml:space="preserve"> </w:t>
      </w:r>
      <w:r w:rsidRPr="00036FAC">
        <w:t>sent</w:t>
      </w:r>
      <w:r w:rsidR="00907D8C">
        <w:t xml:space="preserve"> </w:t>
      </w:r>
      <w:r w:rsidRPr="00036FAC">
        <w:t>to</w:t>
      </w:r>
      <w:r w:rsidR="00907D8C">
        <w:t xml:space="preserve"> </w:t>
      </w:r>
      <w:r w:rsidRPr="00036FAC">
        <w:t>the</w:t>
      </w:r>
      <w:r w:rsidR="00907D8C">
        <w:t xml:space="preserve"> </w:t>
      </w:r>
      <w:r w:rsidRPr="00036FAC">
        <w:t>Prime</w:t>
      </w:r>
      <w:r w:rsidR="00907D8C">
        <w:t xml:space="preserve"> </w:t>
      </w:r>
      <w:r w:rsidRPr="00036FAC">
        <w:t>Minister</w:t>
      </w:r>
      <w:r w:rsidR="00907D8C">
        <w:t xml:space="preserve"> </w:t>
      </w:r>
      <w:r w:rsidRPr="00036FAC">
        <w:t>and</w:t>
      </w:r>
      <w:r w:rsidR="00907D8C">
        <w:t xml:space="preserve"> </w:t>
      </w:r>
      <w:r w:rsidRPr="00036FAC">
        <w:t>reported</w:t>
      </w:r>
      <w:r w:rsidR="00907D8C">
        <w:t xml:space="preserve"> </w:t>
      </w:r>
      <w:r w:rsidRPr="00036FAC">
        <w:t>to</w:t>
      </w:r>
      <w:r w:rsidR="00907D8C">
        <w:t xml:space="preserve"> </w:t>
      </w:r>
      <w:r w:rsidRPr="00036FAC">
        <w:t>Parliament.</w:t>
      </w:r>
      <w:r w:rsidR="00907D8C">
        <w:t xml:space="preserve"> </w:t>
      </w:r>
      <w:r w:rsidRPr="00036FAC">
        <w:t>The</w:t>
      </w:r>
      <w:r w:rsidR="00907D8C">
        <w:t xml:space="preserve"> </w:t>
      </w:r>
      <w:r w:rsidRPr="00036FAC">
        <w:t>Office</w:t>
      </w:r>
      <w:r w:rsidR="00907D8C">
        <w:t xml:space="preserve"> </w:t>
      </w:r>
      <w:r w:rsidRPr="00036FAC">
        <w:t>of</w:t>
      </w:r>
      <w:r w:rsidR="00907D8C">
        <w:t xml:space="preserve"> </w:t>
      </w:r>
      <w:r w:rsidRPr="00036FAC">
        <w:t>the</w:t>
      </w:r>
      <w:r w:rsidR="00907D8C">
        <w:t xml:space="preserve"> </w:t>
      </w:r>
      <w:r w:rsidRPr="00036FAC">
        <w:t>Ombudsmen</w:t>
      </w:r>
      <w:r w:rsidR="00907D8C">
        <w:t xml:space="preserve"> </w:t>
      </w:r>
      <w:r w:rsidRPr="00036FAC">
        <w:t>also</w:t>
      </w:r>
      <w:r w:rsidR="00907D8C">
        <w:t xml:space="preserve"> </w:t>
      </w:r>
      <w:r w:rsidRPr="00036FAC">
        <w:t>reports</w:t>
      </w:r>
      <w:r w:rsidR="00907D8C">
        <w:t xml:space="preserve"> </w:t>
      </w:r>
      <w:r w:rsidRPr="00036FAC">
        <w:t>annually</w:t>
      </w:r>
      <w:r w:rsidR="00907D8C">
        <w:t xml:space="preserve"> </w:t>
      </w:r>
      <w:r w:rsidRPr="00036FAC">
        <w:t>to</w:t>
      </w:r>
      <w:r w:rsidR="00907D8C">
        <w:t xml:space="preserve"> </w:t>
      </w:r>
      <w:r w:rsidRPr="00036FAC">
        <w:t>Parliament.</w:t>
      </w:r>
    </w:p>
    <w:p w:rsidR="00036FAC" w:rsidRPr="00036FAC" w:rsidRDefault="00036FAC" w:rsidP="00B85D72">
      <w:pPr>
        <w:pStyle w:val="SingleTxtG"/>
      </w:pPr>
      <w:r w:rsidRPr="00036FAC">
        <w:t>182.</w:t>
      </w:r>
      <w:r w:rsidRPr="00036FAC">
        <w:tab/>
        <w:t>When</w:t>
      </w:r>
      <w:r w:rsidR="00907D8C">
        <w:t xml:space="preserve"> </w:t>
      </w:r>
      <w:r w:rsidRPr="00036FAC">
        <w:t>new</w:t>
      </w:r>
      <w:r w:rsidR="00907D8C">
        <w:t xml:space="preserve"> </w:t>
      </w:r>
      <w:r w:rsidRPr="00036FAC">
        <w:t>bodies</w:t>
      </w:r>
      <w:r w:rsidR="00907D8C">
        <w:t xml:space="preserve"> </w:t>
      </w:r>
      <w:r w:rsidRPr="00036FAC">
        <w:t>are</w:t>
      </w:r>
      <w:r w:rsidR="00907D8C">
        <w:t xml:space="preserve"> </w:t>
      </w:r>
      <w:r w:rsidRPr="00036FAC">
        <w:t>created</w:t>
      </w:r>
      <w:r w:rsidR="00907D8C">
        <w:t xml:space="preserve"> </w:t>
      </w:r>
      <w:r w:rsidRPr="00036FAC">
        <w:t>by</w:t>
      </w:r>
      <w:r w:rsidR="00907D8C">
        <w:t xml:space="preserve"> </w:t>
      </w:r>
      <w:r w:rsidRPr="00036FAC">
        <w:t>statute,</w:t>
      </w:r>
      <w:r w:rsidR="00907D8C">
        <w:t xml:space="preserve"> </w:t>
      </w:r>
      <w:r w:rsidRPr="00036FAC">
        <w:t>consideration</w:t>
      </w:r>
      <w:r w:rsidR="00907D8C">
        <w:t xml:space="preserve"> </w:t>
      </w:r>
      <w:r w:rsidRPr="00036FAC">
        <w:t>is</w:t>
      </w:r>
      <w:r w:rsidR="00907D8C">
        <w:t xml:space="preserve"> </w:t>
      </w:r>
      <w:r w:rsidRPr="00036FAC">
        <w:t>given</w:t>
      </w:r>
      <w:r w:rsidR="00907D8C">
        <w:t xml:space="preserve"> </w:t>
      </w:r>
      <w:r w:rsidRPr="00036FAC">
        <w:t>to</w:t>
      </w:r>
      <w:r w:rsidR="00907D8C">
        <w:t xml:space="preserve"> </w:t>
      </w:r>
      <w:r w:rsidRPr="00036FAC">
        <w:t>the</w:t>
      </w:r>
      <w:r w:rsidR="00907D8C">
        <w:t xml:space="preserve"> </w:t>
      </w:r>
      <w:r w:rsidRPr="00036FAC">
        <w:t>desirability</w:t>
      </w:r>
      <w:r w:rsidR="00907D8C">
        <w:t xml:space="preserve"> </w:t>
      </w:r>
      <w:r w:rsidRPr="00036FAC">
        <w:t>of</w:t>
      </w:r>
      <w:r w:rsidR="00907D8C">
        <w:t xml:space="preserve"> </w:t>
      </w:r>
      <w:r w:rsidRPr="00036FAC">
        <w:t>including</w:t>
      </w:r>
      <w:r w:rsidR="00907D8C">
        <w:t xml:space="preserve"> </w:t>
      </w:r>
      <w:r w:rsidRPr="00036FAC">
        <w:t>them</w:t>
      </w:r>
      <w:r w:rsidR="00907D8C">
        <w:t xml:space="preserve"> </w:t>
      </w:r>
      <w:r w:rsidRPr="00036FAC">
        <w:t>in</w:t>
      </w:r>
      <w:r w:rsidR="00907D8C">
        <w:t xml:space="preserve"> </w:t>
      </w:r>
      <w:r w:rsidRPr="00036FAC">
        <w:t>the</w:t>
      </w:r>
      <w:r w:rsidR="00907D8C">
        <w:t xml:space="preserve"> </w:t>
      </w:r>
      <w:r w:rsidRPr="00036FAC">
        <w:t>Schedules</w:t>
      </w:r>
      <w:r w:rsidR="00907D8C">
        <w:t xml:space="preserve"> </w:t>
      </w:r>
      <w:r w:rsidRPr="00036FAC">
        <w:t>to</w:t>
      </w:r>
      <w:r w:rsidR="00907D8C">
        <w:t xml:space="preserve"> </w:t>
      </w:r>
      <w:r w:rsidRPr="00036FAC">
        <w:t>the</w:t>
      </w:r>
      <w:r w:rsidR="00907D8C">
        <w:t xml:space="preserve"> </w:t>
      </w:r>
      <w:r w:rsidRPr="00036FAC">
        <w:t>Ombudsmen</w:t>
      </w:r>
      <w:r w:rsidR="00907D8C">
        <w:t xml:space="preserve"> </w:t>
      </w:r>
      <w:r w:rsidRPr="00036FAC">
        <w:t>Act</w:t>
      </w:r>
      <w:r w:rsidR="00907D8C">
        <w:t xml:space="preserve"> </w:t>
      </w:r>
      <w:r w:rsidRPr="00036FAC">
        <w:t>1975</w:t>
      </w:r>
      <w:r w:rsidR="00907D8C">
        <w:t xml:space="preserve"> </w:t>
      </w:r>
      <w:r w:rsidRPr="00036FAC">
        <w:t>and</w:t>
      </w:r>
      <w:r w:rsidR="00907D8C">
        <w:t xml:space="preserve"> </w:t>
      </w:r>
      <w:r w:rsidRPr="00036FAC">
        <w:t>Official</w:t>
      </w:r>
      <w:r w:rsidR="00907D8C">
        <w:t xml:space="preserve"> </w:t>
      </w:r>
      <w:r w:rsidRPr="00036FAC">
        <w:t>Information</w:t>
      </w:r>
      <w:r w:rsidR="00907D8C">
        <w:t xml:space="preserve"> </w:t>
      </w:r>
      <w:r w:rsidRPr="00036FAC">
        <w:t>Act</w:t>
      </w:r>
      <w:r w:rsidR="00907D8C">
        <w:t xml:space="preserve"> </w:t>
      </w:r>
      <w:r w:rsidRPr="00036FAC">
        <w:t>1982.</w:t>
      </w:r>
    </w:p>
    <w:p w:rsidR="00036FAC" w:rsidRPr="00036FAC" w:rsidRDefault="00036FAC" w:rsidP="006C436C">
      <w:pPr>
        <w:pStyle w:val="H23G"/>
      </w:pPr>
      <w:bookmarkStart w:id="198" w:name="_Toc114894980"/>
      <w:bookmarkStart w:id="199" w:name="_Toc114895871"/>
      <w:bookmarkStart w:id="200" w:name="_Toc115493416"/>
      <w:bookmarkStart w:id="201" w:name="_Toc115493760"/>
      <w:bookmarkStart w:id="202" w:name="_Toc115493835"/>
      <w:bookmarkStart w:id="203" w:name="_Toc118100631"/>
      <w:bookmarkStart w:id="204" w:name="_Toc125278917"/>
      <w:r w:rsidRPr="00036FAC">
        <w:tab/>
        <w:t>(d)</w:t>
      </w:r>
      <w:r w:rsidRPr="00036FAC">
        <w:tab/>
        <w:t>Official</w:t>
      </w:r>
      <w:r w:rsidR="00907D8C">
        <w:t xml:space="preserve"> </w:t>
      </w:r>
      <w:r w:rsidRPr="00036FAC">
        <w:t>Information</w:t>
      </w:r>
      <w:r w:rsidR="00907D8C">
        <w:t xml:space="preserve"> </w:t>
      </w:r>
      <w:r w:rsidRPr="00036FAC">
        <w:t>Act</w:t>
      </w:r>
      <w:r w:rsidR="00907D8C">
        <w:t xml:space="preserve"> </w:t>
      </w:r>
      <w:r w:rsidRPr="00036FAC">
        <w:t>1982</w:t>
      </w:r>
      <w:bookmarkEnd w:id="198"/>
      <w:bookmarkEnd w:id="199"/>
      <w:bookmarkEnd w:id="200"/>
      <w:bookmarkEnd w:id="201"/>
      <w:bookmarkEnd w:id="202"/>
      <w:bookmarkEnd w:id="203"/>
      <w:bookmarkEnd w:id="204"/>
    </w:p>
    <w:p w:rsidR="00036FAC" w:rsidRPr="00036FAC" w:rsidRDefault="00036FAC" w:rsidP="00B85D72">
      <w:pPr>
        <w:pStyle w:val="SingleTxtG"/>
      </w:pPr>
      <w:r w:rsidRPr="00036FAC">
        <w:t>183.</w:t>
      </w:r>
      <w:r w:rsidRPr="00036FAC">
        <w:tab/>
        <w:t>This</w:t>
      </w:r>
      <w:r w:rsidR="00907D8C">
        <w:t xml:space="preserve"> </w:t>
      </w:r>
      <w:r w:rsidRPr="00036FAC">
        <w:t>Act</w:t>
      </w:r>
      <w:r w:rsidR="00907D8C">
        <w:t xml:space="preserve"> </w:t>
      </w:r>
      <w:r w:rsidRPr="00036FAC">
        <w:t>is</w:t>
      </w:r>
      <w:r w:rsidR="00907D8C">
        <w:t xml:space="preserve"> </w:t>
      </w:r>
      <w:r w:rsidRPr="00036FAC">
        <w:t>designed</w:t>
      </w:r>
      <w:r w:rsidR="00907D8C">
        <w:t xml:space="preserve"> </w:t>
      </w:r>
      <w:r w:rsidRPr="00036FAC">
        <w:t>to</w:t>
      </w:r>
      <w:r w:rsidR="00907D8C">
        <w:t xml:space="preserve"> </w:t>
      </w:r>
      <w:r w:rsidRPr="00036FAC">
        <w:t>make</w:t>
      </w:r>
      <w:r w:rsidR="00907D8C">
        <w:t xml:space="preserve"> </w:t>
      </w:r>
      <w:r w:rsidRPr="00036FAC">
        <w:t>official</w:t>
      </w:r>
      <w:r w:rsidR="00907D8C">
        <w:t xml:space="preserve"> </w:t>
      </w:r>
      <w:r w:rsidRPr="00036FAC">
        <w:t>information</w:t>
      </w:r>
      <w:r w:rsidR="00907D8C">
        <w:t xml:space="preserve"> </w:t>
      </w:r>
      <w:r w:rsidRPr="00036FAC">
        <w:t>more</w:t>
      </w:r>
      <w:r w:rsidR="00907D8C">
        <w:t xml:space="preserve"> </w:t>
      </w:r>
      <w:r w:rsidRPr="00036FAC">
        <w:t>freely</w:t>
      </w:r>
      <w:r w:rsidR="00907D8C">
        <w:t xml:space="preserve"> </w:t>
      </w:r>
      <w:r w:rsidRPr="00036FAC">
        <w:t>available,</w:t>
      </w:r>
      <w:r w:rsidR="00907D8C">
        <w:t xml:space="preserve"> </w:t>
      </w:r>
      <w:r w:rsidRPr="00036FAC">
        <w:t>to</w:t>
      </w:r>
      <w:r w:rsidR="00907D8C">
        <w:t xml:space="preserve"> </w:t>
      </w:r>
      <w:r w:rsidRPr="00036FAC">
        <w:t>protect</w:t>
      </w:r>
      <w:r w:rsidR="00907D8C">
        <w:t xml:space="preserve"> </w:t>
      </w:r>
      <w:r w:rsidRPr="00036FAC">
        <w:t>it</w:t>
      </w:r>
      <w:r w:rsidR="00907D8C">
        <w:t xml:space="preserve"> </w:t>
      </w:r>
      <w:r w:rsidRPr="00036FAC">
        <w:t>to</w:t>
      </w:r>
      <w:r w:rsidR="00907D8C">
        <w:t xml:space="preserve"> </w:t>
      </w:r>
      <w:r w:rsidRPr="00036FAC">
        <w:t>the</w:t>
      </w:r>
      <w:r w:rsidR="00907D8C">
        <w:t xml:space="preserve"> </w:t>
      </w:r>
      <w:r w:rsidRPr="00036FAC">
        <w:t>extent</w:t>
      </w:r>
      <w:r w:rsidR="00907D8C">
        <w:t xml:space="preserve"> </w:t>
      </w:r>
      <w:r w:rsidRPr="00036FAC">
        <w:t>consistent</w:t>
      </w:r>
      <w:r w:rsidR="00907D8C">
        <w:t xml:space="preserve"> </w:t>
      </w:r>
      <w:r w:rsidRPr="00036FAC">
        <w:t>with</w:t>
      </w:r>
      <w:r w:rsidR="00907D8C">
        <w:t xml:space="preserve"> </w:t>
      </w:r>
      <w:r w:rsidRPr="00036FAC">
        <w:t>the</w:t>
      </w:r>
      <w:r w:rsidR="00907D8C">
        <w:t xml:space="preserve"> </w:t>
      </w:r>
      <w:r w:rsidRPr="00036FAC">
        <w:t>public</w:t>
      </w:r>
      <w:r w:rsidR="00907D8C">
        <w:t xml:space="preserve"> </w:t>
      </w:r>
      <w:r w:rsidRPr="00036FAC">
        <w:t>interest</w:t>
      </w:r>
      <w:r w:rsidR="00907D8C">
        <w:t xml:space="preserve"> </w:t>
      </w:r>
      <w:r w:rsidRPr="00036FAC">
        <w:t>and</w:t>
      </w:r>
      <w:r w:rsidR="00907D8C">
        <w:t xml:space="preserve"> </w:t>
      </w:r>
      <w:r w:rsidRPr="00036FAC">
        <w:t>preservation</w:t>
      </w:r>
      <w:r w:rsidR="00907D8C">
        <w:t xml:space="preserve"> </w:t>
      </w:r>
      <w:r w:rsidRPr="00036FAC">
        <w:t>of</w:t>
      </w:r>
      <w:r w:rsidR="00907D8C">
        <w:t xml:space="preserve"> </w:t>
      </w:r>
      <w:r w:rsidRPr="00036FAC">
        <w:t>personal</w:t>
      </w:r>
      <w:r w:rsidR="00907D8C">
        <w:t xml:space="preserve"> </w:t>
      </w:r>
      <w:r w:rsidRPr="00036FAC">
        <w:t>privacy,</w:t>
      </w:r>
      <w:r w:rsidR="00907D8C">
        <w:t xml:space="preserve"> </w:t>
      </w:r>
      <w:r w:rsidRPr="00036FAC">
        <w:t>and</w:t>
      </w:r>
      <w:r w:rsidR="00907D8C">
        <w:t xml:space="preserve"> </w:t>
      </w:r>
      <w:r w:rsidRPr="00036FAC">
        <w:t>to</w:t>
      </w:r>
      <w:r w:rsidR="00907D8C">
        <w:t xml:space="preserve"> </w:t>
      </w:r>
      <w:r w:rsidRPr="00036FAC">
        <w:t>establish</w:t>
      </w:r>
      <w:r w:rsidR="00907D8C">
        <w:t xml:space="preserve"> </w:t>
      </w:r>
      <w:r w:rsidRPr="00036FAC">
        <w:t>procedures</w:t>
      </w:r>
      <w:r w:rsidR="00907D8C">
        <w:t xml:space="preserve"> </w:t>
      </w:r>
      <w:r w:rsidRPr="00036FAC">
        <w:t>for</w:t>
      </w:r>
      <w:r w:rsidR="00907D8C">
        <w:t xml:space="preserve"> </w:t>
      </w:r>
      <w:r w:rsidRPr="00036FAC">
        <w:t>those</w:t>
      </w:r>
      <w:r w:rsidR="00907D8C">
        <w:t xml:space="preserve"> </w:t>
      </w:r>
      <w:r w:rsidRPr="00036FAC">
        <w:t>purposes.</w:t>
      </w:r>
      <w:r w:rsidR="00907D8C">
        <w:t xml:space="preserve"> </w:t>
      </w:r>
      <w:r w:rsidRPr="00036FAC">
        <w:t>The</w:t>
      </w:r>
      <w:r w:rsidR="00907D8C">
        <w:t xml:space="preserve"> </w:t>
      </w:r>
      <w:r w:rsidRPr="00036FAC">
        <w:t>definition</w:t>
      </w:r>
      <w:r w:rsidR="00907D8C">
        <w:t xml:space="preserve"> </w:t>
      </w:r>
      <w:r w:rsidRPr="00036FAC">
        <w:t>of</w:t>
      </w:r>
      <w:r w:rsidR="00907D8C">
        <w:t xml:space="preserve"> </w:t>
      </w:r>
      <w:r w:rsidRPr="00036FAC">
        <w:t>official</w:t>
      </w:r>
      <w:r w:rsidR="00907D8C">
        <w:t xml:space="preserve"> </w:t>
      </w:r>
      <w:r w:rsidRPr="00036FAC">
        <w:t>information</w:t>
      </w:r>
      <w:r w:rsidR="00907D8C">
        <w:t xml:space="preserve"> </w:t>
      </w:r>
      <w:r w:rsidRPr="00036FAC">
        <w:t>is</w:t>
      </w:r>
      <w:r w:rsidR="00907D8C">
        <w:t xml:space="preserve"> </w:t>
      </w:r>
      <w:r w:rsidRPr="00036FAC">
        <w:t>set</w:t>
      </w:r>
      <w:r w:rsidR="00907D8C">
        <w:t xml:space="preserve"> </w:t>
      </w:r>
      <w:r w:rsidRPr="00036FAC">
        <w:t>out</w:t>
      </w:r>
      <w:r w:rsidR="00907D8C">
        <w:t xml:space="preserve"> </w:t>
      </w:r>
      <w:r w:rsidRPr="00036FAC">
        <w:t>in</w:t>
      </w:r>
      <w:r w:rsidR="00907D8C">
        <w:t xml:space="preserve"> </w:t>
      </w:r>
      <w:r w:rsidRPr="00036FAC">
        <w:t>section</w:t>
      </w:r>
      <w:r w:rsidR="00907D8C">
        <w:t xml:space="preserve"> </w:t>
      </w:r>
      <w:r w:rsidRPr="00036FAC">
        <w:t>2</w:t>
      </w:r>
      <w:r w:rsidR="00907D8C">
        <w:t xml:space="preserve"> </w:t>
      </w:r>
      <w:r w:rsidRPr="00036FAC">
        <w:t>of</w:t>
      </w:r>
      <w:r w:rsidR="00907D8C">
        <w:t xml:space="preserve"> </w:t>
      </w:r>
      <w:r w:rsidRPr="00036FAC">
        <w:t>the</w:t>
      </w:r>
      <w:r w:rsidR="00907D8C">
        <w:t xml:space="preserve"> </w:t>
      </w:r>
      <w:r w:rsidRPr="00036FAC">
        <w:t>Act</w:t>
      </w:r>
      <w:r w:rsidR="00907D8C">
        <w:t xml:space="preserve"> </w:t>
      </w:r>
      <w:r w:rsidRPr="00036FAC">
        <w:t>and</w:t>
      </w:r>
      <w:r w:rsidR="00907D8C">
        <w:t xml:space="preserve"> </w:t>
      </w:r>
      <w:r w:rsidRPr="00036FAC">
        <w:t>the</w:t>
      </w:r>
      <w:r w:rsidR="00907D8C">
        <w:t xml:space="preserve"> </w:t>
      </w:r>
      <w:r w:rsidRPr="00036FAC">
        <w:t>bodies</w:t>
      </w:r>
      <w:r w:rsidR="00907D8C">
        <w:t xml:space="preserve"> </w:t>
      </w:r>
      <w:r w:rsidRPr="00036FAC">
        <w:t>to</w:t>
      </w:r>
      <w:r w:rsidR="00907D8C">
        <w:t xml:space="preserve"> </w:t>
      </w:r>
      <w:r w:rsidRPr="00036FAC">
        <w:t>which</w:t>
      </w:r>
      <w:r w:rsidR="00907D8C">
        <w:t xml:space="preserve"> </w:t>
      </w:r>
      <w:r w:rsidRPr="00036FAC">
        <w:t>the</w:t>
      </w:r>
      <w:r w:rsidR="00907D8C">
        <w:t xml:space="preserve"> </w:t>
      </w:r>
      <w:r w:rsidRPr="00036FAC">
        <w:t>Act</w:t>
      </w:r>
      <w:r w:rsidR="00907D8C">
        <w:t xml:space="preserve"> </w:t>
      </w:r>
      <w:r w:rsidRPr="00036FAC">
        <w:t>is</w:t>
      </w:r>
      <w:r w:rsidR="00907D8C">
        <w:t xml:space="preserve"> </w:t>
      </w:r>
      <w:r w:rsidRPr="00036FAC">
        <w:t>applicable</w:t>
      </w:r>
      <w:r w:rsidR="00907D8C">
        <w:t xml:space="preserve"> </w:t>
      </w:r>
      <w:r w:rsidRPr="00036FAC">
        <w:t>are</w:t>
      </w:r>
      <w:r w:rsidR="00907D8C">
        <w:t xml:space="preserve"> </w:t>
      </w:r>
      <w:r w:rsidRPr="00036FAC">
        <w:t>listed</w:t>
      </w:r>
      <w:r w:rsidR="00907D8C">
        <w:t xml:space="preserve"> </w:t>
      </w:r>
      <w:r w:rsidRPr="00036FAC">
        <w:t>in</w:t>
      </w:r>
      <w:r w:rsidR="00907D8C">
        <w:t xml:space="preserve"> </w:t>
      </w:r>
      <w:r w:rsidRPr="00036FAC">
        <w:t>Schedules</w:t>
      </w:r>
      <w:r w:rsidR="00907D8C">
        <w:t xml:space="preserve"> </w:t>
      </w:r>
      <w:r w:rsidRPr="00036FAC">
        <w:t>to</w:t>
      </w:r>
      <w:r w:rsidR="00907D8C">
        <w:t xml:space="preserve"> </w:t>
      </w:r>
      <w:r w:rsidRPr="00036FAC">
        <w:t>the</w:t>
      </w:r>
      <w:r w:rsidR="00907D8C">
        <w:t xml:space="preserve"> </w:t>
      </w:r>
      <w:r w:rsidRPr="00036FAC">
        <w:t>Act</w:t>
      </w:r>
      <w:r w:rsidR="00907D8C">
        <w:t xml:space="preserve"> </w:t>
      </w:r>
      <w:r w:rsidRPr="00036FAC">
        <w:t>and</w:t>
      </w:r>
      <w:r w:rsidR="00907D8C">
        <w:t xml:space="preserve"> </w:t>
      </w:r>
      <w:r w:rsidRPr="00036FAC">
        <w:t>Ombudsmen</w:t>
      </w:r>
      <w:r w:rsidR="00907D8C">
        <w:t xml:space="preserve"> </w:t>
      </w:r>
      <w:r w:rsidRPr="00036FAC">
        <w:t>Act.</w:t>
      </w:r>
      <w:r w:rsidR="00907D8C">
        <w:t xml:space="preserve"> </w:t>
      </w:r>
      <w:r w:rsidRPr="00036FAC">
        <w:t>Generally,</w:t>
      </w:r>
      <w:r w:rsidR="00907D8C">
        <w:t xml:space="preserve"> </w:t>
      </w:r>
      <w:r w:rsidRPr="00036FAC">
        <w:t>Ministers,</w:t>
      </w:r>
      <w:r w:rsidR="00907D8C">
        <w:t xml:space="preserve"> </w:t>
      </w:r>
      <w:r w:rsidRPr="00036FAC">
        <w:t>government</w:t>
      </w:r>
      <w:r w:rsidR="00907D8C">
        <w:t xml:space="preserve"> </w:t>
      </w:r>
      <w:r w:rsidRPr="00036FAC">
        <w:t>departments,</w:t>
      </w:r>
      <w:r w:rsidR="00907D8C">
        <w:t xml:space="preserve"> </w:t>
      </w:r>
      <w:r w:rsidRPr="00036FAC">
        <w:t>and</w:t>
      </w:r>
      <w:r w:rsidR="00907D8C">
        <w:t xml:space="preserve"> </w:t>
      </w:r>
      <w:r w:rsidRPr="00036FAC">
        <w:t>all</w:t>
      </w:r>
      <w:r w:rsidR="00907D8C">
        <w:t xml:space="preserve"> </w:t>
      </w:r>
      <w:r w:rsidRPr="00036FAC">
        <w:t>agencies</w:t>
      </w:r>
      <w:r w:rsidR="00907D8C">
        <w:t xml:space="preserve"> </w:t>
      </w:r>
      <w:r w:rsidRPr="00036FAC">
        <w:t>of</w:t>
      </w:r>
      <w:r w:rsidR="00907D8C">
        <w:t xml:space="preserve"> </w:t>
      </w:r>
      <w:r w:rsidRPr="00036FAC">
        <w:t>Government</w:t>
      </w:r>
      <w:r w:rsidR="00907D8C">
        <w:t xml:space="preserve"> </w:t>
      </w:r>
      <w:r w:rsidRPr="00036FAC">
        <w:t>are</w:t>
      </w:r>
      <w:r w:rsidR="00907D8C">
        <w:t xml:space="preserve"> </w:t>
      </w:r>
      <w:r w:rsidRPr="00036FAC">
        <w:t>subject</w:t>
      </w:r>
      <w:r w:rsidR="00907D8C">
        <w:t xml:space="preserve"> </w:t>
      </w:r>
      <w:r w:rsidRPr="00036FAC">
        <w:t>to</w:t>
      </w:r>
      <w:r w:rsidR="00907D8C">
        <w:t xml:space="preserve"> </w:t>
      </w:r>
      <w:r w:rsidRPr="00036FAC">
        <w:t>the</w:t>
      </w:r>
      <w:r w:rsidR="00907D8C">
        <w:t xml:space="preserve"> </w:t>
      </w:r>
      <w:r w:rsidRPr="00036FAC">
        <w:t>Act.</w:t>
      </w:r>
    </w:p>
    <w:p w:rsidR="00036FAC" w:rsidRPr="00036FAC" w:rsidRDefault="00036FAC" w:rsidP="00B85D72">
      <w:pPr>
        <w:pStyle w:val="SingleTxtG"/>
      </w:pPr>
      <w:r w:rsidRPr="00036FAC">
        <w:t>184.</w:t>
      </w:r>
      <w:r w:rsidRPr="00036FAC">
        <w:tab/>
        <w:t>Individuals</w:t>
      </w:r>
      <w:r w:rsidR="00907D8C">
        <w:t xml:space="preserve"> </w:t>
      </w:r>
      <w:r w:rsidRPr="00036FAC">
        <w:t>and</w:t>
      </w:r>
      <w:r w:rsidR="00907D8C">
        <w:t xml:space="preserve"> </w:t>
      </w:r>
      <w:r w:rsidRPr="00036FAC">
        <w:t>some</w:t>
      </w:r>
      <w:r w:rsidR="00907D8C">
        <w:t xml:space="preserve"> </w:t>
      </w:r>
      <w:r w:rsidRPr="00036FAC">
        <w:t>organisations</w:t>
      </w:r>
      <w:r w:rsidR="00907D8C">
        <w:t xml:space="preserve"> </w:t>
      </w:r>
      <w:r w:rsidRPr="00036FAC">
        <w:t>may</w:t>
      </w:r>
      <w:r w:rsidR="00907D8C">
        <w:t xml:space="preserve"> </w:t>
      </w:r>
      <w:r w:rsidRPr="00036FAC">
        <w:t>request</w:t>
      </w:r>
      <w:r w:rsidR="00907D8C">
        <w:t xml:space="preserve"> </w:t>
      </w:r>
      <w:r w:rsidRPr="00036FAC">
        <w:t>the</w:t>
      </w:r>
      <w:r w:rsidR="00907D8C">
        <w:t xml:space="preserve"> </w:t>
      </w:r>
      <w:r w:rsidRPr="00036FAC">
        <w:t>various</w:t>
      </w:r>
      <w:r w:rsidR="00907D8C">
        <w:t xml:space="preserve"> </w:t>
      </w:r>
      <w:r w:rsidRPr="00036FAC">
        <w:t>bodies</w:t>
      </w:r>
      <w:r w:rsidR="00907D8C">
        <w:t xml:space="preserve"> </w:t>
      </w:r>
      <w:r w:rsidRPr="00036FAC">
        <w:t>listed</w:t>
      </w:r>
      <w:r w:rsidR="00907D8C">
        <w:t xml:space="preserve"> </w:t>
      </w:r>
      <w:r w:rsidRPr="00036FAC">
        <w:t>in</w:t>
      </w:r>
      <w:r w:rsidR="00907D8C">
        <w:t xml:space="preserve"> </w:t>
      </w:r>
      <w:r w:rsidRPr="00036FAC">
        <w:t>the</w:t>
      </w:r>
      <w:r w:rsidR="00907D8C">
        <w:t xml:space="preserve"> </w:t>
      </w:r>
      <w:r w:rsidRPr="00036FAC">
        <w:t>Schedules</w:t>
      </w:r>
      <w:r w:rsidR="00907D8C">
        <w:t xml:space="preserve"> </w:t>
      </w:r>
      <w:r w:rsidRPr="00036FAC">
        <w:t>to</w:t>
      </w:r>
      <w:r w:rsidR="00907D8C">
        <w:t xml:space="preserve"> </w:t>
      </w:r>
      <w:r w:rsidRPr="00036FAC">
        <w:t>make</w:t>
      </w:r>
      <w:r w:rsidR="00907D8C">
        <w:t xml:space="preserve"> </w:t>
      </w:r>
      <w:r w:rsidRPr="00036FAC">
        <w:t>official</w:t>
      </w:r>
      <w:r w:rsidR="00907D8C">
        <w:t xml:space="preserve"> </w:t>
      </w:r>
      <w:r w:rsidRPr="00036FAC">
        <w:t>information</w:t>
      </w:r>
      <w:r w:rsidR="00907D8C">
        <w:t xml:space="preserve"> </w:t>
      </w:r>
      <w:r w:rsidRPr="00036FAC">
        <w:t>available.</w:t>
      </w:r>
      <w:r w:rsidR="00907D8C">
        <w:t xml:space="preserve"> </w:t>
      </w:r>
      <w:r w:rsidRPr="00036FAC">
        <w:t>Official</w:t>
      </w:r>
      <w:r w:rsidR="00907D8C">
        <w:t xml:space="preserve"> </w:t>
      </w:r>
      <w:r w:rsidRPr="00036FAC">
        <w:t>information</w:t>
      </w:r>
      <w:r w:rsidR="00907D8C">
        <w:t xml:space="preserve"> </w:t>
      </w:r>
      <w:r w:rsidRPr="00036FAC">
        <w:t>is</w:t>
      </w:r>
      <w:r w:rsidR="00907D8C">
        <w:t xml:space="preserve"> </w:t>
      </w:r>
      <w:r w:rsidRPr="00036FAC">
        <w:t>to</w:t>
      </w:r>
      <w:r w:rsidR="00907D8C">
        <w:t xml:space="preserve"> </w:t>
      </w:r>
      <w:r w:rsidRPr="00036FAC">
        <w:t>be</w:t>
      </w:r>
      <w:r w:rsidR="00907D8C">
        <w:t xml:space="preserve"> </w:t>
      </w:r>
      <w:r w:rsidRPr="00036FAC">
        <w:t>made</w:t>
      </w:r>
      <w:r w:rsidR="00907D8C">
        <w:t xml:space="preserve"> </w:t>
      </w:r>
      <w:r w:rsidRPr="00036FAC">
        <w:t>available</w:t>
      </w:r>
      <w:r w:rsidR="00907D8C">
        <w:t xml:space="preserve"> </w:t>
      </w:r>
      <w:r w:rsidRPr="00036FAC">
        <w:t>unless</w:t>
      </w:r>
      <w:r w:rsidR="00907D8C">
        <w:t xml:space="preserve"> </w:t>
      </w:r>
      <w:r w:rsidRPr="00036FAC">
        <w:t>there</w:t>
      </w:r>
      <w:r w:rsidR="00907D8C">
        <w:t xml:space="preserve"> </w:t>
      </w:r>
      <w:r w:rsidRPr="00036FAC">
        <w:t>is</w:t>
      </w:r>
      <w:r w:rsidR="00907D8C">
        <w:t xml:space="preserve"> </w:t>
      </w:r>
      <w:r w:rsidRPr="00036FAC">
        <w:t>a</w:t>
      </w:r>
      <w:r w:rsidR="00907D8C">
        <w:t xml:space="preserve"> </w:t>
      </w:r>
      <w:r w:rsidRPr="00036FAC">
        <w:t>good</w:t>
      </w:r>
      <w:r w:rsidR="00907D8C">
        <w:t xml:space="preserve"> </w:t>
      </w:r>
      <w:r w:rsidRPr="00036FAC">
        <w:t>reason</w:t>
      </w:r>
      <w:r w:rsidR="00907D8C">
        <w:t xml:space="preserve"> </w:t>
      </w:r>
      <w:r w:rsidRPr="00036FAC">
        <w:t>(as</w:t>
      </w:r>
      <w:r w:rsidR="00907D8C">
        <w:t xml:space="preserve"> </w:t>
      </w:r>
      <w:r w:rsidRPr="00036FAC">
        <w:t>defined</w:t>
      </w:r>
      <w:r w:rsidR="00907D8C">
        <w:t xml:space="preserve"> </w:t>
      </w:r>
      <w:r w:rsidRPr="00036FAC">
        <w:t>by</w:t>
      </w:r>
      <w:r w:rsidR="00907D8C">
        <w:t xml:space="preserve"> </w:t>
      </w:r>
      <w:r w:rsidRPr="00036FAC">
        <w:t>the</w:t>
      </w:r>
      <w:r w:rsidR="00907D8C">
        <w:t xml:space="preserve"> </w:t>
      </w:r>
      <w:r w:rsidRPr="00036FAC">
        <w:t>Act)</w:t>
      </w:r>
      <w:r w:rsidR="00907D8C">
        <w:t xml:space="preserve"> </w:t>
      </w:r>
      <w:r w:rsidRPr="00036FAC">
        <w:t>to</w:t>
      </w:r>
      <w:r w:rsidR="00907D8C">
        <w:t xml:space="preserve"> </w:t>
      </w:r>
      <w:r w:rsidRPr="00036FAC">
        <w:t>withhold</w:t>
      </w:r>
      <w:r w:rsidR="00907D8C">
        <w:t xml:space="preserve"> </w:t>
      </w:r>
      <w:r w:rsidRPr="00036FAC">
        <w:t>it.</w:t>
      </w:r>
      <w:r w:rsidR="00907D8C">
        <w:t xml:space="preserve"> </w:t>
      </w:r>
      <w:r w:rsidRPr="00036FAC">
        <w:t>The</w:t>
      </w:r>
      <w:r w:rsidR="00907D8C">
        <w:t xml:space="preserve"> </w:t>
      </w:r>
      <w:r w:rsidRPr="00036FAC">
        <w:t>Ombudsmen</w:t>
      </w:r>
      <w:r w:rsidR="00907D8C">
        <w:t xml:space="preserve"> </w:t>
      </w:r>
      <w:r w:rsidRPr="00036FAC">
        <w:t>can</w:t>
      </w:r>
      <w:r w:rsidR="00907D8C">
        <w:t xml:space="preserve"> </w:t>
      </w:r>
      <w:r w:rsidRPr="00036FAC">
        <w:t>investigate</w:t>
      </w:r>
      <w:r w:rsidR="00907D8C">
        <w:t xml:space="preserve"> </w:t>
      </w:r>
      <w:r w:rsidRPr="00036FAC">
        <w:t>and</w:t>
      </w:r>
      <w:r w:rsidR="00907D8C">
        <w:t xml:space="preserve"> </w:t>
      </w:r>
      <w:r w:rsidRPr="00036FAC">
        <w:t>review</w:t>
      </w:r>
      <w:r w:rsidR="00907D8C">
        <w:t xml:space="preserve"> </w:t>
      </w:r>
      <w:r w:rsidRPr="00036FAC">
        <w:t>any</w:t>
      </w:r>
      <w:r w:rsidR="00907D8C">
        <w:t xml:space="preserve"> </w:t>
      </w:r>
      <w:r w:rsidRPr="00036FAC">
        <w:t>refusal</w:t>
      </w:r>
      <w:r w:rsidR="00907D8C">
        <w:t xml:space="preserve"> </w:t>
      </w:r>
      <w:r w:rsidRPr="00036FAC">
        <w:t>by</w:t>
      </w:r>
      <w:r w:rsidR="00907D8C">
        <w:t xml:space="preserve"> </w:t>
      </w:r>
      <w:r w:rsidRPr="00036FAC">
        <w:t>a</w:t>
      </w:r>
      <w:r w:rsidR="00907D8C">
        <w:t xml:space="preserve"> </w:t>
      </w:r>
      <w:r w:rsidRPr="00036FAC">
        <w:t>department,</w:t>
      </w:r>
      <w:r w:rsidR="00907D8C">
        <w:t xml:space="preserve"> </w:t>
      </w:r>
      <w:r w:rsidRPr="00036FAC">
        <w:t>Minister,</w:t>
      </w:r>
      <w:r w:rsidR="00907D8C">
        <w:t xml:space="preserve"> </w:t>
      </w:r>
      <w:r w:rsidRPr="00036FAC">
        <w:t>or</w:t>
      </w:r>
      <w:r w:rsidR="00907D8C">
        <w:t xml:space="preserve"> </w:t>
      </w:r>
      <w:r w:rsidRPr="00036FAC">
        <w:t>organisation</w:t>
      </w:r>
      <w:r w:rsidR="00907D8C">
        <w:t xml:space="preserve"> </w:t>
      </w:r>
      <w:r w:rsidRPr="00036FAC">
        <w:t>to</w:t>
      </w:r>
      <w:r w:rsidR="00907D8C">
        <w:t xml:space="preserve"> </w:t>
      </w:r>
      <w:r w:rsidRPr="00036FAC">
        <w:t>make</w:t>
      </w:r>
      <w:r w:rsidR="00907D8C">
        <w:t xml:space="preserve"> </w:t>
      </w:r>
      <w:r w:rsidRPr="00036FAC">
        <w:t>official</w:t>
      </w:r>
      <w:r w:rsidR="00907D8C">
        <w:t xml:space="preserve"> </w:t>
      </w:r>
      <w:r w:rsidRPr="00036FAC">
        <w:t>information</w:t>
      </w:r>
      <w:r w:rsidR="00907D8C">
        <w:t xml:space="preserve"> </w:t>
      </w:r>
      <w:r w:rsidRPr="00036FAC">
        <w:t>available</w:t>
      </w:r>
      <w:r w:rsidR="00907D8C">
        <w:t xml:space="preserve"> </w:t>
      </w:r>
      <w:r w:rsidRPr="00036FAC">
        <w:t>once</w:t>
      </w:r>
      <w:r w:rsidR="00907D8C">
        <w:t xml:space="preserve"> </w:t>
      </w:r>
      <w:r w:rsidRPr="00036FAC">
        <w:t>requested.</w:t>
      </w:r>
      <w:r w:rsidR="00907D8C">
        <w:t xml:space="preserve"> </w:t>
      </w:r>
      <w:r w:rsidRPr="00036FAC">
        <w:t>They</w:t>
      </w:r>
      <w:r w:rsidR="00907D8C">
        <w:t xml:space="preserve"> </w:t>
      </w:r>
      <w:r w:rsidRPr="00036FAC">
        <w:t>then</w:t>
      </w:r>
      <w:r w:rsidR="00907D8C">
        <w:t xml:space="preserve"> </w:t>
      </w:r>
      <w:r w:rsidRPr="00036FAC">
        <w:t>report</w:t>
      </w:r>
      <w:r w:rsidR="00907D8C">
        <w:t xml:space="preserve"> </w:t>
      </w:r>
      <w:r w:rsidRPr="00036FAC">
        <w:t>to</w:t>
      </w:r>
      <w:r w:rsidR="00907D8C">
        <w:t xml:space="preserve"> </w:t>
      </w:r>
      <w:r w:rsidRPr="00036FAC">
        <w:t>the</w:t>
      </w:r>
      <w:r w:rsidR="00907D8C">
        <w:t xml:space="preserve"> </w:t>
      </w:r>
      <w:r w:rsidRPr="00036FAC">
        <w:t>relevant</w:t>
      </w:r>
      <w:r w:rsidR="00907D8C">
        <w:t xml:space="preserve"> </w:t>
      </w:r>
      <w:r w:rsidRPr="00036FAC">
        <w:t>body</w:t>
      </w:r>
      <w:r w:rsidR="00907D8C">
        <w:t xml:space="preserve"> </w:t>
      </w:r>
      <w:r w:rsidRPr="00036FAC">
        <w:t>with</w:t>
      </w:r>
      <w:r w:rsidR="00907D8C">
        <w:t xml:space="preserve"> </w:t>
      </w:r>
      <w:r w:rsidRPr="00036FAC">
        <w:t>any</w:t>
      </w:r>
      <w:r w:rsidR="00907D8C">
        <w:t xml:space="preserve"> </w:t>
      </w:r>
      <w:r w:rsidRPr="00036FAC">
        <w:t>recommendations.</w:t>
      </w:r>
      <w:r w:rsidR="00907D8C">
        <w:t xml:space="preserve"> </w:t>
      </w:r>
      <w:r w:rsidRPr="00036FAC">
        <w:t>Ministers,</w:t>
      </w:r>
      <w:r w:rsidR="00907D8C">
        <w:t xml:space="preserve"> </w:t>
      </w:r>
      <w:r w:rsidRPr="00036FAC">
        <w:t>departments,</w:t>
      </w:r>
      <w:r w:rsidR="00907D8C">
        <w:t xml:space="preserve"> </w:t>
      </w:r>
      <w:r w:rsidRPr="00036FAC">
        <w:t>and</w:t>
      </w:r>
      <w:r w:rsidR="00907D8C">
        <w:t xml:space="preserve"> </w:t>
      </w:r>
      <w:r w:rsidRPr="00036FAC">
        <w:t>organisations</w:t>
      </w:r>
      <w:r w:rsidR="00907D8C">
        <w:t xml:space="preserve"> </w:t>
      </w:r>
      <w:r w:rsidRPr="00036FAC">
        <w:t>have</w:t>
      </w:r>
      <w:r w:rsidR="00907D8C">
        <w:t xml:space="preserve"> </w:t>
      </w:r>
      <w:r w:rsidRPr="00036FAC">
        <w:t>a</w:t>
      </w:r>
      <w:r w:rsidR="00907D8C">
        <w:t xml:space="preserve"> </w:t>
      </w:r>
      <w:r w:rsidRPr="00036FAC">
        <w:t>public</w:t>
      </w:r>
      <w:r w:rsidR="00907D8C">
        <w:t xml:space="preserve"> </w:t>
      </w:r>
      <w:r w:rsidRPr="00036FAC">
        <w:t>duty</w:t>
      </w:r>
      <w:r w:rsidR="00907D8C">
        <w:t xml:space="preserve"> </w:t>
      </w:r>
      <w:r w:rsidRPr="00036FAC">
        <w:t>to</w:t>
      </w:r>
      <w:r w:rsidR="00907D8C">
        <w:t xml:space="preserve"> </w:t>
      </w:r>
      <w:r w:rsidRPr="00036FAC">
        <w:t>observe</w:t>
      </w:r>
      <w:r w:rsidR="00907D8C">
        <w:t xml:space="preserve"> </w:t>
      </w:r>
      <w:r w:rsidRPr="00036FAC">
        <w:t>any</w:t>
      </w:r>
      <w:r w:rsidR="00907D8C">
        <w:t xml:space="preserve"> </w:t>
      </w:r>
      <w:r w:rsidRPr="00036FAC">
        <w:t>recommendation</w:t>
      </w:r>
      <w:r w:rsidR="00907D8C">
        <w:t xml:space="preserve"> </w:t>
      </w:r>
      <w:r w:rsidRPr="00036FAC">
        <w:t>unless</w:t>
      </w:r>
      <w:r w:rsidR="00907D8C">
        <w:t xml:space="preserve"> </w:t>
      </w:r>
      <w:r w:rsidRPr="00036FAC">
        <w:t>the</w:t>
      </w:r>
      <w:r w:rsidR="00907D8C">
        <w:t xml:space="preserve"> </w:t>
      </w:r>
      <w:r w:rsidRPr="00036FAC">
        <w:t>Governor-General,</w:t>
      </w:r>
      <w:r w:rsidR="00907D8C">
        <w:t xml:space="preserve"> </w:t>
      </w:r>
      <w:r w:rsidRPr="00036FAC">
        <w:t>by</w:t>
      </w:r>
      <w:r w:rsidR="00907D8C">
        <w:t xml:space="preserve"> </w:t>
      </w:r>
      <w:r w:rsidRPr="00036FAC">
        <w:t>Order</w:t>
      </w:r>
      <w:r w:rsidR="00907D8C">
        <w:t xml:space="preserve"> </w:t>
      </w:r>
      <w:r w:rsidRPr="00036FAC">
        <w:t>in</w:t>
      </w:r>
      <w:r w:rsidR="00907D8C">
        <w:t xml:space="preserve"> </w:t>
      </w:r>
      <w:r w:rsidRPr="00036FAC">
        <w:t>Council,</w:t>
      </w:r>
      <w:r w:rsidR="00907D8C">
        <w:t xml:space="preserve"> </w:t>
      </w:r>
      <w:r w:rsidRPr="00036FAC">
        <w:t>directs</w:t>
      </w:r>
      <w:r w:rsidR="00907D8C">
        <w:t xml:space="preserve"> </w:t>
      </w:r>
      <w:r w:rsidRPr="00036FAC">
        <w:t>otherwise.</w:t>
      </w:r>
      <w:r w:rsidR="00907D8C">
        <w:t xml:space="preserve"> </w:t>
      </w:r>
      <w:r w:rsidRPr="00036FAC">
        <w:t>It</w:t>
      </w:r>
      <w:r w:rsidR="00907D8C">
        <w:t xml:space="preserve"> </w:t>
      </w:r>
      <w:r w:rsidRPr="00036FAC">
        <w:t>is</w:t>
      </w:r>
      <w:r w:rsidR="00907D8C">
        <w:t xml:space="preserve"> </w:t>
      </w:r>
      <w:r w:rsidRPr="00036FAC">
        <w:t>possible</w:t>
      </w:r>
      <w:r w:rsidR="00907D8C">
        <w:t xml:space="preserve"> </w:t>
      </w:r>
      <w:r w:rsidRPr="00036FAC">
        <w:t>for</w:t>
      </w:r>
      <w:r w:rsidR="00907D8C">
        <w:t xml:space="preserve"> </w:t>
      </w:r>
      <w:r w:rsidRPr="00036FAC">
        <w:t>the</w:t>
      </w:r>
      <w:r w:rsidR="00907D8C">
        <w:t xml:space="preserve"> </w:t>
      </w:r>
      <w:r w:rsidRPr="00036FAC">
        <w:t>person</w:t>
      </w:r>
      <w:r w:rsidR="00907D8C">
        <w:t xml:space="preserve"> </w:t>
      </w:r>
      <w:r w:rsidRPr="00036FAC">
        <w:t>who</w:t>
      </w:r>
      <w:r w:rsidR="00907D8C">
        <w:t xml:space="preserve"> </w:t>
      </w:r>
      <w:r w:rsidRPr="00036FAC">
        <w:t>made</w:t>
      </w:r>
      <w:r w:rsidR="00907D8C">
        <w:t xml:space="preserve"> </w:t>
      </w:r>
      <w:r w:rsidRPr="00036FAC">
        <w:t>the</w:t>
      </w:r>
      <w:r w:rsidR="00907D8C">
        <w:t xml:space="preserve"> </w:t>
      </w:r>
      <w:r w:rsidRPr="00036FAC">
        <w:t>original</w:t>
      </w:r>
      <w:r w:rsidR="00907D8C">
        <w:t xml:space="preserve"> </w:t>
      </w:r>
      <w:r w:rsidRPr="00036FAC">
        <w:t>request</w:t>
      </w:r>
      <w:r w:rsidR="00907D8C">
        <w:t xml:space="preserve"> </w:t>
      </w:r>
      <w:r w:rsidRPr="00036FAC">
        <w:t>to</w:t>
      </w:r>
      <w:r w:rsidR="00907D8C">
        <w:t xml:space="preserve"> </w:t>
      </w:r>
      <w:r w:rsidRPr="00036FAC">
        <w:t>review</w:t>
      </w:r>
      <w:r w:rsidR="00907D8C">
        <w:t xml:space="preserve"> </w:t>
      </w:r>
      <w:r w:rsidRPr="00036FAC">
        <w:t>the</w:t>
      </w:r>
      <w:r w:rsidR="00907D8C">
        <w:t xml:space="preserve"> </w:t>
      </w:r>
      <w:r w:rsidRPr="00036FAC">
        <w:t>making</w:t>
      </w:r>
      <w:r w:rsidR="00907D8C">
        <w:t xml:space="preserve"> </w:t>
      </w:r>
      <w:r w:rsidRPr="00036FAC">
        <w:t>of</w:t>
      </w:r>
      <w:r w:rsidR="00907D8C">
        <w:t xml:space="preserve"> </w:t>
      </w:r>
      <w:r w:rsidRPr="00036FAC">
        <w:t>such</w:t>
      </w:r>
      <w:r w:rsidR="00907D8C">
        <w:t xml:space="preserve"> </w:t>
      </w:r>
      <w:r w:rsidRPr="00036FAC">
        <w:t>an</w:t>
      </w:r>
      <w:r w:rsidR="00907D8C">
        <w:t xml:space="preserve"> </w:t>
      </w:r>
      <w:r w:rsidRPr="00036FAC">
        <w:t>Order</w:t>
      </w:r>
      <w:r w:rsidR="00907D8C">
        <w:t xml:space="preserve"> </w:t>
      </w:r>
      <w:r w:rsidRPr="00036FAC">
        <w:t>in</w:t>
      </w:r>
      <w:r w:rsidR="00907D8C">
        <w:t xml:space="preserve"> </w:t>
      </w:r>
      <w:r w:rsidRPr="00036FAC">
        <w:t>Council</w:t>
      </w:r>
      <w:r w:rsidR="00907D8C">
        <w:t xml:space="preserve"> </w:t>
      </w:r>
      <w:r w:rsidRPr="00036FAC">
        <w:t>in</w:t>
      </w:r>
      <w:r w:rsidR="00907D8C">
        <w:t xml:space="preserve"> </w:t>
      </w:r>
      <w:r w:rsidRPr="00036FAC">
        <w:t>the</w:t>
      </w:r>
      <w:r w:rsidR="00907D8C">
        <w:t xml:space="preserve"> </w:t>
      </w:r>
      <w:r w:rsidRPr="00036FAC">
        <w:t>High</w:t>
      </w:r>
      <w:r w:rsidR="00907D8C">
        <w:t xml:space="preserve"> </w:t>
      </w:r>
      <w:r w:rsidRPr="00036FAC">
        <w:t>Court</w:t>
      </w:r>
      <w:r w:rsidR="00907D8C">
        <w:t xml:space="preserve"> </w:t>
      </w:r>
      <w:r w:rsidRPr="00036FAC">
        <w:t>and</w:t>
      </w:r>
      <w:r w:rsidR="00907D8C">
        <w:t xml:space="preserve"> </w:t>
      </w:r>
      <w:r w:rsidRPr="00036FAC">
        <w:t>to</w:t>
      </w:r>
      <w:r w:rsidR="00907D8C">
        <w:t xml:space="preserve"> </w:t>
      </w:r>
      <w:r w:rsidRPr="00036FAC">
        <w:t>appeal</w:t>
      </w:r>
      <w:r w:rsidR="00907D8C">
        <w:t xml:space="preserve"> </w:t>
      </w:r>
      <w:r w:rsidRPr="00036FAC">
        <w:t>to</w:t>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p>
    <w:p w:rsidR="00036FAC" w:rsidRPr="00036FAC" w:rsidRDefault="00036FAC" w:rsidP="00B85D72">
      <w:pPr>
        <w:pStyle w:val="SingleTxtG"/>
      </w:pPr>
      <w:r w:rsidRPr="00036FAC">
        <w:t>185.</w:t>
      </w:r>
      <w:r w:rsidRPr="00036FAC">
        <w:tab/>
        <w:t>The</w:t>
      </w:r>
      <w:r w:rsidR="00907D8C">
        <w:t xml:space="preserve"> </w:t>
      </w:r>
      <w:r w:rsidRPr="00036FAC">
        <w:t>Local</w:t>
      </w:r>
      <w:r w:rsidR="00907D8C">
        <w:t xml:space="preserve"> </w:t>
      </w:r>
      <w:r w:rsidRPr="00036FAC">
        <w:t>Government</w:t>
      </w:r>
      <w:r w:rsidR="00907D8C">
        <w:t xml:space="preserve"> </w:t>
      </w:r>
      <w:r w:rsidRPr="00036FAC">
        <w:t>Official</w:t>
      </w:r>
      <w:r w:rsidR="00907D8C">
        <w:t xml:space="preserve"> </w:t>
      </w:r>
      <w:r w:rsidRPr="00036FAC">
        <w:t>Information</w:t>
      </w:r>
      <w:r w:rsidR="00907D8C">
        <w:t xml:space="preserve"> </w:t>
      </w:r>
      <w:r w:rsidRPr="00036FAC">
        <w:t>and</w:t>
      </w:r>
      <w:r w:rsidR="00907D8C">
        <w:t xml:space="preserve"> </w:t>
      </w:r>
      <w:r w:rsidRPr="00036FAC">
        <w:t>Meetings</w:t>
      </w:r>
      <w:r w:rsidR="00907D8C">
        <w:t xml:space="preserve"> </w:t>
      </w:r>
      <w:r w:rsidRPr="00036FAC">
        <w:t>Act</w:t>
      </w:r>
      <w:r w:rsidR="00907D8C">
        <w:t xml:space="preserve"> </w:t>
      </w:r>
      <w:r w:rsidRPr="00036FAC">
        <w:t>1987</w:t>
      </w:r>
      <w:r w:rsidR="00907D8C">
        <w:t xml:space="preserve"> </w:t>
      </w:r>
      <w:r w:rsidRPr="00036FAC">
        <w:t>establishes</w:t>
      </w:r>
      <w:r w:rsidR="00907D8C">
        <w:t xml:space="preserve"> </w:t>
      </w:r>
      <w:r w:rsidRPr="00036FAC">
        <w:t>a</w:t>
      </w:r>
      <w:r w:rsidR="00907D8C">
        <w:t xml:space="preserve"> </w:t>
      </w:r>
      <w:r w:rsidRPr="00036FAC">
        <w:t>similar</w:t>
      </w:r>
      <w:r w:rsidR="00907D8C">
        <w:t xml:space="preserve"> </w:t>
      </w:r>
      <w:r w:rsidRPr="00036FAC">
        <w:t>regime</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official</w:t>
      </w:r>
      <w:r w:rsidR="00907D8C">
        <w:t xml:space="preserve"> </w:t>
      </w:r>
      <w:r w:rsidRPr="00036FAC">
        <w:t>information</w:t>
      </w:r>
      <w:r w:rsidR="00907D8C">
        <w:t xml:space="preserve"> </w:t>
      </w:r>
      <w:r w:rsidRPr="00036FAC">
        <w:t>held</w:t>
      </w:r>
      <w:r w:rsidR="00907D8C">
        <w:t xml:space="preserve"> </w:t>
      </w:r>
      <w:r w:rsidRPr="00036FAC">
        <w:t>by</w:t>
      </w:r>
      <w:r w:rsidR="00907D8C">
        <w:t xml:space="preserve"> </w:t>
      </w:r>
      <w:r w:rsidRPr="00036FAC">
        <w:t>local</w:t>
      </w:r>
      <w:r w:rsidR="00907D8C">
        <w:t xml:space="preserve"> </w:t>
      </w:r>
      <w:r w:rsidRPr="00036FAC">
        <w:t>government</w:t>
      </w:r>
      <w:r w:rsidR="00907D8C">
        <w:t xml:space="preserve"> </w:t>
      </w:r>
      <w:r w:rsidRPr="00036FAC">
        <w:t>agencies.</w:t>
      </w:r>
    </w:p>
    <w:p w:rsidR="00036FAC" w:rsidRPr="00036FAC" w:rsidRDefault="00036FAC" w:rsidP="006C436C">
      <w:pPr>
        <w:pStyle w:val="H23G"/>
      </w:pPr>
      <w:bookmarkStart w:id="205" w:name="_Toc114894981"/>
      <w:bookmarkStart w:id="206" w:name="_Toc114895872"/>
      <w:bookmarkStart w:id="207" w:name="_Toc115493417"/>
      <w:bookmarkStart w:id="208" w:name="_Toc115493761"/>
      <w:bookmarkStart w:id="209" w:name="_Toc115493836"/>
      <w:bookmarkStart w:id="210" w:name="_Toc118100632"/>
      <w:bookmarkStart w:id="211" w:name="_Toc125278918"/>
      <w:r w:rsidRPr="00036FAC">
        <w:tab/>
        <w:t>(e)</w:t>
      </w:r>
      <w:r w:rsidRPr="00036FAC">
        <w:tab/>
        <w:t>Privacy</w:t>
      </w:r>
      <w:r w:rsidR="00907D8C">
        <w:t xml:space="preserve"> </w:t>
      </w:r>
      <w:r w:rsidRPr="00036FAC">
        <w:t>Act</w:t>
      </w:r>
      <w:r w:rsidR="00907D8C">
        <w:t xml:space="preserve"> </w:t>
      </w:r>
      <w:r w:rsidRPr="00036FAC">
        <w:t>1993</w:t>
      </w:r>
      <w:bookmarkEnd w:id="205"/>
      <w:bookmarkEnd w:id="206"/>
      <w:bookmarkEnd w:id="207"/>
      <w:bookmarkEnd w:id="208"/>
      <w:bookmarkEnd w:id="209"/>
      <w:bookmarkEnd w:id="210"/>
      <w:bookmarkEnd w:id="211"/>
    </w:p>
    <w:p w:rsidR="00036FAC" w:rsidRPr="00036FAC" w:rsidRDefault="00036FAC" w:rsidP="00B85D72">
      <w:pPr>
        <w:pStyle w:val="SingleTxtG"/>
      </w:pPr>
      <w:r w:rsidRPr="00036FAC">
        <w:t>186.</w:t>
      </w:r>
      <w:r w:rsidRPr="00036FAC">
        <w:tab/>
        <w:t>This</w:t>
      </w:r>
      <w:r w:rsidR="00907D8C">
        <w:t xml:space="preserve"> </w:t>
      </w:r>
      <w:r w:rsidRPr="00036FAC">
        <w:t>Act</w:t>
      </w:r>
      <w:r w:rsidR="00907D8C">
        <w:t xml:space="preserve"> </w:t>
      </w:r>
      <w:r w:rsidRPr="00036FAC">
        <w:t>promotes</w:t>
      </w:r>
      <w:r w:rsidR="00907D8C">
        <w:t xml:space="preserve"> </w:t>
      </w:r>
      <w:r w:rsidRPr="00036FAC">
        <w:t>individual</w:t>
      </w:r>
      <w:r w:rsidR="00907D8C">
        <w:t xml:space="preserve"> </w:t>
      </w:r>
      <w:r w:rsidRPr="00036FAC">
        <w:t>privacy</w:t>
      </w:r>
      <w:r w:rsidR="00907D8C">
        <w:t xml:space="preserve"> </w:t>
      </w:r>
      <w:r w:rsidRPr="00036FAC">
        <w:t>in</w:t>
      </w:r>
      <w:r w:rsidR="00907D8C">
        <w:t xml:space="preserve"> </w:t>
      </w:r>
      <w:r w:rsidRPr="00036FAC">
        <w:t>general</w:t>
      </w:r>
      <w:r w:rsidR="00907D8C">
        <w:t xml:space="preserve"> </w:t>
      </w:r>
      <w:r w:rsidRPr="00036FAC">
        <w:t>accordance</w:t>
      </w:r>
      <w:r w:rsidR="00907D8C">
        <w:t xml:space="preserve"> </w:t>
      </w:r>
      <w:r w:rsidRPr="00036FAC">
        <w:t>with</w:t>
      </w:r>
      <w:r w:rsidR="00907D8C">
        <w:t xml:space="preserve"> </w:t>
      </w:r>
      <w:r w:rsidRPr="00036FAC">
        <w:t>OECD</w:t>
      </w:r>
      <w:r w:rsidR="00907D8C">
        <w:t xml:space="preserve"> </w:t>
      </w:r>
      <w:r w:rsidRPr="00036FAC">
        <w:t>guidelines</w:t>
      </w:r>
      <w:r w:rsidR="00907D8C">
        <w:t xml:space="preserve"> </w:t>
      </w:r>
      <w:r w:rsidRPr="00036FAC">
        <w:t>for</w:t>
      </w:r>
      <w:r w:rsidR="00907D8C">
        <w:t xml:space="preserve"> </w:t>
      </w:r>
      <w:r w:rsidRPr="00036FAC">
        <w:t>protection</w:t>
      </w:r>
      <w:r w:rsidR="00907D8C">
        <w:t xml:space="preserve"> </w:t>
      </w:r>
      <w:r w:rsidRPr="00036FAC">
        <w:t>of</w:t>
      </w:r>
      <w:r w:rsidR="00907D8C">
        <w:t xml:space="preserve"> </w:t>
      </w:r>
      <w:r w:rsidRPr="00036FAC">
        <w:t>privacy</w:t>
      </w:r>
      <w:r w:rsidR="00907D8C">
        <w:t xml:space="preserve"> </w:t>
      </w:r>
      <w:r w:rsidRPr="00036FAC">
        <w:t>and</w:t>
      </w:r>
      <w:r w:rsidR="00907D8C">
        <w:t xml:space="preserve"> </w:t>
      </w:r>
      <w:r w:rsidRPr="00036FAC">
        <w:t>international</w:t>
      </w:r>
      <w:r w:rsidR="00907D8C">
        <w:t xml:space="preserve"> </w:t>
      </w:r>
      <w:r w:rsidRPr="00036FAC">
        <w:t>flows</w:t>
      </w:r>
      <w:r w:rsidR="00907D8C">
        <w:t xml:space="preserve"> </w:t>
      </w:r>
      <w:r w:rsidRPr="00036FAC">
        <w:t>of</w:t>
      </w:r>
      <w:r w:rsidR="00907D8C">
        <w:t xml:space="preserve"> </w:t>
      </w:r>
      <w:r w:rsidRPr="00036FAC">
        <w:t>data.</w:t>
      </w:r>
      <w:r w:rsidR="00907D8C">
        <w:t xml:space="preserve"> </w:t>
      </w:r>
      <w:r w:rsidRPr="00036FAC">
        <w:t>The</w:t>
      </w:r>
      <w:r w:rsidR="00907D8C">
        <w:t xml:space="preserve"> </w:t>
      </w:r>
      <w:r w:rsidRPr="00036FAC">
        <w:t>Act</w:t>
      </w:r>
      <w:r w:rsidR="00907D8C">
        <w:t xml:space="preserve"> </w:t>
      </w:r>
      <w:r w:rsidRPr="00036FAC">
        <w:t>carries</w:t>
      </w:r>
      <w:r w:rsidR="00907D8C">
        <w:t xml:space="preserve"> </w:t>
      </w:r>
      <w:r w:rsidRPr="00036FAC">
        <w:t>forward</w:t>
      </w:r>
      <w:r w:rsidR="00907D8C">
        <w:t xml:space="preserve"> </w:t>
      </w:r>
      <w:r w:rsidRPr="00036FAC">
        <w:t>the</w:t>
      </w:r>
      <w:r w:rsidR="00907D8C">
        <w:t xml:space="preserve"> </w:t>
      </w:r>
      <w:r w:rsidRPr="00036FAC">
        <w:t>provisions</w:t>
      </w:r>
      <w:r w:rsidR="00907D8C">
        <w:t xml:space="preserve"> </w:t>
      </w:r>
      <w:r w:rsidRPr="00036FAC">
        <w:t>of</w:t>
      </w:r>
      <w:r w:rsidR="00907D8C">
        <w:t xml:space="preserve"> </w:t>
      </w:r>
      <w:r w:rsidRPr="00036FAC">
        <w:t>the</w:t>
      </w:r>
      <w:r w:rsidR="00907D8C">
        <w:t xml:space="preserve"> </w:t>
      </w:r>
      <w:r w:rsidRPr="00036FAC">
        <w:t>Privacy</w:t>
      </w:r>
      <w:r w:rsidR="00907D8C">
        <w:t xml:space="preserve"> </w:t>
      </w:r>
      <w:r w:rsidRPr="00036FAC">
        <w:t>Commissioner</w:t>
      </w:r>
      <w:r w:rsidR="00907D8C">
        <w:t xml:space="preserve"> </w:t>
      </w:r>
      <w:r w:rsidRPr="00036FAC">
        <w:t>Act</w:t>
      </w:r>
      <w:r w:rsidR="00907D8C">
        <w:t xml:space="preserve"> </w:t>
      </w:r>
      <w:r w:rsidRPr="00036FAC">
        <w:t>1991</w:t>
      </w:r>
      <w:r w:rsidR="00907D8C">
        <w:t xml:space="preserve"> </w:t>
      </w:r>
      <w:r w:rsidRPr="00036FAC">
        <w:t>and</w:t>
      </w:r>
      <w:r w:rsidR="00907D8C">
        <w:t xml:space="preserve"> </w:t>
      </w:r>
      <w:r w:rsidRPr="00036FAC">
        <w:t>establishes</w:t>
      </w:r>
      <w:r w:rsidR="00907D8C">
        <w:t xml:space="preserve"> </w:t>
      </w:r>
      <w:r w:rsidRPr="00036FAC">
        <w:t>12</w:t>
      </w:r>
      <w:r w:rsidR="00907D8C">
        <w:t xml:space="preserve"> </w:t>
      </w:r>
      <w:r w:rsidRPr="00036FAC">
        <w:t>information</w:t>
      </w:r>
      <w:r w:rsidR="00907D8C">
        <w:t xml:space="preserve"> </w:t>
      </w:r>
      <w:r w:rsidRPr="00036FAC">
        <w:t>privacy</w:t>
      </w:r>
      <w:r w:rsidR="00907D8C">
        <w:t xml:space="preserve"> </w:t>
      </w:r>
      <w:r w:rsidRPr="00036FAC">
        <w:t>principles</w:t>
      </w:r>
      <w:r w:rsidR="00907D8C">
        <w:t xml:space="preserve"> </w:t>
      </w:r>
      <w:r w:rsidRPr="00036FAC">
        <w:t>regulating</w:t>
      </w:r>
      <w:r w:rsidR="00907D8C">
        <w:t xml:space="preserve"> </w:t>
      </w:r>
      <w:r w:rsidRPr="00036FAC">
        <w:t>the</w:t>
      </w:r>
      <w:r w:rsidR="00907D8C">
        <w:t xml:space="preserve"> </w:t>
      </w:r>
      <w:r w:rsidRPr="00036FAC">
        <w:t>collection,</w:t>
      </w:r>
      <w:r w:rsidR="00907D8C">
        <w:t xml:space="preserve"> </w:t>
      </w:r>
      <w:r w:rsidRPr="00036FAC">
        <w:t>retention,</w:t>
      </w:r>
      <w:r w:rsidR="00907D8C">
        <w:t xml:space="preserve"> </w:t>
      </w:r>
      <w:r w:rsidRPr="00036FAC">
        <w:t>use,</w:t>
      </w:r>
      <w:r w:rsidR="00907D8C">
        <w:t xml:space="preserve"> </w:t>
      </w:r>
      <w:r w:rsidRPr="00036FAC">
        <w:t>and</w:t>
      </w:r>
      <w:r w:rsidR="00907D8C">
        <w:t xml:space="preserve"> </w:t>
      </w:r>
      <w:r w:rsidRPr="00036FAC">
        <w:t>disclosure</w:t>
      </w:r>
      <w:r w:rsidR="00907D8C">
        <w:t xml:space="preserve"> </w:t>
      </w:r>
      <w:r w:rsidRPr="00036FAC">
        <w:t>of</w:t>
      </w:r>
      <w:r w:rsidR="00907D8C">
        <w:t xml:space="preserve"> </w:t>
      </w:r>
      <w:r w:rsidRPr="00036FAC">
        <w:t>information</w:t>
      </w:r>
      <w:r w:rsidR="00907D8C">
        <w:t xml:space="preserve"> </w:t>
      </w:r>
      <w:r w:rsidRPr="00036FAC">
        <w:t>relating</w:t>
      </w:r>
      <w:r w:rsidR="00907D8C">
        <w:t xml:space="preserve"> </w:t>
      </w:r>
      <w:r w:rsidRPr="00036FAC">
        <w:t>to</w:t>
      </w:r>
      <w:r w:rsidR="00907D8C">
        <w:t xml:space="preserve"> </w:t>
      </w:r>
      <w:r w:rsidRPr="00036FAC">
        <w:t>individuals</w:t>
      </w:r>
      <w:r w:rsidR="00907D8C">
        <w:t xml:space="preserve"> </w:t>
      </w:r>
      <w:r w:rsidRPr="00036FAC">
        <w:t>by</w:t>
      </w:r>
      <w:r w:rsidR="00907D8C">
        <w:t xml:space="preserve"> </w:t>
      </w:r>
      <w:r w:rsidRPr="00036FAC">
        <w:t>public</w:t>
      </w:r>
      <w:r w:rsidR="00907D8C">
        <w:t xml:space="preserve"> </w:t>
      </w:r>
      <w:r w:rsidRPr="00036FAC">
        <w:t>and</w:t>
      </w:r>
      <w:r w:rsidR="00907D8C">
        <w:t xml:space="preserve"> </w:t>
      </w:r>
      <w:r w:rsidRPr="00036FAC">
        <w:t>private</w:t>
      </w:r>
      <w:r w:rsidR="00907D8C">
        <w:t xml:space="preserve"> </w:t>
      </w:r>
      <w:r w:rsidRPr="00036FAC">
        <w:t>sector</w:t>
      </w:r>
      <w:r w:rsidR="00907D8C">
        <w:t xml:space="preserve"> </w:t>
      </w:r>
      <w:r w:rsidRPr="00036FAC">
        <w:t>agencies.</w:t>
      </w:r>
      <w:r w:rsidR="00907D8C">
        <w:t xml:space="preserve"> </w:t>
      </w:r>
      <w:r w:rsidRPr="00036FAC">
        <w:t>The</w:t>
      </w:r>
      <w:r w:rsidR="00907D8C">
        <w:t xml:space="preserve"> </w:t>
      </w:r>
      <w:r w:rsidRPr="00036FAC">
        <w:t>principles</w:t>
      </w:r>
      <w:r w:rsidR="00907D8C">
        <w:t xml:space="preserve"> </w:t>
      </w:r>
      <w:r w:rsidRPr="00036FAC">
        <w:t>also</w:t>
      </w:r>
      <w:r w:rsidR="00907D8C">
        <w:t xml:space="preserve"> </w:t>
      </w:r>
      <w:r w:rsidRPr="00036FAC">
        <w:t>regulate</w:t>
      </w:r>
      <w:r w:rsidR="00907D8C">
        <w:t xml:space="preserve"> </w:t>
      </w:r>
      <w:r w:rsidRPr="00036FAC">
        <w:t>access</w:t>
      </w:r>
      <w:r w:rsidR="00907D8C">
        <w:t xml:space="preserve"> </w:t>
      </w:r>
      <w:r w:rsidRPr="00036FAC">
        <w:t>to</w:t>
      </w:r>
      <w:r w:rsidR="00907D8C">
        <w:t xml:space="preserve"> </w:t>
      </w:r>
      <w:r w:rsidRPr="00036FAC">
        <w:t>personal</w:t>
      </w:r>
      <w:r w:rsidR="00907D8C">
        <w:t xml:space="preserve"> </w:t>
      </w:r>
      <w:r w:rsidRPr="00036FAC">
        <w:t>information</w:t>
      </w:r>
      <w:r w:rsidR="00907D8C">
        <w:t xml:space="preserve"> </w:t>
      </w:r>
      <w:r w:rsidRPr="00036FAC">
        <w:t>held</w:t>
      </w:r>
      <w:r w:rsidR="00907D8C">
        <w:t xml:space="preserve"> </w:t>
      </w:r>
      <w:r w:rsidRPr="00036FAC">
        <w:t>by</w:t>
      </w:r>
      <w:r w:rsidR="00907D8C">
        <w:t xml:space="preserve"> </w:t>
      </w:r>
      <w:r w:rsidRPr="00036FAC">
        <w:t>these</w:t>
      </w:r>
      <w:r w:rsidR="00907D8C">
        <w:t xml:space="preserve"> </w:t>
      </w:r>
      <w:r w:rsidRPr="00036FAC">
        <w:t>agencies.</w:t>
      </w:r>
      <w:r w:rsidR="00907D8C">
        <w:t xml:space="preserve"> </w:t>
      </w:r>
      <w:r w:rsidRPr="00036FAC">
        <w:t>The</w:t>
      </w:r>
      <w:r w:rsidR="00907D8C">
        <w:t xml:space="preserve"> </w:t>
      </w:r>
      <w:r w:rsidRPr="00036FAC">
        <w:t>Privacy</w:t>
      </w:r>
      <w:r w:rsidR="00907D8C">
        <w:t xml:space="preserve"> </w:t>
      </w:r>
      <w:r w:rsidRPr="00036FAC">
        <w:t>Commissioner</w:t>
      </w:r>
      <w:r w:rsidR="00907D8C">
        <w:t xml:space="preserve"> </w:t>
      </w:r>
      <w:r w:rsidRPr="00036FAC">
        <w:t>may</w:t>
      </w:r>
      <w:r w:rsidR="00907D8C">
        <w:t xml:space="preserve"> </w:t>
      </w:r>
      <w:r w:rsidRPr="00036FAC">
        <w:t>grant</w:t>
      </w:r>
      <w:r w:rsidR="00907D8C">
        <w:t xml:space="preserve"> </w:t>
      </w:r>
      <w:r w:rsidRPr="00036FAC">
        <w:t>exemptions</w:t>
      </w:r>
      <w:r w:rsidR="00907D8C">
        <w:t xml:space="preserve"> </w:t>
      </w:r>
      <w:r w:rsidRPr="00036FAC">
        <w:t>to</w:t>
      </w:r>
      <w:r w:rsidR="00907D8C">
        <w:t xml:space="preserve"> </w:t>
      </w:r>
      <w:r w:rsidRPr="00036FAC">
        <w:t>some</w:t>
      </w:r>
      <w:r w:rsidR="00907D8C">
        <w:t xml:space="preserve"> </w:t>
      </w:r>
      <w:r w:rsidRPr="00036FAC">
        <w:t>principles</w:t>
      </w:r>
      <w:r w:rsidR="00907D8C">
        <w:t xml:space="preserve"> </w:t>
      </w:r>
      <w:r w:rsidRPr="00036FAC">
        <w:t>under</w:t>
      </w:r>
      <w:r w:rsidR="00907D8C">
        <w:t xml:space="preserve"> </w:t>
      </w:r>
      <w:r w:rsidRPr="00036FAC">
        <w:t>codes</w:t>
      </w:r>
      <w:r w:rsidR="00907D8C">
        <w:t xml:space="preserve"> </w:t>
      </w:r>
      <w:r w:rsidRPr="00036FAC">
        <w:t>of</w:t>
      </w:r>
      <w:r w:rsidR="00907D8C">
        <w:t xml:space="preserve"> </w:t>
      </w:r>
      <w:r w:rsidRPr="00036FAC">
        <w:t>practice.</w:t>
      </w:r>
    </w:p>
    <w:p w:rsidR="00036FAC" w:rsidRPr="00036FAC" w:rsidRDefault="00036FAC" w:rsidP="00B85D72">
      <w:pPr>
        <w:pStyle w:val="SingleTxtG"/>
      </w:pPr>
      <w:r w:rsidRPr="00036FAC">
        <w:t>187.</w:t>
      </w:r>
      <w:r w:rsidRPr="00036FAC">
        <w:tab/>
        <w:t>The</w:t>
      </w:r>
      <w:r w:rsidR="00907D8C">
        <w:t xml:space="preserve"> </w:t>
      </w:r>
      <w:r w:rsidRPr="00036FAC">
        <w:t>Act</w:t>
      </w:r>
      <w:r w:rsidR="00907D8C">
        <w:t xml:space="preserve"> </w:t>
      </w:r>
      <w:r w:rsidRPr="00036FAC">
        <w:t>also</w:t>
      </w:r>
      <w:r w:rsidR="00907D8C">
        <w:t xml:space="preserve"> </w:t>
      </w:r>
      <w:r w:rsidRPr="00036FAC">
        <w:t>establishes</w:t>
      </w:r>
      <w:r w:rsidR="00907D8C">
        <w:t xml:space="preserve"> </w:t>
      </w:r>
      <w:r w:rsidRPr="00036FAC">
        <w:t>four</w:t>
      </w:r>
      <w:r w:rsidR="00907D8C">
        <w:t xml:space="preserve"> </w:t>
      </w:r>
      <w:r w:rsidR="003E4D94">
        <w:t>“</w:t>
      </w:r>
      <w:r w:rsidRPr="00036FAC">
        <w:t>public</w:t>
      </w:r>
      <w:r w:rsidR="00907D8C">
        <w:t xml:space="preserve"> </w:t>
      </w:r>
      <w:r w:rsidRPr="00036FAC">
        <w:t>register</w:t>
      </w:r>
      <w:r w:rsidR="00907D8C">
        <w:t xml:space="preserve"> </w:t>
      </w:r>
      <w:r w:rsidRPr="00036FAC">
        <w:t>privacy</w:t>
      </w:r>
      <w:r w:rsidR="00907D8C">
        <w:t xml:space="preserve"> </w:t>
      </w:r>
      <w:r w:rsidRPr="00036FAC">
        <w:t>principles</w:t>
      </w:r>
      <w:r w:rsidR="003E4D94">
        <w:t>”</w:t>
      </w:r>
      <w:r w:rsidR="00907D8C">
        <w:t xml:space="preserve"> </w:t>
      </w:r>
      <w:r w:rsidRPr="00036FAC">
        <w:t>regulating</w:t>
      </w:r>
      <w:r w:rsidR="00907D8C">
        <w:t xml:space="preserve"> </w:t>
      </w:r>
      <w:r w:rsidRPr="00036FAC">
        <w:t>access</w:t>
      </w:r>
      <w:r w:rsidR="00907D8C">
        <w:t xml:space="preserve"> </w:t>
      </w:r>
      <w:r w:rsidRPr="00036FAC">
        <w:t>to</w:t>
      </w:r>
      <w:r w:rsidR="00907D8C">
        <w:t xml:space="preserve"> </w:t>
      </w:r>
      <w:r w:rsidRPr="00036FAC">
        <w:t>personal</w:t>
      </w:r>
      <w:r w:rsidR="00907D8C">
        <w:t xml:space="preserve"> </w:t>
      </w:r>
      <w:r w:rsidRPr="00036FAC">
        <w:t>information</w:t>
      </w:r>
      <w:r w:rsidR="00907D8C">
        <w:t xml:space="preserve"> </w:t>
      </w:r>
      <w:r w:rsidRPr="00036FAC">
        <w:t>on</w:t>
      </w:r>
      <w:r w:rsidR="00907D8C">
        <w:t xml:space="preserve"> </w:t>
      </w:r>
      <w:r w:rsidRPr="00036FAC">
        <w:t>statutory</w:t>
      </w:r>
      <w:r w:rsidR="00907D8C">
        <w:t xml:space="preserve"> </w:t>
      </w:r>
      <w:r w:rsidRPr="00036FAC">
        <w:t>lists</w:t>
      </w:r>
      <w:r w:rsidR="00907D8C">
        <w:t xml:space="preserve"> </w:t>
      </w:r>
      <w:r w:rsidRPr="00036FAC">
        <w:t>(such</w:t>
      </w:r>
      <w:r w:rsidR="00907D8C">
        <w:t xml:space="preserve"> </w:t>
      </w:r>
      <w:r w:rsidRPr="00036FAC">
        <w:t>as</w:t>
      </w:r>
      <w:r w:rsidR="00907D8C">
        <w:t xml:space="preserve"> </w:t>
      </w:r>
      <w:r w:rsidRPr="00036FAC">
        <w:t>the</w:t>
      </w:r>
      <w:r w:rsidR="00907D8C">
        <w:t xml:space="preserve"> </w:t>
      </w:r>
      <w:r w:rsidRPr="00036FAC">
        <w:t>births,</w:t>
      </w:r>
      <w:r w:rsidR="00907D8C">
        <w:t xml:space="preserve"> </w:t>
      </w:r>
      <w:r w:rsidRPr="00036FAC">
        <w:t>deaths,</w:t>
      </w:r>
      <w:r w:rsidR="00907D8C">
        <w:t xml:space="preserve"> </w:t>
      </w:r>
      <w:r w:rsidRPr="00036FAC">
        <w:t>and</w:t>
      </w:r>
      <w:r w:rsidR="00907D8C">
        <w:t xml:space="preserve"> </w:t>
      </w:r>
      <w:r w:rsidRPr="00036FAC">
        <w:t>marriages</w:t>
      </w:r>
      <w:r w:rsidR="00907D8C">
        <w:t xml:space="preserve"> </w:t>
      </w:r>
      <w:r w:rsidRPr="00036FAC">
        <w:t>registers).</w:t>
      </w:r>
      <w:r w:rsidR="00907D8C">
        <w:t xml:space="preserve"> </w:t>
      </w:r>
      <w:r w:rsidRPr="00036FAC">
        <w:t>There</w:t>
      </w:r>
      <w:r w:rsidR="00907D8C">
        <w:t xml:space="preserve"> </w:t>
      </w:r>
      <w:r w:rsidRPr="00036FAC">
        <w:t>is</w:t>
      </w:r>
      <w:r w:rsidR="00907D8C">
        <w:t xml:space="preserve"> </w:t>
      </w:r>
      <w:r w:rsidRPr="00036FAC">
        <w:t>also</w:t>
      </w:r>
      <w:r w:rsidR="00907D8C">
        <w:t xml:space="preserve"> </w:t>
      </w:r>
      <w:r w:rsidRPr="00036FAC">
        <w:t>a</w:t>
      </w:r>
      <w:r w:rsidR="00907D8C">
        <w:t xml:space="preserve"> </w:t>
      </w:r>
      <w:r w:rsidRPr="00036FAC">
        <w:t>regime</w:t>
      </w:r>
      <w:r w:rsidR="00907D8C">
        <w:t xml:space="preserve"> </w:t>
      </w:r>
      <w:r w:rsidRPr="00036FAC">
        <w:t>for</w:t>
      </w:r>
      <w:r w:rsidR="00907D8C">
        <w:t xml:space="preserve"> </w:t>
      </w:r>
      <w:r w:rsidRPr="00036FAC">
        <w:t>information</w:t>
      </w:r>
      <w:r w:rsidR="00907D8C">
        <w:t xml:space="preserve"> </w:t>
      </w:r>
      <w:r w:rsidRPr="00036FAC">
        <w:t>matching</w:t>
      </w:r>
      <w:r w:rsidR="00907D8C">
        <w:t xml:space="preserve"> </w:t>
      </w:r>
      <w:r w:rsidRPr="00036FAC">
        <w:t>that</w:t>
      </w:r>
      <w:r w:rsidR="00907D8C">
        <w:t xml:space="preserve"> </w:t>
      </w:r>
      <w:r w:rsidRPr="00036FAC">
        <w:t>establishes</w:t>
      </w:r>
      <w:r w:rsidR="00907D8C">
        <w:t xml:space="preserve"> </w:t>
      </w:r>
      <w:r w:rsidRPr="00036FAC">
        <w:t>controls</w:t>
      </w:r>
      <w:r w:rsidR="00907D8C">
        <w:t xml:space="preserve"> </w:t>
      </w:r>
      <w:r w:rsidRPr="00036FAC">
        <w:t>on</w:t>
      </w:r>
      <w:r w:rsidR="00907D8C">
        <w:t xml:space="preserve"> </w:t>
      </w:r>
      <w:r w:rsidRPr="00036FAC">
        <w:t>statutory</w:t>
      </w:r>
      <w:r w:rsidR="00907D8C">
        <w:t xml:space="preserve"> </w:t>
      </w:r>
      <w:r w:rsidRPr="00036FAC">
        <w:t>information-matching</w:t>
      </w:r>
      <w:r w:rsidR="00907D8C">
        <w:t xml:space="preserve"> </w:t>
      </w:r>
      <w:r w:rsidRPr="00036FAC">
        <w:t>provisions</w:t>
      </w:r>
      <w:r w:rsidR="00907D8C">
        <w:t xml:space="preserve"> </w:t>
      </w:r>
      <w:r w:rsidRPr="00036FAC">
        <w:t>implemented</w:t>
      </w:r>
      <w:r w:rsidR="00907D8C">
        <w:t xml:space="preserve"> </w:t>
      </w:r>
      <w:r w:rsidRPr="00036FAC">
        <w:t>by</w:t>
      </w:r>
      <w:r w:rsidR="00907D8C">
        <w:t xml:space="preserve"> </w:t>
      </w:r>
      <w:r w:rsidRPr="00036FAC">
        <w:t>the</w:t>
      </w:r>
      <w:r w:rsidR="00907D8C">
        <w:t xml:space="preserve"> </w:t>
      </w:r>
      <w:r w:rsidRPr="00036FAC">
        <w:t>public</w:t>
      </w:r>
      <w:r w:rsidR="00907D8C">
        <w:t xml:space="preserve"> </w:t>
      </w:r>
      <w:r w:rsidRPr="00036FAC">
        <w:t>sector.</w:t>
      </w:r>
    </w:p>
    <w:p w:rsidR="00036FAC" w:rsidRPr="00036FAC" w:rsidRDefault="00036FAC" w:rsidP="00B85D72">
      <w:pPr>
        <w:pStyle w:val="SingleTxtG"/>
      </w:pPr>
      <w:r w:rsidRPr="00036FAC">
        <w:t>188.</w:t>
      </w:r>
      <w:r w:rsidRPr="00036FAC">
        <w:tab/>
        <w:t>The</w:t>
      </w:r>
      <w:r w:rsidR="00907D8C">
        <w:t xml:space="preserve"> </w:t>
      </w:r>
      <w:r w:rsidRPr="00036FAC">
        <w:t>Privacy</w:t>
      </w:r>
      <w:r w:rsidR="00907D8C">
        <w:t xml:space="preserve"> </w:t>
      </w:r>
      <w:r w:rsidRPr="00036FAC">
        <w:t>Commissioner</w:t>
      </w:r>
      <w:r w:rsidR="00907D8C">
        <w:t xml:space="preserve"> </w:t>
      </w:r>
      <w:r w:rsidRPr="00036FAC">
        <w:t>has</w:t>
      </w:r>
      <w:r w:rsidR="00907D8C">
        <w:t xml:space="preserve"> </w:t>
      </w:r>
      <w:r w:rsidRPr="00036FAC">
        <w:t>a</w:t>
      </w:r>
      <w:r w:rsidR="00907D8C">
        <w:t xml:space="preserve"> </w:t>
      </w:r>
      <w:r w:rsidRPr="00036FAC">
        <w:t>wide</w:t>
      </w:r>
      <w:r w:rsidR="00907D8C">
        <w:t xml:space="preserve"> </w:t>
      </w:r>
      <w:r w:rsidRPr="00036FAC">
        <w:t>brief</w:t>
      </w:r>
      <w:r w:rsidR="00907D8C">
        <w:t xml:space="preserve"> </w:t>
      </w:r>
      <w:r w:rsidRPr="00036FAC">
        <w:t>under</w:t>
      </w:r>
      <w:r w:rsidR="00907D8C">
        <w:t xml:space="preserve"> </w:t>
      </w:r>
      <w:r w:rsidRPr="00036FAC">
        <w:t>the</w:t>
      </w:r>
      <w:r w:rsidR="00907D8C">
        <w:t xml:space="preserve"> </w:t>
      </w:r>
      <w:r w:rsidRPr="00036FAC">
        <w:t>Act</w:t>
      </w:r>
      <w:r w:rsidR="00907D8C">
        <w:t xml:space="preserve"> </w:t>
      </w:r>
      <w:r w:rsidRPr="00036FAC">
        <w:t>to</w:t>
      </w:r>
      <w:r w:rsidR="00907D8C">
        <w:t xml:space="preserve"> </w:t>
      </w:r>
      <w:r w:rsidRPr="00036FAC">
        <w:t>monitor</w:t>
      </w:r>
      <w:r w:rsidR="00907D8C">
        <w:t xml:space="preserve"> </w:t>
      </w:r>
      <w:r w:rsidRPr="00036FAC">
        <w:t>and</w:t>
      </w:r>
      <w:r w:rsidR="00907D8C">
        <w:t xml:space="preserve"> </w:t>
      </w:r>
      <w:r w:rsidRPr="00036FAC">
        <w:t>report</w:t>
      </w:r>
      <w:r w:rsidR="00907D8C">
        <w:t xml:space="preserve"> </w:t>
      </w:r>
      <w:r w:rsidRPr="00036FAC">
        <w:t>on</w:t>
      </w:r>
      <w:r w:rsidR="00907D8C">
        <w:t xml:space="preserve"> </w:t>
      </w:r>
      <w:r w:rsidRPr="00036FAC">
        <w:t>policy</w:t>
      </w:r>
      <w:r w:rsidR="00907D8C">
        <w:t xml:space="preserve"> </w:t>
      </w:r>
      <w:r w:rsidRPr="00036FAC">
        <w:t>and</w:t>
      </w:r>
      <w:r w:rsidR="00907D8C">
        <w:t xml:space="preserve"> </w:t>
      </w:r>
      <w:r w:rsidRPr="00036FAC">
        <w:t>legislation</w:t>
      </w:r>
      <w:r w:rsidR="00907D8C">
        <w:t xml:space="preserve"> </w:t>
      </w:r>
      <w:r w:rsidRPr="00036FAC">
        <w:t>that</w:t>
      </w:r>
      <w:r w:rsidR="00907D8C">
        <w:t xml:space="preserve"> </w:t>
      </w:r>
      <w:r w:rsidRPr="00036FAC">
        <w:t>have</w:t>
      </w:r>
      <w:r w:rsidR="00907D8C">
        <w:t xml:space="preserve"> </w:t>
      </w:r>
      <w:r w:rsidRPr="00036FAC">
        <w:t>privacy</w:t>
      </w:r>
      <w:r w:rsidR="00907D8C">
        <w:t xml:space="preserve"> </w:t>
      </w:r>
      <w:r w:rsidRPr="00036FAC">
        <w:t>implications.</w:t>
      </w:r>
      <w:r w:rsidR="00907D8C">
        <w:t xml:space="preserve"> </w:t>
      </w:r>
      <w:r w:rsidRPr="00036FAC">
        <w:t>The</w:t>
      </w:r>
      <w:r w:rsidR="00907D8C">
        <w:t xml:space="preserve"> </w:t>
      </w:r>
      <w:r w:rsidRPr="00036FAC">
        <w:t>Act</w:t>
      </w:r>
      <w:r w:rsidR="00907D8C">
        <w:t xml:space="preserve"> </w:t>
      </w:r>
      <w:r w:rsidRPr="00036FAC">
        <w:t>establishes</w:t>
      </w:r>
      <w:r w:rsidR="00907D8C">
        <w:t xml:space="preserve"> </w:t>
      </w:r>
      <w:r w:rsidRPr="00036FAC">
        <w:t>a</w:t>
      </w:r>
      <w:r w:rsidR="00907D8C">
        <w:t xml:space="preserve"> </w:t>
      </w:r>
      <w:r w:rsidRPr="00036FAC">
        <w:t>complaints</w:t>
      </w:r>
      <w:r w:rsidR="00907D8C">
        <w:t xml:space="preserve"> </w:t>
      </w:r>
      <w:r w:rsidRPr="00036FAC">
        <w:t>mechanism</w:t>
      </w:r>
      <w:r w:rsidR="00907D8C">
        <w:t xml:space="preserve"> </w:t>
      </w:r>
      <w:r w:rsidRPr="00036FAC">
        <w:t>that</w:t>
      </w:r>
      <w:r w:rsidR="00907D8C">
        <w:t xml:space="preserve"> </w:t>
      </w:r>
      <w:r w:rsidRPr="00036FAC">
        <w:t>enables</w:t>
      </w:r>
      <w:r w:rsidR="00907D8C">
        <w:t xml:space="preserve"> </w:t>
      </w:r>
      <w:r w:rsidRPr="00036FAC">
        <w:t>individuals</w:t>
      </w:r>
      <w:r w:rsidR="00907D8C">
        <w:t xml:space="preserve"> </w:t>
      </w:r>
      <w:r w:rsidRPr="00036FAC">
        <w:t>to</w:t>
      </w:r>
      <w:r w:rsidR="00907D8C">
        <w:t xml:space="preserve"> </w:t>
      </w:r>
      <w:r w:rsidRPr="00036FAC">
        <w:t>complain</w:t>
      </w:r>
      <w:r w:rsidR="00907D8C">
        <w:t xml:space="preserve"> </w:t>
      </w:r>
      <w:r w:rsidRPr="00036FAC">
        <w:t>to</w:t>
      </w:r>
      <w:r w:rsidR="00907D8C">
        <w:t xml:space="preserve"> </w:t>
      </w:r>
      <w:r w:rsidRPr="00036FAC">
        <w:t>the</w:t>
      </w:r>
      <w:r w:rsidR="00907D8C">
        <w:t xml:space="preserve"> </w:t>
      </w:r>
      <w:r w:rsidRPr="00036FAC">
        <w:t>Privacy</w:t>
      </w:r>
      <w:r w:rsidR="00907D8C">
        <w:t xml:space="preserve"> </w:t>
      </w:r>
      <w:r w:rsidRPr="00036FAC">
        <w:t>Commissioner</w:t>
      </w:r>
      <w:r w:rsidR="00907D8C">
        <w:t xml:space="preserve"> </w:t>
      </w:r>
      <w:r w:rsidRPr="00036FAC">
        <w:t>if</w:t>
      </w:r>
      <w:r w:rsidR="00907D8C">
        <w:t xml:space="preserve"> </w:t>
      </w:r>
      <w:r w:rsidRPr="00036FAC">
        <w:t>they</w:t>
      </w:r>
      <w:r w:rsidR="00907D8C">
        <w:t xml:space="preserve"> </w:t>
      </w:r>
      <w:r w:rsidRPr="00036FAC">
        <w:t>believe</w:t>
      </w:r>
      <w:r w:rsidR="00907D8C">
        <w:t xml:space="preserve"> </w:t>
      </w:r>
      <w:r w:rsidRPr="00036FAC">
        <w:t>that</w:t>
      </w:r>
      <w:r w:rsidR="00907D8C">
        <w:t xml:space="preserve"> </w:t>
      </w:r>
      <w:r w:rsidRPr="00036FAC">
        <w:t>their</w:t>
      </w:r>
      <w:r w:rsidR="00907D8C">
        <w:t xml:space="preserve"> </w:t>
      </w:r>
      <w:r w:rsidRPr="00036FAC">
        <w:t>privacy</w:t>
      </w:r>
      <w:r w:rsidR="00907D8C">
        <w:t xml:space="preserve"> </w:t>
      </w:r>
      <w:r w:rsidRPr="00036FAC">
        <w:t>has</w:t>
      </w:r>
      <w:r w:rsidR="00907D8C">
        <w:t xml:space="preserve"> </w:t>
      </w:r>
      <w:r w:rsidRPr="00036FAC">
        <w:t>been</w:t>
      </w:r>
      <w:r w:rsidR="00907D8C">
        <w:t xml:space="preserve"> </w:t>
      </w:r>
      <w:r w:rsidRPr="00036FAC">
        <w:t>infringed.</w:t>
      </w:r>
      <w:r w:rsidR="00907D8C">
        <w:t xml:space="preserve"> </w:t>
      </w:r>
      <w:r w:rsidRPr="00036FAC">
        <w:t>The</w:t>
      </w:r>
      <w:r w:rsidR="00907D8C">
        <w:t xml:space="preserve"> </w:t>
      </w:r>
      <w:r w:rsidRPr="00036FAC">
        <w:t>focus</w:t>
      </w:r>
      <w:r w:rsidR="00907D8C">
        <w:t xml:space="preserve"> </w:t>
      </w:r>
      <w:r w:rsidRPr="00036FAC">
        <w:t>is</w:t>
      </w:r>
      <w:r w:rsidR="00907D8C">
        <w:t xml:space="preserve"> </w:t>
      </w:r>
      <w:r w:rsidRPr="00036FAC">
        <w:t>on</w:t>
      </w:r>
      <w:r w:rsidR="00907D8C">
        <w:t xml:space="preserve"> </w:t>
      </w:r>
      <w:r w:rsidRPr="00036FAC">
        <w:t>resolving</w:t>
      </w:r>
      <w:r w:rsidR="00907D8C">
        <w:t xml:space="preserve"> </w:t>
      </w:r>
      <w:r w:rsidRPr="00036FAC">
        <w:t>complaints</w:t>
      </w:r>
      <w:r w:rsidR="00907D8C">
        <w:t xml:space="preserve"> </w:t>
      </w:r>
      <w:r w:rsidRPr="00036FAC">
        <w:t>by</w:t>
      </w:r>
      <w:r w:rsidR="00907D8C">
        <w:t xml:space="preserve"> </w:t>
      </w:r>
      <w:r w:rsidRPr="00036FAC">
        <w:t>way</w:t>
      </w:r>
      <w:r w:rsidR="00907D8C">
        <w:t xml:space="preserve"> </w:t>
      </w:r>
      <w:r w:rsidRPr="00036FAC">
        <w:t>of</w:t>
      </w:r>
      <w:r w:rsidR="00907D8C">
        <w:t xml:space="preserve"> </w:t>
      </w:r>
      <w:r w:rsidRPr="00036FAC">
        <w:t>settlement,</w:t>
      </w:r>
      <w:r w:rsidR="00907D8C">
        <w:t xml:space="preserve"> </w:t>
      </w:r>
      <w:r w:rsidRPr="00036FAC">
        <w:t>wherever</w:t>
      </w:r>
      <w:r w:rsidR="00907D8C">
        <w:t xml:space="preserve"> </w:t>
      </w:r>
      <w:r w:rsidRPr="00036FAC">
        <w:t>possible.</w:t>
      </w:r>
      <w:r w:rsidR="00907D8C">
        <w:t xml:space="preserve"> </w:t>
      </w:r>
      <w:r w:rsidRPr="00036FAC">
        <w:t>However,</w:t>
      </w:r>
      <w:r w:rsidR="00907D8C">
        <w:t xml:space="preserve"> </w:t>
      </w:r>
      <w:r w:rsidRPr="00036FAC">
        <w:t>civil</w:t>
      </w:r>
      <w:r w:rsidR="00907D8C">
        <w:t xml:space="preserve"> </w:t>
      </w:r>
      <w:r w:rsidRPr="00036FAC">
        <w:t>proceedings</w:t>
      </w:r>
      <w:r w:rsidR="00907D8C">
        <w:t xml:space="preserve"> </w:t>
      </w:r>
      <w:r w:rsidRPr="00036FAC">
        <w:t>before</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are</w:t>
      </w:r>
      <w:r w:rsidR="00907D8C">
        <w:t xml:space="preserve"> </w:t>
      </w:r>
      <w:r w:rsidRPr="00036FAC">
        <w:t>available</w:t>
      </w:r>
      <w:r w:rsidR="00907D8C">
        <w:t xml:space="preserve"> </w:t>
      </w:r>
      <w:r w:rsidRPr="00036FAC">
        <w:t>where</w:t>
      </w:r>
      <w:r w:rsidR="00907D8C">
        <w:t xml:space="preserve"> </w:t>
      </w:r>
      <w:r w:rsidRPr="00036FAC">
        <w:t>a</w:t>
      </w:r>
      <w:r w:rsidR="00907D8C">
        <w:t xml:space="preserve"> </w:t>
      </w:r>
      <w:r w:rsidRPr="00036FAC">
        <w:t>complaint</w:t>
      </w:r>
      <w:r w:rsidR="00907D8C">
        <w:t xml:space="preserve"> </w:t>
      </w:r>
      <w:r w:rsidRPr="00036FAC">
        <w:t>is</w:t>
      </w:r>
      <w:r w:rsidR="00907D8C">
        <w:t xml:space="preserve"> </w:t>
      </w:r>
      <w:r w:rsidRPr="00036FAC">
        <w:t>not</w:t>
      </w:r>
      <w:r w:rsidR="00907D8C">
        <w:t xml:space="preserve"> </w:t>
      </w:r>
      <w:r w:rsidRPr="00036FAC">
        <w:t>resolved.</w:t>
      </w:r>
    </w:p>
    <w:p w:rsidR="00036FAC" w:rsidRPr="00036FAC" w:rsidRDefault="00036FAC" w:rsidP="00B85D72">
      <w:pPr>
        <w:pStyle w:val="SingleTxtG"/>
      </w:pPr>
      <w:r w:rsidRPr="00036FAC">
        <w:t>189.</w:t>
      </w:r>
      <w:r w:rsidRPr="00036FAC">
        <w:tab/>
        <w:t>The</w:t>
      </w:r>
      <w:r w:rsidR="00907D8C">
        <w:t xml:space="preserve"> </w:t>
      </w:r>
      <w:r w:rsidRPr="00036FAC">
        <w:t>Privacy</w:t>
      </w:r>
      <w:r w:rsidR="00907D8C">
        <w:t xml:space="preserve"> </w:t>
      </w:r>
      <w:r w:rsidRPr="00036FAC">
        <w:t>Commissioner</w:t>
      </w:r>
      <w:r w:rsidR="00907D8C">
        <w:t xml:space="preserve"> </w:t>
      </w:r>
      <w:r w:rsidRPr="00036FAC">
        <w:t>also</w:t>
      </w:r>
      <w:r w:rsidR="00907D8C">
        <w:t xml:space="preserve"> </w:t>
      </w:r>
      <w:r w:rsidRPr="00036FAC">
        <w:t>has</w:t>
      </w:r>
      <w:r w:rsidR="00907D8C">
        <w:t xml:space="preserve"> </w:t>
      </w:r>
      <w:r w:rsidRPr="00036FAC">
        <w:t>a</w:t>
      </w:r>
      <w:r w:rsidR="00907D8C">
        <w:t xml:space="preserve"> </w:t>
      </w:r>
      <w:r w:rsidRPr="00036FAC">
        <w:t>general</w:t>
      </w:r>
      <w:r w:rsidR="00907D8C">
        <w:t xml:space="preserve"> </w:t>
      </w:r>
      <w:r w:rsidRPr="00036FAC">
        <w:t>monitoring</w:t>
      </w:r>
      <w:r w:rsidR="00907D8C">
        <w:t xml:space="preserve"> </w:t>
      </w:r>
      <w:r w:rsidRPr="00036FAC">
        <w:t>and</w:t>
      </w:r>
      <w:r w:rsidR="00907D8C">
        <w:t xml:space="preserve"> </w:t>
      </w:r>
      <w:r w:rsidRPr="00036FAC">
        <w:t>reporting</w:t>
      </w:r>
      <w:r w:rsidR="00907D8C">
        <w:t xml:space="preserve"> </w:t>
      </w:r>
      <w:r w:rsidRPr="00036FAC">
        <w:t>function</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policy</w:t>
      </w:r>
      <w:r w:rsidR="00907D8C">
        <w:t xml:space="preserve"> </w:t>
      </w:r>
      <w:r w:rsidRPr="00036FAC">
        <w:t>and</w:t>
      </w:r>
      <w:r w:rsidR="00907D8C">
        <w:t xml:space="preserve"> </w:t>
      </w:r>
      <w:r w:rsidRPr="00036FAC">
        <w:t>legislative</w:t>
      </w:r>
      <w:r w:rsidR="00907D8C">
        <w:t xml:space="preserve"> </w:t>
      </w:r>
      <w:r w:rsidRPr="00036FAC">
        <w:t>proposals</w:t>
      </w:r>
      <w:r w:rsidR="00907D8C">
        <w:t xml:space="preserve"> </w:t>
      </w:r>
      <w:r w:rsidRPr="00036FAC">
        <w:t>that</w:t>
      </w:r>
      <w:r w:rsidR="00907D8C">
        <w:t xml:space="preserve"> </w:t>
      </w:r>
      <w:r w:rsidRPr="00036FAC">
        <w:t>impact</w:t>
      </w:r>
      <w:r w:rsidR="00907D8C">
        <w:t xml:space="preserve"> </w:t>
      </w:r>
      <w:r w:rsidRPr="00036FAC">
        <w:t>on</w:t>
      </w:r>
      <w:r w:rsidR="00907D8C">
        <w:t xml:space="preserve"> </w:t>
      </w:r>
      <w:r w:rsidRPr="00036FAC">
        <w:t>individual</w:t>
      </w:r>
      <w:r w:rsidR="00907D8C">
        <w:t xml:space="preserve"> </w:t>
      </w:r>
      <w:r w:rsidRPr="00036FAC">
        <w:t>privacy.</w:t>
      </w:r>
      <w:r w:rsidR="00907D8C">
        <w:t xml:space="preserve"> </w:t>
      </w:r>
      <w:r w:rsidRPr="00036FAC">
        <w:t>Like</w:t>
      </w:r>
      <w:r w:rsidR="00907D8C">
        <w:t xml:space="preserve"> </w:t>
      </w:r>
      <w:r w:rsidRPr="00036FAC">
        <w:t>the</w:t>
      </w:r>
      <w:r w:rsidR="00907D8C">
        <w:t xml:space="preserve"> </w:t>
      </w:r>
      <w:r w:rsidRPr="00036FAC">
        <w:t>NZHRC,</w:t>
      </w:r>
      <w:r w:rsidR="00907D8C">
        <w:t xml:space="preserve"> </w:t>
      </w:r>
      <w:r w:rsidRPr="00036FAC">
        <w:t>the</w:t>
      </w:r>
      <w:r w:rsidR="00907D8C">
        <w:t xml:space="preserve"> </w:t>
      </w:r>
      <w:r w:rsidRPr="00036FAC">
        <w:t>Privacy</w:t>
      </w:r>
      <w:r w:rsidR="00907D8C">
        <w:t xml:space="preserve"> </w:t>
      </w:r>
      <w:r w:rsidRPr="00036FAC">
        <w:t>Commissioner</w:t>
      </w:r>
      <w:r w:rsidR="00907D8C">
        <w:t xml:space="preserve"> </w:t>
      </w:r>
      <w:r w:rsidRPr="00036FAC">
        <w:t>reports</w:t>
      </w:r>
      <w:r w:rsidR="00907D8C">
        <w:t xml:space="preserve"> </w:t>
      </w:r>
      <w:r w:rsidRPr="00036FAC">
        <w:t>annually</w:t>
      </w:r>
      <w:r w:rsidR="00907D8C">
        <w:t xml:space="preserve"> </w:t>
      </w:r>
      <w:r w:rsidRPr="00036FAC">
        <w:t>to</w:t>
      </w:r>
      <w:r w:rsidR="00907D8C">
        <w:t xml:space="preserve"> </w:t>
      </w:r>
      <w:r w:rsidRPr="00036FAC">
        <w:t>the</w:t>
      </w:r>
      <w:r w:rsidR="00907D8C">
        <w:t xml:space="preserve"> </w:t>
      </w:r>
      <w:r w:rsidRPr="00036FAC">
        <w:t>Minister</w:t>
      </w:r>
      <w:r w:rsidR="00907D8C">
        <w:t xml:space="preserve"> </w:t>
      </w:r>
      <w:r w:rsidRPr="00036FAC">
        <w:t>of</w:t>
      </w:r>
      <w:r w:rsidR="00907D8C">
        <w:t xml:space="preserve"> </w:t>
      </w:r>
      <w:r w:rsidRPr="00036FAC">
        <w:t>Justice</w:t>
      </w:r>
      <w:r w:rsidR="00907D8C">
        <w:t xml:space="preserve"> </w:t>
      </w:r>
      <w:r w:rsidRPr="00036FAC">
        <w:t>on</w:t>
      </w:r>
      <w:r w:rsidR="00907D8C">
        <w:t xml:space="preserve"> </w:t>
      </w:r>
      <w:r w:rsidRPr="00036FAC">
        <w:t>the</w:t>
      </w:r>
      <w:r w:rsidR="00907D8C">
        <w:t xml:space="preserve"> </w:t>
      </w:r>
      <w:r w:rsidRPr="00036FAC">
        <w:t>exercise</w:t>
      </w:r>
      <w:r w:rsidR="00907D8C">
        <w:t xml:space="preserve"> </w:t>
      </w:r>
      <w:r w:rsidRPr="00036FAC">
        <w:t>of</w:t>
      </w:r>
      <w:r w:rsidR="00907D8C">
        <w:t xml:space="preserve"> </w:t>
      </w:r>
      <w:r w:rsidRPr="00036FAC">
        <w:t>his</w:t>
      </w:r>
      <w:r w:rsidR="00907D8C">
        <w:t xml:space="preserve"> </w:t>
      </w:r>
      <w:r w:rsidRPr="00036FAC">
        <w:t>or</w:t>
      </w:r>
      <w:r w:rsidR="00907D8C">
        <w:t xml:space="preserve"> </w:t>
      </w:r>
      <w:r w:rsidRPr="00036FAC">
        <w:t>her</w:t>
      </w:r>
      <w:r w:rsidR="00907D8C">
        <w:t xml:space="preserve"> </w:t>
      </w:r>
      <w:r w:rsidRPr="00036FAC">
        <w:t>functions</w:t>
      </w:r>
      <w:r w:rsidR="00907D8C">
        <w:t xml:space="preserve"> </w:t>
      </w:r>
      <w:r w:rsidRPr="00036FAC">
        <w:t>under</w:t>
      </w:r>
      <w:r w:rsidR="00907D8C">
        <w:t xml:space="preserve"> </w:t>
      </w:r>
      <w:r w:rsidRPr="00036FAC">
        <w:t>the</w:t>
      </w:r>
      <w:r w:rsidR="00907D8C">
        <w:t xml:space="preserve"> </w:t>
      </w:r>
      <w:r w:rsidRPr="00036FAC">
        <w:t>Acts.</w:t>
      </w:r>
      <w:r w:rsidR="00907D8C">
        <w:t xml:space="preserve"> </w:t>
      </w:r>
      <w:r w:rsidRPr="00036FAC">
        <w:t>The</w:t>
      </w:r>
      <w:r w:rsidR="00907D8C">
        <w:t xml:space="preserve"> </w:t>
      </w:r>
      <w:r w:rsidRPr="00036FAC">
        <w:t>Minister</w:t>
      </w:r>
      <w:r w:rsidR="00907D8C">
        <w:t xml:space="preserve"> </w:t>
      </w:r>
      <w:r w:rsidRPr="00036FAC">
        <w:t>tables</w:t>
      </w:r>
      <w:r w:rsidR="00907D8C">
        <w:t xml:space="preserve"> </w:t>
      </w:r>
      <w:r w:rsidRPr="00036FAC">
        <w:t>this</w:t>
      </w:r>
      <w:r w:rsidR="00907D8C">
        <w:t xml:space="preserve"> </w:t>
      </w:r>
      <w:r w:rsidRPr="00036FAC">
        <w:t>report</w:t>
      </w:r>
      <w:r w:rsidR="00907D8C">
        <w:t xml:space="preserve"> </w:t>
      </w:r>
      <w:r w:rsidRPr="00036FAC">
        <w:t>in</w:t>
      </w:r>
      <w:r w:rsidR="00907D8C">
        <w:t xml:space="preserve"> </w:t>
      </w:r>
      <w:r w:rsidRPr="00036FAC">
        <w:t>Parliament.</w:t>
      </w:r>
    </w:p>
    <w:p w:rsidR="00036FAC" w:rsidRPr="00036FAC" w:rsidRDefault="00036FAC" w:rsidP="006C436C">
      <w:pPr>
        <w:pStyle w:val="H23G"/>
      </w:pPr>
      <w:bookmarkStart w:id="212" w:name="_Toc118100633"/>
      <w:bookmarkStart w:id="213" w:name="_Toc125278919"/>
      <w:r w:rsidRPr="00036FAC">
        <w:tab/>
        <w:t>(f)</w:t>
      </w:r>
      <w:r w:rsidRPr="00036FAC">
        <w:tab/>
        <w:t>Children</w:t>
      </w:r>
      <w:r w:rsidR="003E4D94">
        <w:t>’</w:t>
      </w:r>
      <w:r w:rsidRPr="00036FAC">
        <w:t>s</w:t>
      </w:r>
      <w:r w:rsidR="00907D8C">
        <w:t xml:space="preserve"> </w:t>
      </w:r>
      <w:r w:rsidRPr="00036FAC">
        <w:t>Commissioner</w:t>
      </w:r>
      <w:r w:rsidR="00907D8C">
        <w:t xml:space="preserve"> </w:t>
      </w:r>
      <w:r w:rsidRPr="00036FAC">
        <w:t>Act</w:t>
      </w:r>
      <w:r w:rsidR="00907D8C">
        <w:t xml:space="preserve"> </w:t>
      </w:r>
      <w:r w:rsidRPr="00036FAC">
        <w:t>2003</w:t>
      </w:r>
      <w:bookmarkEnd w:id="212"/>
      <w:bookmarkEnd w:id="213"/>
    </w:p>
    <w:p w:rsidR="00036FAC" w:rsidRPr="00036FAC" w:rsidRDefault="00036FAC" w:rsidP="00B85D72">
      <w:pPr>
        <w:pStyle w:val="SingleTxtG"/>
      </w:pPr>
      <w:r w:rsidRPr="00036FAC">
        <w:t>190.</w:t>
      </w:r>
      <w:r w:rsidRPr="00036FAC">
        <w:tab/>
        <w:t>The</w:t>
      </w:r>
      <w:r w:rsidR="00907D8C">
        <w:t xml:space="preserve"> </w:t>
      </w:r>
      <w:r w:rsidRPr="00036FAC">
        <w:t>Children</w:t>
      </w:r>
      <w:r w:rsidR="003E4D94">
        <w:t>’</w:t>
      </w:r>
      <w:r w:rsidRPr="00036FAC">
        <w:t>s</w:t>
      </w:r>
      <w:r w:rsidR="00907D8C">
        <w:t xml:space="preserve"> </w:t>
      </w:r>
      <w:r w:rsidRPr="00036FAC">
        <w:t>Commissioner,</w:t>
      </w:r>
      <w:r w:rsidR="00907D8C">
        <w:t xml:space="preserve"> </w:t>
      </w:r>
      <w:r w:rsidRPr="00036FAC">
        <w:t>established</w:t>
      </w:r>
      <w:r w:rsidR="00907D8C">
        <w:t xml:space="preserve"> </w:t>
      </w:r>
      <w:r w:rsidRPr="00036FAC">
        <w:t>initially</w:t>
      </w:r>
      <w:r w:rsidR="00907D8C">
        <w:t xml:space="preserve"> </w:t>
      </w:r>
      <w:r w:rsidRPr="00036FAC">
        <w:t>under</w:t>
      </w:r>
      <w:r w:rsidR="00907D8C">
        <w:t xml:space="preserve"> </w:t>
      </w:r>
      <w:r w:rsidRPr="00036FAC">
        <w:t>the</w:t>
      </w:r>
      <w:r w:rsidR="00907D8C">
        <w:t xml:space="preserve"> </w:t>
      </w:r>
      <w:r w:rsidRPr="00036FAC">
        <w:t>Children,</w:t>
      </w:r>
      <w:r w:rsidR="00907D8C">
        <w:t xml:space="preserve"> </w:t>
      </w:r>
      <w:r w:rsidRPr="00036FAC">
        <w:t>Young</w:t>
      </w:r>
      <w:r w:rsidR="00907D8C">
        <w:t xml:space="preserve"> </w:t>
      </w:r>
      <w:r w:rsidRPr="00036FAC">
        <w:t>Persons,</w:t>
      </w:r>
      <w:r w:rsidR="00907D8C">
        <w:t xml:space="preserve"> </w:t>
      </w:r>
      <w:r w:rsidRPr="00036FAC">
        <w:t>and</w:t>
      </w:r>
      <w:r w:rsidR="00907D8C">
        <w:t xml:space="preserve"> </w:t>
      </w:r>
      <w:r w:rsidRPr="00036FAC">
        <w:t>Their</w:t>
      </w:r>
      <w:r w:rsidR="00907D8C">
        <w:t xml:space="preserve"> </w:t>
      </w:r>
      <w:r w:rsidRPr="00036FAC">
        <w:t>Families</w:t>
      </w:r>
      <w:r w:rsidR="00907D8C">
        <w:t xml:space="preserve"> </w:t>
      </w:r>
      <w:r w:rsidRPr="00036FAC">
        <w:t>Act</w:t>
      </w:r>
      <w:r w:rsidR="00907D8C">
        <w:t xml:space="preserve"> </w:t>
      </w:r>
      <w:r w:rsidRPr="00036FAC">
        <w:t>1989</w:t>
      </w:r>
      <w:r w:rsidR="00907D8C">
        <w:t xml:space="preserve"> </w:t>
      </w:r>
      <w:r w:rsidRPr="00036FAC">
        <w:t>and</w:t>
      </w:r>
      <w:r w:rsidR="00907D8C">
        <w:t xml:space="preserve"> </w:t>
      </w:r>
      <w:r w:rsidRPr="00036FAC">
        <w:t>now</w:t>
      </w:r>
      <w:r w:rsidR="00907D8C">
        <w:t xml:space="preserve"> </w:t>
      </w:r>
      <w:r w:rsidRPr="00036FAC">
        <w:t>in</w:t>
      </w:r>
      <w:r w:rsidR="00907D8C">
        <w:t xml:space="preserve"> </w:t>
      </w:r>
      <w:r w:rsidRPr="00036FAC">
        <w:t>the</w:t>
      </w:r>
      <w:r w:rsidR="00907D8C">
        <w:t xml:space="preserve"> </w:t>
      </w:r>
      <w:r w:rsidRPr="00036FAC">
        <w:t>Children</w:t>
      </w:r>
      <w:r w:rsidR="003E4D94">
        <w:t>’</w:t>
      </w:r>
      <w:r w:rsidRPr="00036FAC">
        <w:t>s</w:t>
      </w:r>
      <w:r w:rsidR="00907D8C">
        <w:t xml:space="preserve"> </w:t>
      </w:r>
      <w:r w:rsidRPr="00036FAC">
        <w:t>Commissioner</w:t>
      </w:r>
      <w:r w:rsidR="00907D8C">
        <w:t xml:space="preserve"> </w:t>
      </w:r>
      <w:r w:rsidRPr="00036FAC">
        <w:t>Act,</w:t>
      </w:r>
      <w:r w:rsidR="00907D8C">
        <w:t xml:space="preserve"> </w:t>
      </w:r>
      <w:r w:rsidRPr="00036FAC">
        <w:t>has</w:t>
      </w:r>
      <w:r w:rsidR="00907D8C">
        <w:t xml:space="preserve"> </w:t>
      </w:r>
      <w:r w:rsidRPr="00036FAC">
        <w:t>broad</w:t>
      </w:r>
      <w:r w:rsidR="00B85D72">
        <w:t>-</w:t>
      </w:r>
      <w:r w:rsidRPr="00036FAC">
        <w:t>ranging</w:t>
      </w:r>
      <w:r w:rsidR="00907D8C">
        <w:t xml:space="preserve"> </w:t>
      </w:r>
      <w:r w:rsidRPr="00036FAC">
        <w:t>functions</w:t>
      </w:r>
      <w:r w:rsidR="00907D8C">
        <w:t xml:space="preserve"> </w:t>
      </w:r>
      <w:r w:rsidRPr="00036FAC">
        <w:t>aimed</w:t>
      </w:r>
      <w:r w:rsidR="00907D8C">
        <w:t xml:space="preserve"> </w:t>
      </w:r>
      <w:r w:rsidRPr="00036FAC">
        <w:t>at</w:t>
      </w:r>
      <w:r w:rsidR="00907D8C">
        <w:t xml:space="preserve"> </w:t>
      </w:r>
      <w:r w:rsidRPr="00036FAC">
        <w:t>promoting</w:t>
      </w:r>
      <w:r w:rsidR="00907D8C">
        <w:t xml:space="preserve"> </w:t>
      </w:r>
      <w:r w:rsidRPr="00036FAC">
        <w:t>and</w:t>
      </w:r>
      <w:r w:rsidR="00907D8C">
        <w:t xml:space="preserve"> </w:t>
      </w:r>
      <w:r w:rsidRPr="00036FAC">
        <w:t>ensuring</w:t>
      </w:r>
      <w:r w:rsidR="00907D8C">
        <w:t xml:space="preserve"> </w:t>
      </w:r>
      <w:r w:rsidRPr="00036FAC">
        <w:t>the</w:t>
      </w:r>
      <w:r w:rsidR="00907D8C">
        <w:t xml:space="preserve"> </w:t>
      </w:r>
      <w:r w:rsidRPr="00036FAC">
        <w:t>best</w:t>
      </w:r>
      <w:r w:rsidR="00907D8C">
        <w:t xml:space="preserve"> </w:t>
      </w:r>
      <w:r w:rsidRPr="00036FAC">
        <w:t>interests</w:t>
      </w:r>
      <w:r w:rsidR="00907D8C">
        <w:t xml:space="preserve"> </w:t>
      </w:r>
      <w:r w:rsidRPr="00036FAC">
        <w:t>of</w:t>
      </w:r>
      <w:r w:rsidR="00907D8C">
        <w:t xml:space="preserve"> </w:t>
      </w:r>
      <w:r w:rsidRPr="00036FAC">
        <w:t>children</w:t>
      </w:r>
      <w:r w:rsidR="00907D8C">
        <w:t xml:space="preserve"> </w:t>
      </w:r>
      <w:r w:rsidRPr="00036FAC">
        <w:t>and</w:t>
      </w:r>
      <w:r w:rsidR="00907D8C">
        <w:t xml:space="preserve"> </w:t>
      </w:r>
      <w:r w:rsidRPr="00036FAC">
        <w:t>young</w:t>
      </w:r>
      <w:r w:rsidR="00907D8C">
        <w:t xml:space="preserve"> </w:t>
      </w:r>
      <w:r w:rsidRPr="00036FAC">
        <w:t>people.</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the</w:t>
      </w:r>
      <w:r w:rsidR="00907D8C">
        <w:t xml:space="preserve"> </w:t>
      </w:r>
      <w:r w:rsidRPr="00036FAC">
        <w:t>Child</w:t>
      </w:r>
      <w:r w:rsidR="00907D8C">
        <w:t xml:space="preserve"> </w:t>
      </w:r>
      <w:r w:rsidRPr="00036FAC">
        <w:t>is</w:t>
      </w:r>
      <w:r w:rsidR="00907D8C">
        <w:t xml:space="preserve"> </w:t>
      </w:r>
      <w:r w:rsidRPr="00036FAC">
        <w:t>used</w:t>
      </w:r>
      <w:r w:rsidR="00907D8C">
        <w:t xml:space="preserve"> </w:t>
      </w:r>
      <w:r w:rsidRPr="00036FAC">
        <w:t>as</w:t>
      </w:r>
      <w:r w:rsidR="00907D8C">
        <w:t xml:space="preserve"> </w:t>
      </w:r>
      <w:r w:rsidRPr="00036FAC">
        <w:t>a</w:t>
      </w:r>
      <w:r w:rsidR="00907D8C">
        <w:t xml:space="preserve"> </w:t>
      </w:r>
      <w:r w:rsidRPr="00036FAC">
        <w:t>basis</w:t>
      </w:r>
      <w:r w:rsidR="00907D8C">
        <w:t xml:space="preserve"> </w:t>
      </w:r>
      <w:r w:rsidRPr="00036FAC">
        <w:t>for</w:t>
      </w:r>
      <w:r w:rsidR="00907D8C">
        <w:t xml:space="preserve"> </w:t>
      </w:r>
      <w:r w:rsidRPr="00036FAC">
        <w:t>this</w:t>
      </w:r>
      <w:r w:rsidR="00907D8C">
        <w:t xml:space="preserve"> </w:t>
      </w:r>
      <w:r w:rsidRPr="00036FAC">
        <w:t>work.</w:t>
      </w:r>
      <w:r w:rsidR="00907D8C">
        <w:t xml:space="preserve"> </w:t>
      </w:r>
      <w:r w:rsidRPr="00036FAC">
        <w:t>The</w:t>
      </w:r>
      <w:r w:rsidR="00907D8C">
        <w:t xml:space="preserve"> </w:t>
      </w:r>
      <w:r w:rsidRPr="00036FAC">
        <w:t>Commissioner</w:t>
      </w:r>
      <w:r w:rsidR="00907D8C">
        <w:t xml:space="preserve"> </w:t>
      </w:r>
      <w:r w:rsidRPr="00036FAC">
        <w:t>has</w:t>
      </w:r>
      <w:r w:rsidR="00907D8C">
        <w:t xml:space="preserve"> </w:t>
      </w:r>
      <w:r w:rsidRPr="00036FAC">
        <w:t>a</w:t>
      </w:r>
      <w:r w:rsidR="00907D8C">
        <w:t xml:space="preserve"> </w:t>
      </w:r>
      <w:r w:rsidRPr="00036FAC">
        <w:t>specific</w:t>
      </w:r>
      <w:r w:rsidR="00907D8C">
        <w:t xml:space="preserve"> </w:t>
      </w:r>
      <w:r w:rsidRPr="00036FAC">
        <w:t>responsibility</w:t>
      </w:r>
      <w:r w:rsidR="00907D8C">
        <w:t xml:space="preserve"> </w:t>
      </w:r>
      <w:r w:rsidRPr="00036FAC">
        <w:t>to</w:t>
      </w:r>
      <w:r w:rsidR="00907D8C">
        <w:t xml:space="preserve"> </w:t>
      </w:r>
      <w:r w:rsidRPr="00036FAC">
        <w:t>advance</w:t>
      </w:r>
      <w:r w:rsidR="00907D8C">
        <w:t xml:space="preserve"> </w:t>
      </w:r>
      <w:r w:rsidRPr="00036FAC">
        <w:t>and</w:t>
      </w:r>
      <w:r w:rsidR="00907D8C">
        <w:t xml:space="preserve"> </w:t>
      </w:r>
      <w:r w:rsidRPr="00036FAC">
        <w:t>monitor</w:t>
      </w:r>
      <w:r w:rsidR="00907D8C">
        <w:t xml:space="preserve"> </w:t>
      </w:r>
      <w:r w:rsidRPr="00036FAC">
        <w:t>the</w:t>
      </w:r>
      <w:r w:rsidR="00907D8C">
        <w:t xml:space="preserve"> </w:t>
      </w:r>
      <w:r w:rsidRPr="00036FAC">
        <w:t>application</w:t>
      </w:r>
      <w:r w:rsidR="00907D8C">
        <w:t xml:space="preserve"> </w:t>
      </w:r>
      <w:r w:rsidRPr="00036FAC">
        <w:t>of</w:t>
      </w:r>
      <w:r w:rsidR="00907D8C">
        <w:t xml:space="preserve"> </w:t>
      </w:r>
      <w:r w:rsidRPr="00036FAC">
        <w:t>the</w:t>
      </w:r>
      <w:r w:rsidR="00907D8C">
        <w:t xml:space="preserve"> </w:t>
      </w:r>
      <w:r w:rsidRPr="00036FAC">
        <w:t>Convention</w:t>
      </w:r>
      <w:r w:rsidR="00907D8C">
        <w:t xml:space="preserve"> </w:t>
      </w:r>
      <w:r w:rsidRPr="00036FAC">
        <w:t>by</w:t>
      </w:r>
      <w:r w:rsidR="00907D8C">
        <w:t xml:space="preserve"> </w:t>
      </w:r>
      <w:r w:rsidRPr="00036FAC">
        <w:t>government</w:t>
      </w:r>
      <w:r w:rsidR="00907D8C">
        <w:t xml:space="preserve"> </w:t>
      </w:r>
      <w:r w:rsidRPr="00036FAC">
        <w:t>agencies.</w:t>
      </w:r>
    </w:p>
    <w:p w:rsidR="00036FAC" w:rsidRPr="00036FAC" w:rsidRDefault="00036FAC" w:rsidP="006C436C">
      <w:pPr>
        <w:pStyle w:val="H23G"/>
      </w:pPr>
      <w:bookmarkStart w:id="214" w:name="_Toc114894990"/>
      <w:bookmarkStart w:id="215" w:name="_Toc114895881"/>
      <w:bookmarkStart w:id="216" w:name="_Toc115493426"/>
      <w:bookmarkStart w:id="217" w:name="_Toc115493770"/>
      <w:bookmarkStart w:id="218" w:name="_Toc115493845"/>
      <w:bookmarkStart w:id="219" w:name="_Toc118100634"/>
      <w:bookmarkStart w:id="220" w:name="_Toc125278920"/>
      <w:r w:rsidRPr="00036FAC">
        <w:tab/>
        <w:t>(g)</w:t>
      </w:r>
      <w:r w:rsidRPr="00036FAC">
        <w:tab/>
        <w:t>Health</w:t>
      </w:r>
      <w:r w:rsidR="00907D8C">
        <w:t xml:space="preserve"> </w:t>
      </w:r>
      <w:r w:rsidRPr="00036FAC">
        <w:t>and</w:t>
      </w:r>
      <w:r w:rsidR="00907D8C">
        <w:t xml:space="preserve"> </w:t>
      </w:r>
      <w:r w:rsidRPr="00036FAC">
        <w:t>Disability</w:t>
      </w:r>
      <w:r w:rsidR="00907D8C">
        <w:t xml:space="preserve"> </w:t>
      </w:r>
      <w:r w:rsidRPr="00036FAC">
        <w:t>Commissioner</w:t>
      </w:r>
      <w:bookmarkEnd w:id="214"/>
      <w:bookmarkEnd w:id="215"/>
      <w:bookmarkEnd w:id="216"/>
      <w:bookmarkEnd w:id="217"/>
      <w:bookmarkEnd w:id="218"/>
      <w:r w:rsidR="00907D8C">
        <w:t xml:space="preserve"> </w:t>
      </w:r>
      <w:r w:rsidRPr="00036FAC">
        <w:t>Act</w:t>
      </w:r>
      <w:r w:rsidR="00907D8C">
        <w:t xml:space="preserve"> </w:t>
      </w:r>
      <w:r w:rsidRPr="00036FAC">
        <w:t>1994</w:t>
      </w:r>
      <w:bookmarkEnd w:id="219"/>
      <w:bookmarkEnd w:id="220"/>
    </w:p>
    <w:p w:rsidR="00036FAC" w:rsidRPr="00036FAC" w:rsidRDefault="00036FAC" w:rsidP="00B85D72">
      <w:pPr>
        <w:pStyle w:val="SingleTxtG"/>
      </w:pPr>
      <w:r w:rsidRPr="00036FAC">
        <w:t>191.</w:t>
      </w:r>
      <w:r w:rsidRPr="00036FAC">
        <w:tab/>
        <w:t>This</w:t>
      </w:r>
      <w:r w:rsidR="00907D8C">
        <w:t xml:space="preserve"> </w:t>
      </w:r>
      <w:r w:rsidRPr="00036FAC">
        <w:t>Act</w:t>
      </w:r>
      <w:r w:rsidR="00907D8C">
        <w:t xml:space="preserve"> </w:t>
      </w:r>
      <w:r w:rsidRPr="00036FAC">
        <w:t>establishes</w:t>
      </w:r>
      <w:r w:rsidR="00907D8C">
        <w:t xml:space="preserve"> </w:t>
      </w:r>
      <w:r w:rsidRPr="00036FAC">
        <w:t>the</w:t>
      </w:r>
      <w:r w:rsidR="00907D8C">
        <w:t xml:space="preserve"> </w:t>
      </w:r>
      <w:r w:rsidRPr="00036FAC">
        <w:t>Health</w:t>
      </w:r>
      <w:r w:rsidR="00907D8C">
        <w:t xml:space="preserve"> </w:t>
      </w:r>
      <w:r w:rsidRPr="00036FAC">
        <w:t>and</w:t>
      </w:r>
      <w:r w:rsidR="00907D8C">
        <w:t xml:space="preserve"> </w:t>
      </w:r>
      <w:r w:rsidRPr="00036FAC">
        <w:t>Disability</w:t>
      </w:r>
      <w:r w:rsidR="00907D8C">
        <w:t xml:space="preserve"> </w:t>
      </w:r>
      <w:r w:rsidRPr="00036FAC">
        <w:t>Commissioner.</w:t>
      </w:r>
      <w:r w:rsidR="00907D8C">
        <w:t xml:space="preserve"> </w:t>
      </w:r>
      <w:r w:rsidRPr="00036FAC">
        <w:t>The</w:t>
      </w:r>
      <w:r w:rsidR="00907D8C">
        <w:t xml:space="preserve"> </w:t>
      </w:r>
      <w:r w:rsidRPr="00036FAC">
        <w:t>Commissioner</w:t>
      </w:r>
      <w:r w:rsidR="00907D8C">
        <w:t xml:space="preserve"> </w:t>
      </w:r>
      <w:r w:rsidRPr="00036FAC">
        <w:t>is</w:t>
      </w:r>
      <w:r w:rsidR="00907D8C">
        <w:t xml:space="preserve"> </w:t>
      </w:r>
      <w:r w:rsidRPr="00036FAC">
        <w:t>responsible</w:t>
      </w:r>
      <w:r w:rsidR="00907D8C">
        <w:t xml:space="preserve"> </w:t>
      </w:r>
      <w:r w:rsidRPr="00036FAC">
        <w:t>for</w:t>
      </w:r>
      <w:r w:rsidR="00907D8C">
        <w:t xml:space="preserve"> </w:t>
      </w:r>
      <w:r w:rsidRPr="00036FAC">
        <w:t>promoting</w:t>
      </w:r>
      <w:r w:rsidR="00907D8C">
        <w:t xml:space="preserve"> </w:t>
      </w:r>
      <w:r w:rsidRPr="00036FAC">
        <w:t>and</w:t>
      </w:r>
      <w:r w:rsidR="00907D8C">
        <w:t xml:space="preserve"> </w:t>
      </w:r>
      <w:r w:rsidRPr="00036FAC">
        <w:t>protecting</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health</w:t>
      </w:r>
      <w:r w:rsidR="00907D8C">
        <w:t xml:space="preserve"> </w:t>
      </w:r>
      <w:r w:rsidRPr="00036FAC">
        <w:t>and</w:t>
      </w:r>
      <w:r w:rsidR="00907D8C">
        <w:t xml:space="preserve"> </w:t>
      </w:r>
      <w:r w:rsidRPr="00036FAC">
        <w:t>disability</w:t>
      </w:r>
      <w:r w:rsidR="00907D8C">
        <w:t xml:space="preserve"> </w:t>
      </w:r>
      <w:r w:rsidRPr="00036FAC">
        <w:t>service</w:t>
      </w:r>
      <w:r w:rsidR="00907D8C">
        <w:t xml:space="preserve"> </w:t>
      </w:r>
      <w:r w:rsidRPr="00036FAC">
        <w:t>consumers</w:t>
      </w:r>
      <w:r w:rsidR="00907D8C">
        <w:t xml:space="preserve"> </w:t>
      </w:r>
      <w:r w:rsidRPr="00036FAC">
        <w:t>through</w:t>
      </w:r>
      <w:r w:rsidR="00907D8C">
        <w:t xml:space="preserve"> </w:t>
      </w:r>
      <w:r w:rsidRPr="00036FAC">
        <w:t>public</w:t>
      </w:r>
      <w:r w:rsidR="00907D8C">
        <w:t xml:space="preserve"> </w:t>
      </w:r>
      <w:r w:rsidRPr="00036FAC">
        <w:t>education</w:t>
      </w:r>
      <w:r w:rsidR="00907D8C">
        <w:t xml:space="preserve"> </w:t>
      </w:r>
      <w:r w:rsidRPr="00036FAC">
        <w:t>activities</w:t>
      </w:r>
      <w:r w:rsidR="00907D8C">
        <w:t xml:space="preserve"> </w:t>
      </w:r>
      <w:r w:rsidRPr="00036FAC">
        <w:t>and</w:t>
      </w:r>
      <w:r w:rsidR="00907D8C">
        <w:t xml:space="preserve"> </w:t>
      </w:r>
      <w:r w:rsidRPr="00036FAC">
        <w:t>the</w:t>
      </w:r>
      <w:r w:rsidR="00907D8C">
        <w:t xml:space="preserve"> </w:t>
      </w:r>
      <w:r w:rsidRPr="00036FAC">
        <w:t>resolution</w:t>
      </w:r>
      <w:r w:rsidR="00907D8C">
        <w:t xml:space="preserve"> </w:t>
      </w:r>
      <w:r w:rsidRPr="00036FAC">
        <w:t>of</w:t>
      </w:r>
      <w:r w:rsidR="00907D8C">
        <w:t xml:space="preserve"> </w:t>
      </w:r>
      <w:r w:rsidRPr="00036FAC">
        <w:t>complaints.</w:t>
      </w:r>
      <w:r w:rsidR="00907D8C">
        <w:t xml:space="preserve"> </w:t>
      </w:r>
      <w:r w:rsidRPr="00036FAC">
        <w:t>The</w:t>
      </w:r>
      <w:r w:rsidR="00907D8C">
        <w:t xml:space="preserve"> </w:t>
      </w:r>
      <w:r w:rsidRPr="00036FAC">
        <w:t>rights</w:t>
      </w:r>
      <w:r w:rsidR="00907D8C">
        <w:t xml:space="preserve"> </w:t>
      </w:r>
      <w:r w:rsidRPr="00036FAC">
        <w:t>themselves</w:t>
      </w:r>
      <w:r w:rsidR="00907D8C">
        <w:t xml:space="preserve"> </w:t>
      </w:r>
      <w:r w:rsidRPr="00036FAC">
        <w:t>are</w:t>
      </w:r>
      <w:r w:rsidR="00907D8C">
        <w:t xml:space="preserve"> </w:t>
      </w:r>
      <w:r w:rsidRPr="00036FAC">
        <w:t>outlined</w:t>
      </w:r>
      <w:r w:rsidR="00907D8C">
        <w:t xml:space="preserve"> </w:t>
      </w:r>
      <w:r w:rsidRPr="00036FAC">
        <w:t>in</w:t>
      </w:r>
      <w:r w:rsidR="00907D8C">
        <w:t xml:space="preserve"> </w:t>
      </w:r>
      <w:r w:rsidRPr="00036FAC">
        <w:t>the</w:t>
      </w:r>
      <w:r w:rsidR="00907D8C">
        <w:t xml:space="preserve"> </w:t>
      </w:r>
      <w:r w:rsidRPr="00036FAC">
        <w:t>Code</w:t>
      </w:r>
      <w:r w:rsidR="00907D8C">
        <w:t xml:space="preserve"> </w:t>
      </w:r>
      <w:r w:rsidRPr="00036FAC">
        <w:t>of</w:t>
      </w:r>
      <w:r w:rsidR="00907D8C">
        <w:t xml:space="preserve"> </w:t>
      </w:r>
      <w:r w:rsidRPr="00036FAC">
        <w:t>Health</w:t>
      </w:r>
      <w:r w:rsidR="00907D8C">
        <w:t xml:space="preserve"> </w:t>
      </w:r>
      <w:r w:rsidRPr="00036FAC">
        <w:t>and</w:t>
      </w:r>
      <w:r w:rsidR="00907D8C">
        <w:t xml:space="preserve"> </w:t>
      </w:r>
      <w:r w:rsidRPr="00036FAC">
        <w:t>Disability</w:t>
      </w:r>
      <w:r w:rsidR="00907D8C">
        <w:t xml:space="preserve"> </w:t>
      </w:r>
      <w:r w:rsidRPr="00036FAC">
        <w:t>Services</w:t>
      </w:r>
      <w:r w:rsidR="00907D8C">
        <w:t xml:space="preserve"> </w:t>
      </w:r>
      <w:r w:rsidRPr="00036FAC">
        <w:t>Consumers</w:t>
      </w:r>
      <w:r w:rsidR="003E4D94">
        <w:t>’</w:t>
      </w:r>
      <w:r w:rsidR="00907D8C">
        <w:t xml:space="preserve"> </w:t>
      </w:r>
      <w:r w:rsidRPr="00036FAC">
        <w:t>Rights,</w:t>
      </w:r>
      <w:r w:rsidR="00907D8C">
        <w:t xml:space="preserve"> </w:t>
      </w:r>
      <w:r w:rsidRPr="00036FAC">
        <w:t>a</w:t>
      </w:r>
      <w:r w:rsidR="00907D8C">
        <w:t xml:space="preserve"> </w:t>
      </w:r>
      <w:r w:rsidRPr="00036FAC">
        <w:t>regulation</w:t>
      </w:r>
      <w:r w:rsidR="00907D8C">
        <w:t xml:space="preserve"> </w:t>
      </w:r>
      <w:r w:rsidRPr="00036FAC">
        <w:t>under</w:t>
      </w:r>
      <w:r w:rsidR="00907D8C">
        <w:t xml:space="preserve"> </w:t>
      </w:r>
      <w:r w:rsidRPr="00036FAC">
        <w:t>the</w:t>
      </w:r>
      <w:r w:rsidR="00907D8C">
        <w:t xml:space="preserve"> </w:t>
      </w:r>
      <w:r w:rsidRPr="00036FAC">
        <w:t>Act</w:t>
      </w:r>
      <w:r w:rsidR="00907D8C">
        <w:t xml:space="preserve"> </w:t>
      </w:r>
      <w:r w:rsidRPr="00036FAC">
        <w:t>that</w:t>
      </w:r>
      <w:r w:rsidR="00907D8C">
        <w:t xml:space="preserve"> </w:t>
      </w:r>
      <w:r w:rsidRPr="00036FAC">
        <w:t>came</w:t>
      </w:r>
      <w:r w:rsidR="00907D8C">
        <w:t xml:space="preserve"> </w:t>
      </w:r>
      <w:r w:rsidRPr="00036FAC">
        <w:t>into</w:t>
      </w:r>
      <w:r w:rsidR="00907D8C">
        <w:t xml:space="preserve"> </w:t>
      </w:r>
      <w:r w:rsidRPr="00036FAC">
        <w:t>effect</w:t>
      </w:r>
      <w:r w:rsidR="00907D8C">
        <w:t xml:space="preserve"> </w:t>
      </w:r>
      <w:r w:rsidRPr="00036FAC">
        <w:t>in</w:t>
      </w:r>
      <w:r w:rsidR="00907D8C">
        <w:t xml:space="preserve"> </w:t>
      </w:r>
      <w:r w:rsidRPr="00036FAC">
        <w:t>July</w:t>
      </w:r>
      <w:r w:rsidR="00907D8C">
        <w:t xml:space="preserve"> </w:t>
      </w:r>
      <w:r w:rsidRPr="00036FAC">
        <w:t>1996.</w:t>
      </w:r>
      <w:r w:rsidR="00907D8C">
        <w:t xml:space="preserve"> </w:t>
      </w:r>
      <w:r w:rsidRPr="00036FAC">
        <w:t>All</w:t>
      </w:r>
      <w:r w:rsidR="00907D8C">
        <w:t xml:space="preserve"> </w:t>
      </w:r>
      <w:r w:rsidRPr="00036FAC">
        <w:t>providers</w:t>
      </w:r>
      <w:r w:rsidR="00907D8C">
        <w:t xml:space="preserve"> </w:t>
      </w:r>
      <w:r w:rsidRPr="00036FAC">
        <w:t>of</w:t>
      </w:r>
      <w:r w:rsidR="00907D8C">
        <w:t xml:space="preserve"> </w:t>
      </w:r>
      <w:r w:rsidRPr="00036FAC">
        <w:t>health</w:t>
      </w:r>
      <w:r w:rsidR="00907D8C">
        <w:t xml:space="preserve"> </w:t>
      </w:r>
      <w:r w:rsidRPr="00036FAC">
        <w:t>care</w:t>
      </w:r>
      <w:r w:rsidR="00907D8C">
        <w:t xml:space="preserve"> </w:t>
      </w:r>
      <w:r w:rsidRPr="00036FAC">
        <w:t>and</w:t>
      </w:r>
      <w:r w:rsidR="00907D8C">
        <w:t xml:space="preserve"> </w:t>
      </w:r>
      <w:r w:rsidRPr="00036FAC">
        <w:t>disability</w:t>
      </w:r>
      <w:r w:rsidR="00907D8C">
        <w:t xml:space="preserve"> </w:t>
      </w:r>
      <w:r w:rsidRPr="00036FAC">
        <w:t>services</w:t>
      </w:r>
      <w:r w:rsidR="00907D8C">
        <w:t xml:space="preserve"> </w:t>
      </w:r>
      <w:r w:rsidRPr="00036FAC">
        <w:t>are</w:t>
      </w:r>
      <w:r w:rsidR="00907D8C">
        <w:t xml:space="preserve"> </w:t>
      </w:r>
      <w:r w:rsidRPr="00036FAC">
        <w:t>required</w:t>
      </w:r>
      <w:r w:rsidR="00907D8C">
        <w:t xml:space="preserve"> </w:t>
      </w:r>
      <w:r w:rsidRPr="00036FAC">
        <w:t>to</w:t>
      </w:r>
      <w:r w:rsidR="00907D8C">
        <w:t xml:space="preserve"> </w:t>
      </w:r>
      <w:r w:rsidRPr="00036FAC">
        <w:t>uphold</w:t>
      </w:r>
      <w:r w:rsidR="00907D8C">
        <w:t xml:space="preserve"> </w:t>
      </w:r>
      <w:r w:rsidRPr="00036FAC">
        <w:t>them.</w:t>
      </w:r>
      <w:r w:rsidR="00907D8C">
        <w:t xml:space="preserve"> </w:t>
      </w:r>
      <w:r w:rsidRPr="00036FAC">
        <w:t>Claims</w:t>
      </w:r>
      <w:r w:rsidR="00907D8C">
        <w:t xml:space="preserve"> </w:t>
      </w:r>
      <w:r w:rsidRPr="00036FAC">
        <w:t>for</w:t>
      </w:r>
      <w:r w:rsidR="00907D8C">
        <w:t xml:space="preserve"> </w:t>
      </w:r>
      <w:r w:rsidRPr="00036FAC">
        <w:t>a</w:t>
      </w:r>
      <w:r w:rsidR="00907D8C">
        <w:t xml:space="preserve"> </w:t>
      </w:r>
      <w:r w:rsidRPr="00036FAC">
        <w:t>breach</w:t>
      </w:r>
      <w:r w:rsidR="00907D8C">
        <w:t xml:space="preserve"> </w:t>
      </w:r>
      <w:r w:rsidRPr="00036FAC">
        <w:t>of</w:t>
      </w:r>
      <w:r w:rsidR="00907D8C">
        <w:t xml:space="preserve"> </w:t>
      </w:r>
      <w:r w:rsidRPr="00036FAC">
        <w:t>the</w:t>
      </w:r>
      <w:r w:rsidR="00907D8C">
        <w:t xml:space="preserve"> </w:t>
      </w:r>
      <w:r w:rsidRPr="00036FAC">
        <w:t>Code</w:t>
      </w:r>
      <w:r w:rsidR="00907D8C">
        <w:t xml:space="preserve"> </w:t>
      </w:r>
      <w:r w:rsidRPr="00036FAC">
        <w:t>may</w:t>
      </w:r>
      <w:r w:rsidR="00907D8C">
        <w:t xml:space="preserve"> </w:t>
      </w:r>
      <w:r w:rsidRPr="00036FAC">
        <w:t>also</w:t>
      </w:r>
      <w:r w:rsidR="00907D8C">
        <w:t xml:space="preserve"> </w:t>
      </w:r>
      <w:r w:rsidRPr="00036FAC">
        <w:t>be</w:t>
      </w:r>
      <w:r w:rsidR="00907D8C">
        <w:t xml:space="preserve"> </w:t>
      </w:r>
      <w:r w:rsidRPr="00036FAC">
        <w:t>taken</w:t>
      </w:r>
      <w:r w:rsidR="00907D8C">
        <w:t xml:space="preserve"> </w:t>
      </w:r>
      <w:r w:rsidRPr="00036FAC">
        <w:t>to</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by</w:t>
      </w:r>
      <w:r w:rsidR="00907D8C">
        <w:t xml:space="preserve"> </w:t>
      </w:r>
      <w:r w:rsidRPr="00036FAC">
        <w:t>the</w:t>
      </w:r>
      <w:r w:rsidR="00907D8C">
        <w:t xml:space="preserve"> </w:t>
      </w:r>
      <w:r w:rsidRPr="00036FAC">
        <w:t>Director</w:t>
      </w:r>
      <w:r w:rsidR="00907D8C">
        <w:t xml:space="preserve"> </w:t>
      </w:r>
      <w:r w:rsidRPr="00036FAC">
        <w:t>of</w:t>
      </w:r>
      <w:r w:rsidR="00907D8C">
        <w:t xml:space="preserve"> </w:t>
      </w:r>
      <w:r w:rsidRPr="00036FAC">
        <w:t>Proceedings</w:t>
      </w:r>
      <w:r w:rsidR="00907D8C">
        <w:t xml:space="preserve"> </w:t>
      </w:r>
      <w:r w:rsidRPr="00036FAC">
        <w:t>or</w:t>
      </w:r>
      <w:r w:rsidR="00907D8C">
        <w:t xml:space="preserve"> </w:t>
      </w:r>
      <w:r w:rsidRPr="00036FAC">
        <w:t>the</w:t>
      </w:r>
      <w:r w:rsidR="00907D8C">
        <w:t xml:space="preserve"> </w:t>
      </w:r>
      <w:r w:rsidRPr="00036FAC">
        <w:t>aggrieved</w:t>
      </w:r>
      <w:r w:rsidR="00907D8C">
        <w:t xml:space="preserve"> </w:t>
      </w:r>
      <w:r w:rsidRPr="00036FAC">
        <w:t>person</w:t>
      </w:r>
      <w:r w:rsidR="00907D8C">
        <w:t xml:space="preserve"> </w:t>
      </w:r>
      <w:r w:rsidRPr="00036FAC">
        <w:t>in</w:t>
      </w:r>
      <w:r w:rsidR="00907D8C">
        <w:t xml:space="preserve"> </w:t>
      </w:r>
      <w:r w:rsidRPr="00036FAC">
        <w:t>certain</w:t>
      </w:r>
      <w:r w:rsidR="00907D8C">
        <w:t xml:space="preserve"> </w:t>
      </w:r>
      <w:r w:rsidRPr="00036FAC">
        <w:t>circumstances.</w:t>
      </w:r>
      <w:bookmarkStart w:id="221" w:name="_Toc114894989"/>
      <w:bookmarkStart w:id="222" w:name="_Toc114895880"/>
      <w:bookmarkStart w:id="223" w:name="_Toc115493425"/>
      <w:bookmarkStart w:id="224" w:name="_Toc115493769"/>
      <w:bookmarkStart w:id="225" w:name="_Toc115493844"/>
      <w:bookmarkStart w:id="226" w:name="_Toc118100635"/>
      <w:bookmarkStart w:id="227" w:name="_Toc125278921"/>
    </w:p>
    <w:p w:rsidR="00036FAC" w:rsidRPr="00036FAC" w:rsidRDefault="00036FAC" w:rsidP="006C436C">
      <w:pPr>
        <w:pStyle w:val="H23G"/>
      </w:pPr>
      <w:r w:rsidRPr="00036FAC">
        <w:tab/>
        <w:t>(h)</w:t>
      </w:r>
      <w:r w:rsidRPr="00036FAC">
        <w:tab/>
        <w:t>Independent</w:t>
      </w:r>
      <w:r w:rsidR="00907D8C">
        <w:t xml:space="preserve"> </w:t>
      </w:r>
      <w:r w:rsidRPr="00036FAC">
        <w:t>Police</w:t>
      </w:r>
      <w:r w:rsidR="00907D8C">
        <w:t xml:space="preserve"> </w:t>
      </w:r>
      <w:r w:rsidRPr="00036FAC">
        <w:t>Conduct</w:t>
      </w:r>
      <w:r w:rsidR="00907D8C">
        <w:t xml:space="preserve"> </w:t>
      </w:r>
      <w:r w:rsidRPr="00036FAC">
        <w:t>Authority</w:t>
      </w:r>
    </w:p>
    <w:p w:rsidR="00036FAC" w:rsidRPr="00036FAC" w:rsidRDefault="00036FAC" w:rsidP="00B85D72">
      <w:pPr>
        <w:pStyle w:val="SingleTxtG"/>
      </w:pPr>
      <w:r w:rsidRPr="00036FAC">
        <w:t>192.</w:t>
      </w:r>
      <w:r w:rsidRPr="00036FAC">
        <w:tab/>
        <w:t>The</w:t>
      </w:r>
      <w:r w:rsidR="00907D8C">
        <w:t xml:space="preserve"> </w:t>
      </w:r>
      <w:r w:rsidRPr="00036FAC">
        <w:t>Independent</w:t>
      </w:r>
      <w:r w:rsidR="00907D8C">
        <w:t xml:space="preserve"> </w:t>
      </w:r>
      <w:r w:rsidRPr="00036FAC">
        <w:t>Police</w:t>
      </w:r>
      <w:r w:rsidR="00907D8C">
        <w:t xml:space="preserve"> </w:t>
      </w:r>
      <w:r w:rsidRPr="00036FAC">
        <w:t>Conduct</w:t>
      </w:r>
      <w:r w:rsidR="00907D8C">
        <w:t xml:space="preserve"> </w:t>
      </w:r>
      <w:r w:rsidRPr="00036FAC">
        <w:t>Authority</w:t>
      </w:r>
      <w:r w:rsidR="00907D8C">
        <w:t xml:space="preserve"> </w:t>
      </w:r>
      <w:r w:rsidRPr="00036FAC">
        <w:t>(IPCA)</w:t>
      </w:r>
      <w:r w:rsidR="00907D8C">
        <w:t xml:space="preserve"> </w:t>
      </w:r>
      <w:r w:rsidRPr="00036FAC">
        <w:t>is</w:t>
      </w:r>
      <w:r w:rsidR="00907D8C">
        <w:t xml:space="preserve"> </w:t>
      </w:r>
      <w:r w:rsidRPr="00036FAC">
        <w:t>an</w:t>
      </w:r>
      <w:r w:rsidR="00907D8C">
        <w:t xml:space="preserve"> </w:t>
      </w:r>
      <w:r w:rsidRPr="00036FAC">
        <w:t>independent</w:t>
      </w:r>
      <w:r w:rsidR="00907D8C">
        <w:t xml:space="preserve"> </w:t>
      </w:r>
      <w:r w:rsidRPr="00036FAC">
        <w:t>body</w:t>
      </w:r>
      <w:r w:rsidR="00907D8C">
        <w:t xml:space="preserve"> </w:t>
      </w:r>
      <w:r w:rsidRPr="00036FAC">
        <w:t>that</w:t>
      </w:r>
      <w:r w:rsidR="00907D8C">
        <w:t xml:space="preserve"> </w:t>
      </w:r>
      <w:r w:rsidRPr="00036FAC">
        <w:t>considers</w:t>
      </w:r>
      <w:r w:rsidR="00907D8C">
        <w:t xml:space="preserve"> </w:t>
      </w:r>
      <w:r w:rsidRPr="00036FAC">
        <w:t>complaints</w:t>
      </w:r>
      <w:r w:rsidR="00907D8C">
        <w:t xml:space="preserve"> </w:t>
      </w:r>
      <w:r w:rsidRPr="00036FAC">
        <w:t>about</w:t>
      </w:r>
      <w:r w:rsidR="00907D8C">
        <w:t xml:space="preserve"> </w:t>
      </w:r>
      <w:r w:rsidRPr="00036FAC">
        <w:t>Police</w:t>
      </w:r>
      <w:r w:rsidR="00907D8C">
        <w:t xml:space="preserve"> </w:t>
      </w:r>
      <w:r w:rsidRPr="00036FAC">
        <w:t>misconduct</w:t>
      </w:r>
      <w:r w:rsidR="00907D8C">
        <w:t xml:space="preserve"> </w:t>
      </w:r>
      <w:r w:rsidRPr="00036FAC">
        <w:t>or</w:t>
      </w:r>
      <w:r w:rsidR="00907D8C">
        <w:t xml:space="preserve"> </w:t>
      </w:r>
      <w:r w:rsidRPr="00036FAC">
        <w:t>neglect</w:t>
      </w:r>
      <w:r w:rsidR="00907D8C">
        <w:t xml:space="preserve"> </w:t>
      </w:r>
      <w:r w:rsidRPr="00036FAC">
        <w:t>of</w:t>
      </w:r>
      <w:r w:rsidR="00907D8C">
        <w:t xml:space="preserve"> </w:t>
      </w:r>
      <w:r w:rsidRPr="00036FAC">
        <w:t>duty,</w:t>
      </w:r>
      <w:r w:rsidR="00907D8C">
        <w:t xml:space="preserve"> </w:t>
      </w:r>
      <w:r w:rsidRPr="00036FAC">
        <w:t>or</w:t>
      </w:r>
      <w:r w:rsidR="00907D8C">
        <w:t xml:space="preserve"> </w:t>
      </w:r>
      <w:r w:rsidRPr="00036FAC">
        <w:t>Police</w:t>
      </w:r>
      <w:r w:rsidR="00907D8C">
        <w:t xml:space="preserve"> </w:t>
      </w:r>
      <w:r w:rsidRPr="00036FAC">
        <w:t>practices,</w:t>
      </w:r>
      <w:r w:rsidR="00907D8C">
        <w:t xml:space="preserve"> </w:t>
      </w:r>
      <w:r w:rsidRPr="00036FAC">
        <w:t>policies,</w:t>
      </w:r>
      <w:r w:rsidR="00907D8C">
        <w:t xml:space="preserve"> </w:t>
      </w:r>
      <w:r w:rsidRPr="00036FAC">
        <w:t>and</w:t>
      </w:r>
      <w:r w:rsidR="00907D8C">
        <w:t xml:space="preserve"> </w:t>
      </w:r>
      <w:r w:rsidRPr="00036FAC">
        <w:t>procedures.</w:t>
      </w:r>
      <w:r w:rsidR="00907D8C">
        <w:t xml:space="preserve"> </w:t>
      </w:r>
      <w:r w:rsidRPr="00036FAC">
        <w:t>The</w:t>
      </w:r>
      <w:r w:rsidR="00907D8C">
        <w:t xml:space="preserve"> </w:t>
      </w:r>
      <w:r w:rsidRPr="00036FAC">
        <w:t>IPCA</w:t>
      </w:r>
      <w:r w:rsidR="00907D8C">
        <w:t xml:space="preserve"> </w:t>
      </w:r>
      <w:r w:rsidRPr="00036FAC">
        <w:t>replaced</w:t>
      </w:r>
      <w:r w:rsidR="00907D8C">
        <w:t xml:space="preserve"> </w:t>
      </w:r>
      <w:r w:rsidRPr="00036FAC">
        <w:t>the</w:t>
      </w:r>
      <w:r w:rsidR="00907D8C">
        <w:t xml:space="preserve"> </w:t>
      </w:r>
      <w:r w:rsidRPr="00036FAC">
        <w:t>Police</w:t>
      </w:r>
      <w:r w:rsidR="00907D8C">
        <w:t xml:space="preserve"> </w:t>
      </w:r>
      <w:r w:rsidRPr="00036FAC">
        <w:t>Complaints</w:t>
      </w:r>
      <w:r w:rsidR="00907D8C">
        <w:t xml:space="preserve"> </w:t>
      </w:r>
      <w:r w:rsidRPr="00036FAC">
        <w:t>Authority</w:t>
      </w:r>
      <w:r w:rsidR="00907D8C">
        <w:t xml:space="preserve"> </w:t>
      </w:r>
      <w:r w:rsidRPr="00036FAC">
        <w:t>in</w:t>
      </w:r>
      <w:r w:rsidR="00907D8C">
        <w:t xml:space="preserve"> </w:t>
      </w:r>
      <w:r w:rsidRPr="00036FAC">
        <w:t>November</w:t>
      </w:r>
      <w:r w:rsidR="00907D8C">
        <w:t xml:space="preserve"> </w:t>
      </w:r>
      <w:r w:rsidRPr="00036FAC">
        <w:t>2007.</w:t>
      </w:r>
      <w:r w:rsidR="00907D8C">
        <w:t xml:space="preserve"> </w:t>
      </w:r>
      <w:r w:rsidRPr="00036FAC">
        <w:t>The</w:t>
      </w:r>
      <w:r w:rsidR="00907D8C">
        <w:t xml:space="preserve"> </w:t>
      </w:r>
      <w:r w:rsidRPr="00036FAC">
        <w:t>Police</w:t>
      </w:r>
      <w:r w:rsidR="00907D8C">
        <w:t xml:space="preserve"> </w:t>
      </w:r>
      <w:r w:rsidRPr="00036FAC">
        <w:t>Complaints</w:t>
      </w:r>
      <w:r w:rsidR="00907D8C">
        <w:t xml:space="preserve"> </w:t>
      </w:r>
      <w:r w:rsidRPr="00036FAC">
        <w:t>Authority</w:t>
      </w:r>
      <w:r w:rsidR="00907D8C">
        <w:t xml:space="preserve"> </w:t>
      </w:r>
      <w:r w:rsidRPr="00036FAC">
        <w:t>relied</w:t>
      </w:r>
      <w:r w:rsidR="00907D8C">
        <w:t xml:space="preserve"> </w:t>
      </w:r>
      <w:r w:rsidRPr="00036FAC">
        <w:t>on</w:t>
      </w:r>
      <w:r w:rsidR="00907D8C">
        <w:t xml:space="preserve"> </w:t>
      </w:r>
      <w:r w:rsidRPr="00036FAC">
        <w:t>Police</w:t>
      </w:r>
      <w:r w:rsidR="00907D8C">
        <w:t xml:space="preserve"> </w:t>
      </w:r>
      <w:r w:rsidRPr="00036FAC">
        <w:t>investigations</w:t>
      </w:r>
      <w:r w:rsidR="00907D8C">
        <w:t xml:space="preserve"> </w:t>
      </w:r>
      <w:r w:rsidRPr="00036FAC">
        <w:t>and</w:t>
      </w:r>
      <w:r w:rsidR="00907D8C">
        <w:t xml:space="preserve"> </w:t>
      </w:r>
      <w:r w:rsidRPr="00036FAC">
        <w:t>was</w:t>
      </w:r>
      <w:r w:rsidR="00907D8C">
        <w:t xml:space="preserve"> </w:t>
      </w:r>
      <w:r w:rsidRPr="00036FAC">
        <w:t>perceived</w:t>
      </w:r>
      <w:r w:rsidR="00907D8C">
        <w:t xml:space="preserve"> </w:t>
      </w:r>
      <w:r w:rsidRPr="00036FAC">
        <w:t>as</w:t>
      </w:r>
      <w:r w:rsidR="00907D8C">
        <w:t xml:space="preserve"> </w:t>
      </w:r>
      <w:r w:rsidRPr="00036FAC">
        <w:t>lacking</w:t>
      </w:r>
      <w:r w:rsidR="00907D8C">
        <w:t xml:space="preserve"> </w:t>
      </w:r>
      <w:r w:rsidRPr="00036FAC">
        <w:t>independence.</w:t>
      </w:r>
      <w:r w:rsidR="00907D8C">
        <w:t xml:space="preserve"> </w:t>
      </w:r>
      <w:r w:rsidRPr="00036FAC">
        <w:t>The</w:t>
      </w:r>
      <w:r w:rsidR="00907D8C">
        <w:t xml:space="preserve"> </w:t>
      </w:r>
      <w:r w:rsidRPr="00036FAC">
        <w:t>IPCA</w:t>
      </w:r>
      <w:r w:rsidR="00907D8C">
        <w:t xml:space="preserve"> </w:t>
      </w:r>
      <w:r w:rsidRPr="00036FAC">
        <w:t>is</w:t>
      </w:r>
      <w:r w:rsidR="00907D8C">
        <w:t xml:space="preserve"> </w:t>
      </w:r>
      <w:r w:rsidRPr="00036FAC">
        <w:t>headed</w:t>
      </w:r>
      <w:r w:rsidR="00907D8C">
        <w:t xml:space="preserve"> </w:t>
      </w:r>
      <w:r w:rsidRPr="00036FAC">
        <w:t>by</w:t>
      </w:r>
      <w:r w:rsidR="00907D8C">
        <w:t xml:space="preserve"> </w:t>
      </w:r>
      <w:r w:rsidRPr="00036FAC">
        <w:t>a</w:t>
      </w:r>
      <w:r w:rsidR="00907D8C">
        <w:t xml:space="preserve"> </w:t>
      </w:r>
      <w:r w:rsidRPr="00036FAC">
        <w:t>High</w:t>
      </w:r>
      <w:r w:rsidR="00907D8C">
        <w:t xml:space="preserve"> </w:t>
      </w:r>
      <w:r w:rsidRPr="00036FAC">
        <w:t>Court</w:t>
      </w:r>
      <w:r w:rsidR="00907D8C">
        <w:t xml:space="preserve"> </w:t>
      </w:r>
      <w:r w:rsidRPr="00036FAC">
        <w:t>Judge</w:t>
      </w:r>
      <w:r w:rsidR="00907D8C">
        <w:t xml:space="preserve"> </w:t>
      </w:r>
      <w:r w:rsidRPr="00036FAC">
        <w:t>and</w:t>
      </w:r>
      <w:r w:rsidR="00907D8C">
        <w:t xml:space="preserve"> </w:t>
      </w:r>
      <w:r w:rsidRPr="00036FAC">
        <w:t>is</w:t>
      </w:r>
      <w:r w:rsidR="00907D8C">
        <w:t xml:space="preserve"> </w:t>
      </w:r>
      <w:r w:rsidRPr="00036FAC">
        <w:t>supported</w:t>
      </w:r>
      <w:r w:rsidR="00907D8C">
        <w:t xml:space="preserve"> </w:t>
      </w:r>
      <w:r w:rsidRPr="00036FAC">
        <w:t>by</w:t>
      </w:r>
      <w:r w:rsidR="00907D8C">
        <w:t xml:space="preserve"> </w:t>
      </w:r>
      <w:r w:rsidRPr="00036FAC">
        <w:t>teams</w:t>
      </w:r>
      <w:r w:rsidR="00907D8C">
        <w:t xml:space="preserve"> </w:t>
      </w:r>
      <w:r w:rsidRPr="00036FAC">
        <w:t>of</w:t>
      </w:r>
      <w:r w:rsidR="00907D8C">
        <w:t xml:space="preserve"> </w:t>
      </w:r>
      <w:r w:rsidRPr="00036FAC">
        <w:t>independent</w:t>
      </w:r>
      <w:r w:rsidR="00907D8C">
        <w:t xml:space="preserve"> </w:t>
      </w:r>
      <w:r w:rsidRPr="00036FAC">
        <w:t>investigators.</w:t>
      </w:r>
      <w:r w:rsidR="00907D8C">
        <w:t xml:space="preserve"> </w:t>
      </w:r>
      <w:r w:rsidRPr="00036FAC">
        <w:t>While</w:t>
      </w:r>
      <w:r w:rsidR="00907D8C">
        <w:t xml:space="preserve"> </w:t>
      </w:r>
      <w:r w:rsidRPr="00036FAC">
        <w:t>the</w:t>
      </w:r>
      <w:r w:rsidR="00907D8C">
        <w:t xml:space="preserve"> </w:t>
      </w:r>
      <w:r w:rsidRPr="00036FAC">
        <w:t>Police</w:t>
      </w:r>
      <w:r w:rsidR="00907D8C">
        <w:t xml:space="preserve"> </w:t>
      </w:r>
      <w:r w:rsidRPr="00036FAC">
        <w:t>still</w:t>
      </w:r>
      <w:r w:rsidR="00907D8C">
        <w:t xml:space="preserve"> </w:t>
      </w:r>
      <w:r w:rsidRPr="00036FAC">
        <w:t>have</w:t>
      </w:r>
      <w:r w:rsidR="00907D8C">
        <w:t xml:space="preserve"> </w:t>
      </w:r>
      <w:r w:rsidRPr="00036FAC">
        <w:t>the</w:t>
      </w:r>
      <w:r w:rsidR="00907D8C">
        <w:t xml:space="preserve"> </w:t>
      </w:r>
      <w:r w:rsidRPr="00036FAC">
        <w:t>primary</w:t>
      </w:r>
      <w:r w:rsidR="00907D8C">
        <w:t xml:space="preserve"> </w:t>
      </w:r>
      <w:r w:rsidRPr="00036FAC">
        <w:t>complaint</w:t>
      </w:r>
      <w:r w:rsidR="00907D8C">
        <w:t xml:space="preserve"> </w:t>
      </w:r>
      <w:r w:rsidRPr="00036FAC">
        <w:t>investigation</w:t>
      </w:r>
      <w:r w:rsidR="00907D8C">
        <w:t xml:space="preserve"> </w:t>
      </w:r>
      <w:r w:rsidRPr="00036FAC">
        <w:t>role,</w:t>
      </w:r>
      <w:r w:rsidR="00907D8C">
        <w:t xml:space="preserve"> </w:t>
      </w:r>
      <w:r w:rsidRPr="00036FAC">
        <w:t>their</w:t>
      </w:r>
      <w:r w:rsidR="00907D8C">
        <w:t xml:space="preserve"> </w:t>
      </w:r>
      <w:r w:rsidRPr="00036FAC">
        <w:t>complaint</w:t>
      </w:r>
      <w:r w:rsidR="00907D8C">
        <w:t xml:space="preserve"> </w:t>
      </w:r>
      <w:r w:rsidRPr="00036FAC">
        <w:t>investigation</w:t>
      </w:r>
      <w:r w:rsidR="00907D8C">
        <w:t xml:space="preserve"> </w:t>
      </w:r>
      <w:r w:rsidRPr="00036FAC">
        <w:t>procedures</w:t>
      </w:r>
      <w:r w:rsidR="00907D8C">
        <w:t xml:space="preserve"> </w:t>
      </w:r>
      <w:r w:rsidRPr="00036FAC">
        <w:t>must</w:t>
      </w:r>
      <w:r w:rsidR="00907D8C">
        <w:t xml:space="preserve"> </w:t>
      </w:r>
      <w:r w:rsidRPr="00036FAC">
        <w:t>comply</w:t>
      </w:r>
      <w:r w:rsidR="00907D8C">
        <w:t xml:space="preserve"> </w:t>
      </w:r>
      <w:r w:rsidRPr="00036FAC">
        <w:t>with</w:t>
      </w:r>
      <w:r w:rsidR="00907D8C">
        <w:t xml:space="preserve"> </w:t>
      </w:r>
      <w:r w:rsidRPr="00036FAC">
        <w:t>the</w:t>
      </w:r>
      <w:r w:rsidR="00907D8C">
        <w:t xml:space="preserve"> </w:t>
      </w:r>
      <w:r w:rsidRPr="00036FAC">
        <w:t>Act</w:t>
      </w:r>
      <w:r w:rsidR="00907D8C">
        <w:t xml:space="preserve"> </w:t>
      </w:r>
      <w:r w:rsidRPr="00036FAC">
        <w:t>and</w:t>
      </w:r>
      <w:r w:rsidR="00907D8C">
        <w:t xml:space="preserve"> </w:t>
      </w:r>
      <w:r w:rsidRPr="00036FAC">
        <w:t>are</w:t>
      </w:r>
      <w:r w:rsidR="00907D8C">
        <w:t xml:space="preserve"> </w:t>
      </w:r>
      <w:r w:rsidRPr="00036FAC">
        <w:t>subject</w:t>
      </w:r>
      <w:r w:rsidR="00907D8C">
        <w:t xml:space="preserve"> </w:t>
      </w:r>
      <w:r w:rsidRPr="00036FAC">
        <w:t>to</w:t>
      </w:r>
      <w:r w:rsidR="00907D8C">
        <w:t xml:space="preserve"> </w:t>
      </w:r>
      <w:r w:rsidRPr="00036FAC">
        <w:t>investigation</w:t>
      </w:r>
      <w:r w:rsidR="00907D8C">
        <w:t xml:space="preserve"> </w:t>
      </w:r>
      <w:r w:rsidRPr="00036FAC">
        <w:t>or</w:t>
      </w:r>
      <w:r w:rsidR="00907D8C">
        <w:t xml:space="preserve"> </w:t>
      </w:r>
      <w:r w:rsidRPr="00036FAC">
        <w:t>oversight</w:t>
      </w:r>
      <w:r w:rsidR="00907D8C">
        <w:t xml:space="preserve"> </w:t>
      </w:r>
      <w:r w:rsidRPr="00036FAC">
        <w:t>by</w:t>
      </w:r>
      <w:r w:rsidR="00907D8C">
        <w:t xml:space="preserve"> </w:t>
      </w:r>
      <w:r w:rsidRPr="00036FAC">
        <w:t>the</w:t>
      </w:r>
      <w:r w:rsidR="00907D8C">
        <w:t xml:space="preserve"> </w:t>
      </w:r>
      <w:r w:rsidRPr="00036FAC">
        <w:t>IPCA.</w:t>
      </w:r>
      <w:r w:rsidR="00907D8C">
        <w:t xml:space="preserve"> </w:t>
      </w:r>
      <w:r w:rsidRPr="00036FAC">
        <w:t>The</w:t>
      </w:r>
      <w:r w:rsidR="00907D8C">
        <w:t xml:space="preserve"> </w:t>
      </w:r>
      <w:r w:rsidRPr="00036FAC">
        <w:t>IPCA</w:t>
      </w:r>
      <w:r w:rsidR="00907D8C">
        <w:t xml:space="preserve"> </w:t>
      </w:r>
      <w:r w:rsidRPr="00036FAC">
        <w:t>may</w:t>
      </w:r>
      <w:r w:rsidR="00907D8C">
        <w:t xml:space="preserve"> </w:t>
      </w:r>
      <w:r w:rsidRPr="00036FAC">
        <w:t>investigate</w:t>
      </w:r>
      <w:r w:rsidR="00907D8C">
        <w:t xml:space="preserve"> </w:t>
      </w:r>
      <w:r w:rsidRPr="00036FAC">
        <w:t>or</w:t>
      </w:r>
      <w:r w:rsidR="00907D8C">
        <w:t xml:space="preserve"> </w:t>
      </w:r>
      <w:r w:rsidRPr="00036FAC">
        <w:t>oversee</w:t>
      </w:r>
      <w:r w:rsidR="00907D8C">
        <w:t xml:space="preserve"> </w:t>
      </w:r>
      <w:r w:rsidRPr="00036FAC">
        <w:t>a</w:t>
      </w:r>
      <w:r w:rsidR="00907D8C">
        <w:t xml:space="preserve"> </w:t>
      </w:r>
      <w:r w:rsidRPr="00036FAC">
        <w:t>Police</w:t>
      </w:r>
      <w:r w:rsidR="00907D8C">
        <w:t xml:space="preserve"> </w:t>
      </w:r>
      <w:r w:rsidRPr="00036FAC">
        <w:t>investigation</w:t>
      </w:r>
      <w:r w:rsidR="00907D8C">
        <w:t xml:space="preserve"> </w:t>
      </w:r>
      <w:r w:rsidRPr="00036FAC">
        <w:t>in</w:t>
      </w:r>
      <w:r w:rsidR="00907D8C">
        <w:t xml:space="preserve"> </w:t>
      </w:r>
      <w:r w:rsidRPr="00036FAC">
        <w:t>cases</w:t>
      </w:r>
      <w:r w:rsidR="00907D8C">
        <w:t xml:space="preserve"> </w:t>
      </w:r>
      <w:r w:rsidRPr="00036FAC">
        <w:t>that</w:t>
      </w:r>
      <w:r w:rsidR="00907D8C">
        <w:t xml:space="preserve"> </w:t>
      </w:r>
      <w:r w:rsidRPr="00036FAC">
        <w:t>fall</w:t>
      </w:r>
      <w:r w:rsidR="00907D8C">
        <w:t xml:space="preserve"> </w:t>
      </w:r>
      <w:r w:rsidRPr="00036FAC">
        <w:t>within</w:t>
      </w:r>
      <w:r w:rsidR="00907D8C">
        <w:t xml:space="preserve"> </w:t>
      </w:r>
      <w:r w:rsidRPr="00036FAC">
        <w:t>the</w:t>
      </w:r>
      <w:r w:rsidR="00907D8C">
        <w:t xml:space="preserve"> </w:t>
      </w:r>
      <w:r w:rsidRPr="00036FAC">
        <w:t>most</w:t>
      </w:r>
      <w:r w:rsidR="00907D8C">
        <w:t xml:space="preserve"> </w:t>
      </w:r>
      <w:r w:rsidRPr="00036FAC">
        <w:t>serious</w:t>
      </w:r>
      <w:r w:rsidR="00907D8C">
        <w:t xml:space="preserve"> </w:t>
      </w:r>
      <w:r w:rsidRPr="00036FAC">
        <w:t>categories</w:t>
      </w:r>
      <w:r w:rsidR="00907D8C">
        <w:t xml:space="preserve"> </w:t>
      </w:r>
      <w:r w:rsidRPr="00036FAC">
        <w:t>of</w:t>
      </w:r>
      <w:r w:rsidR="00907D8C">
        <w:t xml:space="preserve"> </w:t>
      </w:r>
      <w:r w:rsidRPr="00036FAC">
        <w:t>complaints.</w:t>
      </w:r>
    </w:p>
    <w:p w:rsidR="00036FAC" w:rsidRPr="00036FAC" w:rsidRDefault="00036FAC" w:rsidP="00B85D72">
      <w:pPr>
        <w:pStyle w:val="SingleTxtG"/>
      </w:pPr>
      <w:r w:rsidRPr="00036FAC">
        <w:t>193.</w:t>
      </w:r>
      <w:r w:rsidRPr="00036FAC">
        <w:tab/>
        <w:t>Under</w:t>
      </w:r>
      <w:r w:rsidR="00907D8C">
        <w:t xml:space="preserve"> </w:t>
      </w:r>
      <w:r w:rsidRPr="00036FAC">
        <w:t>section</w:t>
      </w:r>
      <w:r w:rsidR="00907D8C">
        <w:t xml:space="preserve"> </w:t>
      </w:r>
      <w:r w:rsidRPr="00036FAC">
        <w:t>12</w:t>
      </w:r>
      <w:r w:rsidR="00907D8C">
        <w:t xml:space="preserve"> </w:t>
      </w:r>
      <w:r w:rsidRPr="00036FAC">
        <w:t>of</w:t>
      </w:r>
      <w:r w:rsidR="00907D8C">
        <w:t xml:space="preserve"> </w:t>
      </w:r>
      <w:r w:rsidRPr="00036FAC">
        <w:t>the</w:t>
      </w:r>
      <w:r w:rsidR="00907D8C">
        <w:t xml:space="preserve"> </w:t>
      </w:r>
      <w:r w:rsidRPr="00036FAC">
        <w:t>Independent</w:t>
      </w:r>
      <w:r w:rsidR="00907D8C">
        <w:t xml:space="preserve"> </w:t>
      </w:r>
      <w:r w:rsidRPr="00036FAC">
        <w:t>Police</w:t>
      </w:r>
      <w:r w:rsidR="00907D8C">
        <w:t xml:space="preserve"> </w:t>
      </w:r>
      <w:r w:rsidRPr="00036FAC">
        <w:t>Conduct</w:t>
      </w:r>
      <w:r w:rsidR="00907D8C">
        <w:t xml:space="preserve"> </w:t>
      </w:r>
      <w:r w:rsidRPr="00036FAC">
        <w:t>Authority</w:t>
      </w:r>
      <w:r w:rsidR="00907D8C">
        <w:t xml:space="preserve"> </w:t>
      </w:r>
      <w:r w:rsidRPr="00036FAC">
        <w:t>Act</w:t>
      </w:r>
      <w:r w:rsidR="00907D8C">
        <w:t xml:space="preserve"> </w:t>
      </w:r>
      <w:r w:rsidRPr="00036FAC">
        <w:t>1988,</w:t>
      </w:r>
      <w:r w:rsidR="00907D8C">
        <w:t xml:space="preserve"> </w:t>
      </w:r>
      <w:r w:rsidRPr="00036FAC">
        <w:t>the</w:t>
      </w:r>
      <w:r w:rsidR="00907D8C">
        <w:t xml:space="preserve"> </w:t>
      </w:r>
      <w:r w:rsidRPr="00036FAC">
        <w:t>Authority</w:t>
      </w:r>
      <w:r w:rsidR="003E4D94">
        <w:t>’</w:t>
      </w:r>
      <w:r w:rsidRPr="00036FAC">
        <w:t>s</w:t>
      </w:r>
      <w:r w:rsidR="00907D8C">
        <w:t xml:space="preserve"> </w:t>
      </w:r>
      <w:r w:rsidRPr="00036FAC">
        <w:t>functions</w:t>
      </w:r>
      <w:r w:rsidR="00907D8C">
        <w:t xml:space="preserve"> </w:t>
      </w:r>
      <w:r w:rsidRPr="00036FAC">
        <w:t>are</w:t>
      </w:r>
      <w:r w:rsidR="00907D8C">
        <w:t xml:space="preserve"> </w:t>
      </w:r>
      <w:r w:rsidRPr="00036FAC">
        <w:t>to:</w:t>
      </w:r>
    </w:p>
    <w:p w:rsidR="00036FAC" w:rsidRPr="00036FAC" w:rsidRDefault="00B85D72" w:rsidP="00B85D72">
      <w:pPr>
        <w:pStyle w:val="Bullet1G"/>
      </w:pPr>
      <w:r>
        <w:t>R</w:t>
      </w:r>
      <w:r w:rsidR="00036FAC" w:rsidRPr="00036FAC">
        <w:t>eceive</w:t>
      </w:r>
      <w:r w:rsidR="00907D8C">
        <w:t xml:space="preserve"> </w:t>
      </w:r>
      <w:r w:rsidR="00036FAC" w:rsidRPr="00036FAC">
        <w:t>complaints</w:t>
      </w:r>
      <w:r w:rsidR="00907D8C">
        <w:t xml:space="preserve"> </w:t>
      </w:r>
      <w:r w:rsidR="00036FAC" w:rsidRPr="00036FAC">
        <w:t>(i)</w:t>
      </w:r>
      <w:r w:rsidR="00907D8C">
        <w:t xml:space="preserve"> </w:t>
      </w:r>
      <w:r w:rsidR="00036FAC" w:rsidRPr="00036FAC">
        <w:t>alleging</w:t>
      </w:r>
      <w:r w:rsidR="00907D8C">
        <w:t xml:space="preserve"> </w:t>
      </w:r>
      <w:r w:rsidR="00036FAC" w:rsidRPr="00036FAC">
        <w:t>misconduct</w:t>
      </w:r>
      <w:r w:rsidR="00907D8C">
        <w:t xml:space="preserve"> </w:t>
      </w:r>
      <w:r w:rsidR="00036FAC" w:rsidRPr="00036FAC">
        <w:t>or</w:t>
      </w:r>
      <w:r w:rsidR="00907D8C">
        <w:t xml:space="preserve"> </w:t>
      </w:r>
      <w:r w:rsidR="00036FAC" w:rsidRPr="00036FAC">
        <w:t>neglect</w:t>
      </w:r>
      <w:r w:rsidR="00907D8C">
        <w:t xml:space="preserve"> </w:t>
      </w:r>
      <w:r w:rsidR="00036FAC" w:rsidRPr="00036FAC">
        <w:t>of</w:t>
      </w:r>
      <w:r w:rsidR="00907D8C">
        <w:t xml:space="preserve"> </w:t>
      </w:r>
      <w:r w:rsidR="00036FAC" w:rsidRPr="00036FAC">
        <w:t>duty</w:t>
      </w:r>
      <w:r w:rsidR="00907D8C">
        <w:t xml:space="preserve"> </w:t>
      </w:r>
      <w:r w:rsidR="00036FAC" w:rsidRPr="00036FAC">
        <w:t>by</w:t>
      </w:r>
      <w:r w:rsidR="00907D8C">
        <w:t xml:space="preserve"> </w:t>
      </w:r>
      <w:r w:rsidR="00036FAC" w:rsidRPr="00036FAC">
        <w:t>any</w:t>
      </w:r>
      <w:r w:rsidR="00907D8C">
        <w:t xml:space="preserve"> </w:t>
      </w:r>
      <w:r w:rsidR="00036FAC" w:rsidRPr="00036FAC">
        <w:t>member</w:t>
      </w:r>
      <w:r w:rsidR="00907D8C">
        <w:t xml:space="preserve"> </w:t>
      </w:r>
      <w:r w:rsidR="00036FAC" w:rsidRPr="00036FAC">
        <w:t>of</w:t>
      </w:r>
      <w:r w:rsidR="00907D8C">
        <w:t xml:space="preserve"> </w:t>
      </w:r>
      <w:r w:rsidR="00036FAC" w:rsidRPr="00036FAC">
        <w:t>the</w:t>
      </w:r>
      <w:r w:rsidR="00907D8C">
        <w:t xml:space="preserve"> </w:t>
      </w:r>
      <w:r w:rsidR="00036FAC" w:rsidRPr="00036FAC">
        <w:t>Police</w:t>
      </w:r>
      <w:r w:rsidR="00907D8C">
        <w:t xml:space="preserve"> </w:t>
      </w:r>
      <w:r w:rsidR="00036FAC" w:rsidRPr="00036FAC">
        <w:t>or</w:t>
      </w:r>
      <w:r w:rsidR="00907D8C">
        <w:t xml:space="preserve"> </w:t>
      </w:r>
      <w:r w:rsidR="00036FAC" w:rsidRPr="00036FAC">
        <w:t>(ii)</w:t>
      </w:r>
      <w:r w:rsidR="00907D8C">
        <w:t xml:space="preserve"> </w:t>
      </w:r>
      <w:r w:rsidR="00036FAC" w:rsidRPr="00036FAC">
        <w:t>concerning</w:t>
      </w:r>
      <w:r w:rsidR="00907D8C">
        <w:t xml:space="preserve"> </w:t>
      </w:r>
      <w:r w:rsidR="00036FAC" w:rsidRPr="00036FAC">
        <w:t>any</w:t>
      </w:r>
      <w:r w:rsidR="00907D8C">
        <w:t xml:space="preserve"> </w:t>
      </w:r>
      <w:r w:rsidR="00036FAC" w:rsidRPr="00036FAC">
        <w:t>Police</w:t>
      </w:r>
      <w:r w:rsidR="00907D8C">
        <w:t xml:space="preserve"> </w:t>
      </w:r>
      <w:r w:rsidR="00036FAC" w:rsidRPr="00036FAC">
        <w:t>practice,</w:t>
      </w:r>
      <w:r w:rsidR="00907D8C">
        <w:t xml:space="preserve"> </w:t>
      </w:r>
      <w:r w:rsidR="00036FAC" w:rsidRPr="00036FAC">
        <w:t>policy,</w:t>
      </w:r>
      <w:r w:rsidR="00907D8C">
        <w:t xml:space="preserve"> </w:t>
      </w:r>
      <w:r w:rsidR="00036FAC" w:rsidRPr="00036FAC">
        <w:t>or</w:t>
      </w:r>
      <w:r w:rsidR="00907D8C">
        <w:t xml:space="preserve"> </w:t>
      </w:r>
      <w:r w:rsidR="00036FAC" w:rsidRPr="00036FAC">
        <w:t>procedure</w:t>
      </w:r>
      <w:r w:rsidR="00907D8C">
        <w:t xml:space="preserve"> </w:t>
      </w:r>
      <w:r w:rsidR="00036FAC" w:rsidRPr="00036FAC">
        <w:t>affecting</w:t>
      </w:r>
      <w:r w:rsidR="00907D8C">
        <w:t xml:space="preserve"> </w:t>
      </w:r>
      <w:r w:rsidR="00036FAC" w:rsidRPr="00036FAC">
        <w:t>a</w:t>
      </w:r>
      <w:r w:rsidR="00907D8C">
        <w:t xml:space="preserve"> </w:t>
      </w:r>
      <w:r>
        <w:t>complainant,</w:t>
      </w:r>
      <w:r w:rsidR="00907D8C">
        <w:t xml:space="preserve"> </w:t>
      </w:r>
      <w:r w:rsidR="00036FAC" w:rsidRPr="00036FAC">
        <w:t>or</w:t>
      </w:r>
      <w:r w:rsidR="00907D8C">
        <w:t xml:space="preserve"> </w:t>
      </w:r>
    </w:p>
    <w:p w:rsidR="00036FAC" w:rsidRPr="00036FAC" w:rsidRDefault="00B85D72" w:rsidP="00B85D72">
      <w:pPr>
        <w:pStyle w:val="Bullet1G"/>
      </w:pPr>
      <w:r>
        <w:t>I</w:t>
      </w:r>
      <w:r w:rsidR="00036FAC" w:rsidRPr="00036FAC">
        <w:t>nvestigate</w:t>
      </w:r>
      <w:r w:rsidR="00907D8C">
        <w:t xml:space="preserve"> </w:t>
      </w:r>
      <w:r w:rsidR="00036FAC" w:rsidRPr="00036FAC">
        <w:t>incidents</w:t>
      </w:r>
      <w:r w:rsidR="00907D8C">
        <w:t xml:space="preserve"> </w:t>
      </w:r>
      <w:r w:rsidR="00036FAC" w:rsidRPr="00036FAC">
        <w:t>in</w:t>
      </w:r>
      <w:r w:rsidR="00907D8C">
        <w:t xml:space="preserve"> </w:t>
      </w:r>
      <w:r w:rsidR="00036FAC" w:rsidRPr="00036FAC">
        <w:t>which</w:t>
      </w:r>
      <w:r w:rsidR="00907D8C">
        <w:t xml:space="preserve"> </w:t>
      </w:r>
      <w:r w:rsidR="00036FAC" w:rsidRPr="00036FAC">
        <w:t>a</w:t>
      </w:r>
      <w:r w:rsidR="00907D8C">
        <w:t xml:space="preserve"> </w:t>
      </w:r>
      <w:r w:rsidR="00036FAC" w:rsidRPr="00036FAC">
        <w:t>member</w:t>
      </w:r>
      <w:r w:rsidR="00907D8C">
        <w:t xml:space="preserve"> </w:t>
      </w:r>
      <w:r w:rsidR="00036FAC" w:rsidRPr="00036FAC">
        <w:t>of</w:t>
      </w:r>
      <w:r w:rsidR="00907D8C">
        <w:t xml:space="preserve"> </w:t>
      </w:r>
      <w:r w:rsidR="00036FAC" w:rsidRPr="00036FAC">
        <w:t>the</w:t>
      </w:r>
      <w:r w:rsidR="00907D8C">
        <w:t xml:space="preserve"> </w:t>
      </w:r>
      <w:r w:rsidR="00036FAC" w:rsidRPr="00036FAC">
        <w:t>Police</w:t>
      </w:r>
      <w:r w:rsidR="00907D8C">
        <w:t xml:space="preserve"> </w:t>
      </w:r>
      <w:r w:rsidR="00036FAC" w:rsidRPr="00036FAC">
        <w:t>(acting</w:t>
      </w:r>
      <w:r w:rsidR="00907D8C">
        <w:t xml:space="preserve"> </w:t>
      </w:r>
      <w:r w:rsidR="00036FAC" w:rsidRPr="00036FAC">
        <w:t>in</w:t>
      </w:r>
      <w:r w:rsidR="00907D8C">
        <w:t xml:space="preserve"> </w:t>
      </w:r>
      <w:r w:rsidR="00036FAC" w:rsidRPr="00036FAC">
        <w:t>the</w:t>
      </w:r>
      <w:r w:rsidR="00907D8C">
        <w:t xml:space="preserve"> </w:t>
      </w:r>
      <w:r w:rsidR="00036FAC" w:rsidRPr="00036FAC">
        <w:t>execution</w:t>
      </w:r>
      <w:r w:rsidR="00907D8C">
        <w:t xml:space="preserve"> </w:t>
      </w:r>
      <w:r w:rsidR="00036FAC" w:rsidRPr="00036FAC">
        <w:t>of</w:t>
      </w:r>
      <w:r w:rsidR="00907D8C">
        <w:t xml:space="preserve"> </w:t>
      </w:r>
      <w:r w:rsidR="00036FAC" w:rsidRPr="00036FAC">
        <w:t>his</w:t>
      </w:r>
      <w:r w:rsidR="00907D8C">
        <w:t xml:space="preserve"> </w:t>
      </w:r>
      <w:r w:rsidR="00036FAC" w:rsidRPr="00036FAC">
        <w:t>or</w:t>
      </w:r>
      <w:r w:rsidR="00907D8C">
        <w:t xml:space="preserve"> </w:t>
      </w:r>
      <w:r w:rsidR="00036FAC" w:rsidRPr="00036FAC">
        <w:t>her</w:t>
      </w:r>
      <w:r w:rsidR="00907D8C">
        <w:t xml:space="preserve"> </w:t>
      </w:r>
      <w:r w:rsidR="00036FAC" w:rsidRPr="00036FAC">
        <w:t>duty)</w:t>
      </w:r>
      <w:r w:rsidR="00907D8C">
        <w:t xml:space="preserve"> </w:t>
      </w:r>
      <w:r w:rsidR="00036FAC" w:rsidRPr="00036FAC">
        <w:t>causes</w:t>
      </w:r>
      <w:r w:rsidR="00907D8C">
        <w:t xml:space="preserve"> </w:t>
      </w:r>
      <w:r w:rsidR="00036FAC" w:rsidRPr="00036FAC">
        <w:t>or</w:t>
      </w:r>
      <w:r w:rsidR="00907D8C">
        <w:t xml:space="preserve"> </w:t>
      </w:r>
      <w:r w:rsidR="00036FAC" w:rsidRPr="00036FAC">
        <w:t>appears</w:t>
      </w:r>
      <w:r w:rsidR="00907D8C">
        <w:t xml:space="preserve"> </w:t>
      </w:r>
      <w:r w:rsidR="00036FAC" w:rsidRPr="00036FAC">
        <w:t>to</w:t>
      </w:r>
      <w:r w:rsidR="00907D8C">
        <w:t xml:space="preserve"> </w:t>
      </w:r>
      <w:r w:rsidR="00036FAC" w:rsidRPr="00036FAC">
        <w:t>have</w:t>
      </w:r>
      <w:r w:rsidR="00907D8C">
        <w:t xml:space="preserve"> </w:t>
      </w:r>
      <w:r w:rsidR="00036FAC" w:rsidRPr="00036FAC">
        <w:t>caused</w:t>
      </w:r>
      <w:r w:rsidR="00907D8C">
        <w:t xml:space="preserve"> </w:t>
      </w:r>
      <w:r w:rsidR="00036FAC" w:rsidRPr="00036FAC">
        <w:t>death</w:t>
      </w:r>
      <w:r w:rsidR="00907D8C">
        <w:t xml:space="preserve"> </w:t>
      </w:r>
      <w:r w:rsidR="00036FAC" w:rsidRPr="00036FAC">
        <w:t>or</w:t>
      </w:r>
      <w:r w:rsidR="00907D8C">
        <w:t xml:space="preserve"> </w:t>
      </w:r>
      <w:r w:rsidR="00036FAC" w:rsidRPr="00036FAC">
        <w:t>serious</w:t>
      </w:r>
      <w:r w:rsidR="00907D8C">
        <w:t xml:space="preserve"> </w:t>
      </w:r>
      <w:r w:rsidR="00036FAC" w:rsidRPr="00036FAC">
        <w:t>bodily</w:t>
      </w:r>
      <w:r w:rsidR="00907D8C">
        <w:t xml:space="preserve"> </w:t>
      </w:r>
      <w:r w:rsidR="00036FAC" w:rsidRPr="00036FAC">
        <w:t>h</w:t>
      </w:r>
      <w:r>
        <w:t>arm</w:t>
      </w:r>
    </w:p>
    <w:p w:rsidR="00036FAC" w:rsidRPr="00036FAC" w:rsidRDefault="00036FAC" w:rsidP="00A864D7">
      <w:pPr>
        <w:pStyle w:val="SingleTxtG"/>
      </w:pPr>
      <w:r w:rsidRPr="00036FAC">
        <w:t>194.</w:t>
      </w:r>
      <w:r w:rsidRPr="00036FAC">
        <w:tab/>
        <w:t>The</w:t>
      </w:r>
      <w:r w:rsidR="00907D8C">
        <w:t xml:space="preserve"> </w:t>
      </w:r>
      <w:r w:rsidRPr="00036FAC">
        <w:t>IPCA</w:t>
      </w:r>
      <w:r w:rsidR="00907D8C">
        <w:t xml:space="preserve"> </w:t>
      </w:r>
      <w:r w:rsidRPr="00036FAC">
        <w:t>has</w:t>
      </w:r>
      <w:r w:rsidR="00907D8C">
        <w:t xml:space="preserve"> </w:t>
      </w:r>
      <w:r w:rsidRPr="00036FAC">
        <w:t>the</w:t>
      </w:r>
      <w:r w:rsidR="00907D8C">
        <w:t xml:space="preserve"> </w:t>
      </w:r>
      <w:r w:rsidRPr="00036FAC">
        <w:t>same</w:t>
      </w:r>
      <w:r w:rsidR="00907D8C">
        <w:t xml:space="preserve"> </w:t>
      </w:r>
      <w:r w:rsidRPr="00036FAC">
        <w:t>powers</w:t>
      </w:r>
      <w:r w:rsidR="00907D8C">
        <w:t xml:space="preserve"> </w:t>
      </w:r>
      <w:r w:rsidRPr="00036FAC">
        <w:t>as</w:t>
      </w:r>
      <w:r w:rsidR="00907D8C">
        <w:t xml:space="preserve"> </w:t>
      </w:r>
      <w:r w:rsidRPr="00036FAC">
        <w:t>a</w:t>
      </w:r>
      <w:r w:rsidR="00907D8C">
        <w:t xml:space="preserve"> </w:t>
      </w:r>
      <w:r w:rsidRPr="00036FAC">
        <w:t>commission</w:t>
      </w:r>
      <w:r w:rsidR="00907D8C">
        <w:t xml:space="preserve"> </w:t>
      </w:r>
      <w:r w:rsidRPr="00036FAC">
        <w:t>of</w:t>
      </w:r>
      <w:r w:rsidR="00907D8C">
        <w:t xml:space="preserve"> </w:t>
      </w:r>
      <w:r w:rsidRPr="00036FAC">
        <w:t>inquiry</w:t>
      </w:r>
      <w:r w:rsidR="00907D8C">
        <w:t xml:space="preserve"> </w:t>
      </w:r>
      <w:r w:rsidRPr="00036FAC">
        <w:t>to</w:t>
      </w:r>
      <w:r w:rsidR="00907D8C">
        <w:t xml:space="preserve"> </w:t>
      </w:r>
      <w:r w:rsidRPr="00036FAC">
        <w:t>summon</w:t>
      </w:r>
      <w:r w:rsidR="00907D8C">
        <w:t xml:space="preserve"> </w:t>
      </w:r>
      <w:r w:rsidRPr="00036FAC">
        <w:t>witnesses</w:t>
      </w:r>
      <w:r w:rsidR="00907D8C">
        <w:t xml:space="preserve"> </w:t>
      </w:r>
      <w:r w:rsidRPr="00036FAC">
        <w:t>and</w:t>
      </w:r>
      <w:r w:rsidR="00907D8C">
        <w:t xml:space="preserve"> </w:t>
      </w:r>
      <w:r w:rsidRPr="00036FAC">
        <w:t>gather</w:t>
      </w:r>
      <w:r w:rsidR="00907D8C">
        <w:t xml:space="preserve"> </w:t>
      </w:r>
      <w:r w:rsidRPr="00036FAC">
        <w:t>evidence.</w:t>
      </w:r>
      <w:r w:rsidR="00907D8C">
        <w:t xml:space="preserve"> </w:t>
      </w:r>
      <w:r w:rsidRPr="00036FAC">
        <w:t>Police</w:t>
      </w:r>
      <w:r w:rsidR="00907D8C">
        <w:t xml:space="preserve"> </w:t>
      </w:r>
      <w:r w:rsidRPr="00036FAC">
        <w:t>are</w:t>
      </w:r>
      <w:r w:rsidR="00907D8C">
        <w:t xml:space="preserve"> </w:t>
      </w:r>
      <w:r w:rsidRPr="00036FAC">
        <w:t>required</w:t>
      </w:r>
      <w:r w:rsidR="00907D8C">
        <w:t xml:space="preserve"> </w:t>
      </w:r>
      <w:r w:rsidRPr="00036FAC">
        <w:t>to</w:t>
      </w:r>
      <w:r w:rsidR="00907D8C">
        <w:t xml:space="preserve"> </w:t>
      </w:r>
      <w:r w:rsidRPr="00036FAC">
        <w:t>provide</w:t>
      </w:r>
      <w:r w:rsidR="00907D8C">
        <w:t xml:space="preserve"> </w:t>
      </w:r>
      <w:r w:rsidRPr="00036FAC">
        <w:t>all</w:t>
      </w:r>
      <w:r w:rsidR="00907D8C">
        <w:t xml:space="preserve"> </w:t>
      </w:r>
      <w:r w:rsidRPr="00036FAC">
        <w:t>information</w:t>
      </w:r>
      <w:r w:rsidR="00907D8C">
        <w:t xml:space="preserve"> </w:t>
      </w:r>
      <w:r w:rsidRPr="00036FAC">
        <w:t>and</w:t>
      </w:r>
      <w:r w:rsidR="00907D8C">
        <w:t xml:space="preserve"> </w:t>
      </w:r>
      <w:r w:rsidRPr="00036FAC">
        <w:t>assistance</w:t>
      </w:r>
      <w:r w:rsidR="00907D8C">
        <w:t xml:space="preserve"> </w:t>
      </w:r>
      <w:r w:rsidRPr="00036FAC">
        <w:t>needed</w:t>
      </w:r>
      <w:r w:rsidR="00907D8C">
        <w:t xml:space="preserve"> </w:t>
      </w:r>
      <w:r w:rsidRPr="00036FAC">
        <w:t>for</w:t>
      </w:r>
      <w:r w:rsidR="00907D8C">
        <w:t xml:space="preserve"> </w:t>
      </w:r>
      <w:r w:rsidRPr="00036FAC">
        <w:t>the</w:t>
      </w:r>
      <w:r w:rsidR="00907D8C">
        <w:t xml:space="preserve"> </w:t>
      </w:r>
      <w:r w:rsidRPr="00036FAC">
        <w:t>IPCA</w:t>
      </w:r>
      <w:r w:rsidR="00907D8C">
        <w:t xml:space="preserve"> </w:t>
      </w:r>
      <w:r w:rsidRPr="00036FAC">
        <w:t>to</w:t>
      </w:r>
      <w:r w:rsidR="00907D8C">
        <w:t xml:space="preserve"> </w:t>
      </w:r>
      <w:r w:rsidRPr="00036FAC">
        <w:t>carry</w:t>
      </w:r>
      <w:r w:rsidR="00907D8C">
        <w:t xml:space="preserve"> </w:t>
      </w:r>
      <w:r w:rsidRPr="00036FAC">
        <w:t>out</w:t>
      </w:r>
      <w:r w:rsidR="00907D8C">
        <w:t xml:space="preserve"> </w:t>
      </w:r>
      <w:r w:rsidRPr="00036FAC">
        <w:t>its</w:t>
      </w:r>
      <w:r w:rsidR="00907D8C">
        <w:t xml:space="preserve"> </w:t>
      </w:r>
      <w:r w:rsidRPr="00036FAC">
        <w:t>functions.</w:t>
      </w:r>
      <w:r w:rsidR="00907D8C">
        <w:t xml:space="preserve"> </w:t>
      </w:r>
      <w:r w:rsidRPr="00036FAC">
        <w:t>Once</w:t>
      </w:r>
      <w:r w:rsidR="00907D8C">
        <w:t xml:space="preserve"> </w:t>
      </w:r>
      <w:r w:rsidRPr="00036FAC">
        <w:t>an</w:t>
      </w:r>
      <w:r w:rsidR="00907D8C">
        <w:t xml:space="preserve"> </w:t>
      </w:r>
      <w:r w:rsidRPr="00036FAC">
        <w:t>investigation</w:t>
      </w:r>
      <w:r w:rsidR="00907D8C">
        <w:t xml:space="preserve"> </w:t>
      </w:r>
      <w:r w:rsidRPr="00036FAC">
        <w:t>is</w:t>
      </w:r>
      <w:r w:rsidR="00907D8C">
        <w:t xml:space="preserve"> </w:t>
      </w:r>
      <w:r w:rsidRPr="00036FAC">
        <w:t>completed,</w:t>
      </w:r>
      <w:r w:rsidR="00907D8C">
        <w:t xml:space="preserve"> </w:t>
      </w:r>
      <w:r w:rsidRPr="00036FAC">
        <w:t>the</w:t>
      </w:r>
      <w:r w:rsidR="00907D8C">
        <w:t xml:space="preserve"> </w:t>
      </w:r>
      <w:r w:rsidRPr="00036FAC">
        <w:t>Authority</w:t>
      </w:r>
      <w:r w:rsidR="00907D8C">
        <w:t xml:space="preserve"> </w:t>
      </w:r>
      <w:r w:rsidRPr="00036FAC">
        <w:t>must</w:t>
      </w:r>
      <w:r w:rsidR="00907D8C">
        <w:t xml:space="preserve"> </w:t>
      </w:r>
      <w:r w:rsidRPr="00036FAC">
        <w:t>determine</w:t>
      </w:r>
      <w:r w:rsidR="00907D8C">
        <w:t xml:space="preserve"> </w:t>
      </w:r>
      <w:r w:rsidRPr="00036FAC">
        <w:t>whether</w:t>
      </w:r>
      <w:r w:rsidR="00907D8C">
        <w:t xml:space="preserve"> </w:t>
      </w:r>
      <w:r w:rsidRPr="00036FAC">
        <w:t>any</w:t>
      </w:r>
      <w:r w:rsidR="00907D8C">
        <w:t xml:space="preserve"> </w:t>
      </w:r>
      <w:r w:rsidRPr="00036FAC">
        <w:t>Police</w:t>
      </w:r>
      <w:r w:rsidR="00907D8C">
        <w:t xml:space="preserve"> </w:t>
      </w:r>
      <w:r w:rsidRPr="00036FAC">
        <w:t>act</w:t>
      </w:r>
      <w:r w:rsidR="00907D8C">
        <w:t xml:space="preserve"> </w:t>
      </w:r>
      <w:r w:rsidRPr="00036FAC">
        <w:t>or</w:t>
      </w:r>
      <w:r w:rsidR="00907D8C">
        <w:t xml:space="preserve"> </w:t>
      </w:r>
      <w:r w:rsidRPr="00036FAC">
        <w:t>omission</w:t>
      </w:r>
      <w:r w:rsidR="00907D8C">
        <w:t xml:space="preserve"> </w:t>
      </w:r>
      <w:r w:rsidRPr="00036FAC">
        <w:t>was</w:t>
      </w:r>
      <w:r w:rsidR="00907D8C">
        <w:t xml:space="preserve"> </w:t>
      </w:r>
      <w:r w:rsidRPr="00036FAC">
        <w:t>contrary</w:t>
      </w:r>
      <w:r w:rsidR="00907D8C">
        <w:t xml:space="preserve"> </w:t>
      </w:r>
      <w:r w:rsidRPr="00036FAC">
        <w:t>to</w:t>
      </w:r>
      <w:r w:rsidR="00907D8C">
        <w:t xml:space="preserve"> </w:t>
      </w:r>
      <w:r w:rsidRPr="00036FAC">
        <w:t>law,</w:t>
      </w:r>
      <w:r w:rsidR="00907D8C">
        <w:t xml:space="preserve"> </w:t>
      </w:r>
      <w:r w:rsidRPr="00036FAC">
        <w:t>unreasonable,</w:t>
      </w:r>
      <w:r w:rsidR="00907D8C">
        <w:t xml:space="preserve"> </w:t>
      </w:r>
      <w:r w:rsidRPr="00036FAC">
        <w:t>unjustified,</w:t>
      </w:r>
      <w:r w:rsidR="00907D8C">
        <w:t xml:space="preserve"> </w:t>
      </w:r>
      <w:r w:rsidRPr="00036FAC">
        <w:t>unfair,</w:t>
      </w:r>
      <w:r w:rsidR="00907D8C">
        <w:t xml:space="preserve"> </w:t>
      </w:r>
      <w:r w:rsidRPr="00036FAC">
        <w:t>or</w:t>
      </w:r>
      <w:r w:rsidR="00907D8C">
        <w:t xml:space="preserve"> </w:t>
      </w:r>
      <w:r w:rsidRPr="00036FAC">
        <w:t>undesirable.</w:t>
      </w:r>
      <w:r w:rsidR="00907D8C">
        <w:t xml:space="preserve"> </w:t>
      </w:r>
      <w:r w:rsidRPr="00036FAC">
        <w:t>The</w:t>
      </w:r>
      <w:r w:rsidR="00907D8C">
        <w:t xml:space="preserve"> </w:t>
      </w:r>
      <w:r w:rsidRPr="00036FAC">
        <w:t>IPCA</w:t>
      </w:r>
      <w:r w:rsidR="00907D8C">
        <w:t xml:space="preserve"> </w:t>
      </w:r>
      <w:r w:rsidRPr="00036FAC">
        <w:t>must</w:t>
      </w:r>
      <w:r w:rsidR="00907D8C">
        <w:t xml:space="preserve"> </w:t>
      </w:r>
      <w:r w:rsidRPr="00036FAC">
        <w:t>inform</w:t>
      </w:r>
      <w:r w:rsidR="00907D8C">
        <w:t xml:space="preserve"> </w:t>
      </w:r>
      <w:r w:rsidRPr="00036FAC">
        <w:t>the</w:t>
      </w:r>
      <w:r w:rsidR="00907D8C">
        <w:t xml:space="preserve"> </w:t>
      </w:r>
      <w:r w:rsidRPr="00036FAC">
        <w:t>Police</w:t>
      </w:r>
      <w:r w:rsidR="00907D8C">
        <w:t xml:space="preserve"> </w:t>
      </w:r>
      <w:r w:rsidRPr="00036FAC">
        <w:t>of</w:t>
      </w:r>
      <w:r w:rsidR="00907D8C">
        <w:t xml:space="preserve"> </w:t>
      </w:r>
      <w:r w:rsidRPr="00036FAC">
        <w:t>its</w:t>
      </w:r>
      <w:r w:rsidR="00907D8C">
        <w:t xml:space="preserve"> </w:t>
      </w:r>
      <w:r w:rsidRPr="00036FAC">
        <w:t>findings,</w:t>
      </w:r>
      <w:r w:rsidR="00907D8C">
        <w:t xml:space="preserve"> </w:t>
      </w:r>
      <w:r w:rsidRPr="00036FAC">
        <w:t>and</w:t>
      </w:r>
      <w:r w:rsidR="00907D8C">
        <w:t xml:space="preserve"> </w:t>
      </w:r>
      <w:r w:rsidRPr="00036FAC">
        <w:t>can</w:t>
      </w:r>
      <w:r w:rsidR="00907D8C">
        <w:t xml:space="preserve"> </w:t>
      </w:r>
      <w:r w:rsidRPr="00036FAC">
        <w:t>make</w:t>
      </w:r>
      <w:r w:rsidR="00907D8C">
        <w:t xml:space="preserve"> </w:t>
      </w:r>
      <w:r w:rsidRPr="00036FAC">
        <w:t>recommendations,</w:t>
      </w:r>
      <w:r w:rsidR="00907D8C">
        <w:t xml:space="preserve"> </w:t>
      </w:r>
      <w:r w:rsidRPr="00036FAC">
        <w:t>which</w:t>
      </w:r>
      <w:r w:rsidR="00907D8C">
        <w:t xml:space="preserve"> </w:t>
      </w:r>
      <w:r w:rsidRPr="00036FAC">
        <w:t>may</w:t>
      </w:r>
      <w:r w:rsidR="00907D8C">
        <w:t xml:space="preserve"> </w:t>
      </w:r>
      <w:r w:rsidRPr="00036FAC">
        <w:t>include</w:t>
      </w:r>
      <w:r w:rsidR="00907D8C">
        <w:t xml:space="preserve"> </w:t>
      </w:r>
      <w:r w:rsidRPr="00036FAC">
        <w:t>disciplinary</w:t>
      </w:r>
      <w:r w:rsidR="00907D8C">
        <w:t xml:space="preserve"> </w:t>
      </w:r>
      <w:r w:rsidRPr="00036FAC">
        <w:t>action</w:t>
      </w:r>
      <w:r w:rsidR="00907D8C">
        <w:t xml:space="preserve"> </w:t>
      </w:r>
      <w:r w:rsidRPr="00036FAC">
        <w:t>or</w:t>
      </w:r>
      <w:r w:rsidR="00907D8C">
        <w:t xml:space="preserve"> </w:t>
      </w:r>
      <w:r w:rsidRPr="00036FAC">
        <w:t>criminal</w:t>
      </w:r>
      <w:r w:rsidR="00907D8C">
        <w:t xml:space="preserve"> </w:t>
      </w:r>
      <w:r w:rsidRPr="00036FAC">
        <w:t>charges.</w:t>
      </w:r>
      <w:r w:rsidR="00907D8C">
        <w:t xml:space="preserve"> </w:t>
      </w:r>
      <w:r w:rsidRPr="00036FAC">
        <w:t>The</w:t>
      </w:r>
      <w:r w:rsidR="00907D8C">
        <w:t xml:space="preserve"> </w:t>
      </w:r>
      <w:r w:rsidRPr="00036FAC">
        <w:t>IPCA</w:t>
      </w:r>
      <w:r w:rsidR="00907D8C">
        <w:t xml:space="preserve"> </w:t>
      </w:r>
      <w:r w:rsidRPr="00036FAC">
        <w:t>cannot</w:t>
      </w:r>
      <w:r w:rsidR="00907D8C">
        <w:t xml:space="preserve"> </w:t>
      </w:r>
      <w:r w:rsidRPr="00036FAC">
        <w:t>itself</w:t>
      </w:r>
      <w:r w:rsidR="00907D8C">
        <w:t xml:space="preserve"> </w:t>
      </w:r>
      <w:r w:rsidRPr="00036FAC">
        <w:t>lay</w:t>
      </w:r>
      <w:r w:rsidR="00907D8C">
        <w:t xml:space="preserve"> </w:t>
      </w:r>
      <w:r w:rsidRPr="00036FAC">
        <w:t>charges</w:t>
      </w:r>
      <w:r w:rsidR="00907D8C">
        <w:t xml:space="preserve"> </w:t>
      </w:r>
      <w:r w:rsidRPr="00036FAC">
        <w:t>or</w:t>
      </w:r>
      <w:r w:rsidR="00907D8C">
        <w:t xml:space="preserve"> </w:t>
      </w:r>
      <w:r w:rsidRPr="00036FAC">
        <w:t>take</w:t>
      </w:r>
      <w:r w:rsidR="00907D8C">
        <w:t xml:space="preserve"> </w:t>
      </w:r>
      <w:r w:rsidRPr="00036FAC">
        <w:t>disciplinary</w:t>
      </w:r>
      <w:r w:rsidR="00907D8C">
        <w:t xml:space="preserve"> </w:t>
      </w:r>
      <w:r w:rsidRPr="00036FAC">
        <w:t>action.</w:t>
      </w:r>
      <w:r w:rsidR="00907D8C">
        <w:t xml:space="preserve"> </w:t>
      </w:r>
      <w:r w:rsidRPr="00036FAC">
        <w:t>If</w:t>
      </w:r>
      <w:r w:rsidR="00907D8C">
        <w:t xml:space="preserve"> </w:t>
      </w:r>
      <w:r w:rsidRPr="00036FAC">
        <w:t>the</w:t>
      </w:r>
      <w:r w:rsidR="00907D8C">
        <w:t xml:space="preserve"> </w:t>
      </w:r>
      <w:r w:rsidRPr="00036FAC">
        <w:t>Authority</w:t>
      </w:r>
      <w:r w:rsidR="00907D8C">
        <w:t xml:space="preserve"> </w:t>
      </w:r>
      <w:r w:rsidRPr="00036FAC">
        <w:t>is</w:t>
      </w:r>
      <w:r w:rsidR="00907D8C">
        <w:t xml:space="preserve"> </w:t>
      </w:r>
      <w:r w:rsidRPr="00036FAC">
        <w:t>not</w:t>
      </w:r>
      <w:r w:rsidR="00907D8C">
        <w:t xml:space="preserve"> </w:t>
      </w:r>
      <w:r w:rsidRPr="00036FAC">
        <w:t>satisfied</w:t>
      </w:r>
      <w:r w:rsidR="00907D8C">
        <w:t xml:space="preserve"> </w:t>
      </w:r>
      <w:r w:rsidRPr="00036FAC">
        <w:t>with</w:t>
      </w:r>
      <w:r w:rsidR="00907D8C">
        <w:t xml:space="preserve"> </w:t>
      </w:r>
      <w:r w:rsidRPr="00036FAC">
        <w:t>the</w:t>
      </w:r>
      <w:r w:rsidR="00907D8C">
        <w:t xml:space="preserve"> </w:t>
      </w:r>
      <w:r w:rsidRPr="00036FAC">
        <w:t>Police</w:t>
      </w:r>
      <w:r w:rsidR="00907D8C">
        <w:t xml:space="preserve"> </w:t>
      </w:r>
      <w:r w:rsidRPr="00036FAC">
        <w:t>response</w:t>
      </w:r>
      <w:r w:rsidR="00907D8C">
        <w:t xml:space="preserve"> </w:t>
      </w:r>
      <w:r w:rsidRPr="00036FAC">
        <w:t>to</w:t>
      </w:r>
      <w:r w:rsidR="00907D8C">
        <w:t xml:space="preserve"> </w:t>
      </w:r>
      <w:r w:rsidRPr="00036FAC">
        <w:t>its</w:t>
      </w:r>
      <w:r w:rsidR="00907D8C">
        <w:t xml:space="preserve"> </w:t>
      </w:r>
      <w:r w:rsidRPr="00036FAC">
        <w:t>recommendations,</w:t>
      </w:r>
      <w:r w:rsidR="00907D8C">
        <w:t xml:space="preserve"> </w:t>
      </w:r>
      <w:r w:rsidRPr="00036FAC">
        <w:t>it</w:t>
      </w:r>
      <w:r w:rsidR="00907D8C">
        <w:t xml:space="preserve"> </w:t>
      </w:r>
      <w:r w:rsidRPr="00036FAC">
        <w:t>must</w:t>
      </w:r>
      <w:r w:rsidR="00907D8C">
        <w:t xml:space="preserve"> </w:t>
      </w:r>
      <w:r w:rsidRPr="00036FAC">
        <w:t>inform</w:t>
      </w:r>
      <w:r w:rsidR="00907D8C">
        <w:t xml:space="preserve"> </w:t>
      </w:r>
      <w:r w:rsidRPr="00036FAC">
        <w:t>the</w:t>
      </w:r>
      <w:r w:rsidR="00907D8C">
        <w:t xml:space="preserve"> </w:t>
      </w:r>
      <w:r w:rsidRPr="00036FAC">
        <w:t>Attorney-General</w:t>
      </w:r>
      <w:r w:rsidR="00907D8C">
        <w:t xml:space="preserve"> </w:t>
      </w:r>
      <w:r w:rsidRPr="00036FAC">
        <w:t>and</w:t>
      </w:r>
      <w:r w:rsidR="00907D8C">
        <w:t xml:space="preserve"> </w:t>
      </w:r>
      <w:r w:rsidRPr="00036FAC">
        <w:t>Minister</w:t>
      </w:r>
      <w:r w:rsidR="00907D8C">
        <w:t xml:space="preserve"> </w:t>
      </w:r>
      <w:r w:rsidRPr="00036FAC">
        <w:t>of</w:t>
      </w:r>
      <w:r w:rsidR="00907D8C">
        <w:t xml:space="preserve"> </w:t>
      </w:r>
      <w:r w:rsidRPr="00036FAC">
        <w:t>Police.</w:t>
      </w:r>
      <w:r w:rsidR="00907D8C">
        <w:t xml:space="preserve"> </w:t>
      </w:r>
      <w:r w:rsidRPr="00036FAC">
        <w:t>The</w:t>
      </w:r>
      <w:r w:rsidR="00907D8C">
        <w:t xml:space="preserve"> </w:t>
      </w:r>
      <w:r w:rsidRPr="00036FAC">
        <w:t>Attorney</w:t>
      </w:r>
      <w:r w:rsidR="00A864D7">
        <w:t>-</w:t>
      </w:r>
      <w:r w:rsidRPr="00036FAC">
        <w:t>General</w:t>
      </w:r>
      <w:r w:rsidR="00907D8C">
        <w:t xml:space="preserve"> </w:t>
      </w:r>
      <w:r w:rsidRPr="00036FAC">
        <w:t>must</w:t>
      </w:r>
      <w:r w:rsidR="00907D8C">
        <w:t xml:space="preserve"> </w:t>
      </w:r>
      <w:r w:rsidRPr="00036FAC">
        <w:t>in</w:t>
      </w:r>
      <w:r w:rsidR="00907D8C">
        <w:t xml:space="preserve"> </w:t>
      </w:r>
      <w:r w:rsidRPr="00036FAC">
        <w:t>turn</w:t>
      </w:r>
      <w:r w:rsidR="00907D8C">
        <w:t xml:space="preserve"> </w:t>
      </w:r>
      <w:r w:rsidRPr="00036FAC">
        <w:t>inform</w:t>
      </w:r>
      <w:r w:rsidR="00907D8C">
        <w:t xml:space="preserve"> </w:t>
      </w:r>
      <w:r w:rsidRPr="00036FAC">
        <w:t>Parliament.</w:t>
      </w:r>
      <w:r w:rsidR="00907D8C">
        <w:t xml:space="preserve"> </w:t>
      </w:r>
      <w:r w:rsidRPr="00036FAC">
        <w:t>The</w:t>
      </w:r>
      <w:r w:rsidR="00907D8C">
        <w:t xml:space="preserve"> </w:t>
      </w:r>
      <w:r w:rsidRPr="00036FAC">
        <w:t>IPCA</w:t>
      </w:r>
      <w:r w:rsidR="00907D8C">
        <w:t xml:space="preserve"> </w:t>
      </w:r>
      <w:r w:rsidRPr="00036FAC">
        <w:t>can</w:t>
      </w:r>
      <w:r w:rsidR="00907D8C">
        <w:t xml:space="preserve"> </w:t>
      </w:r>
      <w:r w:rsidRPr="00036FAC">
        <w:t>release</w:t>
      </w:r>
      <w:r w:rsidR="00907D8C">
        <w:t xml:space="preserve"> </w:t>
      </w:r>
      <w:r w:rsidRPr="00036FAC">
        <w:t>public</w:t>
      </w:r>
      <w:r w:rsidR="00907D8C">
        <w:t xml:space="preserve"> </w:t>
      </w:r>
      <w:r w:rsidRPr="00036FAC">
        <w:t>reports</w:t>
      </w:r>
      <w:r w:rsidR="00907D8C">
        <w:t xml:space="preserve"> </w:t>
      </w:r>
      <w:r w:rsidRPr="00036FAC">
        <w:t>on</w:t>
      </w:r>
      <w:r w:rsidR="00907D8C">
        <w:t xml:space="preserve"> </w:t>
      </w:r>
      <w:r w:rsidRPr="00036FAC">
        <w:t>its</w:t>
      </w:r>
      <w:r w:rsidR="00907D8C">
        <w:t xml:space="preserve"> </w:t>
      </w:r>
      <w:r w:rsidRPr="00036FAC">
        <w:t>investigations</w:t>
      </w:r>
      <w:r w:rsidR="00907D8C">
        <w:t xml:space="preserve"> </w:t>
      </w:r>
      <w:r w:rsidRPr="00036FAC">
        <w:t>in</w:t>
      </w:r>
      <w:r w:rsidR="00907D8C">
        <w:t xml:space="preserve"> </w:t>
      </w:r>
      <w:r w:rsidRPr="00036FAC">
        <w:t>the</w:t>
      </w:r>
      <w:r w:rsidR="00907D8C">
        <w:t xml:space="preserve"> </w:t>
      </w:r>
      <w:r w:rsidRPr="00036FAC">
        <w:t>public</w:t>
      </w:r>
      <w:r w:rsidR="00907D8C">
        <w:t xml:space="preserve"> </w:t>
      </w:r>
      <w:r w:rsidRPr="00036FAC">
        <w:t>interest</w:t>
      </w:r>
      <w:r w:rsidR="00907D8C">
        <w:t xml:space="preserve"> </w:t>
      </w:r>
      <w:r w:rsidRPr="00036FAC">
        <w:t>or</w:t>
      </w:r>
      <w:r w:rsidR="00907D8C">
        <w:t xml:space="preserve"> </w:t>
      </w:r>
      <w:r w:rsidRPr="00036FAC">
        <w:t>interests</w:t>
      </w:r>
      <w:r w:rsidR="00907D8C">
        <w:t xml:space="preserve"> </w:t>
      </w:r>
      <w:r w:rsidRPr="00036FAC">
        <w:t>of</w:t>
      </w:r>
      <w:r w:rsidR="00907D8C">
        <w:t xml:space="preserve"> </w:t>
      </w:r>
      <w:r w:rsidRPr="00036FAC">
        <w:t>any</w:t>
      </w:r>
      <w:r w:rsidR="00907D8C">
        <w:t xml:space="preserve"> </w:t>
      </w:r>
      <w:r w:rsidRPr="00036FAC">
        <w:t>person.</w:t>
      </w:r>
    </w:p>
    <w:bookmarkEnd w:id="221"/>
    <w:bookmarkEnd w:id="222"/>
    <w:bookmarkEnd w:id="223"/>
    <w:bookmarkEnd w:id="224"/>
    <w:bookmarkEnd w:id="225"/>
    <w:bookmarkEnd w:id="226"/>
    <w:bookmarkEnd w:id="227"/>
    <w:p w:rsidR="00036FAC" w:rsidRPr="00036FAC" w:rsidRDefault="00036FAC" w:rsidP="006C436C">
      <w:pPr>
        <w:pStyle w:val="H23G"/>
      </w:pPr>
      <w:r w:rsidRPr="00036FAC">
        <w:tab/>
        <w:t>(i)</w:t>
      </w:r>
      <w:r w:rsidRPr="00036FAC">
        <w:tab/>
        <w:t>Families</w:t>
      </w:r>
      <w:r w:rsidR="00907D8C">
        <w:t xml:space="preserve"> </w:t>
      </w:r>
      <w:r w:rsidRPr="00036FAC">
        <w:t>Commission</w:t>
      </w:r>
      <w:r w:rsidR="00907D8C">
        <w:t xml:space="preserve"> </w:t>
      </w:r>
      <w:r w:rsidRPr="00036FAC">
        <w:t>Act</w:t>
      </w:r>
      <w:r w:rsidR="00907D8C">
        <w:t xml:space="preserve"> </w:t>
      </w:r>
      <w:r w:rsidRPr="00036FAC">
        <w:t>2003</w:t>
      </w:r>
    </w:p>
    <w:p w:rsidR="00036FAC" w:rsidRPr="00036FAC" w:rsidRDefault="00036FAC" w:rsidP="00A864D7">
      <w:pPr>
        <w:pStyle w:val="SingleTxtG"/>
      </w:pPr>
      <w:r w:rsidRPr="00036FAC">
        <w:t>195.</w:t>
      </w:r>
      <w:r w:rsidRPr="00036FAC">
        <w:tab/>
        <w:t>This</w:t>
      </w:r>
      <w:r w:rsidR="00907D8C">
        <w:t xml:space="preserve"> </w:t>
      </w:r>
      <w:r w:rsidRPr="00036FAC">
        <w:t>Act</w:t>
      </w:r>
      <w:r w:rsidR="00907D8C">
        <w:t xml:space="preserve"> </w:t>
      </w:r>
      <w:r w:rsidRPr="00036FAC">
        <w:t>established</w:t>
      </w:r>
      <w:r w:rsidR="00907D8C">
        <w:t xml:space="preserve"> </w:t>
      </w:r>
      <w:r w:rsidRPr="00036FAC">
        <w:t>the</w:t>
      </w:r>
      <w:r w:rsidR="00907D8C">
        <w:t xml:space="preserve"> </w:t>
      </w:r>
      <w:r w:rsidRPr="00036FAC">
        <w:t>Families</w:t>
      </w:r>
      <w:r w:rsidR="00907D8C">
        <w:t xml:space="preserve"> </w:t>
      </w:r>
      <w:r w:rsidRPr="00036FAC">
        <w:t>Commission</w:t>
      </w:r>
      <w:r w:rsidR="00907D8C">
        <w:t xml:space="preserve"> </w:t>
      </w:r>
      <w:r w:rsidRPr="00036FAC">
        <w:t>to</w:t>
      </w:r>
      <w:r w:rsidR="00907D8C">
        <w:t xml:space="preserve"> </w:t>
      </w:r>
      <w:r w:rsidRPr="00036FAC">
        <w:t>promote</w:t>
      </w:r>
      <w:r w:rsidR="00907D8C">
        <w:t xml:space="preserve"> </w:t>
      </w:r>
      <w:r w:rsidRPr="00036FAC">
        <w:t>a</w:t>
      </w:r>
      <w:r w:rsidR="00907D8C">
        <w:t xml:space="preserve"> </w:t>
      </w:r>
      <w:r w:rsidRPr="00036FAC">
        <w:t>better</w:t>
      </w:r>
      <w:r w:rsidR="00907D8C">
        <w:t xml:space="preserve"> </w:t>
      </w:r>
      <w:r w:rsidRPr="00036FAC">
        <w:t>understanding</w:t>
      </w:r>
      <w:r w:rsidR="00907D8C">
        <w:t xml:space="preserve"> </w:t>
      </w:r>
      <w:r w:rsidRPr="00036FAC">
        <w:t>of</w:t>
      </w:r>
      <w:r w:rsidR="00907D8C">
        <w:t xml:space="preserve"> </w:t>
      </w:r>
      <w:r w:rsidRPr="00036FAC">
        <w:t>family</w:t>
      </w:r>
      <w:r w:rsidR="00907D8C">
        <w:t xml:space="preserve"> </w:t>
      </w:r>
      <w:r w:rsidRPr="00036FAC">
        <w:t>issues</w:t>
      </w:r>
      <w:r w:rsidR="00907D8C">
        <w:t xml:space="preserve"> </w:t>
      </w:r>
      <w:r w:rsidRPr="00036FAC">
        <w:t>and</w:t>
      </w:r>
      <w:r w:rsidR="00907D8C">
        <w:t xml:space="preserve"> </w:t>
      </w:r>
      <w:r w:rsidRPr="00036FAC">
        <w:t>needs</w:t>
      </w:r>
      <w:r w:rsidR="00907D8C">
        <w:t xml:space="preserve"> </w:t>
      </w:r>
      <w:r w:rsidRPr="00036FAC">
        <w:t>among</w:t>
      </w:r>
      <w:r w:rsidR="00907D8C">
        <w:t xml:space="preserve"> </w:t>
      </w:r>
      <w:r w:rsidRPr="00036FAC">
        <w:t>government</w:t>
      </w:r>
      <w:r w:rsidR="00907D8C">
        <w:t xml:space="preserve"> </w:t>
      </w:r>
      <w:r w:rsidRPr="00036FAC">
        <w:t>agencies</w:t>
      </w:r>
      <w:r w:rsidR="00907D8C">
        <w:t xml:space="preserve"> </w:t>
      </w:r>
      <w:r w:rsidRPr="00036FAC">
        <w:t>and</w:t>
      </w:r>
      <w:r w:rsidR="00907D8C">
        <w:t xml:space="preserve"> </w:t>
      </w:r>
      <w:r w:rsidRPr="00036FAC">
        <w:t>the</w:t>
      </w:r>
      <w:r w:rsidR="00907D8C">
        <w:t xml:space="preserve"> </w:t>
      </w:r>
      <w:r w:rsidRPr="00036FAC">
        <w:t>community.</w:t>
      </w:r>
      <w:r w:rsidR="00907D8C">
        <w:t xml:space="preserve"> </w:t>
      </w:r>
      <w:r w:rsidRPr="00036FAC">
        <w:t>The</w:t>
      </w:r>
      <w:r w:rsidR="00907D8C">
        <w:t xml:space="preserve"> </w:t>
      </w:r>
      <w:r w:rsidRPr="00036FAC">
        <w:t>Act</w:t>
      </w:r>
      <w:r w:rsidR="00907D8C">
        <w:t xml:space="preserve"> </w:t>
      </w:r>
      <w:r w:rsidRPr="00036FAC">
        <w:t>defines</w:t>
      </w:r>
      <w:r w:rsidR="00907D8C">
        <w:t xml:space="preserve"> </w:t>
      </w:r>
      <w:r w:rsidR="003E4D94">
        <w:t>“</w:t>
      </w:r>
      <w:r w:rsidRPr="00036FAC">
        <w:t>family</w:t>
      </w:r>
      <w:r w:rsidR="003E4D94">
        <w:t>”</w:t>
      </w:r>
      <w:r w:rsidR="00907D8C">
        <w:t xml:space="preserve"> </w:t>
      </w:r>
      <w:r w:rsidRPr="00036FAC">
        <w:t>as</w:t>
      </w:r>
      <w:r w:rsidR="00907D8C">
        <w:t xml:space="preserve"> </w:t>
      </w:r>
      <w:r w:rsidRPr="00036FAC">
        <w:t>any</w:t>
      </w:r>
      <w:r w:rsidR="00907D8C">
        <w:t xml:space="preserve"> </w:t>
      </w:r>
      <w:r w:rsidRPr="00036FAC">
        <w:t>two</w:t>
      </w:r>
      <w:r w:rsidR="00907D8C">
        <w:t xml:space="preserve"> </w:t>
      </w:r>
      <w:r w:rsidRPr="00036FAC">
        <w:t>or</w:t>
      </w:r>
      <w:r w:rsidR="00907D8C">
        <w:t xml:space="preserve"> </w:t>
      </w:r>
      <w:r w:rsidRPr="00036FAC">
        <w:t>more</w:t>
      </w:r>
      <w:r w:rsidR="00907D8C">
        <w:t xml:space="preserve"> </w:t>
      </w:r>
      <w:r w:rsidRPr="00036FAC">
        <w:t>people</w:t>
      </w:r>
      <w:r w:rsidR="00907D8C">
        <w:t xml:space="preserve"> </w:t>
      </w:r>
      <w:r w:rsidRPr="00036FAC">
        <w:t>living</w:t>
      </w:r>
      <w:r w:rsidR="00907D8C">
        <w:t xml:space="preserve"> </w:t>
      </w:r>
      <w:r w:rsidRPr="00036FAC">
        <w:t>together.</w:t>
      </w:r>
      <w:r w:rsidR="00907D8C">
        <w:t xml:space="preserve"> </w:t>
      </w:r>
      <w:r w:rsidRPr="00036FAC">
        <w:t>This</w:t>
      </w:r>
      <w:r w:rsidR="00907D8C">
        <w:t xml:space="preserve"> </w:t>
      </w:r>
      <w:r w:rsidRPr="00036FAC">
        <w:t>broad</w:t>
      </w:r>
      <w:r w:rsidR="00907D8C">
        <w:t xml:space="preserve"> </w:t>
      </w:r>
      <w:r w:rsidRPr="00036FAC">
        <w:t>definition</w:t>
      </w:r>
      <w:r w:rsidR="00907D8C">
        <w:t xml:space="preserve"> </w:t>
      </w:r>
      <w:r w:rsidRPr="00036FAC">
        <w:t>ensures</w:t>
      </w:r>
      <w:r w:rsidR="00907D8C">
        <w:t xml:space="preserve"> </w:t>
      </w:r>
      <w:r w:rsidRPr="00036FAC">
        <w:t>that</w:t>
      </w:r>
      <w:r w:rsidR="00907D8C">
        <w:t xml:space="preserve"> </w:t>
      </w:r>
      <w:r w:rsidRPr="00036FAC">
        <w:t>the</w:t>
      </w:r>
      <w:r w:rsidR="00907D8C">
        <w:t xml:space="preserve"> </w:t>
      </w:r>
      <w:r w:rsidRPr="00036FAC">
        <w:t>Families</w:t>
      </w:r>
      <w:r w:rsidR="00907D8C">
        <w:t xml:space="preserve"> </w:t>
      </w:r>
      <w:r w:rsidRPr="00036FAC">
        <w:t>Commission</w:t>
      </w:r>
      <w:r w:rsidR="00907D8C">
        <w:t xml:space="preserve"> </w:t>
      </w:r>
      <w:r w:rsidRPr="00036FAC">
        <w:t>advocates</w:t>
      </w:r>
      <w:r w:rsidR="00907D8C">
        <w:t xml:space="preserve"> </w:t>
      </w:r>
      <w:r w:rsidRPr="00036FAC">
        <w:t>for</w:t>
      </w:r>
      <w:r w:rsidR="00907D8C">
        <w:t xml:space="preserve"> </w:t>
      </w:r>
      <w:r w:rsidRPr="00036FAC">
        <w:t>the</w:t>
      </w:r>
      <w:r w:rsidR="00907D8C">
        <w:t xml:space="preserve"> </w:t>
      </w:r>
      <w:r w:rsidRPr="00036FAC">
        <w:t>interests</w:t>
      </w:r>
      <w:r w:rsidR="00907D8C">
        <w:t xml:space="preserve"> </w:t>
      </w:r>
      <w:r w:rsidRPr="00036FAC">
        <w:t>of</w:t>
      </w:r>
      <w:r w:rsidR="00907D8C">
        <w:t xml:space="preserve"> </w:t>
      </w:r>
      <w:r w:rsidRPr="00036FAC">
        <w:t>all</w:t>
      </w:r>
      <w:r w:rsidR="00907D8C">
        <w:t xml:space="preserve"> </w:t>
      </w:r>
      <w:r w:rsidRPr="00036FAC">
        <w:t>families,</w:t>
      </w:r>
      <w:r w:rsidR="00907D8C">
        <w:t xml:space="preserve"> </w:t>
      </w:r>
      <w:r w:rsidRPr="00036FAC">
        <w:t>regardless</w:t>
      </w:r>
      <w:r w:rsidR="00907D8C">
        <w:t xml:space="preserve"> </w:t>
      </w:r>
      <w:r w:rsidRPr="00036FAC">
        <w:t>of</w:t>
      </w:r>
      <w:r w:rsidR="00907D8C">
        <w:t xml:space="preserve"> </w:t>
      </w:r>
      <w:r w:rsidRPr="00036FAC">
        <w:t>their</w:t>
      </w:r>
      <w:r w:rsidR="00907D8C">
        <w:t xml:space="preserve"> </w:t>
      </w:r>
      <w:r w:rsidRPr="00036FAC">
        <w:t>marital</w:t>
      </w:r>
      <w:r w:rsidR="00907D8C">
        <w:t xml:space="preserve"> </w:t>
      </w:r>
      <w:r w:rsidRPr="00036FAC">
        <w:t>status,</w:t>
      </w:r>
      <w:r w:rsidR="00907D8C">
        <w:t xml:space="preserve"> </w:t>
      </w:r>
      <w:r w:rsidRPr="00036FAC">
        <w:t>gender,</w:t>
      </w:r>
      <w:r w:rsidR="00907D8C">
        <w:t xml:space="preserve"> </w:t>
      </w:r>
      <w:r w:rsidRPr="00036FAC">
        <w:t>or</w:t>
      </w:r>
      <w:r w:rsidR="00907D8C">
        <w:t xml:space="preserve"> </w:t>
      </w:r>
      <w:r w:rsidRPr="00036FAC">
        <w:t>circumstances.</w:t>
      </w:r>
    </w:p>
    <w:p w:rsidR="00036FAC" w:rsidRPr="00036FAC" w:rsidRDefault="00036FAC" w:rsidP="006C436C">
      <w:pPr>
        <w:pStyle w:val="H23G"/>
      </w:pPr>
      <w:r w:rsidRPr="00036FAC">
        <w:tab/>
        <w:t>(j)</w:t>
      </w:r>
      <w:r w:rsidRPr="00036FAC">
        <w:tab/>
        <w:t>Ministry</w:t>
      </w:r>
      <w:r w:rsidR="00907D8C">
        <w:t xml:space="preserve"> </w:t>
      </w:r>
      <w:r w:rsidRPr="00036FAC">
        <w:t>of</w:t>
      </w:r>
      <w:r w:rsidR="00907D8C">
        <w:t xml:space="preserve"> </w:t>
      </w:r>
      <w:r w:rsidRPr="00036FAC">
        <w:t>Women</w:t>
      </w:r>
      <w:r w:rsidR="003E4D94">
        <w:t>’</w:t>
      </w:r>
      <w:r w:rsidRPr="00036FAC">
        <w:t>s</w:t>
      </w:r>
      <w:r w:rsidR="00907D8C">
        <w:t xml:space="preserve"> </w:t>
      </w:r>
      <w:r w:rsidRPr="00036FAC">
        <w:t>Affairs</w:t>
      </w:r>
    </w:p>
    <w:p w:rsidR="00036FAC" w:rsidRPr="00036FAC" w:rsidRDefault="00036FAC" w:rsidP="00A864D7">
      <w:pPr>
        <w:pStyle w:val="SingleTxtG"/>
      </w:pPr>
      <w:r w:rsidRPr="00036FAC">
        <w:t>196.</w:t>
      </w:r>
      <w:r w:rsidRPr="00036FAC">
        <w:tab/>
        <w:t>The</w:t>
      </w:r>
      <w:r w:rsidR="00907D8C">
        <w:t xml:space="preserve"> </w:t>
      </w:r>
      <w:r w:rsidRPr="00036FAC">
        <w:t>Ministry</w:t>
      </w:r>
      <w:r w:rsidR="00907D8C">
        <w:t xml:space="preserve"> </w:t>
      </w:r>
      <w:r w:rsidRPr="00036FAC">
        <w:t>of</w:t>
      </w:r>
      <w:r w:rsidR="00907D8C">
        <w:t xml:space="preserve"> </w:t>
      </w:r>
      <w:r w:rsidRPr="00036FAC">
        <w:t>Women</w:t>
      </w:r>
      <w:r w:rsidR="003E4D94">
        <w:t>’</w:t>
      </w:r>
      <w:r w:rsidRPr="00036FAC">
        <w:t>s</w:t>
      </w:r>
      <w:r w:rsidR="00907D8C">
        <w:t xml:space="preserve"> </w:t>
      </w:r>
      <w:r w:rsidRPr="00036FAC">
        <w:t>Affairs</w:t>
      </w:r>
      <w:r w:rsidR="00907D8C">
        <w:t xml:space="preserve"> </w:t>
      </w:r>
      <w:r w:rsidRPr="00036FAC">
        <w:t>is</w:t>
      </w:r>
      <w:r w:rsidR="00907D8C">
        <w:t xml:space="preserve"> </w:t>
      </w:r>
      <w:r w:rsidRPr="00036FAC">
        <w:t>a</w:t>
      </w:r>
      <w:r w:rsidR="00907D8C">
        <w:t xml:space="preserve"> </w:t>
      </w:r>
      <w:r w:rsidRPr="00036FAC">
        <w:t>policy</w:t>
      </w:r>
      <w:r w:rsidR="00907D8C">
        <w:t xml:space="preserve"> </w:t>
      </w:r>
      <w:r w:rsidRPr="00036FAC">
        <w:t>agency</w:t>
      </w:r>
      <w:r w:rsidR="00907D8C">
        <w:t xml:space="preserve"> </w:t>
      </w:r>
      <w:r w:rsidRPr="00036FAC">
        <w:t>established</w:t>
      </w:r>
      <w:r w:rsidR="00907D8C">
        <w:t xml:space="preserve"> </w:t>
      </w:r>
      <w:r w:rsidRPr="00036FAC">
        <w:t>in</w:t>
      </w:r>
      <w:r w:rsidR="00907D8C">
        <w:t xml:space="preserve"> </w:t>
      </w:r>
      <w:r w:rsidRPr="00036FAC">
        <w:t>1984.</w:t>
      </w:r>
      <w:r w:rsidR="00907D8C">
        <w:t xml:space="preserve"> </w:t>
      </w:r>
      <w:r w:rsidRPr="00036FAC">
        <w:t>The</w:t>
      </w:r>
      <w:r w:rsidR="00907D8C">
        <w:t xml:space="preserve"> </w:t>
      </w:r>
      <w:r w:rsidRPr="00036FAC">
        <w:t>Ministry</w:t>
      </w:r>
      <w:r w:rsidR="003E4D94">
        <w:t>’</w:t>
      </w:r>
      <w:r w:rsidRPr="00036FAC">
        <w:t>s</w:t>
      </w:r>
      <w:r w:rsidR="00907D8C">
        <w:t xml:space="preserve"> </w:t>
      </w:r>
      <w:r w:rsidRPr="00036FAC">
        <w:t>work</w:t>
      </w:r>
      <w:r w:rsidR="00907D8C">
        <w:t xml:space="preserve"> </w:t>
      </w:r>
      <w:r w:rsidRPr="00036FAC">
        <w:t>is</w:t>
      </w:r>
      <w:r w:rsidR="00907D8C">
        <w:t xml:space="preserve"> </w:t>
      </w:r>
      <w:r w:rsidRPr="00036FAC">
        <w:t>focused</w:t>
      </w:r>
      <w:r w:rsidR="00907D8C">
        <w:t xml:space="preserve"> </w:t>
      </w:r>
      <w:r w:rsidRPr="00036FAC">
        <w:t>on</w:t>
      </w:r>
      <w:r w:rsidR="00907D8C">
        <w:t xml:space="preserve"> </w:t>
      </w:r>
      <w:r w:rsidRPr="00036FAC">
        <w:t>three</w:t>
      </w:r>
      <w:r w:rsidR="00907D8C">
        <w:t xml:space="preserve"> </w:t>
      </w:r>
      <w:r w:rsidRPr="00036FAC">
        <w:t>priorities</w:t>
      </w:r>
      <w:r w:rsidR="00907D8C">
        <w:t xml:space="preserve"> </w:t>
      </w:r>
      <w:r w:rsidRPr="00036FAC">
        <w:t>areas</w:t>
      </w:r>
      <w:r w:rsidR="00907D8C">
        <w:t xml:space="preserve"> </w:t>
      </w:r>
      <w:r w:rsidRPr="00036FAC">
        <w:t>for</w:t>
      </w:r>
      <w:r w:rsidR="00907D8C">
        <w:t xml:space="preserve"> </w:t>
      </w:r>
      <w:r w:rsidRPr="00036FAC">
        <w:t>women:</w:t>
      </w:r>
      <w:r w:rsidR="00907D8C">
        <w:t xml:space="preserve"> </w:t>
      </w:r>
      <w:r w:rsidRPr="00036FAC">
        <w:t>women</w:t>
      </w:r>
      <w:r w:rsidR="00907D8C">
        <w:t xml:space="preserve"> </w:t>
      </w:r>
      <w:r w:rsidRPr="00036FAC">
        <w:t>participating</w:t>
      </w:r>
      <w:r w:rsidR="00907D8C">
        <w:t xml:space="preserve"> </w:t>
      </w:r>
      <w:r w:rsidRPr="00036FAC">
        <w:t>in</w:t>
      </w:r>
      <w:r w:rsidR="00907D8C">
        <w:t xml:space="preserve"> </w:t>
      </w:r>
      <w:r w:rsidRPr="00036FAC">
        <w:t>leadership</w:t>
      </w:r>
      <w:r w:rsidR="00907D8C">
        <w:t xml:space="preserve"> </w:t>
      </w:r>
      <w:r w:rsidRPr="00036FAC">
        <w:t>roles</w:t>
      </w:r>
      <w:r w:rsidR="00907D8C">
        <w:t xml:space="preserve"> </w:t>
      </w:r>
      <w:r w:rsidRPr="00036FAC">
        <w:t>across</w:t>
      </w:r>
      <w:r w:rsidR="00907D8C">
        <w:t xml:space="preserve"> </w:t>
      </w:r>
      <w:r w:rsidRPr="00036FAC">
        <w:t>the</w:t>
      </w:r>
      <w:r w:rsidR="00907D8C">
        <w:t xml:space="preserve"> </w:t>
      </w:r>
      <w:r w:rsidRPr="00036FAC">
        <w:t>economy;</w:t>
      </w:r>
      <w:r w:rsidR="00907D8C">
        <w:t xml:space="preserve"> </w:t>
      </w:r>
      <w:r w:rsidRPr="00036FAC">
        <w:t>the</w:t>
      </w:r>
      <w:r w:rsidR="00907D8C">
        <w:t xml:space="preserve"> </w:t>
      </w:r>
      <w:r w:rsidRPr="00036FAC">
        <w:t>damaging</w:t>
      </w:r>
      <w:r w:rsidR="00907D8C">
        <w:t xml:space="preserve"> </w:t>
      </w:r>
      <w:r w:rsidRPr="00036FAC">
        <w:t>impact</w:t>
      </w:r>
      <w:r w:rsidR="00907D8C">
        <w:t xml:space="preserve"> </w:t>
      </w:r>
      <w:r w:rsidRPr="00036FAC">
        <w:t>of</w:t>
      </w:r>
      <w:r w:rsidR="00907D8C">
        <w:t xml:space="preserve"> </w:t>
      </w:r>
      <w:r w:rsidRPr="00036FAC">
        <w:t>violence</w:t>
      </w:r>
      <w:r w:rsidR="00907D8C">
        <w:t xml:space="preserve"> </w:t>
      </w:r>
      <w:r w:rsidRPr="00036FAC">
        <w:t>against</w:t>
      </w:r>
      <w:r w:rsidR="00907D8C">
        <w:t xml:space="preserve"> </w:t>
      </w:r>
      <w:r w:rsidRPr="00036FAC">
        <w:t>women</w:t>
      </w:r>
      <w:r w:rsidR="00907D8C">
        <w:t xml:space="preserve"> </w:t>
      </w:r>
      <w:r w:rsidRPr="00036FAC">
        <w:t>(in</w:t>
      </w:r>
      <w:r w:rsidR="00907D8C">
        <w:t xml:space="preserve"> </w:t>
      </w:r>
      <w:r w:rsidRPr="00036FAC">
        <w:t>particular,</w:t>
      </w:r>
      <w:r w:rsidR="00907D8C">
        <w:t xml:space="preserve"> </w:t>
      </w:r>
      <w:r w:rsidRPr="00036FAC">
        <w:t>sexual</w:t>
      </w:r>
      <w:r w:rsidR="00907D8C">
        <w:t xml:space="preserve"> </w:t>
      </w:r>
      <w:r w:rsidRPr="00036FAC">
        <w:t>violence)</w:t>
      </w:r>
      <w:r w:rsidR="00907D8C">
        <w:t xml:space="preserve"> </w:t>
      </w:r>
      <w:r w:rsidRPr="00036FAC">
        <w:t>is</w:t>
      </w:r>
      <w:r w:rsidR="00907D8C">
        <w:t xml:space="preserve"> </w:t>
      </w:r>
      <w:r w:rsidRPr="00036FAC">
        <w:t>reduced;</w:t>
      </w:r>
      <w:r w:rsidR="00907D8C">
        <w:t xml:space="preserve"> </w:t>
      </w:r>
      <w:r w:rsidRPr="00036FAC">
        <w:t>and</w:t>
      </w:r>
      <w:r w:rsidR="00907D8C">
        <w:t xml:space="preserve"> </w:t>
      </w:r>
      <w:r w:rsidRPr="00036FAC">
        <w:t>all</w:t>
      </w:r>
      <w:r w:rsidR="00907D8C">
        <w:t xml:space="preserve"> </w:t>
      </w:r>
      <w:r w:rsidRPr="00036FAC">
        <w:t>women</w:t>
      </w:r>
      <w:r w:rsidR="00907D8C">
        <w:t xml:space="preserve"> </w:t>
      </w:r>
      <w:r w:rsidRPr="00036FAC">
        <w:t>can</w:t>
      </w:r>
      <w:r w:rsidR="00907D8C">
        <w:t xml:space="preserve"> </w:t>
      </w:r>
      <w:r w:rsidRPr="00036FAC">
        <w:t>be</w:t>
      </w:r>
      <w:r w:rsidR="00907D8C">
        <w:t xml:space="preserve"> </w:t>
      </w:r>
      <w:r w:rsidRPr="00036FAC">
        <w:t>fully</w:t>
      </w:r>
      <w:r w:rsidR="00907D8C">
        <w:t xml:space="preserve"> </w:t>
      </w:r>
      <w:r w:rsidRPr="00036FAC">
        <w:t>engaged</w:t>
      </w:r>
      <w:r w:rsidR="00907D8C">
        <w:t xml:space="preserve"> </w:t>
      </w:r>
      <w:r w:rsidRPr="00036FAC">
        <w:t>in</w:t>
      </w:r>
      <w:r w:rsidR="00907D8C">
        <w:t xml:space="preserve"> </w:t>
      </w:r>
      <w:r w:rsidRPr="00036FAC">
        <w:t>the</w:t>
      </w:r>
      <w:r w:rsidR="00907D8C">
        <w:t xml:space="preserve"> </w:t>
      </w:r>
      <w:r w:rsidRPr="00036FAC">
        <w:t>economy</w:t>
      </w:r>
      <w:r w:rsidR="00907D8C">
        <w:t xml:space="preserve"> </w:t>
      </w:r>
      <w:r w:rsidRPr="00036FAC">
        <w:t>and</w:t>
      </w:r>
      <w:r w:rsidR="00907D8C">
        <w:t xml:space="preserve"> </w:t>
      </w:r>
      <w:r w:rsidRPr="00036FAC">
        <w:t>contribute</w:t>
      </w:r>
      <w:r w:rsidR="00907D8C">
        <w:t xml:space="preserve"> </w:t>
      </w:r>
      <w:r w:rsidRPr="00036FAC">
        <w:t>to</w:t>
      </w:r>
      <w:r w:rsidR="00907D8C">
        <w:t xml:space="preserve"> </w:t>
      </w:r>
      <w:r w:rsidRPr="00036FAC">
        <w:t>the</w:t>
      </w:r>
      <w:r w:rsidR="00907D8C">
        <w:t xml:space="preserve"> </w:t>
      </w:r>
      <w:r w:rsidRPr="00036FAC">
        <w:t>country</w:t>
      </w:r>
      <w:r w:rsidR="003E4D94">
        <w:t>’</w:t>
      </w:r>
      <w:r w:rsidRPr="00036FAC">
        <w:t>s</w:t>
      </w:r>
      <w:r w:rsidR="00907D8C">
        <w:t xml:space="preserve"> </w:t>
      </w:r>
      <w:r w:rsidRPr="00036FAC">
        <w:t>economic</w:t>
      </w:r>
      <w:r w:rsidR="00907D8C">
        <w:t xml:space="preserve"> </w:t>
      </w:r>
      <w:r w:rsidRPr="00036FAC">
        <w:t>growth.</w:t>
      </w:r>
    </w:p>
    <w:p w:rsidR="00036FAC" w:rsidRPr="00036FAC" w:rsidRDefault="00036FAC" w:rsidP="00A864D7">
      <w:pPr>
        <w:pStyle w:val="SingleTxtG"/>
      </w:pPr>
      <w:r w:rsidRPr="00036FAC">
        <w:t>197.</w:t>
      </w:r>
      <w:r w:rsidRPr="00036FAC">
        <w:tab/>
        <w:t>Within</w:t>
      </w:r>
      <w:r w:rsidR="00907D8C">
        <w:t xml:space="preserve"> </w:t>
      </w:r>
      <w:r w:rsidRPr="00036FAC">
        <w:t>the</w:t>
      </w:r>
      <w:r w:rsidR="00907D8C">
        <w:t xml:space="preserve"> </w:t>
      </w:r>
      <w:r w:rsidR="003E4D94">
        <w:t>“</w:t>
      </w:r>
      <w:r w:rsidRPr="00036FAC">
        <w:t>women</w:t>
      </w:r>
      <w:r w:rsidR="00907D8C">
        <w:t xml:space="preserve"> </w:t>
      </w:r>
      <w:r w:rsidRPr="00036FAC">
        <w:t>in</w:t>
      </w:r>
      <w:r w:rsidR="00907D8C">
        <w:t xml:space="preserve"> </w:t>
      </w:r>
      <w:r w:rsidRPr="00036FAC">
        <w:t>leadership</w:t>
      </w:r>
      <w:r w:rsidR="003E4D94">
        <w:t>”</w:t>
      </w:r>
      <w:r w:rsidR="00907D8C">
        <w:t xml:space="preserve"> </w:t>
      </w:r>
      <w:r w:rsidRPr="00036FAC">
        <w:t>priority</w:t>
      </w:r>
      <w:r w:rsidR="00907D8C">
        <w:t xml:space="preserve"> </w:t>
      </w:r>
      <w:r w:rsidRPr="00036FAC">
        <w:t>the</w:t>
      </w:r>
      <w:r w:rsidR="00907D8C">
        <w:t xml:space="preserve"> </w:t>
      </w:r>
      <w:r w:rsidRPr="00036FAC">
        <w:t>Ministry</w:t>
      </w:r>
      <w:r w:rsidR="00907D8C">
        <w:t xml:space="preserve"> </w:t>
      </w:r>
      <w:r w:rsidRPr="00036FAC">
        <w:t>has</w:t>
      </w:r>
      <w:r w:rsidR="00907D8C">
        <w:t xml:space="preserve"> </w:t>
      </w:r>
      <w:r w:rsidRPr="00036FAC">
        <w:t>a</w:t>
      </w:r>
      <w:r w:rsidR="00907D8C">
        <w:t xml:space="preserve"> </w:t>
      </w:r>
      <w:r w:rsidRPr="00036FAC">
        <w:t>specific</w:t>
      </w:r>
      <w:r w:rsidR="00907D8C">
        <w:t xml:space="preserve"> </w:t>
      </w:r>
      <w:r w:rsidRPr="00036FAC">
        <w:t>role</w:t>
      </w:r>
      <w:r w:rsidR="00907D8C">
        <w:t xml:space="preserve"> </w:t>
      </w:r>
      <w:r w:rsidRPr="00036FAC">
        <w:t>to</w:t>
      </w:r>
      <w:r w:rsidR="00907D8C">
        <w:t xml:space="preserve"> </w:t>
      </w:r>
      <w:r w:rsidRPr="00036FAC">
        <w:t>nominate</w:t>
      </w:r>
      <w:r w:rsidR="00907D8C">
        <w:t xml:space="preserve"> </w:t>
      </w:r>
      <w:r w:rsidRPr="00036FAC">
        <w:t>suitable</w:t>
      </w:r>
      <w:r w:rsidR="00907D8C">
        <w:t xml:space="preserve"> </w:t>
      </w:r>
      <w:r w:rsidRPr="00036FAC">
        <w:t>women</w:t>
      </w:r>
      <w:r w:rsidR="00907D8C">
        <w:t xml:space="preserve"> </w:t>
      </w:r>
      <w:r w:rsidRPr="00036FAC">
        <w:t>for</w:t>
      </w:r>
      <w:r w:rsidR="00907D8C">
        <w:t xml:space="preserve"> </w:t>
      </w:r>
      <w:r w:rsidRPr="00036FAC">
        <w:t>state-sector</w:t>
      </w:r>
      <w:r w:rsidR="00907D8C">
        <w:t xml:space="preserve"> </w:t>
      </w:r>
      <w:r w:rsidRPr="00036FAC">
        <w:t>boards.</w:t>
      </w:r>
      <w:r w:rsidR="00907D8C">
        <w:t xml:space="preserve"> </w:t>
      </w:r>
      <w:r w:rsidRPr="00036FAC">
        <w:t>The</w:t>
      </w:r>
      <w:r w:rsidR="00907D8C">
        <w:t xml:space="preserve"> </w:t>
      </w:r>
      <w:r w:rsidRPr="00036FAC">
        <w:t>Ministry</w:t>
      </w:r>
      <w:r w:rsidR="00907D8C">
        <w:t xml:space="preserve"> </w:t>
      </w:r>
      <w:r w:rsidRPr="00036FAC">
        <w:t>also</w:t>
      </w:r>
      <w:r w:rsidR="00907D8C">
        <w:t xml:space="preserve"> </w:t>
      </w:r>
      <w:r w:rsidRPr="00036FAC">
        <w:t>manages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international</w:t>
      </w:r>
      <w:r w:rsidR="00907D8C">
        <w:t xml:space="preserve"> </w:t>
      </w:r>
      <w:r w:rsidRPr="00036FAC">
        <w:t>obligations</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the</w:t>
      </w:r>
      <w:r w:rsidR="00907D8C">
        <w:t xml:space="preserve"> </w:t>
      </w:r>
      <w:r w:rsidRPr="00036FAC">
        <w:t>status</w:t>
      </w:r>
      <w:r w:rsidR="00907D8C">
        <w:t xml:space="preserve"> </w:t>
      </w:r>
      <w:r w:rsidRPr="00036FAC">
        <w:t>of</w:t>
      </w:r>
      <w:r w:rsidR="00907D8C">
        <w:t xml:space="preserve"> </w:t>
      </w:r>
      <w:r w:rsidRPr="00036FAC">
        <w:t>women,</w:t>
      </w:r>
      <w:r w:rsidR="00907D8C">
        <w:t xml:space="preserve"> </w:t>
      </w:r>
      <w:r w:rsidRPr="00036FAC">
        <w:t>in</w:t>
      </w:r>
      <w:r w:rsidR="00907D8C">
        <w:t xml:space="preserve"> </w:t>
      </w:r>
      <w:r w:rsidRPr="00036FAC">
        <w:t>particular,</w:t>
      </w:r>
      <w:r w:rsidR="00907D8C">
        <w:t xml:space="preserve"> </w:t>
      </w:r>
      <w:r w:rsidRPr="00036FAC">
        <w:t>under</w:t>
      </w:r>
      <w:r w:rsidR="00907D8C">
        <w:t xml:space="preserve"> </w:t>
      </w:r>
      <w:r w:rsidRPr="00036FAC">
        <w:t>the</w:t>
      </w:r>
      <w:r w:rsidR="00907D8C">
        <w:t xml:space="preserve"> </w:t>
      </w:r>
      <w:r w:rsidRPr="00036FAC">
        <w:t>United</w:t>
      </w:r>
      <w:r w:rsidR="00907D8C">
        <w:t xml:space="preserve"> </w:t>
      </w:r>
      <w:r w:rsidRPr="00036FAC">
        <w:t>Nations</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All</w:t>
      </w:r>
      <w:r w:rsidR="00907D8C">
        <w:t xml:space="preserve"> </w:t>
      </w:r>
      <w:r w:rsidRPr="00036FAC">
        <w:t>Forms</w:t>
      </w:r>
      <w:r w:rsidR="00907D8C">
        <w:t xml:space="preserve"> </w:t>
      </w:r>
      <w:r w:rsidRPr="00036FAC">
        <w:t>of</w:t>
      </w:r>
      <w:r w:rsidR="00907D8C">
        <w:t xml:space="preserve"> </w:t>
      </w:r>
      <w:r w:rsidRPr="00036FAC">
        <w:t>Discrimination</w:t>
      </w:r>
      <w:r w:rsidR="00907D8C">
        <w:t xml:space="preserve"> </w:t>
      </w:r>
      <w:r w:rsidRPr="00036FAC">
        <w:t>against</w:t>
      </w:r>
      <w:r w:rsidR="00907D8C">
        <w:t xml:space="preserve"> </w:t>
      </w:r>
      <w:r w:rsidRPr="00036FAC">
        <w:t>Women.</w:t>
      </w:r>
    </w:p>
    <w:p w:rsidR="00036FAC" w:rsidRPr="00036FAC" w:rsidRDefault="00036FAC" w:rsidP="006C436C">
      <w:pPr>
        <w:pStyle w:val="H23G"/>
      </w:pPr>
      <w:r w:rsidRPr="00036FAC">
        <w:tab/>
        <w:t>(k)</w:t>
      </w:r>
      <w:r w:rsidRPr="00036FAC">
        <w:tab/>
        <w:t>Office</w:t>
      </w:r>
      <w:r w:rsidR="00907D8C">
        <w:t xml:space="preserve"> </w:t>
      </w:r>
      <w:r w:rsidRPr="00036FAC">
        <w:t>for</w:t>
      </w:r>
      <w:r w:rsidR="00907D8C">
        <w:t xml:space="preserve"> </w:t>
      </w:r>
      <w:r w:rsidRPr="00036FAC">
        <w:t>Senior</w:t>
      </w:r>
      <w:r w:rsidR="00907D8C">
        <w:t xml:space="preserve"> </w:t>
      </w:r>
      <w:r w:rsidRPr="00036FAC">
        <w:t>Citizens</w:t>
      </w:r>
    </w:p>
    <w:p w:rsidR="00036FAC" w:rsidRPr="00036FAC" w:rsidRDefault="00036FAC" w:rsidP="00A864D7">
      <w:pPr>
        <w:pStyle w:val="SingleTxtG"/>
      </w:pPr>
      <w:r w:rsidRPr="00036FAC">
        <w:t>198.</w:t>
      </w:r>
      <w:r w:rsidRPr="00036FAC">
        <w:tab/>
        <w:t>The</w:t>
      </w:r>
      <w:r w:rsidR="00907D8C">
        <w:t xml:space="preserve"> </w:t>
      </w:r>
      <w:r w:rsidRPr="00036FAC">
        <w:t>Office</w:t>
      </w:r>
      <w:r w:rsidR="00907D8C">
        <w:t xml:space="preserve"> </w:t>
      </w:r>
      <w:r w:rsidRPr="00036FAC">
        <w:t>for</w:t>
      </w:r>
      <w:r w:rsidR="00907D8C">
        <w:t xml:space="preserve"> </w:t>
      </w:r>
      <w:r w:rsidRPr="00036FAC">
        <w:t>Senior</w:t>
      </w:r>
      <w:r w:rsidR="00907D8C">
        <w:t xml:space="preserve"> </w:t>
      </w:r>
      <w:r w:rsidRPr="00036FAC">
        <w:t>Citizens</w:t>
      </w:r>
      <w:r w:rsidR="00907D8C">
        <w:t xml:space="preserve"> </w:t>
      </w:r>
      <w:r w:rsidRPr="00036FAC">
        <w:t>was</w:t>
      </w:r>
      <w:r w:rsidR="00907D8C">
        <w:t xml:space="preserve"> </w:t>
      </w:r>
      <w:r w:rsidRPr="00036FAC">
        <w:t>established</w:t>
      </w:r>
      <w:r w:rsidR="00907D8C">
        <w:t xml:space="preserve"> </w:t>
      </w:r>
      <w:r w:rsidRPr="00036FAC">
        <w:t>in</w:t>
      </w:r>
      <w:r w:rsidR="00907D8C">
        <w:t xml:space="preserve"> </w:t>
      </w:r>
      <w:r w:rsidRPr="00036FAC">
        <w:t>1990</w:t>
      </w:r>
      <w:r w:rsidR="00907D8C">
        <w:t xml:space="preserve"> </w:t>
      </w:r>
      <w:r w:rsidRPr="00036FAC">
        <w:t>as</w:t>
      </w:r>
      <w:r w:rsidR="00907D8C">
        <w:t xml:space="preserve"> </w:t>
      </w:r>
      <w:r w:rsidRPr="00036FAC">
        <w:t>a</w:t>
      </w:r>
      <w:r w:rsidR="00907D8C">
        <w:t xml:space="preserve"> </w:t>
      </w:r>
      <w:r w:rsidRPr="00036FAC">
        <w:t>unit</w:t>
      </w:r>
      <w:r w:rsidR="00907D8C">
        <w:t xml:space="preserve"> </w:t>
      </w:r>
      <w:r w:rsidRPr="00036FAC">
        <w:t>within</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Social</w:t>
      </w:r>
      <w:r w:rsidR="00907D8C">
        <w:t xml:space="preserve"> </w:t>
      </w:r>
      <w:r w:rsidRPr="00036FAC">
        <w:t>Development</w:t>
      </w:r>
      <w:r w:rsidR="00907D8C">
        <w:t xml:space="preserve"> </w:t>
      </w:r>
      <w:r w:rsidRPr="00036FAC">
        <w:t>and</w:t>
      </w:r>
      <w:r w:rsidR="00907D8C">
        <w:t xml:space="preserve"> </w:t>
      </w:r>
      <w:r w:rsidRPr="00036FAC">
        <w:t>reports</w:t>
      </w:r>
      <w:r w:rsidR="00907D8C">
        <w:t xml:space="preserve"> </w:t>
      </w:r>
      <w:r w:rsidRPr="00036FAC">
        <w:t>directly</w:t>
      </w:r>
      <w:r w:rsidR="00907D8C">
        <w:t xml:space="preserve"> </w:t>
      </w:r>
      <w:r w:rsidRPr="00036FAC">
        <w:t>to</w:t>
      </w:r>
      <w:r w:rsidR="00907D8C">
        <w:t xml:space="preserve"> </w:t>
      </w:r>
      <w:r w:rsidRPr="00036FAC">
        <w:t>the</w:t>
      </w:r>
      <w:r w:rsidR="00907D8C">
        <w:t xml:space="preserve"> </w:t>
      </w:r>
      <w:r w:rsidRPr="00036FAC">
        <w:t>Minister</w:t>
      </w:r>
      <w:r w:rsidR="00907D8C">
        <w:t xml:space="preserve"> </w:t>
      </w:r>
      <w:r w:rsidRPr="00036FAC">
        <w:t>for</w:t>
      </w:r>
      <w:r w:rsidR="00907D8C">
        <w:t xml:space="preserve"> </w:t>
      </w:r>
      <w:r w:rsidRPr="00036FAC">
        <w:t>Senior</w:t>
      </w:r>
      <w:r w:rsidR="00907D8C">
        <w:t xml:space="preserve"> </w:t>
      </w:r>
      <w:r w:rsidRPr="00036FAC">
        <w:t>Citizens.</w:t>
      </w:r>
      <w:r w:rsidR="00907D8C">
        <w:t xml:space="preserve"> </w:t>
      </w:r>
      <w:r w:rsidRPr="00036FAC">
        <w:t>It</w:t>
      </w:r>
      <w:r w:rsidR="00907D8C">
        <w:t xml:space="preserve"> </w:t>
      </w:r>
      <w:r w:rsidRPr="00036FAC">
        <w:t>currently</w:t>
      </w:r>
      <w:r w:rsidR="00907D8C">
        <w:t xml:space="preserve"> </w:t>
      </w:r>
      <w:r w:rsidRPr="00036FAC">
        <w:t>has</w:t>
      </w:r>
      <w:r w:rsidR="00907D8C">
        <w:t xml:space="preserve"> </w:t>
      </w:r>
      <w:r w:rsidRPr="00036FAC">
        <w:t>six</w:t>
      </w:r>
      <w:r w:rsidR="00907D8C">
        <w:t xml:space="preserve"> </w:t>
      </w:r>
      <w:r w:rsidRPr="00036FAC">
        <w:t>staff</w:t>
      </w:r>
      <w:r w:rsidR="00907D8C">
        <w:t xml:space="preserve"> </w:t>
      </w:r>
      <w:r w:rsidRPr="00036FAC">
        <w:t>and</w:t>
      </w:r>
      <w:r w:rsidR="00907D8C">
        <w:t xml:space="preserve"> </w:t>
      </w:r>
      <w:r w:rsidRPr="00036FAC">
        <w:t>its</w:t>
      </w:r>
      <w:r w:rsidR="00907D8C">
        <w:t xml:space="preserve"> </w:t>
      </w:r>
      <w:r w:rsidRPr="00036FAC">
        <w:t>key</w:t>
      </w:r>
      <w:r w:rsidR="00907D8C">
        <w:t xml:space="preserve"> </w:t>
      </w:r>
      <w:r w:rsidRPr="00036FAC">
        <w:t>role</w:t>
      </w:r>
      <w:r w:rsidR="00907D8C">
        <w:t xml:space="preserve"> </w:t>
      </w:r>
      <w:r w:rsidRPr="00036FAC">
        <w:t>is</w:t>
      </w:r>
      <w:r w:rsidR="00907D8C">
        <w:t xml:space="preserve"> </w:t>
      </w:r>
      <w:r w:rsidRPr="00036FAC">
        <w:t>to</w:t>
      </w:r>
      <w:r w:rsidR="00907D8C">
        <w:t xml:space="preserve"> </w:t>
      </w:r>
      <w:r w:rsidRPr="00036FAC">
        <w:t>promote</w:t>
      </w:r>
      <w:r w:rsidR="00907D8C">
        <w:t xml:space="preserve"> </w:t>
      </w:r>
      <w:r w:rsidRPr="00036FAC">
        <w:t>the</w:t>
      </w:r>
      <w:r w:rsidR="00907D8C">
        <w:t xml:space="preserve"> </w:t>
      </w:r>
      <w:r w:rsidRPr="00036FAC">
        <w:t>rights</w:t>
      </w:r>
      <w:r w:rsidR="00907D8C">
        <w:t xml:space="preserve"> </w:t>
      </w:r>
      <w:r w:rsidRPr="00036FAC">
        <w:t>and</w:t>
      </w:r>
      <w:r w:rsidR="00907D8C">
        <w:t xml:space="preserve"> </w:t>
      </w:r>
      <w:r w:rsidRPr="00036FAC">
        <w:t>interests</w:t>
      </w:r>
      <w:r w:rsidR="00907D8C">
        <w:t xml:space="preserve"> </w:t>
      </w:r>
      <w:r w:rsidRPr="00036FAC">
        <w:t>of</w:t>
      </w:r>
      <w:r w:rsidR="00907D8C">
        <w:t xml:space="preserve"> </w:t>
      </w:r>
      <w:r w:rsidRPr="00036FAC">
        <w:t>older</w:t>
      </w:r>
      <w:r w:rsidR="00907D8C">
        <w:t xml:space="preserve"> </w:t>
      </w:r>
      <w:r w:rsidRPr="00036FAC">
        <w:t>people,</w:t>
      </w:r>
      <w:r w:rsidR="00907D8C">
        <w:t xml:space="preserve"> </w:t>
      </w:r>
      <w:r w:rsidRPr="00036FAC">
        <w:t>lead,</w:t>
      </w:r>
      <w:r w:rsidR="00907D8C">
        <w:t xml:space="preserve"> </w:t>
      </w:r>
      <w:r w:rsidRPr="00036FAC">
        <w:t>monitor,</w:t>
      </w:r>
      <w:r w:rsidR="00907D8C">
        <w:t xml:space="preserve"> </w:t>
      </w:r>
      <w:r w:rsidRPr="00036FAC">
        <w:t>and</w:t>
      </w:r>
      <w:r w:rsidR="00907D8C">
        <w:t xml:space="preserve"> </w:t>
      </w:r>
      <w:r w:rsidRPr="00036FAC">
        <w:t>promote</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Positive</w:t>
      </w:r>
      <w:r w:rsidR="00907D8C">
        <w:t xml:space="preserve"> </w:t>
      </w:r>
      <w:r w:rsidRPr="00036FAC">
        <w:t>Ageing</w:t>
      </w:r>
      <w:r w:rsidR="00907D8C">
        <w:t xml:space="preserve"> </w:t>
      </w:r>
      <w:r w:rsidRPr="00036FAC">
        <w:t>Strategy,</w:t>
      </w:r>
      <w:r w:rsidR="00907D8C">
        <w:t xml:space="preserve"> </w:t>
      </w:r>
      <w:r w:rsidRPr="00036FAC">
        <w:t>provide</w:t>
      </w:r>
      <w:r w:rsidR="00907D8C">
        <w:t xml:space="preserve"> </w:t>
      </w:r>
      <w:r w:rsidRPr="00036FAC">
        <w:t>policy</w:t>
      </w:r>
      <w:r w:rsidR="00907D8C">
        <w:t xml:space="preserve"> </w:t>
      </w:r>
      <w:r w:rsidRPr="00036FAC">
        <w:t>advice</w:t>
      </w:r>
      <w:r w:rsidR="00907D8C">
        <w:t xml:space="preserve"> </w:t>
      </w:r>
      <w:r w:rsidRPr="00036FAC">
        <w:t>on</w:t>
      </w:r>
      <w:r w:rsidR="00907D8C">
        <w:t xml:space="preserve"> </w:t>
      </w:r>
      <w:r w:rsidRPr="00036FAC">
        <w:t>issues</w:t>
      </w:r>
      <w:r w:rsidR="00907D8C">
        <w:t xml:space="preserve"> </w:t>
      </w:r>
      <w:r w:rsidRPr="00036FAC">
        <w:t>that</w:t>
      </w:r>
      <w:r w:rsidR="00907D8C">
        <w:t xml:space="preserve"> </w:t>
      </w:r>
      <w:r w:rsidRPr="00036FAC">
        <w:t>affect</w:t>
      </w:r>
      <w:r w:rsidR="00907D8C">
        <w:t xml:space="preserve"> </w:t>
      </w:r>
      <w:r w:rsidRPr="00036FAC">
        <w:t>older</w:t>
      </w:r>
      <w:r w:rsidR="00907D8C">
        <w:t xml:space="preserve"> </w:t>
      </w:r>
      <w:r w:rsidRPr="00036FAC">
        <w:t>people,</w:t>
      </w:r>
      <w:r w:rsidR="00907D8C">
        <w:t xml:space="preserve"> </w:t>
      </w:r>
      <w:r w:rsidRPr="00036FAC">
        <w:t>and</w:t>
      </w:r>
      <w:r w:rsidR="00907D8C">
        <w:t xml:space="preserve"> </w:t>
      </w:r>
      <w:r w:rsidRPr="00036FAC">
        <w:t>lead</w:t>
      </w:r>
      <w:r w:rsidR="00907D8C">
        <w:t xml:space="preserve"> </w:t>
      </w:r>
      <w:r w:rsidRPr="00036FAC">
        <w:t>strategic</w:t>
      </w:r>
      <w:r w:rsidR="00907D8C">
        <w:t xml:space="preserve"> </w:t>
      </w:r>
      <w:r w:rsidRPr="00036FAC">
        <w:t>and</w:t>
      </w:r>
      <w:r w:rsidR="00907D8C">
        <w:t xml:space="preserve"> </w:t>
      </w:r>
      <w:r w:rsidRPr="00036FAC">
        <w:t>cross-sectoral</w:t>
      </w:r>
      <w:r w:rsidR="00907D8C">
        <w:t xml:space="preserve"> </w:t>
      </w:r>
      <w:r w:rsidRPr="00036FAC">
        <w:t>policy.</w:t>
      </w:r>
    </w:p>
    <w:p w:rsidR="00036FAC" w:rsidRPr="00036FAC" w:rsidRDefault="00036FAC" w:rsidP="006C436C">
      <w:pPr>
        <w:pStyle w:val="H23G"/>
      </w:pPr>
      <w:r w:rsidRPr="00036FAC">
        <w:tab/>
        <w:t>(l)</w:t>
      </w:r>
      <w:r w:rsidRPr="00036FAC">
        <w:tab/>
        <w:t>Te</w:t>
      </w:r>
      <w:r w:rsidR="00907D8C">
        <w:t xml:space="preserve"> </w:t>
      </w:r>
      <w:r w:rsidRPr="00036FAC">
        <w:t>Puni</w:t>
      </w:r>
      <w:r w:rsidR="00907D8C">
        <w:t xml:space="preserve"> </w:t>
      </w:r>
      <w:r w:rsidRPr="00036FAC">
        <w:t>Kōkiri</w:t>
      </w:r>
      <w:r w:rsidR="00907D8C">
        <w:t xml:space="preserve"> </w:t>
      </w:r>
      <w:r w:rsidRPr="00036FAC">
        <w:t>(Ministry</w:t>
      </w:r>
      <w:r w:rsidR="00907D8C">
        <w:t xml:space="preserve"> </w:t>
      </w:r>
      <w:r w:rsidRPr="00036FAC">
        <w:t>of</w:t>
      </w:r>
      <w:r w:rsidR="00907D8C">
        <w:t xml:space="preserve"> </w:t>
      </w:r>
      <w:r w:rsidRPr="00036FAC">
        <w:t>Māori</w:t>
      </w:r>
      <w:r w:rsidR="00907D8C">
        <w:t xml:space="preserve"> </w:t>
      </w:r>
      <w:r w:rsidRPr="00036FAC">
        <w:t>Development)</w:t>
      </w:r>
    </w:p>
    <w:p w:rsidR="00036FAC" w:rsidRPr="00036FAC" w:rsidRDefault="00036FAC" w:rsidP="00A864D7">
      <w:pPr>
        <w:pStyle w:val="SingleTxtG"/>
      </w:pPr>
      <w:r w:rsidRPr="00036FAC">
        <w:t>199.</w:t>
      </w:r>
      <w:r w:rsidRPr="00036FAC">
        <w:tab/>
        <w:t>Te</w:t>
      </w:r>
      <w:r w:rsidR="00907D8C">
        <w:t xml:space="preserve"> </w:t>
      </w:r>
      <w:r w:rsidRPr="00036FAC">
        <w:t>Puni</w:t>
      </w:r>
      <w:r w:rsidR="00907D8C">
        <w:t xml:space="preserve"> </w:t>
      </w:r>
      <w:r w:rsidRPr="00036FAC">
        <w:t>Kōkiri</w:t>
      </w:r>
      <w:r w:rsidR="00907D8C">
        <w:t xml:space="preserve"> </w:t>
      </w:r>
      <w:r w:rsidRPr="00036FAC">
        <w:t>was</w:t>
      </w:r>
      <w:r w:rsidR="00907D8C">
        <w:t xml:space="preserve"> </w:t>
      </w:r>
      <w:r w:rsidRPr="00036FAC">
        <w:t>created</w:t>
      </w:r>
      <w:r w:rsidR="00907D8C">
        <w:t xml:space="preserve"> </w:t>
      </w:r>
      <w:r w:rsidRPr="00036FAC">
        <w:t>by</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Māori</w:t>
      </w:r>
      <w:r w:rsidR="00907D8C">
        <w:t xml:space="preserve"> </w:t>
      </w:r>
      <w:r w:rsidRPr="00036FAC">
        <w:t>Development</w:t>
      </w:r>
      <w:r w:rsidR="00907D8C">
        <w:t xml:space="preserve"> </w:t>
      </w:r>
      <w:r w:rsidRPr="00036FAC">
        <w:t>Act</w:t>
      </w:r>
      <w:r w:rsidR="00907D8C">
        <w:t xml:space="preserve"> </w:t>
      </w:r>
      <w:r w:rsidRPr="00036FAC">
        <w:t>1991,</w:t>
      </w:r>
      <w:r w:rsidR="00907D8C">
        <w:t xml:space="preserve"> </w:t>
      </w:r>
      <w:r w:rsidRPr="00036FAC">
        <w:t>with</w:t>
      </w:r>
      <w:r w:rsidR="00907D8C">
        <w:t xml:space="preserve"> </w:t>
      </w:r>
      <w:r w:rsidRPr="00036FAC">
        <w:t>a</w:t>
      </w:r>
      <w:r w:rsidR="00907D8C">
        <w:t xml:space="preserve"> </w:t>
      </w:r>
      <w:r w:rsidRPr="00036FAC">
        <w:t>focus</w:t>
      </w:r>
      <w:r w:rsidR="00907D8C">
        <w:t xml:space="preserve"> </w:t>
      </w:r>
      <w:r w:rsidRPr="00036FAC">
        <w:t>on</w:t>
      </w:r>
      <w:r w:rsidR="00907D8C">
        <w:t xml:space="preserve"> </w:t>
      </w:r>
      <w:r w:rsidRPr="00036FAC">
        <w:t>education,</w:t>
      </w:r>
      <w:r w:rsidR="00907D8C">
        <w:t xml:space="preserve"> </w:t>
      </w:r>
      <w:r w:rsidRPr="00036FAC">
        <w:t>training</w:t>
      </w:r>
      <w:r w:rsidR="00907D8C">
        <w:t xml:space="preserve"> </w:t>
      </w:r>
      <w:r w:rsidRPr="00036FAC">
        <w:t>and</w:t>
      </w:r>
      <w:r w:rsidR="00907D8C">
        <w:t xml:space="preserve"> </w:t>
      </w:r>
      <w:r w:rsidRPr="00036FAC">
        <w:t>employment,</w:t>
      </w:r>
      <w:r w:rsidR="00907D8C">
        <w:t xml:space="preserve"> </w:t>
      </w:r>
      <w:r w:rsidRPr="00036FAC">
        <w:t>health,</w:t>
      </w:r>
      <w:r w:rsidR="00907D8C">
        <w:t xml:space="preserve"> </w:t>
      </w:r>
      <w:r w:rsidRPr="00036FAC">
        <w:t>and</w:t>
      </w:r>
      <w:r w:rsidR="00907D8C">
        <w:t xml:space="preserve"> </w:t>
      </w:r>
      <w:r w:rsidRPr="00036FAC">
        <w:t>economic</w:t>
      </w:r>
      <w:r w:rsidR="00907D8C">
        <w:t xml:space="preserve"> </w:t>
      </w:r>
      <w:r w:rsidRPr="00036FAC">
        <w:t>resource</w:t>
      </w:r>
      <w:r w:rsidR="00907D8C">
        <w:t xml:space="preserve"> </w:t>
      </w:r>
      <w:r w:rsidRPr="00036FAC">
        <w:t>development.</w:t>
      </w:r>
      <w:r w:rsidR="00907D8C">
        <w:t xml:space="preserve"> </w:t>
      </w:r>
      <w:r w:rsidRPr="00036FAC">
        <w:t>Te</w:t>
      </w:r>
      <w:r w:rsidR="00907D8C">
        <w:t xml:space="preserve"> </w:t>
      </w:r>
      <w:r w:rsidRPr="00036FAC">
        <w:t>Puni</w:t>
      </w:r>
      <w:r w:rsidR="00907D8C">
        <w:t xml:space="preserve"> </w:t>
      </w:r>
      <w:r w:rsidRPr="00036FAC">
        <w:t>Kōkiri</w:t>
      </w:r>
      <w:r w:rsidR="003E4D94">
        <w:t>’</w:t>
      </w:r>
      <w:r w:rsidRPr="00036FAC">
        <w:t>s</w:t>
      </w:r>
      <w:r w:rsidR="00907D8C">
        <w:t xml:space="preserve"> </w:t>
      </w:r>
      <w:r w:rsidRPr="00036FAC">
        <w:t>principal</w:t>
      </w:r>
      <w:r w:rsidR="00907D8C">
        <w:t xml:space="preserve"> </w:t>
      </w:r>
      <w:r w:rsidRPr="00036FAC">
        <w:t>duties</w:t>
      </w:r>
      <w:r w:rsidR="00907D8C">
        <w:t xml:space="preserve"> </w:t>
      </w:r>
      <w:r w:rsidRPr="00036FAC">
        <w:t>under</w:t>
      </w:r>
      <w:r w:rsidR="00907D8C">
        <w:t xml:space="preserve"> </w:t>
      </w:r>
      <w:r w:rsidRPr="00036FAC">
        <w:t>the</w:t>
      </w:r>
      <w:r w:rsidR="00907D8C">
        <w:t xml:space="preserve"> </w:t>
      </w:r>
      <w:r w:rsidRPr="00036FAC">
        <w:t>Act</w:t>
      </w:r>
      <w:r w:rsidR="00907D8C">
        <w:t xml:space="preserve"> </w:t>
      </w:r>
      <w:r w:rsidRPr="00036FAC">
        <w:t>are</w:t>
      </w:r>
      <w:r w:rsidR="00907D8C">
        <w:t xml:space="preserve"> </w:t>
      </w:r>
      <w:r w:rsidRPr="00036FAC">
        <w:t>to</w:t>
      </w:r>
      <w:r w:rsidR="00907D8C">
        <w:t xml:space="preserve"> </w:t>
      </w:r>
      <w:r w:rsidRPr="00036FAC">
        <w:t>promote</w:t>
      </w:r>
      <w:r w:rsidR="00907D8C">
        <w:t xml:space="preserve"> </w:t>
      </w:r>
      <w:r w:rsidRPr="00036FAC">
        <w:t>increases</w:t>
      </w:r>
      <w:r w:rsidR="00907D8C">
        <w:t xml:space="preserve"> </w:t>
      </w:r>
      <w:r w:rsidRPr="00036FAC">
        <w:t>in</w:t>
      </w:r>
      <w:r w:rsidR="00907D8C">
        <w:t xml:space="preserve"> </w:t>
      </w:r>
      <w:r w:rsidRPr="00036FAC">
        <w:t>Māori</w:t>
      </w:r>
      <w:r w:rsidR="00907D8C">
        <w:t xml:space="preserve"> </w:t>
      </w:r>
      <w:r w:rsidRPr="00036FAC">
        <w:t>achievement</w:t>
      </w:r>
      <w:r w:rsidR="00907D8C">
        <w:t xml:space="preserve"> </w:t>
      </w:r>
      <w:r w:rsidRPr="00036FAC">
        <w:t>across</w:t>
      </w:r>
      <w:r w:rsidR="00907D8C">
        <w:t xml:space="preserve"> </w:t>
      </w:r>
      <w:r w:rsidRPr="00036FAC">
        <w:t>these</w:t>
      </w:r>
      <w:r w:rsidR="00907D8C">
        <w:t xml:space="preserve"> </w:t>
      </w:r>
      <w:r w:rsidRPr="00036FAC">
        <w:t>key</w:t>
      </w:r>
      <w:r w:rsidR="00907D8C">
        <w:t xml:space="preserve"> </w:t>
      </w:r>
      <w:r w:rsidRPr="00036FAC">
        <w:t>social</w:t>
      </w:r>
      <w:r w:rsidR="00907D8C">
        <w:t xml:space="preserve"> </w:t>
      </w:r>
      <w:r w:rsidRPr="00036FAC">
        <w:t>and</w:t>
      </w:r>
      <w:r w:rsidR="00907D8C">
        <w:t xml:space="preserve"> </w:t>
      </w:r>
      <w:r w:rsidRPr="00036FAC">
        <w:t>economic</w:t>
      </w:r>
      <w:r w:rsidR="00907D8C">
        <w:t xml:space="preserve"> </w:t>
      </w:r>
      <w:r w:rsidRPr="00036FAC">
        <w:t>areas.</w:t>
      </w:r>
    </w:p>
    <w:p w:rsidR="00036FAC" w:rsidRPr="00036FAC" w:rsidRDefault="00036FAC" w:rsidP="00A864D7">
      <w:pPr>
        <w:pStyle w:val="SingleTxtG"/>
      </w:pPr>
      <w:r w:rsidRPr="00036FAC">
        <w:t>200.</w:t>
      </w:r>
      <w:r w:rsidRPr="00036FAC">
        <w:tab/>
        <w:t>Linked</w:t>
      </w:r>
      <w:r w:rsidR="00907D8C">
        <w:t xml:space="preserve"> </w:t>
      </w:r>
      <w:r w:rsidRPr="00036FAC">
        <w:t>to</w:t>
      </w:r>
      <w:r w:rsidR="00907D8C">
        <w:t xml:space="preserve"> </w:t>
      </w:r>
      <w:r w:rsidRPr="00036FAC">
        <w:t>this,</w:t>
      </w:r>
      <w:r w:rsidR="00907D8C">
        <w:t xml:space="preserve"> </w:t>
      </w:r>
      <w:r w:rsidRPr="00036FAC">
        <w:t>Te</w:t>
      </w:r>
      <w:r w:rsidR="00907D8C">
        <w:t xml:space="preserve"> </w:t>
      </w:r>
      <w:r w:rsidRPr="00036FAC">
        <w:t>Puni</w:t>
      </w:r>
      <w:r w:rsidR="00907D8C">
        <w:t xml:space="preserve"> </w:t>
      </w:r>
      <w:r w:rsidRPr="00036FAC">
        <w:t>Kōkiri</w:t>
      </w:r>
      <w:r w:rsidR="00907D8C">
        <w:t xml:space="preserve"> </w:t>
      </w:r>
      <w:r w:rsidRPr="00036FAC">
        <w:t>has</w:t>
      </w:r>
      <w:r w:rsidR="00907D8C">
        <w:t xml:space="preserve"> </w:t>
      </w:r>
      <w:r w:rsidRPr="00036FAC">
        <w:t>a</w:t>
      </w:r>
      <w:r w:rsidR="00907D8C">
        <w:t xml:space="preserve"> </w:t>
      </w:r>
      <w:r w:rsidRPr="00036FAC">
        <w:t>duty</w:t>
      </w:r>
      <w:r w:rsidR="00907D8C">
        <w:t xml:space="preserve"> </w:t>
      </w:r>
      <w:r w:rsidRPr="00036FAC">
        <w:t>to</w:t>
      </w:r>
      <w:r w:rsidR="00907D8C">
        <w:t xml:space="preserve"> </w:t>
      </w:r>
      <w:r w:rsidRPr="00036FAC">
        <w:t>monitor</w:t>
      </w:r>
      <w:r w:rsidR="00907D8C">
        <w:t xml:space="preserve"> </w:t>
      </w:r>
      <w:r w:rsidRPr="00036FAC">
        <w:t>and</w:t>
      </w:r>
      <w:r w:rsidR="00907D8C">
        <w:t xml:space="preserve"> </w:t>
      </w:r>
      <w:r w:rsidRPr="00036FAC">
        <w:t>liaise</w:t>
      </w:r>
      <w:r w:rsidR="00907D8C">
        <w:t xml:space="preserve"> </w:t>
      </w:r>
      <w:r w:rsidRPr="00036FAC">
        <w:t>with</w:t>
      </w:r>
      <w:r w:rsidR="00907D8C">
        <w:t xml:space="preserve"> </w:t>
      </w:r>
      <w:r w:rsidRPr="00036FAC">
        <w:t>each</w:t>
      </w:r>
      <w:r w:rsidR="00907D8C">
        <w:t xml:space="preserve"> </w:t>
      </w:r>
      <w:r w:rsidRPr="00036FAC">
        <w:t>department</w:t>
      </w:r>
      <w:r w:rsidR="00907D8C">
        <w:t xml:space="preserve"> </w:t>
      </w:r>
      <w:r w:rsidRPr="00036FAC">
        <w:t>or</w:t>
      </w:r>
      <w:r w:rsidR="00907D8C">
        <w:t xml:space="preserve"> </w:t>
      </w:r>
      <w:r w:rsidRPr="00036FAC">
        <w:t>agency</w:t>
      </w:r>
      <w:r w:rsidR="00907D8C">
        <w:t xml:space="preserve"> </w:t>
      </w:r>
      <w:r w:rsidRPr="00036FAC">
        <w:t>that</w:t>
      </w:r>
      <w:r w:rsidR="00907D8C">
        <w:t xml:space="preserve"> </w:t>
      </w:r>
      <w:r w:rsidRPr="00036FAC">
        <w:t>provides,</w:t>
      </w:r>
      <w:r w:rsidR="00907D8C">
        <w:t xml:space="preserve"> </w:t>
      </w:r>
      <w:r w:rsidRPr="00036FAC">
        <w:t>or</w:t>
      </w:r>
      <w:r w:rsidR="00907D8C">
        <w:t xml:space="preserve"> </w:t>
      </w:r>
      <w:r w:rsidRPr="00036FAC">
        <w:t>has</w:t>
      </w:r>
      <w:r w:rsidR="00907D8C">
        <w:t xml:space="preserve"> </w:t>
      </w:r>
      <w:r w:rsidRPr="00036FAC">
        <w:t>a</w:t>
      </w:r>
      <w:r w:rsidR="00907D8C">
        <w:t xml:space="preserve"> </w:t>
      </w:r>
      <w:r w:rsidRPr="00036FAC">
        <w:t>responsibility</w:t>
      </w:r>
      <w:r w:rsidR="00907D8C">
        <w:t xml:space="preserve"> </w:t>
      </w:r>
      <w:r w:rsidRPr="00036FAC">
        <w:t>to</w:t>
      </w:r>
      <w:r w:rsidR="00907D8C">
        <w:t xml:space="preserve"> </w:t>
      </w:r>
      <w:r w:rsidRPr="00036FAC">
        <w:t>provide,</w:t>
      </w:r>
      <w:r w:rsidR="00907D8C">
        <w:t xml:space="preserve"> </w:t>
      </w:r>
      <w:r w:rsidRPr="00036FAC">
        <w:t>services</w:t>
      </w:r>
      <w:r w:rsidR="00907D8C">
        <w:t xml:space="preserve"> </w:t>
      </w:r>
      <w:r w:rsidRPr="00036FAC">
        <w:t>to</w:t>
      </w:r>
      <w:r w:rsidR="00907D8C">
        <w:t xml:space="preserve"> </w:t>
      </w:r>
      <w:r w:rsidRPr="00036FAC">
        <w:t>or</w:t>
      </w:r>
      <w:r w:rsidR="00907D8C">
        <w:t xml:space="preserve"> </w:t>
      </w:r>
      <w:r w:rsidRPr="00036FAC">
        <w:t>for</w:t>
      </w:r>
      <w:r w:rsidR="00907D8C">
        <w:t xml:space="preserve"> </w:t>
      </w:r>
      <w:r w:rsidRPr="00036FAC">
        <w:t>Māori,</w:t>
      </w:r>
      <w:r w:rsidR="00907D8C">
        <w:t xml:space="preserve"> </w:t>
      </w:r>
      <w:r w:rsidRPr="00036FAC">
        <w:t>for</w:t>
      </w:r>
      <w:r w:rsidR="00907D8C">
        <w:t xml:space="preserve"> </w:t>
      </w:r>
      <w:r w:rsidRPr="00036FAC">
        <w:t>the</w:t>
      </w:r>
      <w:r w:rsidR="00907D8C">
        <w:t xml:space="preserve"> </w:t>
      </w:r>
      <w:r w:rsidRPr="00036FAC">
        <w:t>purpose</w:t>
      </w:r>
      <w:r w:rsidR="00907D8C">
        <w:t xml:space="preserve"> </w:t>
      </w:r>
      <w:r w:rsidRPr="00036FAC">
        <w:t>of</w:t>
      </w:r>
      <w:r w:rsidR="00907D8C">
        <w:t xml:space="preserve"> </w:t>
      </w:r>
      <w:r w:rsidRPr="00036FAC">
        <w:t>ensuring</w:t>
      </w:r>
      <w:r w:rsidR="00907D8C">
        <w:t xml:space="preserve"> </w:t>
      </w:r>
      <w:r w:rsidRPr="00036FAC">
        <w:t>the</w:t>
      </w:r>
      <w:r w:rsidR="00907D8C">
        <w:t xml:space="preserve"> </w:t>
      </w:r>
      <w:r w:rsidRPr="00036FAC">
        <w:t>adequacy</w:t>
      </w:r>
      <w:r w:rsidR="00907D8C">
        <w:t xml:space="preserve"> </w:t>
      </w:r>
      <w:r w:rsidRPr="00036FAC">
        <w:t>of</w:t>
      </w:r>
      <w:r w:rsidR="00907D8C">
        <w:t xml:space="preserve"> </w:t>
      </w:r>
      <w:r w:rsidRPr="00036FAC">
        <w:t>those</w:t>
      </w:r>
      <w:r w:rsidR="00907D8C">
        <w:t xml:space="preserve"> </w:t>
      </w:r>
      <w:r w:rsidRPr="00036FAC">
        <w:t>services.</w:t>
      </w:r>
      <w:r w:rsidR="00907D8C">
        <w:t xml:space="preserve"> </w:t>
      </w:r>
      <w:r w:rsidRPr="00036FAC">
        <w:t>Te</w:t>
      </w:r>
      <w:r w:rsidR="00907D8C">
        <w:t xml:space="preserve"> </w:t>
      </w:r>
      <w:r w:rsidRPr="00036FAC">
        <w:t>Puni</w:t>
      </w:r>
      <w:r w:rsidR="00907D8C">
        <w:t xml:space="preserve"> </w:t>
      </w:r>
      <w:r w:rsidRPr="00036FAC">
        <w:t>Kōkiri</w:t>
      </w:r>
      <w:r w:rsidR="003E4D94">
        <w:t>’</w:t>
      </w:r>
      <w:r w:rsidRPr="00036FAC">
        <w:t>s</w:t>
      </w:r>
      <w:r w:rsidR="00907D8C">
        <w:t xml:space="preserve"> </w:t>
      </w:r>
      <w:r w:rsidRPr="00036FAC">
        <w:t>role</w:t>
      </w:r>
      <w:r w:rsidR="00907D8C">
        <w:t xml:space="preserve"> </w:t>
      </w:r>
      <w:r w:rsidRPr="00036FAC">
        <w:t>includes</w:t>
      </w:r>
      <w:r w:rsidR="00907D8C">
        <w:t xml:space="preserve"> </w:t>
      </w:r>
      <w:r w:rsidRPr="00036FAC">
        <w:t>managing</w:t>
      </w:r>
      <w:r w:rsidR="00907D8C">
        <w:t xml:space="preserve"> </w:t>
      </w:r>
      <w:r w:rsidRPr="00036FAC">
        <w:t>and</w:t>
      </w:r>
      <w:r w:rsidR="00907D8C">
        <w:t xml:space="preserve"> </w:t>
      </w:r>
      <w:r w:rsidRPr="00036FAC">
        <w:t>advising</w:t>
      </w:r>
      <w:r w:rsidR="00907D8C">
        <w:t xml:space="preserve"> </w:t>
      </w:r>
      <w:r w:rsidRPr="00036FAC">
        <w:t>on</w:t>
      </w:r>
      <w:r w:rsidR="00907D8C">
        <w:t xml:space="preserve"> </w:t>
      </w:r>
      <w:r w:rsidRPr="00036FAC">
        <w:t>Crown</w:t>
      </w:r>
      <w:r w:rsidR="00A864D7">
        <w:t>-</w:t>
      </w:r>
      <w:r w:rsidRPr="00036FAC">
        <w:t>Māori</w:t>
      </w:r>
      <w:r w:rsidR="00907D8C">
        <w:t xml:space="preserve"> </w:t>
      </w:r>
      <w:r w:rsidRPr="00036FAC">
        <w:t>relationships,</w:t>
      </w:r>
      <w:r w:rsidR="00907D8C">
        <w:t xml:space="preserve"> </w:t>
      </w:r>
      <w:r w:rsidRPr="00036FAC">
        <w:t>both</w:t>
      </w:r>
      <w:r w:rsidR="00907D8C">
        <w:t xml:space="preserve"> </w:t>
      </w:r>
      <w:r w:rsidRPr="00036FAC">
        <w:t>nationally</w:t>
      </w:r>
      <w:r w:rsidR="00907D8C">
        <w:t xml:space="preserve"> </w:t>
      </w:r>
      <w:r w:rsidRPr="00036FAC">
        <w:t>and</w:t>
      </w:r>
      <w:r w:rsidR="00907D8C">
        <w:t xml:space="preserve"> </w:t>
      </w:r>
      <w:r w:rsidRPr="00036FAC">
        <w:t>locally</w:t>
      </w:r>
      <w:r w:rsidR="00907D8C">
        <w:t xml:space="preserve"> </w:t>
      </w:r>
      <w:r w:rsidRPr="00036FAC">
        <w:t>via</w:t>
      </w:r>
      <w:r w:rsidR="00907D8C">
        <w:t xml:space="preserve"> </w:t>
      </w:r>
      <w:r w:rsidRPr="00036FAC">
        <w:t>its</w:t>
      </w:r>
      <w:r w:rsidR="00907D8C">
        <w:t xml:space="preserve"> </w:t>
      </w:r>
      <w:r w:rsidRPr="00036FAC">
        <w:t>10</w:t>
      </w:r>
      <w:r w:rsidR="00907D8C">
        <w:t xml:space="preserve"> </w:t>
      </w:r>
      <w:r w:rsidRPr="00036FAC">
        <w:t>regional</w:t>
      </w:r>
      <w:r w:rsidR="00907D8C">
        <w:t xml:space="preserve"> </w:t>
      </w:r>
      <w:r w:rsidRPr="00036FAC">
        <w:t>offices,</w:t>
      </w:r>
      <w:r w:rsidR="00907D8C">
        <w:t xml:space="preserve"> </w:t>
      </w:r>
      <w:r w:rsidRPr="00036FAC">
        <w:t>and</w:t>
      </w:r>
      <w:r w:rsidR="00907D8C">
        <w:t xml:space="preserve"> </w:t>
      </w:r>
      <w:r w:rsidRPr="00036FAC">
        <w:t>partnering</w:t>
      </w:r>
      <w:r w:rsidR="00907D8C">
        <w:t xml:space="preserve"> </w:t>
      </w:r>
      <w:r w:rsidRPr="00036FAC">
        <w:t>Māori</w:t>
      </w:r>
      <w:r w:rsidR="00907D8C">
        <w:t xml:space="preserve"> </w:t>
      </w:r>
      <w:r w:rsidRPr="00036FAC">
        <w:t>initiatives</w:t>
      </w:r>
      <w:r w:rsidR="00907D8C">
        <w:t xml:space="preserve"> </w:t>
      </w:r>
      <w:r w:rsidRPr="00036FAC">
        <w:t>with</w:t>
      </w:r>
      <w:r w:rsidR="00907D8C">
        <w:t xml:space="preserve"> </w:t>
      </w:r>
      <w:r w:rsidRPr="00036FAC">
        <w:t>investment</w:t>
      </w:r>
      <w:r w:rsidR="00907D8C">
        <w:t xml:space="preserve"> </w:t>
      </w:r>
      <w:r w:rsidRPr="00036FAC">
        <w:t>and</w:t>
      </w:r>
      <w:r w:rsidR="00907D8C">
        <w:t xml:space="preserve"> </w:t>
      </w:r>
      <w:r w:rsidRPr="00036FAC">
        <w:t>facilitation</w:t>
      </w:r>
      <w:r w:rsidR="00907D8C">
        <w:t xml:space="preserve"> </w:t>
      </w:r>
      <w:r w:rsidRPr="00036FAC">
        <w:t>to</w:t>
      </w:r>
      <w:r w:rsidR="00907D8C">
        <w:t xml:space="preserve"> </w:t>
      </w:r>
      <w:r w:rsidRPr="00036FAC">
        <w:t>support</w:t>
      </w:r>
      <w:r w:rsidR="00907D8C">
        <w:t xml:space="preserve"> </w:t>
      </w:r>
      <w:r w:rsidRPr="00036FAC">
        <w:t>the</w:t>
      </w:r>
      <w:r w:rsidR="00907D8C">
        <w:t xml:space="preserve"> </w:t>
      </w:r>
      <w:r w:rsidRPr="00036FAC">
        <w:t>aspirations</w:t>
      </w:r>
      <w:r w:rsidR="00907D8C">
        <w:t xml:space="preserve"> </w:t>
      </w:r>
      <w:r w:rsidRPr="00036FAC">
        <w:t>of</w:t>
      </w:r>
      <w:r w:rsidR="00907D8C">
        <w:t xml:space="preserve"> </w:t>
      </w:r>
      <w:r w:rsidRPr="00036FAC">
        <w:t>Māori</w:t>
      </w:r>
      <w:r w:rsidR="00907D8C">
        <w:t xml:space="preserve"> </w:t>
      </w:r>
      <w:r w:rsidRPr="00036FAC">
        <w:t>people</w:t>
      </w:r>
      <w:r w:rsidR="00907D8C">
        <w:t xml:space="preserve"> </w:t>
      </w:r>
      <w:r w:rsidRPr="00036FAC">
        <w:t>to</w:t>
      </w:r>
      <w:r w:rsidR="00907D8C">
        <w:t xml:space="preserve"> </w:t>
      </w:r>
      <w:r w:rsidRPr="00036FAC">
        <w:t>realise</w:t>
      </w:r>
      <w:r w:rsidR="00907D8C">
        <w:t xml:space="preserve"> </w:t>
      </w:r>
      <w:r w:rsidRPr="00036FAC">
        <w:t>their</w:t>
      </w:r>
      <w:r w:rsidR="00907D8C">
        <w:t xml:space="preserve"> </w:t>
      </w:r>
      <w:r w:rsidRPr="00036FAC">
        <w:t>potential.</w:t>
      </w:r>
    </w:p>
    <w:p w:rsidR="00036FAC" w:rsidRPr="00036FAC" w:rsidRDefault="00036FAC" w:rsidP="006C436C">
      <w:pPr>
        <w:pStyle w:val="H23G"/>
      </w:pPr>
      <w:r w:rsidRPr="00036FAC">
        <w:tab/>
        <w:t>(m)</w:t>
      </w:r>
      <w:r w:rsidRPr="00036FAC">
        <w:tab/>
        <w:t>Ministry</w:t>
      </w:r>
      <w:r w:rsidR="00907D8C">
        <w:t xml:space="preserve"> </w:t>
      </w:r>
      <w:r w:rsidRPr="00036FAC">
        <w:t>of</w:t>
      </w:r>
      <w:r w:rsidR="00907D8C">
        <w:t xml:space="preserve"> </w:t>
      </w:r>
      <w:r w:rsidRPr="00036FAC">
        <w:t>Pacific</w:t>
      </w:r>
      <w:r w:rsidR="00907D8C">
        <w:t xml:space="preserve"> </w:t>
      </w:r>
      <w:r w:rsidRPr="00036FAC">
        <w:t>Island</w:t>
      </w:r>
      <w:r w:rsidR="00907D8C">
        <w:t xml:space="preserve"> </w:t>
      </w:r>
      <w:r w:rsidRPr="00036FAC">
        <w:t>Affairs</w:t>
      </w:r>
    </w:p>
    <w:p w:rsidR="00036FAC" w:rsidRPr="00036FAC" w:rsidRDefault="00036FAC" w:rsidP="00A864D7">
      <w:pPr>
        <w:pStyle w:val="SingleTxtG"/>
      </w:pPr>
      <w:r w:rsidRPr="00036FAC">
        <w:t>201.</w:t>
      </w:r>
      <w:r w:rsidRPr="00036FAC">
        <w:tab/>
        <w:t>The</w:t>
      </w:r>
      <w:r w:rsidR="00907D8C">
        <w:t xml:space="preserve"> </w:t>
      </w:r>
      <w:r w:rsidRPr="00036FAC">
        <w:t>Ministry</w:t>
      </w:r>
      <w:r w:rsidR="00907D8C">
        <w:t xml:space="preserve"> </w:t>
      </w:r>
      <w:r w:rsidRPr="00036FAC">
        <w:t>of</w:t>
      </w:r>
      <w:r w:rsidR="00907D8C">
        <w:t xml:space="preserve"> </w:t>
      </w:r>
      <w:r w:rsidRPr="00036FAC">
        <w:t>Pacific</w:t>
      </w:r>
      <w:r w:rsidR="00907D8C">
        <w:t xml:space="preserve"> </w:t>
      </w:r>
      <w:r w:rsidRPr="00036FAC">
        <w:t>Island</w:t>
      </w:r>
      <w:r w:rsidR="00907D8C">
        <w:t xml:space="preserve"> </w:t>
      </w:r>
      <w:r w:rsidRPr="00036FAC">
        <w:t>Affairs</w:t>
      </w:r>
      <w:r w:rsidR="00907D8C">
        <w:t xml:space="preserve"> </w:t>
      </w:r>
      <w:r w:rsidRPr="00036FAC">
        <w:t>is</w:t>
      </w:r>
      <w:r w:rsidR="00907D8C">
        <w:t xml:space="preserve"> </w:t>
      </w:r>
      <w:r w:rsidRPr="00036FAC">
        <w:t>the</w:t>
      </w:r>
      <w:r w:rsidR="00907D8C">
        <w:t xml:space="preserve"> </w:t>
      </w:r>
      <w:r w:rsidRPr="00036FAC">
        <w:t>Government</w:t>
      </w:r>
      <w:r w:rsidR="003E4D94">
        <w:t>’</w:t>
      </w:r>
      <w:r w:rsidRPr="00036FAC">
        <w:t>s</w:t>
      </w:r>
      <w:r w:rsidR="00907D8C">
        <w:t xml:space="preserve"> </w:t>
      </w:r>
      <w:r w:rsidRPr="00036FAC">
        <w:t>adviser</w:t>
      </w:r>
      <w:r w:rsidR="00907D8C">
        <w:t xml:space="preserve"> </w:t>
      </w:r>
      <w:r w:rsidRPr="00036FAC">
        <w:t>on</w:t>
      </w:r>
      <w:r w:rsidR="00907D8C">
        <w:t xml:space="preserve"> </w:t>
      </w:r>
      <w:r w:rsidRPr="00036FAC">
        <w:t>policies</w:t>
      </w:r>
      <w:r w:rsidR="00907D8C">
        <w:t xml:space="preserve"> </w:t>
      </w:r>
      <w:r w:rsidRPr="00036FAC">
        <w:t>and</w:t>
      </w:r>
      <w:r w:rsidR="00907D8C">
        <w:t xml:space="preserve"> </w:t>
      </w:r>
      <w:r w:rsidRPr="00036FAC">
        <w:t>interventions</w:t>
      </w:r>
      <w:r w:rsidR="00907D8C">
        <w:t xml:space="preserve"> </w:t>
      </w:r>
      <w:r w:rsidRPr="00036FAC">
        <w:t>to</w:t>
      </w:r>
      <w:r w:rsidR="00907D8C">
        <w:t xml:space="preserve"> </w:t>
      </w:r>
      <w:r w:rsidRPr="00036FAC">
        <w:t>promote</w:t>
      </w:r>
      <w:r w:rsidR="00907D8C">
        <w:t xml:space="preserve"> </w:t>
      </w:r>
      <w:r w:rsidRPr="00036FAC">
        <w:t>the</w:t>
      </w:r>
      <w:r w:rsidR="00907D8C">
        <w:t xml:space="preserve"> </w:t>
      </w:r>
      <w:r w:rsidRPr="00036FAC">
        <w:t>social,</w:t>
      </w:r>
      <w:r w:rsidR="00907D8C">
        <w:t xml:space="preserve"> </w:t>
      </w:r>
      <w:r w:rsidRPr="00036FAC">
        <w:t>economic,</w:t>
      </w:r>
      <w:r w:rsidR="00907D8C">
        <w:t xml:space="preserve"> </w:t>
      </w:r>
      <w:r w:rsidRPr="00036FAC">
        <w:t>and</w:t>
      </w:r>
      <w:r w:rsidR="00907D8C">
        <w:t xml:space="preserve"> </w:t>
      </w:r>
      <w:r w:rsidRPr="00036FAC">
        <w:t>cultural</w:t>
      </w:r>
      <w:r w:rsidR="00907D8C">
        <w:t xml:space="preserve"> </w:t>
      </w:r>
      <w:r w:rsidRPr="00036FAC">
        <w:t>development</w:t>
      </w:r>
      <w:r w:rsidR="00907D8C">
        <w:t xml:space="preserve"> </w:t>
      </w:r>
      <w:r w:rsidRPr="00036FAC">
        <w:t>of</w:t>
      </w:r>
      <w:r w:rsidR="00907D8C">
        <w:t xml:space="preserve"> </w:t>
      </w:r>
      <w:r w:rsidRPr="00036FAC">
        <w:t>Pacific</w:t>
      </w:r>
      <w:r w:rsidR="00907D8C">
        <w:t xml:space="preserve"> </w:t>
      </w:r>
      <w:r w:rsidRPr="00036FAC">
        <w:t>peoples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The</w:t>
      </w:r>
      <w:r w:rsidR="00907D8C">
        <w:t xml:space="preserve"> </w:t>
      </w:r>
      <w:r w:rsidRPr="00036FAC">
        <w:t>Ministry</w:t>
      </w:r>
      <w:r w:rsidR="00907D8C">
        <w:t xml:space="preserve"> </w:t>
      </w:r>
      <w:r w:rsidRPr="00036FAC">
        <w:t>brings</w:t>
      </w:r>
      <w:r w:rsidR="00907D8C">
        <w:t xml:space="preserve"> </w:t>
      </w:r>
      <w:r w:rsidRPr="00036FAC">
        <w:t>a</w:t>
      </w:r>
      <w:r w:rsidR="00907D8C">
        <w:t xml:space="preserve"> </w:t>
      </w:r>
      <w:r w:rsidRPr="00036FAC">
        <w:t>Pacific</w:t>
      </w:r>
      <w:r w:rsidR="00907D8C">
        <w:t xml:space="preserve"> </w:t>
      </w:r>
      <w:r w:rsidRPr="00036FAC">
        <w:t>perspective</w:t>
      </w:r>
      <w:r w:rsidR="00907D8C">
        <w:t xml:space="preserve"> </w:t>
      </w:r>
      <w:r w:rsidRPr="00036FAC">
        <w:t>to</w:t>
      </w:r>
      <w:r w:rsidR="00907D8C">
        <w:t xml:space="preserve"> </w:t>
      </w:r>
      <w:r w:rsidRPr="00036FAC">
        <w:t>the</w:t>
      </w:r>
      <w:r w:rsidR="00907D8C">
        <w:t xml:space="preserve"> </w:t>
      </w:r>
      <w:r w:rsidRPr="00036FAC">
        <w:t>work</w:t>
      </w:r>
      <w:r w:rsidR="00907D8C">
        <w:t xml:space="preserve"> </w:t>
      </w:r>
      <w:r w:rsidRPr="00036FAC">
        <w:t>of</w:t>
      </w:r>
      <w:r w:rsidR="00907D8C">
        <w:t xml:space="preserve"> </w:t>
      </w:r>
      <w:r w:rsidRPr="00036FAC">
        <w:t>central</w:t>
      </w:r>
      <w:r w:rsidR="00907D8C">
        <w:t xml:space="preserve"> </w:t>
      </w:r>
      <w:r w:rsidRPr="00036FAC">
        <w:t>and</w:t>
      </w:r>
      <w:r w:rsidR="00907D8C">
        <w:t xml:space="preserve"> </w:t>
      </w:r>
      <w:r w:rsidRPr="00036FAC">
        <w:t>local</w:t>
      </w:r>
      <w:r w:rsidR="00907D8C">
        <w:t xml:space="preserve"> </w:t>
      </w:r>
      <w:r w:rsidRPr="00036FAC">
        <w:t>government</w:t>
      </w:r>
      <w:r w:rsidR="00907D8C">
        <w:t xml:space="preserve"> </w:t>
      </w:r>
      <w:r w:rsidRPr="00036FAC">
        <w:t>agencies</w:t>
      </w:r>
      <w:r w:rsidR="00907D8C">
        <w:t xml:space="preserve"> </w:t>
      </w:r>
      <w:r w:rsidRPr="00036FAC">
        <w:t>and</w:t>
      </w:r>
      <w:r w:rsidR="00907D8C">
        <w:t xml:space="preserve"> </w:t>
      </w:r>
      <w:r w:rsidRPr="00036FAC">
        <w:t>private</w:t>
      </w:r>
      <w:r w:rsidR="00907D8C">
        <w:t xml:space="preserve"> </w:t>
      </w:r>
      <w:r w:rsidRPr="00036FAC">
        <w:t>sector</w:t>
      </w:r>
      <w:r w:rsidR="00907D8C">
        <w:t xml:space="preserve"> </w:t>
      </w:r>
      <w:r w:rsidRPr="00036FAC">
        <w:t>organisations.</w:t>
      </w:r>
      <w:r w:rsidR="00907D8C">
        <w:t xml:space="preserve"> </w:t>
      </w:r>
      <w:r w:rsidRPr="00036FAC">
        <w:t>It</w:t>
      </w:r>
      <w:r w:rsidR="00907D8C">
        <w:t xml:space="preserve"> </w:t>
      </w:r>
      <w:r w:rsidRPr="00036FAC">
        <w:t>provides</w:t>
      </w:r>
      <w:r w:rsidR="00907D8C">
        <w:t xml:space="preserve"> </w:t>
      </w:r>
      <w:r w:rsidRPr="00036FAC">
        <w:t>a</w:t>
      </w:r>
      <w:r w:rsidR="00907D8C">
        <w:t xml:space="preserve"> </w:t>
      </w:r>
      <w:r w:rsidRPr="00036FAC">
        <w:t>bridge</w:t>
      </w:r>
      <w:r w:rsidR="00907D8C">
        <w:t xml:space="preserve"> </w:t>
      </w:r>
      <w:r w:rsidRPr="00036FAC">
        <w:t>between</w:t>
      </w:r>
      <w:r w:rsidR="00907D8C">
        <w:t xml:space="preserve"> </w:t>
      </w:r>
      <w:r w:rsidRPr="00036FAC">
        <w:t>Pacific</w:t>
      </w:r>
      <w:r w:rsidR="00907D8C">
        <w:t xml:space="preserve"> </w:t>
      </w:r>
      <w:r w:rsidRPr="00036FAC">
        <w:t>peoples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government,</w:t>
      </w:r>
      <w:r w:rsidR="00907D8C">
        <w:t xml:space="preserve"> </w:t>
      </w:r>
      <w:r w:rsidRPr="00036FAC">
        <w:t>ensuring</w:t>
      </w:r>
      <w:r w:rsidR="00907D8C">
        <w:t xml:space="preserve"> </w:t>
      </w:r>
      <w:r w:rsidRPr="00036FAC">
        <w:t>effective</w:t>
      </w:r>
      <w:r w:rsidR="00907D8C">
        <w:t xml:space="preserve"> </w:t>
      </w:r>
      <w:r w:rsidRPr="00036FAC">
        <w:t>communication</w:t>
      </w:r>
      <w:r w:rsidR="00907D8C">
        <w:t xml:space="preserve"> </w:t>
      </w:r>
      <w:r w:rsidRPr="00036FAC">
        <w:t>and</w:t>
      </w:r>
      <w:r w:rsidR="00907D8C">
        <w:t xml:space="preserve"> </w:t>
      </w:r>
      <w:r w:rsidRPr="00036FAC">
        <w:t>delivery</w:t>
      </w:r>
      <w:r w:rsidR="00907D8C">
        <w:t xml:space="preserve"> </w:t>
      </w:r>
      <w:r w:rsidRPr="00036FAC">
        <w:t>of</w:t>
      </w:r>
      <w:r w:rsidR="00907D8C">
        <w:t xml:space="preserve"> </w:t>
      </w:r>
      <w:r w:rsidRPr="00036FAC">
        <w:t>services</w:t>
      </w:r>
      <w:r w:rsidR="00907D8C">
        <w:t xml:space="preserve"> </w:t>
      </w:r>
      <w:r w:rsidRPr="00036FAC">
        <w:t>to</w:t>
      </w:r>
      <w:r w:rsidR="00907D8C">
        <w:t xml:space="preserve"> </w:t>
      </w:r>
      <w:r w:rsidRPr="00036FAC">
        <w:t>Pacific</w:t>
      </w:r>
      <w:r w:rsidR="00907D8C">
        <w:t xml:space="preserve"> </w:t>
      </w:r>
      <w:r w:rsidRPr="00036FAC">
        <w:t>communities.</w:t>
      </w:r>
      <w:r w:rsidR="00907D8C">
        <w:t xml:space="preserve"> </w:t>
      </w:r>
      <w:r w:rsidRPr="00036FAC">
        <w:t>It</w:t>
      </w:r>
      <w:r w:rsidR="00907D8C">
        <w:t xml:space="preserve"> </w:t>
      </w:r>
      <w:r w:rsidRPr="00036FAC">
        <w:t>has</w:t>
      </w:r>
      <w:r w:rsidR="00907D8C">
        <w:t xml:space="preserve"> </w:t>
      </w:r>
      <w:r w:rsidRPr="00036FAC">
        <w:t>offices</w:t>
      </w:r>
      <w:r w:rsidR="00907D8C">
        <w:t xml:space="preserve"> </w:t>
      </w:r>
      <w:r w:rsidRPr="00036FAC">
        <w:t>in</w:t>
      </w:r>
      <w:r w:rsidR="00907D8C">
        <w:t xml:space="preserve"> </w:t>
      </w:r>
      <w:r w:rsidRPr="00036FAC">
        <w:t>the</w:t>
      </w:r>
      <w:r w:rsidR="00907D8C">
        <w:t xml:space="preserve"> </w:t>
      </w:r>
      <w:r w:rsidRPr="00036FAC">
        <w:t>three</w:t>
      </w:r>
      <w:r w:rsidR="00907D8C">
        <w:t xml:space="preserve"> </w:t>
      </w:r>
      <w:r w:rsidRPr="00036FAC">
        <w:t>main</w:t>
      </w:r>
      <w:r w:rsidR="00907D8C">
        <w:t xml:space="preserve"> </w:t>
      </w:r>
      <w:r w:rsidRPr="00036FAC">
        <w:t>population</w:t>
      </w:r>
      <w:r w:rsidR="00907D8C">
        <w:t xml:space="preserve"> </w:t>
      </w:r>
      <w:r w:rsidRPr="00036FAC">
        <w:t>centres.</w:t>
      </w:r>
    </w:p>
    <w:p w:rsidR="00036FAC" w:rsidRPr="00036FAC" w:rsidRDefault="00036FAC" w:rsidP="006C436C">
      <w:pPr>
        <w:pStyle w:val="H23G"/>
      </w:pPr>
      <w:r w:rsidRPr="00036FAC">
        <w:tab/>
        <w:t>(n)</w:t>
      </w:r>
      <w:r w:rsidRPr="00036FAC">
        <w:tab/>
        <w:t>Office</w:t>
      </w:r>
      <w:r w:rsidR="00907D8C">
        <w:t xml:space="preserve"> </w:t>
      </w:r>
      <w:r w:rsidRPr="00036FAC">
        <w:t>of</w:t>
      </w:r>
      <w:r w:rsidR="00907D8C">
        <w:t xml:space="preserve"> </w:t>
      </w:r>
      <w:r w:rsidRPr="00036FAC">
        <w:t>Ethnic</w:t>
      </w:r>
      <w:r w:rsidR="00907D8C">
        <w:t xml:space="preserve"> </w:t>
      </w:r>
      <w:r w:rsidRPr="00036FAC">
        <w:t>Affairs</w:t>
      </w:r>
    </w:p>
    <w:p w:rsidR="00036FAC" w:rsidRPr="00036FAC" w:rsidRDefault="00036FAC" w:rsidP="00A864D7">
      <w:pPr>
        <w:pStyle w:val="SingleTxtG"/>
      </w:pPr>
      <w:r w:rsidRPr="00036FAC">
        <w:t>202.</w:t>
      </w:r>
      <w:r w:rsidRPr="00036FAC">
        <w:tab/>
        <w:t>The</w:t>
      </w:r>
      <w:r w:rsidR="00907D8C">
        <w:t xml:space="preserve"> </w:t>
      </w:r>
      <w:r w:rsidRPr="00036FAC">
        <w:t>Office</w:t>
      </w:r>
      <w:r w:rsidR="00907D8C">
        <w:t xml:space="preserve"> </w:t>
      </w:r>
      <w:r w:rsidRPr="00036FAC">
        <w:t>of</w:t>
      </w:r>
      <w:r w:rsidR="00907D8C">
        <w:t xml:space="preserve"> </w:t>
      </w:r>
      <w:r w:rsidRPr="00036FAC">
        <w:t>Ethnic</w:t>
      </w:r>
      <w:r w:rsidR="00907D8C">
        <w:t xml:space="preserve"> </w:t>
      </w:r>
      <w:r w:rsidRPr="00036FAC">
        <w:t>Affairs</w:t>
      </w:r>
      <w:r w:rsidR="00907D8C">
        <w:t xml:space="preserve"> </w:t>
      </w:r>
      <w:r w:rsidRPr="00036FAC">
        <w:t>was</w:t>
      </w:r>
      <w:r w:rsidR="00907D8C">
        <w:t xml:space="preserve"> </w:t>
      </w:r>
      <w:r w:rsidRPr="00036FAC">
        <w:t>established</w:t>
      </w:r>
      <w:r w:rsidR="00907D8C">
        <w:t xml:space="preserve"> </w:t>
      </w:r>
      <w:r w:rsidRPr="00036FAC">
        <w:t>in</w:t>
      </w:r>
      <w:r w:rsidR="00907D8C">
        <w:t xml:space="preserve"> </w:t>
      </w:r>
      <w:r w:rsidRPr="00036FAC">
        <w:t>2001</w:t>
      </w:r>
      <w:r w:rsidR="00907D8C">
        <w:t xml:space="preserve"> </w:t>
      </w:r>
      <w:r w:rsidRPr="00036FAC">
        <w:t>and</w:t>
      </w:r>
      <w:r w:rsidR="00907D8C">
        <w:t xml:space="preserve"> </w:t>
      </w:r>
      <w:r w:rsidRPr="00036FAC">
        <w:t>reports</w:t>
      </w:r>
      <w:r w:rsidR="00907D8C">
        <w:t xml:space="preserve"> </w:t>
      </w:r>
      <w:r w:rsidRPr="00036FAC">
        <w:t>to</w:t>
      </w:r>
      <w:r w:rsidR="00907D8C">
        <w:t xml:space="preserve"> </w:t>
      </w:r>
      <w:r w:rsidRPr="00036FAC">
        <w:t>the</w:t>
      </w:r>
      <w:r w:rsidR="00907D8C">
        <w:t xml:space="preserve"> </w:t>
      </w:r>
      <w:r w:rsidRPr="00036FAC">
        <w:t>Minister</w:t>
      </w:r>
      <w:r w:rsidR="00907D8C">
        <w:t xml:space="preserve"> </w:t>
      </w:r>
      <w:r w:rsidRPr="00036FAC">
        <w:t>for</w:t>
      </w:r>
      <w:r w:rsidR="00907D8C">
        <w:t xml:space="preserve"> </w:t>
      </w:r>
      <w:r w:rsidRPr="00036FAC">
        <w:t>Ethnic</w:t>
      </w:r>
      <w:r w:rsidR="00907D8C">
        <w:t xml:space="preserve"> </w:t>
      </w:r>
      <w:r w:rsidRPr="00036FAC">
        <w:t>Affairs.</w:t>
      </w:r>
      <w:r w:rsidR="00907D8C">
        <w:t xml:space="preserve"> </w:t>
      </w:r>
      <w:r w:rsidRPr="00036FAC">
        <w:t>It</w:t>
      </w:r>
      <w:r w:rsidR="00907D8C">
        <w:t xml:space="preserve"> </w:t>
      </w:r>
      <w:r w:rsidRPr="00036FAC">
        <w:t>advises</w:t>
      </w:r>
      <w:r w:rsidR="00907D8C">
        <w:t xml:space="preserve"> </w:t>
      </w:r>
      <w:r w:rsidRPr="00036FAC">
        <w:t>the</w:t>
      </w:r>
      <w:r w:rsidR="00907D8C">
        <w:t xml:space="preserve"> </w:t>
      </w:r>
      <w:r w:rsidRPr="00036FAC">
        <w:t>Government</w:t>
      </w:r>
      <w:r w:rsidR="00907D8C">
        <w:t xml:space="preserve"> </w:t>
      </w:r>
      <w:r w:rsidRPr="00036FAC">
        <w:t>on</w:t>
      </w:r>
      <w:r w:rsidR="00907D8C">
        <w:t xml:space="preserve"> </w:t>
      </w:r>
      <w:r w:rsidRPr="00036FAC">
        <w:t>issues</w:t>
      </w:r>
      <w:r w:rsidR="00907D8C">
        <w:t xml:space="preserve"> </w:t>
      </w:r>
      <w:r w:rsidRPr="00036FAC">
        <w:t>to</w:t>
      </w:r>
      <w:r w:rsidR="00907D8C">
        <w:t xml:space="preserve"> </w:t>
      </w:r>
      <w:r w:rsidRPr="00036FAC">
        <w:t>do</w:t>
      </w:r>
      <w:r w:rsidR="00907D8C">
        <w:t xml:space="preserve"> </w:t>
      </w:r>
      <w:r w:rsidRPr="00036FAC">
        <w:t>with</w:t>
      </w:r>
      <w:r w:rsidR="00907D8C">
        <w:t xml:space="preserve"> </w:t>
      </w:r>
      <w:r w:rsidRPr="00036FAC">
        <w:t>ethnic</w:t>
      </w:r>
      <w:r w:rsidR="00907D8C">
        <w:t xml:space="preserve"> </w:t>
      </w:r>
      <w:r w:rsidRPr="00036FAC">
        <w:t>New</w:t>
      </w:r>
      <w:r w:rsidR="00907D8C">
        <w:t xml:space="preserve"> </w:t>
      </w:r>
      <w:r w:rsidRPr="00036FAC">
        <w:t>Zealanders.</w:t>
      </w:r>
      <w:r w:rsidR="00907D8C">
        <w:t xml:space="preserve"> </w:t>
      </w:r>
      <w:r w:rsidRPr="00036FAC">
        <w:t>Its</w:t>
      </w:r>
      <w:r w:rsidR="00907D8C">
        <w:t xml:space="preserve"> </w:t>
      </w:r>
      <w:r w:rsidRPr="00036FAC">
        <w:t>focus</w:t>
      </w:r>
      <w:r w:rsidR="00907D8C">
        <w:t xml:space="preserve"> </w:t>
      </w:r>
      <w:r w:rsidRPr="00036FAC">
        <w:t>is</w:t>
      </w:r>
      <w:r w:rsidR="00907D8C">
        <w:t xml:space="preserve"> </w:t>
      </w:r>
      <w:r w:rsidRPr="00036FAC">
        <w:t>on</w:t>
      </w:r>
      <w:r w:rsidR="00907D8C">
        <w:t xml:space="preserve"> </w:t>
      </w:r>
      <w:r w:rsidRPr="00036FAC">
        <w:t>those</w:t>
      </w:r>
      <w:r w:rsidR="00907D8C">
        <w:t xml:space="preserve"> </w:t>
      </w:r>
      <w:r w:rsidRPr="00036FAC">
        <w:t>whose</w:t>
      </w:r>
      <w:r w:rsidR="00907D8C">
        <w:t xml:space="preserve"> </w:t>
      </w:r>
      <w:r w:rsidRPr="00036FAC">
        <w:t>ethnic</w:t>
      </w:r>
      <w:r w:rsidR="00907D8C">
        <w:t xml:space="preserve"> </w:t>
      </w:r>
      <w:r w:rsidRPr="00036FAC">
        <w:t>heritage</w:t>
      </w:r>
      <w:r w:rsidR="00907D8C">
        <w:t xml:space="preserve"> </w:t>
      </w:r>
      <w:r w:rsidRPr="00036FAC">
        <w:t>distinguishes</w:t>
      </w:r>
      <w:r w:rsidR="00907D8C">
        <w:t xml:space="preserve"> </w:t>
      </w:r>
      <w:r w:rsidRPr="00036FAC">
        <w:t>them</w:t>
      </w:r>
      <w:r w:rsidR="00907D8C">
        <w:t xml:space="preserve"> </w:t>
      </w:r>
      <w:r w:rsidRPr="00036FAC">
        <w:t>from</w:t>
      </w:r>
      <w:r w:rsidR="00907D8C">
        <w:t xml:space="preserve"> </w:t>
      </w:r>
      <w:r w:rsidRPr="00036FAC">
        <w:t>the</w:t>
      </w:r>
      <w:r w:rsidR="00907D8C">
        <w:t xml:space="preserve"> </w:t>
      </w:r>
      <w:r w:rsidRPr="00036FAC">
        <w:t>majority;</w:t>
      </w:r>
      <w:r w:rsidR="00907D8C">
        <w:t xml:space="preserve"> </w:t>
      </w:r>
      <w:r w:rsidRPr="00036FAC">
        <w:t>primarily</w:t>
      </w:r>
      <w:r w:rsidR="00907D8C">
        <w:t xml:space="preserve"> </w:t>
      </w:r>
      <w:r w:rsidRPr="00036FAC">
        <w:t>those</w:t>
      </w:r>
      <w:r w:rsidR="00907D8C">
        <w:t xml:space="preserve"> </w:t>
      </w:r>
      <w:r w:rsidRPr="00036FAC">
        <w:t>who</w:t>
      </w:r>
      <w:r w:rsidR="00907D8C">
        <w:t xml:space="preserve"> </w:t>
      </w:r>
      <w:r w:rsidRPr="00036FAC">
        <w:t>identify</w:t>
      </w:r>
      <w:r w:rsidR="00907D8C">
        <w:t xml:space="preserve"> </w:t>
      </w:r>
      <w:r w:rsidRPr="00036FAC">
        <w:t>as</w:t>
      </w:r>
      <w:r w:rsidR="00907D8C">
        <w:t xml:space="preserve"> </w:t>
      </w:r>
      <w:r w:rsidRPr="00036FAC">
        <w:t>African,</w:t>
      </w:r>
      <w:r w:rsidR="00907D8C">
        <w:t xml:space="preserve"> </w:t>
      </w:r>
      <w:r w:rsidRPr="00036FAC">
        <w:t>Asian,</w:t>
      </w:r>
      <w:r w:rsidR="00907D8C">
        <w:t xml:space="preserve"> </w:t>
      </w:r>
      <w:r w:rsidRPr="00036FAC">
        <w:t>Continental</w:t>
      </w:r>
      <w:r w:rsidR="00907D8C">
        <w:t xml:space="preserve"> </w:t>
      </w:r>
      <w:r w:rsidRPr="00036FAC">
        <w:t>European,</w:t>
      </w:r>
      <w:r w:rsidR="00907D8C">
        <w:t xml:space="preserve"> </w:t>
      </w:r>
      <w:r w:rsidRPr="00036FAC">
        <w:t>Latin</w:t>
      </w:r>
      <w:r w:rsidR="00907D8C">
        <w:t xml:space="preserve"> </w:t>
      </w:r>
      <w:r w:rsidRPr="00036FAC">
        <w:t>American,</w:t>
      </w:r>
      <w:r w:rsidR="00907D8C">
        <w:t xml:space="preserve"> </w:t>
      </w:r>
      <w:r w:rsidRPr="00036FAC">
        <w:t>or</w:t>
      </w:r>
      <w:r w:rsidR="00907D8C">
        <w:t xml:space="preserve"> </w:t>
      </w:r>
      <w:r w:rsidRPr="00036FAC">
        <w:t>Middle</w:t>
      </w:r>
      <w:r w:rsidR="00907D8C">
        <w:t xml:space="preserve"> </w:t>
      </w:r>
      <w:r w:rsidRPr="00036FAC">
        <w:t>Eastern.</w:t>
      </w:r>
      <w:r w:rsidR="00907D8C">
        <w:t xml:space="preserve"> </w:t>
      </w:r>
      <w:r w:rsidRPr="00036FAC">
        <w:t>The</w:t>
      </w:r>
      <w:r w:rsidR="00907D8C">
        <w:t xml:space="preserve"> </w:t>
      </w:r>
      <w:r w:rsidRPr="00036FAC">
        <w:t>activities</w:t>
      </w:r>
      <w:r w:rsidR="00907D8C">
        <w:t xml:space="preserve"> </w:t>
      </w:r>
      <w:r w:rsidRPr="00036FAC">
        <w:t>of</w:t>
      </w:r>
      <w:r w:rsidR="00907D8C">
        <w:t xml:space="preserve"> </w:t>
      </w:r>
      <w:r w:rsidRPr="00036FAC">
        <w:t>the</w:t>
      </w:r>
      <w:r w:rsidR="00907D8C">
        <w:t xml:space="preserve"> </w:t>
      </w:r>
      <w:r w:rsidRPr="00036FAC">
        <w:t>Office</w:t>
      </w:r>
      <w:r w:rsidR="00907D8C">
        <w:t xml:space="preserve"> </w:t>
      </w:r>
      <w:r w:rsidRPr="00036FAC">
        <w:t>include:</w:t>
      </w:r>
    </w:p>
    <w:p w:rsidR="00036FAC" w:rsidRPr="00036FAC" w:rsidRDefault="00A864D7" w:rsidP="00A864D7">
      <w:pPr>
        <w:pStyle w:val="Bullet1G"/>
      </w:pPr>
      <w:r>
        <w:t>I</w:t>
      </w:r>
      <w:r w:rsidR="00036FAC" w:rsidRPr="00036FAC">
        <w:t>ncreasing</w:t>
      </w:r>
      <w:r w:rsidR="00907D8C">
        <w:t xml:space="preserve"> </w:t>
      </w:r>
      <w:r w:rsidR="00036FAC" w:rsidRPr="00036FAC">
        <w:t>access</w:t>
      </w:r>
      <w:r w:rsidR="00907D8C">
        <w:t xml:space="preserve"> </w:t>
      </w:r>
      <w:r w:rsidR="00036FAC" w:rsidRPr="00036FAC">
        <w:t>for</w:t>
      </w:r>
      <w:r w:rsidR="00907D8C">
        <w:t xml:space="preserve"> </w:t>
      </w:r>
      <w:r w:rsidR="00036FAC" w:rsidRPr="00036FAC">
        <w:t>ethnic</w:t>
      </w:r>
      <w:r w:rsidR="00907D8C">
        <w:t xml:space="preserve"> </w:t>
      </w:r>
      <w:r w:rsidR="00036FAC" w:rsidRPr="00036FAC">
        <w:t>people</w:t>
      </w:r>
      <w:r w:rsidR="00907D8C">
        <w:t xml:space="preserve"> </w:t>
      </w:r>
      <w:r w:rsidR="00036FAC" w:rsidRPr="00036FAC">
        <w:t>to</w:t>
      </w:r>
      <w:r w:rsidR="00907D8C">
        <w:t xml:space="preserve"> </w:t>
      </w:r>
      <w:r w:rsidR="00036FAC" w:rsidRPr="00036FAC">
        <w:t>economic</w:t>
      </w:r>
      <w:r w:rsidR="00907D8C">
        <w:t xml:space="preserve"> </w:t>
      </w:r>
      <w:r w:rsidR="00036FAC" w:rsidRPr="00036FAC">
        <w:t>development</w:t>
      </w:r>
      <w:r w:rsidR="00907D8C">
        <w:t xml:space="preserve"> </w:t>
      </w:r>
      <w:r w:rsidR="00036FAC" w:rsidRPr="00036FAC">
        <w:t>opportunities,</w:t>
      </w:r>
      <w:r w:rsidR="00907D8C">
        <w:t xml:space="preserve"> </w:t>
      </w:r>
      <w:r w:rsidR="00036FAC" w:rsidRPr="00036FAC">
        <w:t>for</w:t>
      </w:r>
      <w:r w:rsidR="00907D8C">
        <w:t xml:space="preserve"> </w:t>
      </w:r>
      <w:r w:rsidR="00036FAC" w:rsidRPr="00036FAC">
        <w:t>example,</w:t>
      </w:r>
      <w:r w:rsidR="00907D8C">
        <w:t xml:space="preserve"> </w:t>
      </w:r>
      <w:r w:rsidR="00036FAC" w:rsidRPr="00036FAC">
        <w:t>holding</w:t>
      </w:r>
      <w:r w:rsidR="00907D8C">
        <w:t xml:space="preserve"> </w:t>
      </w:r>
      <w:r w:rsidR="00036FAC" w:rsidRPr="00036FAC">
        <w:t>business</w:t>
      </w:r>
      <w:r w:rsidR="00907D8C">
        <w:t xml:space="preserve"> </w:t>
      </w:r>
      <w:r w:rsidR="00036FAC" w:rsidRPr="00036FAC">
        <w:t>leaders</w:t>
      </w:r>
      <w:r w:rsidR="003E4D94">
        <w:t>’</w:t>
      </w:r>
      <w:r w:rsidR="00907D8C">
        <w:t xml:space="preserve"> </w:t>
      </w:r>
      <w:r w:rsidR="00036FAC" w:rsidRPr="00036FAC">
        <w:t>forums</w:t>
      </w:r>
      <w:r w:rsidR="00907D8C">
        <w:t xml:space="preserve"> </w:t>
      </w:r>
      <w:r w:rsidR="00036FAC" w:rsidRPr="00036FAC">
        <w:t>to</w:t>
      </w:r>
      <w:r w:rsidR="00907D8C">
        <w:t xml:space="preserve"> </w:t>
      </w:r>
      <w:r w:rsidR="00036FAC" w:rsidRPr="00036FAC">
        <w:t>maximise</w:t>
      </w:r>
      <w:r w:rsidR="00907D8C">
        <w:t xml:space="preserve"> </w:t>
      </w:r>
      <w:r w:rsidR="00036FAC" w:rsidRPr="00036FAC">
        <w:t>the</w:t>
      </w:r>
      <w:r w:rsidR="00907D8C">
        <w:t xml:space="preserve"> </w:t>
      </w:r>
      <w:r w:rsidR="00036FAC" w:rsidRPr="00036FAC">
        <w:t>talents,</w:t>
      </w:r>
      <w:r w:rsidR="00907D8C">
        <w:t xml:space="preserve"> </w:t>
      </w:r>
      <w:r w:rsidR="00036FAC" w:rsidRPr="00036FAC">
        <w:t>skills,</w:t>
      </w:r>
      <w:r w:rsidR="00907D8C">
        <w:t xml:space="preserve"> </w:t>
      </w:r>
      <w:r w:rsidR="00036FAC" w:rsidRPr="00036FAC">
        <w:t>and</w:t>
      </w:r>
      <w:r w:rsidR="00907D8C">
        <w:t xml:space="preserve"> </w:t>
      </w:r>
      <w:r w:rsidR="00036FAC" w:rsidRPr="00036FAC">
        <w:t>connections</w:t>
      </w:r>
      <w:r w:rsidR="00907D8C">
        <w:t xml:space="preserve"> </w:t>
      </w:r>
      <w:r w:rsidR="00036FAC" w:rsidRPr="00036FAC">
        <w:t>of</w:t>
      </w:r>
      <w:r w:rsidR="00907D8C">
        <w:t xml:space="preserve"> </w:t>
      </w:r>
      <w:r w:rsidR="00036FAC" w:rsidRPr="00036FAC">
        <w:t>ethnic</w:t>
      </w:r>
      <w:r w:rsidR="00907D8C">
        <w:t xml:space="preserve"> </w:t>
      </w:r>
      <w:r w:rsidR="00036FAC" w:rsidRPr="00036FAC">
        <w:t>people</w:t>
      </w:r>
      <w:r w:rsidR="00907D8C">
        <w:t xml:space="preserve"> </w:t>
      </w:r>
      <w:r w:rsidR="00036FAC" w:rsidRPr="00036FAC">
        <w:t>for</w:t>
      </w:r>
      <w:r w:rsidR="00907D8C">
        <w:t xml:space="preserve"> </w:t>
      </w:r>
      <w:r w:rsidR="00036FAC" w:rsidRPr="00036FAC">
        <w:t>New</w:t>
      </w:r>
      <w:r w:rsidR="00907D8C">
        <w:t xml:space="preserve"> </w:t>
      </w:r>
      <w:r w:rsidR="00036FAC" w:rsidRPr="00036FAC">
        <w:t>Zealand</w:t>
      </w:r>
      <w:r w:rsidR="003E4D94">
        <w:t>’</w:t>
      </w:r>
      <w:r w:rsidR="00036FAC" w:rsidRPr="00036FAC">
        <w:t>s</w:t>
      </w:r>
      <w:r w:rsidR="00907D8C">
        <w:t xml:space="preserve"> </w:t>
      </w:r>
      <w:r w:rsidR="00036FAC" w:rsidRPr="00036FAC">
        <w:t>economic</w:t>
      </w:r>
      <w:r w:rsidR="00907D8C">
        <w:t xml:space="preserve"> </w:t>
      </w:r>
      <w:r w:rsidR="00036FAC" w:rsidRPr="00036FAC">
        <w:t>growth,</w:t>
      </w:r>
      <w:r w:rsidR="00907D8C">
        <w:t xml:space="preserve"> </w:t>
      </w:r>
      <w:r w:rsidR="00036FAC" w:rsidRPr="00036FAC">
        <w:t>particularly</w:t>
      </w:r>
      <w:r w:rsidR="00907D8C">
        <w:t xml:space="preserve"> </w:t>
      </w:r>
      <w:r w:rsidR="00036FAC" w:rsidRPr="00036FAC">
        <w:t>from</w:t>
      </w:r>
      <w:r w:rsidR="00907D8C">
        <w:t xml:space="preserve"> </w:t>
      </w:r>
      <w:r w:rsidR="00036FAC" w:rsidRPr="00036FAC">
        <w:t>the</w:t>
      </w:r>
      <w:r w:rsidR="00907D8C">
        <w:t xml:space="preserve"> </w:t>
      </w:r>
      <w:r w:rsidR="00036FAC" w:rsidRPr="00036FAC">
        <w:t>opportunities</w:t>
      </w:r>
      <w:r w:rsidR="00907D8C">
        <w:t xml:space="preserve"> </w:t>
      </w:r>
      <w:r w:rsidR="00036FAC" w:rsidRPr="00036FAC">
        <w:t>offered</w:t>
      </w:r>
      <w:r w:rsidR="00907D8C">
        <w:t xml:space="preserve"> </w:t>
      </w:r>
      <w:r w:rsidR="00036FAC" w:rsidRPr="00036FAC">
        <w:t>by</w:t>
      </w:r>
      <w:r w:rsidR="00907D8C">
        <w:t xml:space="preserve"> </w:t>
      </w:r>
      <w:r w:rsidR="00036FAC" w:rsidRPr="00036FAC">
        <w:t>New</w:t>
      </w:r>
      <w:r w:rsidR="00907D8C">
        <w:t xml:space="preserve"> </w:t>
      </w:r>
      <w:r w:rsidR="00036FAC" w:rsidRPr="00036FAC">
        <w:t>Zealand</w:t>
      </w:r>
      <w:r w:rsidR="003E4D94">
        <w:t>’</w:t>
      </w:r>
      <w:r w:rsidR="00036FAC" w:rsidRPr="00036FAC">
        <w:t>s</w:t>
      </w:r>
      <w:r w:rsidR="00907D8C">
        <w:t xml:space="preserve"> </w:t>
      </w:r>
      <w:r w:rsidR="00036FAC" w:rsidRPr="00036FAC">
        <w:t>Free</w:t>
      </w:r>
      <w:r w:rsidR="00907D8C">
        <w:t xml:space="preserve"> </w:t>
      </w:r>
      <w:r w:rsidR="00036FAC" w:rsidRPr="00036FAC">
        <w:t>Trade</w:t>
      </w:r>
      <w:r w:rsidR="00907D8C">
        <w:t xml:space="preserve"> </w:t>
      </w:r>
      <w:r w:rsidR="00036FAC" w:rsidRPr="00036FAC">
        <w:t>Agreements</w:t>
      </w:r>
    </w:p>
    <w:p w:rsidR="00036FAC" w:rsidRPr="00036FAC" w:rsidRDefault="00A864D7" w:rsidP="00A864D7">
      <w:pPr>
        <w:pStyle w:val="Bullet1G"/>
      </w:pPr>
      <w:r>
        <w:t>B</w:t>
      </w:r>
      <w:r w:rsidR="00036FAC" w:rsidRPr="00036FAC">
        <w:t>uilding</w:t>
      </w:r>
      <w:r w:rsidR="00907D8C">
        <w:t xml:space="preserve"> </w:t>
      </w:r>
      <w:r w:rsidR="00036FAC" w:rsidRPr="00036FAC">
        <w:t>and</w:t>
      </w:r>
      <w:r w:rsidR="00907D8C">
        <w:t xml:space="preserve"> </w:t>
      </w:r>
      <w:r w:rsidR="00036FAC" w:rsidRPr="00036FAC">
        <w:t>maintaining</w:t>
      </w:r>
      <w:r w:rsidR="00907D8C">
        <w:t xml:space="preserve"> </w:t>
      </w:r>
      <w:r w:rsidR="00036FAC" w:rsidRPr="00036FAC">
        <w:t>strong,</w:t>
      </w:r>
      <w:r w:rsidR="00907D8C">
        <w:t xml:space="preserve"> </w:t>
      </w:r>
      <w:r w:rsidR="00036FAC" w:rsidRPr="00036FAC">
        <w:t>positive</w:t>
      </w:r>
      <w:r w:rsidR="00907D8C">
        <w:t xml:space="preserve"> </w:t>
      </w:r>
      <w:r w:rsidR="00036FAC" w:rsidRPr="00036FAC">
        <w:t>connections</w:t>
      </w:r>
      <w:r w:rsidR="00907D8C">
        <w:t xml:space="preserve"> </w:t>
      </w:r>
      <w:r w:rsidR="00036FAC" w:rsidRPr="00036FAC">
        <w:t>between</w:t>
      </w:r>
      <w:r w:rsidR="00907D8C">
        <w:t xml:space="preserve"> </w:t>
      </w:r>
      <w:r w:rsidR="00036FAC" w:rsidRPr="00036FAC">
        <w:t>ethnic</w:t>
      </w:r>
      <w:r w:rsidR="00907D8C">
        <w:t xml:space="preserve"> </w:t>
      </w:r>
      <w:r w:rsidR="00036FAC" w:rsidRPr="00036FAC">
        <w:t>communities</w:t>
      </w:r>
      <w:r w:rsidR="00907D8C">
        <w:t xml:space="preserve"> </w:t>
      </w:r>
      <w:r w:rsidR="00036FAC" w:rsidRPr="00036FAC">
        <w:t>and</w:t>
      </w:r>
      <w:r w:rsidR="00907D8C">
        <w:t xml:space="preserve"> </w:t>
      </w:r>
      <w:r w:rsidR="00036FAC" w:rsidRPr="00036FAC">
        <w:t>the</w:t>
      </w:r>
      <w:r w:rsidR="00907D8C">
        <w:t xml:space="preserve"> </w:t>
      </w:r>
      <w:r w:rsidR="00036FAC" w:rsidRPr="00036FAC">
        <w:t>wider</w:t>
      </w:r>
      <w:r w:rsidR="00907D8C">
        <w:t xml:space="preserve"> </w:t>
      </w:r>
      <w:r w:rsidR="00036FAC" w:rsidRPr="00036FAC">
        <w:t>New</w:t>
      </w:r>
      <w:r w:rsidR="00907D8C">
        <w:t xml:space="preserve"> </w:t>
      </w:r>
      <w:r w:rsidR="00036FAC" w:rsidRPr="00036FAC">
        <w:t>Zealand</w:t>
      </w:r>
      <w:r w:rsidR="00907D8C">
        <w:t xml:space="preserve"> </w:t>
      </w:r>
      <w:r w:rsidR="00036FAC" w:rsidRPr="00036FAC">
        <w:t>community,</w:t>
      </w:r>
      <w:r w:rsidR="00907D8C">
        <w:t xml:space="preserve"> </w:t>
      </w:r>
      <w:r w:rsidR="00036FAC" w:rsidRPr="00036FAC">
        <w:t>and</w:t>
      </w:r>
      <w:r w:rsidR="00907D8C">
        <w:t xml:space="preserve"> </w:t>
      </w:r>
      <w:r w:rsidR="00036FAC" w:rsidRPr="00036FAC">
        <w:t>between</w:t>
      </w:r>
      <w:r w:rsidR="00907D8C">
        <w:t xml:space="preserve"> </w:t>
      </w:r>
      <w:r w:rsidR="00036FAC" w:rsidRPr="00036FAC">
        <w:t>ethnic</w:t>
      </w:r>
      <w:r w:rsidR="00907D8C">
        <w:t xml:space="preserve"> </w:t>
      </w:r>
      <w:r w:rsidR="00036FAC" w:rsidRPr="00036FAC">
        <w:t>communities</w:t>
      </w:r>
      <w:r w:rsidR="00907D8C">
        <w:t xml:space="preserve"> </w:t>
      </w:r>
      <w:r w:rsidR="00036FAC" w:rsidRPr="00036FAC">
        <w:t>and</w:t>
      </w:r>
      <w:r w:rsidR="00907D8C">
        <w:t xml:space="preserve"> </w:t>
      </w:r>
      <w:r w:rsidR="00036FAC" w:rsidRPr="00036FAC">
        <w:t>government</w:t>
      </w:r>
      <w:r w:rsidR="00907D8C">
        <w:t xml:space="preserve"> </w:t>
      </w:r>
      <w:r w:rsidR="00036FAC" w:rsidRPr="00036FAC">
        <w:t>(for</w:t>
      </w:r>
      <w:r w:rsidR="00907D8C">
        <w:t xml:space="preserve"> </w:t>
      </w:r>
      <w:r w:rsidR="00036FAC" w:rsidRPr="00036FAC">
        <w:t>example,</w:t>
      </w:r>
      <w:r w:rsidR="00907D8C">
        <w:t xml:space="preserve"> </w:t>
      </w:r>
      <w:r w:rsidR="00036FAC" w:rsidRPr="00036FAC">
        <w:t>through</w:t>
      </w:r>
      <w:r w:rsidR="00907D8C">
        <w:t xml:space="preserve"> </w:t>
      </w:r>
      <w:r w:rsidR="00036FAC" w:rsidRPr="00036FAC">
        <w:t>the</w:t>
      </w:r>
      <w:r w:rsidR="00907D8C">
        <w:t xml:space="preserve"> </w:t>
      </w:r>
      <w:r w:rsidR="00036FAC" w:rsidRPr="00036FAC">
        <w:t>Building</w:t>
      </w:r>
      <w:r w:rsidR="00907D8C">
        <w:t xml:space="preserve"> </w:t>
      </w:r>
      <w:r w:rsidR="00036FAC" w:rsidRPr="00036FAC">
        <w:t>Bridges</w:t>
      </w:r>
      <w:r w:rsidR="00907D8C">
        <w:t xml:space="preserve"> </w:t>
      </w:r>
      <w:r w:rsidR="00036FAC" w:rsidRPr="00036FAC">
        <w:t>programme</w:t>
      </w:r>
      <w:r w:rsidR="00907D8C">
        <w:t xml:space="preserve"> </w:t>
      </w:r>
      <w:r w:rsidR="00036FAC" w:rsidRPr="00036FAC">
        <w:t>that</w:t>
      </w:r>
      <w:r w:rsidR="00907D8C">
        <w:t xml:space="preserve"> </w:t>
      </w:r>
      <w:r w:rsidR="00036FAC" w:rsidRPr="00036FAC">
        <w:t>aims</w:t>
      </w:r>
      <w:r w:rsidR="00907D8C">
        <w:t xml:space="preserve"> </w:t>
      </w:r>
      <w:r w:rsidR="00036FAC" w:rsidRPr="00036FAC">
        <w:t>to</w:t>
      </w:r>
      <w:r w:rsidR="00907D8C">
        <w:t xml:space="preserve"> </w:t>
      </w:r>
      <w:r w:rsidR="00036FAC" w:rsidRPr="00036FAC">
        <w:t>build</w:t>
      </w:r>
      <w:r w:rsidR="00907D8C">
        <w:t xml:space="preserve"> </w:t>
      </w:r>
      <w:r w:rsidR="00036FAC" w:rsidRPr="00036FAC">
        <w:t>understanding</w:t>
      </w:r>
      <w:r w:rsidR="00907D8C">
        <w:t xml:space="preserve"> </w:t>
      </w:r>
      <w:r w:rsidR="00036FAC" w:rsidRPr="00036FAC">
        <w:t>between</w:t>
      </w:r>
      <w:r w:rsidR="00907D8C">
        <w:t xml:space="preserve"> </w:t>
      </w:r>
      <w:r w:rsidR="00036FAC" w:rsidRPr="00036FAC">
        <w:t>Muslim</w:t>
      </w:r>
      <w:r w:rsidR="00907D8C">
        <w:t xml:space="preserve"> </w:t>
      </w:r>
      <w:r w:rsidR="00036FAC" w:rsidRPr="00036FAC">
        <w:t>and</w:t>
      </w:r>
      <w:r w:rsidR="00907D8C">
        <w:t xml:space="preserve"> </w:t>
      </w:r>
      <w:r w:rsidR="00036FAC" w:rsidRPr="00036FAC">
        <w:t>non-Muslim</w:t>
      </w:r>
      <w:r w:rsidR="00907D8C">
        <w:t xml:space="preserve"> </w:t>
      </w:r>
      <w:r w:rsidR="00036FAC" w:rsidRPr="00036FAC">
        <w:t>communities</w:t>
      </w:r>
      <w:r w:rsidR="00907D8C">
        <w:t xml:space="preserve"> </w:t>
      </w:r>
      <w:r w:rsidR="00036FAC" w:rsidRPr="00036FAC">
        <w:t>in</w:t>
      </w:r>
      <w:r w:rsidR="00907D8C">
        <w:t xml:space="preserve"> </w:t>
      </w:r>
      <w:r w:rsidR="00036FAC" w:rsidRPr="00036FAC">
        <w:t>New</w:t>
      </w:r>
      <w:r w:rsidR="00907D8C">
        <w:t xml:space="preserve"> </w:t>
      </w:r>
      <w:r w:rsidR="00036FAC" w:rsidRPr="00036FAC">
        <w:t>Zealand)</w:t>
      </w:r>
    </w:p>
    <w:p w:rsidR="00036FAC" w:rsidRPr="00036FAC" w:rsidRDefault="00A864D7" w:rsidP="00A864D7">
      <w:pPr>
        <w:pStyle w:val="Bullet1G"/>
      </w:pPr>
      <w:r>
        <w:t>B</w:t>
      </w:r>
      <w:r w:rsidR="00036FAC" w:rsidRPr="00036FAC">
        <w:t>uilding</w:t>
      </w:r>
      <w:r w:rsidR="00907D8C">
        <w:t xml:space="preserve"> </w:t>
      </w:r>
      <w:r w:rsidR="00036FAC" w:rsidRPr="00036FAC">
        <w:t>capacity</w:t>
      </w:r>
      <w:r w:rsidR="00907D8C">
        <w:t xml:space="preserve"> </w:t>
      </w:r>
      <w:r w:rsidR="00036FAC" w:rsidRPr="00036FAC">
        <w:t>among</w:t>
      </w:r>
      <w:r w:rsidR="00907D8C">
        <w:t xml:space="preserve"> </w:t>
      </w:r>
      <w:r w:rsidR="00036FAC" w:rsidRPr="00036FAC">
        <w:t>ethnic</w:t>
      </w:r>
      <w:r w:rsidR="00907D8C">
        <w:t xml:space="preserve"> </w:t>
      </w:r>
      <w:r w:rsidR="00036FAC" w:rsidRPr="00036FAC">
        <w:t>New</w:t>
      </w:r>
      <w:r w:rsidR="00907D8C">
        <w:t xml:space="preserve"> </w:t>
      </w:r>
      <w:r w:rsidR="00036FAC" w:rsidRPr="00036FAC">
        <w:t>Zealanders,</w:t>
      </w:r>
      <w:r w:rsidR="00907D8C">
        <w:t xml:space="preserve"> </w:t>
      </w:r>
      <w:r w:rsidR="00036FAC" w:rsidRPr="00036FAC">
        <w:t>so</w:t>
      </w:r>
      <w:r w:rsidR="00907D8C">
        <w:t xml:space="preserve"> </w:t>
      </w:r>
      <w:r w:rsidR="00036FAC" w:rsidRPr="00036FAC">
        <w:t>that</w:t>
      </w:r>
      <w:r w:rsidR="00907D8C">
        <w:t xml:space="preserve"> </w:t>
      </w:r>
      <w:r w:rsidR="00036FAC" w:rsidRPr="00036FAC">
        <w:t>they</w:t>
      </w:r>
      <w:r w:rsidR="00907D8C">
        <w:t xml:space="preserve"> </w:t>
      </w:r>
      <w:r w:rsidR="00036FAC" w:rsidRPr="00036FAC">
        <w:t>can</w:t>
      </w:r>
      <w:r w:rsidR="00907D8C">
        <w:t xml:space="preserve"> </w:t>
      </w:r>
      <w:r w:rsidR="00036FAC" w:rsidRPr="00036FAC">
        <w:t>actively</w:t>
      </w:r>
      <w:r w:rsidR="00907D8C">
        <w:t xml:space="preserve"> </w:t>
      </w:r>
      <w:r w:rsidR="00036FAC" w:rsidRPr="00036FAC">
        <w:t>participate</w:t>
      </w:r>
      <w:r w:rsidR="00907D8C">
        <w:t xml:space="preserve"> </w:t>
      </w:r>
      <w:r w:rsidR="00036FAC" w:rsidRPr="00036FAC">
        <w:t>in</w:t>
      </w:r>
      <w:r w:rsidR="00907D8C">
        <w:t xml:space="preserve"> </w:t>
      </w:r>
      <w:r w:rsidR="00036FAC" w:rsidRPr="00036FAC">
        <w:t>all</w:t>
      </w:r>
      <w:r w:rsidR="00907D8C">
        <w:t xml:space="preserve"> </w:t>
      </w:r>
      <w:r w:rsidR="00036FAC" w:rsidRPr="00036FAC">
        <w:t>aspects</w:t>
      </w:r>
      <w:r w:rsidR="00907D8C">
        <w:t xml:space="preserve"> </w:t>
      </w:r>
      <w:r w:rsidR="00036FAC" w:rsidRPr="00036FAC">
        <w:t>of</w:t>
      </w:r>
      <w:r w:rsidR="00907D8C">
        <w:t xml:space="preserve"> </w:t>
      </w:r>
      <w:r w:rsidR="00036FAC" w:rsidRPr="00036FAC">
        <w:t>New</w:t>
      </w:r>
      <w:r w:rsidR="00907D8C">
        <w:t xml:space="preserve"> </w:t>
      </w:r>
      <w:r w:rsidR="00036FAC" w:rsidRPr="00036FAC">
        <w:t>Zealand</w:t>
      </w:r>
      <w:r w:rsidR="00907D8C">
        <w:t xml:space="preserve"> </w:t>
      </w:r>
      <w:r w:rsidR="00036FAC" w:rsidRPr="00036FAC">
        <w:t>life</w:t>
      </w:r>
      <w:r w:rsidR="00907D8C">
        <w:t xml:space="preserve"> </w:t>
      </w:r>
      <w:r w:rsidR="00036FAC" w:rsidRPr="00036FAC">
        <w:t>(for</w:t>
      </w:r>
      <w:r w:rsidR="00907D8C">
        <w:t xml:space="preserve"> </w:t>
      </w:r>
      <w:r w:rsidR="00036FAC" w:rsidRPr="00036FAC">
        <w:t>example,</w:t>
      </w:r>
      <w:r w:rsidR="00907D8C">
        <w:t xml:space="preserve"> </w:t>
      </w:r>
      <w:r w:rsidR="00036FAC" w:rsidRPr="00036FAC">
        <w:t>through</w:t>
      </w:r>
      <w:r w:rsidR="00907D8C">
        <w:t xml:space="preserve"> </w:t>
      </w:r>
      <w:r w:rsidR="00036FAC" w:rsidRPr="00036FAC">
        <w:t>civic</w:t>
      </w:r>
      <w:r w:rsidR="00907D8C">
        <w:t xml:space="preserve"> </w:t>
      </w:r>
      <w:r w:rsidR="00036FAC" w:rsidRPr="00036FAC">
        <w:t>participation</w:t>
      </w:r>
      <w:r w:rsidR="00907D8C">
        <w:t xml:space="preserve"> </w:t>
      </w:r>
      <w:r w:rsidR="00036FAC" w:rsidRPr="00036FAC">
        <w:t>forums)</w:t>
      </w:r>
    </w:p>
    <w:p w:rsidR="00036FAC" w:rsidRPr="00036FAC" w:rsidRDefault="00A864D7" w:rsidP="00A864D7">
      <w:pPr>
        <w:pStyle w:val="Bullet1G"/>
      </w:pPr>
      <w:r>
        <w:t>R</w:t>
      </w:r>
      <w:r w:rsidR="00036FAC" w:rsidRPr="00036FAC">
        <w:t>aising</w:t>
      </w:r>
      <w:r w:rsidR="00907D8C">
        <w:t xml:space="preserve"> </w:t>
      </w:r>
      <w:r w:rsidR="00036FAC" w:rsidRPr="00036FAC">
        <w:t>intercultural</w:t>
      </w:r>
      <w:r w:rsidR="00907D8C">
        <w:t xml:space="preserve"> </w:t>
      </w:r>
      <w:r w:rsidR="00036FAC" w:rsidRPr="00036FAC">
        <w:t>awareness,</w:t>
      </w:r>
      <w:r w:rsidR="00907D8C">
        <w:t xml:space="preserve"> </w:t>
      </w:r>
      <w:r w:rsidR="00036FAC" w:rsidRPr="00036FAC">
        <w:t>competence,</w:t>
      </w:r>
      <w:r w:rsidR="00907D8C">
        <w:t xml:space="preserve"> </w:t>
      </w:r>
      <w:r w:rsidR="00036FAC" w:rsidRPr="00036FAC">
        <w:t>and</w:t>
      </w:r>
      <w:r w:rsidR="00907D8C">
        <w:t xml:space="preserve"> </w:t>
      </w:r>
      <w:r w:rsidR="00036FAC" w:rsidRPr="00036FAC">
        <w:t>skills</w:t>
      </w:r>
      <w:r w:rsidR="00907D8C">
        <w:t xml:space="preserve"> </w:t>
      </w:r>
      <w:r w:rsidR="00036FAC" w:rsidRPr="00036FAC">
        <w:t>among</w:t>
      </w:r>
      <w:r w:rsidR="00907D8C">
        <w:t xml:space="preserve"> </w:t>
      </w:r>
      <w:r w:rsidR="00036FAC" w:rsidRPr="00036FAC">
        <w:t>employers,</w:t>
      </w:r>
      <w:r w:rsidR="00907D8C">
        <w:t xml:space="preserve"> </w:t>
      </w:r>
      <w:r w:rsidR="00036FAC" w:rsidRPr="00036FAC">
        <w:t>government</w:t>
      </w:r>
      <w:r w:rsidR="00907D8C">
        <w:t xml:space="preserve"> </w:t>
      </w:r>
      <w:r w:rsidR="00036FAC" w:rsidRPr="00036FAC">
        <w:t>agencies,</w:t>
      </w:r>
      <w:r w:rsidR="00907D8C">
        <w:t xml:space="preserve"> </w:t>
      </w:r>
      <w:r w:rsidR="00036FAC" w:rsidRPr="00036FAC">
        <w:t>and</w:t>
      </w:r>
      <w:r w:rsidR="00907D8C">
        <w:t xml:space="preserve"> </w:t>
      </w:r>
      <w:r w:rsidR="00036FAC" w:rsidRPr="00036FAC">
        <w:t>community</w:t>
      </w:r>
      <w:r w:rsidR="00907D8C">
        <w:t xml:space="preserve"> </w:t>
      </w:r>
      <w:r w:rsidR="00036FAC" w:rsidRPr="00036FAC">
        <w:t>groups</w:t>
      </w:r>
    </w:p>
    <w:p w:rsidR="00036FAC" w:rsidRPr="00036FAC" w:rsidRDefault="00036FAC" w:rsidP="006C436C">
      <w:pPr>
        <w:pStyle w:val="H23G"/>
      </w:pPr>
      <w:r w:rsidRPr="00036FAC">
        <w:tab/>
        <w:t>(o)</w:t>
      </w:r>
      <w:r w:rsidRPr="00036FAC">
        <w:tab/>
        <w:t>Office</w:t>
      </w:r>
      <w:r w:rsidR="00907D8C">
        <w:t xml:space="preserve"> </w:t>
      </w:r>
      <w:r w:rsidRPr="00036FAC">
        <w:t>for</w:t>
      </w:r>
      <w:r w:rsidR="00907D8C">
        <w:t xml:space="preserve"> </w:t>
      </w:r>
      <w:r w:rsidRPr="00036FAC">
        <w:t>Disability</w:t>
      </w:r>
      <w:r w:rsidR="00907D8C">
        <w:t xml:space="preserve"> </w:t>
      </w:r>
      <w:r w:rsidRPr="00036FAC">
        <w:t>Issues</w:t>
      </w:r>
    </w:p>
    <w:p w:rsidR="00036FAC" w:rsidRPr="00036FAC" w:rsidRDefault="00036FAC" w:rsidP="00A864D7">
      <w:pPr>
        <w:pStyle w:val="SingleTxtG"/>
      </w:pPr>
      <w:r w:rsidRPr="00036FAC">
        <w:t>203.</w:t>
      </w:r>
      <w:r w:rsidRPr="00036FAC">
        <w:tab/>
        <w:t>The</w:t>
      </w:r>
      <w:r w:rsidR="00907D8C">
        <w:t xml:space="preserve"> </w:t>
      </w:r>
      <w:r w:rsidRPr="00036FAC">
        <w:t>Office</w:t>
      </w:r>
      <w:r w:rsidR="00907D8C">
        <w:t xml:space="preserve"> </w:t>
      </w:r>
      <w:r w:rsidRPr="00036FAC">
        <w:t>for</w:t>
      </w:r>
      <w:r w:rsidR="00907D8C">
        <w:t xml:space="preserve"> </w:t>
      </w:r>
      <w:r w:rsidRPr="00036FAC">
        <w:t>Disability</w:t>
      </w:r>
      <w:r w:rsidR="00907D8C">
        <w:t xml:space="preserve"> </w:t>
      </w:r>
      <w:r w:rsidRPr="00036FAC">
        <w:t>Issues</w:t>
      </w:r>
      <w:r w:rsidR="00907D8C">
        <w:t xml:space="preserve"> </w:t>
      </w:r>
      <w:r w:rsidRPr="00036FAC">
        <w:t>is</w:t>
      </w:r>
      <w:r w:rsidR="00907D8C">
        <w:t xml:space="preserve"> </w:t>
      </w:r>
      <w:r w:rsidRPr="00036FAC">
        <w:t>a</w:t>
      </w:r>
      <w:r w:rsidR="00907D8C">
        <w:t xml:space="preserve"> </w:t>
      </w:r>
      <w:r w:rsidRPr="00036FAC">
        <w:t>strategic</w:t>
      </w:r>
      <w:r w:rsidR="00907D8C">
        <w:t xml:space="preserve"> </w:t>
      </w:r>
      <w:r w:rsidRPr="00036FAC">
        <w:t>and</w:t>
      </w:r>
      <w:r w:rsidR="00907D8C">
        <w:t xml:space="preserve"> </w:t>
      </w:r>
      <w:r w:rsidRPr="00036FAC">
        <w:t>whole-of-government</w:t>
      </w:r>
      <w:r w:rsidR="00907D8C">
        <w:t xml:space="preserve"> </w:t>
      </w:r>
      <w:r w:rsidRPr="00036FAC">
        <w:t>focused</w:t>
      </w:r>
      <w:r w:rsidR="00907D8C">
        <w:t xml:space="preserve"> </w:t>
      </w:r>
      <w:r w:rsidRPr="00036FAC">
        <w:t>policy</w:t>
      </w:r>
      <w:r w:rsidR="00907D8C">
        <w:t xml:space="preserve"> </w:t>
      </w:r>
      <w:r w:rsidRPr="00036FAC">
        <w:t>group,</w:t>
      </w:r>
      <w:r w:rsidR="00907D8C">
        <w:t xml:space="preserve"> </w:t>
      </w:r>
      <w:r w:rsidRPr="00036FAC">
        <w:t>located</w:t>
      </w:r>
      <w:r w:rsidR="00907D8C">
        <w:t xml:space="preserve"> </w:t>
      </w:r>
      <w:r w:rsidRPr="00036FAC">
        <w:t>within</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Social</w:t>
      </w:r>
      <w:r w:rsidR="00907D8C">
        <w:t xml:space="preserve"> </w:t>
      </w:r>
      <w:r w:rsidRPr="00036FAC">
        <w:t>Development.</w:t>
      </w:r>
      <w:r w:rsidR="00907D8C">
        <w:t xml:space="preserve"> </w:t>
      </w:r>
      <w:r w:rsidRPr="00036FAC">
        <w:t>It</w:t>
      </w:r>
      <w:r w:rsidR="00907D8C">
        <w:t xml:space="preserve"> </w:t>
      </w:r>
      <w:r w:rsidRPr="00036FAC">
        <w:t>was</w:t>
      </w:r>
      <w:r w:rsidR="00907D8C">
        <w:t xml:space="preserve"> </w:t>
      </w:r>
      <w:r w:rsidRPr="00036FAC">
        <w:t>established</w:t>
      </w:r>
      <w:r w:rsidR="00907D8C">
        <w:t xml:space="preserve"> </w:t>
      </w:r>
      <w:r w:rsidRPr="00036FAC">
        <w:t>in</w:t>
      </w:r>
      <w:r w:rsidR="00907D8C">
        <w:t xml:space="preserve"> </w:t>
      </w:r>
      <w:r w:rsidRPr="00036FAC">
        <w:t>2002</w:t>
      </w:r>
      <w:r w:rsidR="00907D8C">
        <w:t xml:space="preserve"> </w:t>
      </w:r>
      <w:r w:rsidRPr="00036FAC">
        <w:t>to</w:t>
      </w:r>
      <w:r w:rsidR="00907D8C">
        <w:t xml:space="preserve"> </w:t>
      </w:r>
      <w:r w:rsidRPr="00036FAC">
        <w:t>be</w:t>
      </w:r>
      <w:r w:rsidR="00907D8C">
        <w:t xml:space="preserve"> </w:t>
      </w:r>
      <w:r w:rsidRPr="00036FAC">
        <w:t>the</w:t>
      </w:r>
      <w:r w:rsidR="00907D8C">
        <w:t xml:space="preserve"> </w:t>
      </w:r>
      <w:r w:rsidRPr="00036FAC">
        <w:t>focal</w:t>
      </w:r>
      <w:r w:rsidR="00907D8C">
        <w:t xml:space="preserve"> </w:t>
      </w:r>
      <w:r w:rsidRPr="00036FAC">
        <w:t>point</w:t>
      </w:r>
      <w:r w:rsidR="00907D8C">
        <w:t xml:space="preserve"> </w:t>
      </w:r>
      <w:r w:rsidRPr="00036FAC">
        <w:t>in</w:t>
      </w:r>
      <w:r w:rsidR="00907D8C">
        <w:t xml:space="preserve"> </w:t>
      </w:r>
      <w:r w:rsidRPr="00036FAC">
        <w:t>government</w:t>
      </w:r>
      <w:r w:rsidR="00907D8C">
        <w:t xml:space="preserve"> </w:t>
      </w:r>
      <w:r w:rsidRPr="00036FAC">
        <w:t>on</w:t>
      </w:r>
      <w:r w:rsidR="00907D8C">
        <w:t xml:space="preserve"> </w:t>
      </w:r>
      <w:r w:rsidRPr="00036FAC">
        <w:t>disability</w:t>
      </w:r>
      <w:r w:rsidR="00907D8C">
        <w:t xml:space="preserve"> </w:t>
      </w:r>
      <w:r w:rsidRPr="00036FAC">
        <w:t>issues.</w:t>
      </w:r>
      <w:r w:rsidR="00907D8C">
        <w:t xml:space="preserve"> </w:t>
      </w:r>
      <w:r w:rsidRPr="00036FAC">
        <w:t>The</w:t>
      </w:r>
      <w:r w:rsidR="00907D8C">
        <w:t xml:space="preserve"> </w:t>
      </w:r>
      <w:r w:rsidRPr="00036FAC">
        <w:t>Office</w:t>
      </w:r>
      <w:r w:rsidR="00907D8C">
        <w:t xml:space="preserve"> </w:t>
      </w:r>
      <w:r w:rsidRPr="00036FAC">
        <w:t>provides</w:t>
      </w:r>
      <w:r w:rsidR="00907D8C">
        <w:t xml:space="preserve"> </w:t>
      </w:r>
      <w:r w:rsidRPr="00036FAC">
        <w:t>policy</w:t>
      </w:r>
      <w:r w:rsidR="00907D8C">
        <w:t xml:space="preserve"> </w:t>
      </w:r>
      <w:r w:rsidRPr="00036FAC">
        <w:t>advice</w:t>
      </w:r>
      <w:r w:rsidR="00907D8C">
        <w:t xml:space="preserve"> </w:t>
      </w:r>
      <w:r w:rsidRPr="00036FAC">
        <w:t>on</w:t>
      </w:r>
      <w:r w:rsidR="00907D8C">
        <w:t xml:space="preserve"> </w:t>
      </w:r>
      <w:r w:rsidRPr="00036FAC">
        <w:t>disability</w:t>
      </w:r>
      <w:r w:rsidR="00907D8C">
        <w:t xml:space="preserve"> </w:t>
      </w:r>
      <w:r w:rsidRPr="00036FAC">
        <w:t>issues,</w:t>
      </w:r>
      <w:r w:rsidR="00907D8C">
        <w:t xml:space="preserve"> </w:t>
      </w:r>
      <w:r w:rsidRPr="00036FAC">
        <w:t>including</w:t>
      </w:r>
      <w:r w:rsidR="00907D8C">
        <w:t xml:space="preserve"> </w:t>
      </w:r>
      <w:r w:rsidRPr="00036FAC">
        <w:t>leading</w:t>
      </w:r>
      <w:r w:rsidR="00907D8C">
        <w:t xml:space="preserve"> </w:t>
      </w:r>
      <w:r w:rsidRPr="00036FAC">
        <w:t>strategic</w:t>
      </w:r>
      <w:r w:rsidR="00907D8C">
        <w:t xml:space="preserve"> </w:t>
      </w:r>
      <w:r w:rsidRPr="00036FAC">
        <w:t>policy</w:t>
      </w:r>
      <w:r w:rsidR="00907D8C">
        <w:t xml:space="preserve"> </w:t>
      </w:r>
      <w:r w:rsidRPr="00036FAC">
        <w:t>development</w:t>
      </w:r>
      <w:r w:rsidR="00907D8C">
        <w:t xml:space="preserve"> </w:t>
      </w:r>
      <w:r w:rsidRPr="00036FAC">
        <w:t>on</w:t>
      </w:r>
      <w:r w:rsidR="00907D8C">
        <w:t xml:space="preserve"> </w:t>
      </w:r>
      <w:r w:rsidRPr="00036FAC">
        <w:t>disability</w:t>
      </w:r>
      <w:r w:rsidR="00907D8C">
        <w:t xml:space="preserve"> </w:t>
      </w:r>
      <w:r w:rsidRPr="00036FAC">
        <w:t>issues</w:t>
      </w:r>
      <w:r w:rsidR="00907D8C">
        <w:t xml:space="preserve"> </w:t>
      </w:r>
      <w:r w:rsidRPr="00036FAC">
        <w:t>across</w:t>
      </w:r>
      <w:r w:rsidR="00907D8C">
        <w:t xml:space="preserve"> </w:t>
      </w:r>
      <w:r w:rsidRPr="00036FAC">
        <w:t>government.</w:t>
      </w:r>
      <w:r w:rsidR="00907D8C">
        <w:t xml:space="preserve"> </w:t>
      </w:r>
      <w:r w:rsidRPr="00036FAC">
        <w:t>It</w:t>
      </w:r>
      <w:r w:rsidR="00907D8C">
        <w:t xml:space="preserve"> </w:t>
      </w:r>
      <w:r w:rsidRPr="00036FAC">
        <w:t>maintains</w:t>
      </w:r>
      <w:r w:rsidR="00907D8C">
        <w:t xml:space="preserve"> </w:t>
      </w:r>
      <w:r w:rsidRPr="00036FAC">
        <w:t>an</w:t>
      </w:r>
      <w:r w:rsidR="00907D8C">
        <w:t xml:space="preserve"> </w:t>
      </w:r>
      <w:r w:rsidRPr="00036FAC">
        <w:t>overview</w:t>
      </w:r>
      <w:r w:rsidR="00907D8C">
        <w:t xml:space="preserve"> </w:t>
      </w:r>
      <w:r w:rsidRPr="00036FAC">
        <w:t>of,</w:t>
      </w:r>
      <w:r w:rsidR="00907D8C">
        <w:t xml:space="preserve"> </w:t>
      </w:r>
      <w:r w:rsidRPr="00036FAC">
        <w:t>and</w:t>
      </w:r>
      <w:r w:rsidR="00907D8C">
        <w:t xml:space="preserve"> </w:t>
      </w:r>
      <w:r w:rsidRPr="00036FAC">
        <w:t>contributes</w:t>
      </w:r>
      <w:r w:rsidR="00907D8C">
        <w:t xml:space="preserve"> </w:t>
      </w:r>
      <w:r w:rsidRPr="00036FAC">
        <w:t>a</w:t>
      </w:r>
      <w:r w:rsidR="00907D8C">
        <w:t xml:space="preserve"> </w:t>
      </w:r>
      <w:r w:rsidRPr="00036FAC">
        <w:t>disability</w:t>
      </w:r>
      <w:r w:rsidR="00907D8C">
        <w:t xml:space="preserve"> </w:t>
      </w:r>
      <w:r w:rsidRPr="00036FAC">
        <w:t>perspective</w:t>
      </w:r>
      <w:r w:rsidR="00907D8C">
        <w:t xml:space="preserve"> </w:t>
      </w:r>
      <w:r w:rsidRPr="00036FAC">
        <w:t>to,</w:t>
      </w:r>
      <w:r w:rsidR="00907D8C">
        <w:t xml:space="preserve"> </w:t>
      </w:r>
      <w:r w:rsidRPr="00036FAC">
        <w:t>policy</w:t>
      </w:r>
      <w:r w:rsidR="00907D8C">
        <w:t xml:space="preserve"> </w:t>
      </w:r>
      <w:r w:rsidRPr="00036FAC">
        <w:t>development</w:t>
      </w:r>
      <w:r w:rsidR="00907D8C">
        <w:t xml:space="preserve"> </w:t>
      </w:r>
      <w:r w:rsidRPr="00036FAC">
        <w:t>by</w:t>
      </w:r>
      <w:r w:rsidR="00907D8C">
        <w:t xml:space="preserve"> </w:t>
      </w:r>
      <w:r w:rsidRPr="00036FAC">
        <w:t>other</w:t>
      </w:r>
      <w:r w:rsidR="00907D8C">
        <w:t xml:space="preserve"> </w:t>
      </w:r>
      <w:r w:rsidRPr="00036FAC">
        <w:t>agencies</w:t>
      </w:r>
      <w:r w:rsidR="00907D8C">
        <w:t xml:space="preserve"> </w:t>
      </w:r>
      <w:r w:rsidRPr="00036FAC">
        <w:t>and</w:t>
      </w:r>
      <w:r w:rsidR="00907D8C">
        <w:t xml:space="preserve"> </w:t>
      </w:r>
      <w:r w:rsidRPr="00036FAC">
        <w:t>meets</w:t>
      </w:r>
      <w:r w:rsidR="00907D8C">
        <w:t xml:space="preserve"> </w:t>
      </w:r>
      <w:r w:rsidRPr="00036FAC">
        <w:t>formal</w:t>
      </w:r>
      <w:r w:rsidR="00907D8C">
        <w:t xml:space="preserve"> </w:t>
      </w:r>
      <w:r w:rsidRPr="00036FAC">
        <w:t>international</w:t>
      </w:r>
      <w:r w:rsidR="00907D8C">
        <w:t xml:space="preserve"> </w:t>
      </w:r>
      <w:r w:rsidRPr="00036FAC">
        <w:t>obligations</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disability</w:t>
      </w:r>
      <w:r w:rsidR="00907D8C">
        <w:t xml:space="preserve"> </w:t>
      </w:r>
      <w:r w:rsidRPr="00036FAC">
        <w:t>issues.</w:t>
      </w:r>
    </w:p>
    <w:p w:rsidR="00036FAC" w:rsidRPr="00036FAC" w:rsidRDefault="00036FAC" w:rsidP="00A864D7">
      <w:pPr>
        <w:pStyle w:val="SingleTxtG"/>
      </w:pPr>
      <w:r w:rsidRPr="00036FAC">
        <w:t>204.</w:t>
      </w:r>
      <w:r w:rsidRPr="00036FAC">
        <w:tab/>
        <w:t>The</w:t>
      </w:r>
      <w:r w:rsidR="00907D8C">
        <w:t xml:space="preserve"> </w:t>
      </w:r>
      <w:r w:rsidRPr="00036FAC">
        <w:t>Office</w:t>
      </w:r>
      <w:r w:rsidR="00907D8C">
        <w:t xml:space="preserve"> </w:t>
      </w:r>
      <w:r w:rsidRPr="00036FAC">
        <w:t>promotes,</w:t>
      </w:r>
      <w:r w:rsidR="00907D8C">
        <w:t xml:space="preserve"> </w:t>
      </w:r>
      <w:r w:rsidRPr="00036FAC">
        <w:t>monitors,</w:t>
      </w:r>
      <w:r w:rsidR="00907D8C">
        <w:t xml:space="preserve"> </w:t>
      </w:r>
      <w:r w:rsidRPr="00036FAC">
        <w:t>and</w:t>
      </w:r>
      <w:r w:rsidR="00907D8C">
        <w:t xml:space="preserve"> </w:t>
      </w:r>
      <w:r w:rsidRPr="00036FAC">
        <w:t>reports</w:t>
      </w:r>
      <w:r w:rsidR="00907D8C">
        <w:t xml:space="preserve"> </w:t>
      </w:r>
      <w:r w:rsidRPr="00036FAC">
        <w:t>on</w:t>
      </w:r>
      <w:r w:rsidR="00907D8C">
        <w:t xml:space="preserve"> </w:t>
      </w:r>
      <w:r w:rsidRPr="00036FAC">
        <w:t>the</w:t>
      </w:r>
      <w:r w:rsidR="00907D8C">
        <w:t xml:space="preserve"> </w:t>
      </w:r>
      <w:r w:rsidRPr="00036FAC">
        <w:t>progress</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Disability</w:t>
      </w:r>
      <w:r w:rsidR="00907D8C">
        <w:t xml:space="preserve"> </w:t>
      </w:r>
      <w:r w:rsidRPr="00036FAC">
        <w:t>Strategy</w:t>
      </w:r>
      <w:r w:rsidR="00907D8C">
        <w:t xml:space="preserve"> </w:t>
      </w:r>
      <w:r w:rsidRPr="00036FAC">
        <w:t>within</w:t>
      </w:r>
      <w:r w:rsidR="00907D8C">
        <w:t xml:space="preserve"> </w:t>
      </w:r>
      <w:r w:rsidRPr="00036FAC">
        <w:t>government</w:t>
      </w:r>
      <w:r w:rsidR="00907D8C">
        <w:t xml:space="preserve"> </w:t>
      </w:r>
      <w:r w:rsidRPr="00036FAC">
        <w:t>and</w:t>
      </w:r>
      <w:r w:rsidR="00907D8C">
        <w:t xml:space="preserve"> </w:t>
      </w:r>
      <w:r w:rsidRPr="00036FAC">
        <w:t>the</w:t>
      </w:r>
      <w:r w:rsidR="00907D8C">
        <w:t xml:space="preserve"> </w:t>
      </w:r>
      <w:r w:rsidRPr="00036FAC">
        <w:t>wider</w:t>
      </w:r>
      <w:r w:rsidR="00907D8C">
        <w:t xml:space="preserve"> </w:t>
      </w:r>
      <w:r w:rsidRPr="00036FAC">
        <w:t>community.</w:t>
      </w:r>
      <w:r w:rsidR="00907D8C">
        <w:t xml:space="preserve"> </w:t>
      </w:r>
      <w:r w:rsidRPr="00036FAC">
        <w:t>It</w:t>
      </w:r>
      <w:r w:rsidR="00907D8C">
        <w:t xml:space="preserve"> </w:t>
      </w:r>
      <w:r w:rsidRPr="00036FAC">
        <w:t>ensures</w:t>
      </w:r>
      <w:r w:rsidR="00907D8C">
        <w:t xml:space="preserve"> </w:t>
      </w:r>
      <w:r w:rsidRPr="00036FAC">
        <w:t>the</w:t>
      </w:r>
      <w:r w:rsidR="00907D8C">
        <w:t xml:space="preserve"> </w:t>
      </w:r>
      <w:r w:rsidRPr="00036FAC">
        <w:t>disability</w:t>
      </w:r>
      <w:r w:rsidR="00907D8C">
        <w:t xml:space="preserve"> </w:t>
      </w:r>
      <w:r w:rsidRPr="00036FAC">
        <w:t>sector</w:t>
      </w:r>
      <w:r w:rsidR="00907D8C">
        <w:t xml:space="preserve"> </w:t>
      </w:r>
      <w:r w:rsidRPr="00036FAC">
        <w:t>has</w:t>
      </w:r>
      <w:r w:rsidR="00907D8C">
        <w:t xml:space="preserve"> </w:t>
      </w:r>
      <w:r w:rsidRPr="00036FAC">
        <w:t>a</w:t>
      </w:r>
      <w:r w:rsidR="00907D8C">
        <w:t xml:space="preserve"> </w:t>
      </w:r>
      <w:r w:rsidRPr="00036FAC">
        <w:t>voice</w:t>
      </w:r>
      <w:r w:rsidR="00907D8C">
        <w:t xml:space="preserve"> </w:t>
      </w:r>
      <w:r w:rsidRPr="00036FAC">
        <w:t>within</w:t>
      </w:r>
      <w:r w:rsidR="00907D8C">
        <w:t xml:space="preserve"> </w:t>
      </w:r>
      <w:r w:rsidRPr="00036FAC">
        <w:t>government</w:t>
      </w:r>
      <w:r w:rsidR="00907D8C">
        <w:t xml:space="preserve"> </w:t>
      </w:r>
      <w:r w:rsidRPr="00036FAC">
        <w:t>by</w:t>
      </w:r>
      <w:r w:rsidR="00907D8C">
        <w:t xml:space="preserve"> </w:t>
      </w:r>
      <w:r w:rsidRPr="00036FAC">
        <w:t>building</w:t>
      </w:r>
      <w:r w:rsidR="00907D8C">
        <w:t xml:space="preserve"> </w:t>
      </w:r>
      <w:r w:rsidRPr="00036FAC">
        <w:t>strong</w:t>
      </w:r>
      <w:r w:rsidR="00907D8C">
        <w:t xml:space="preserve"> </w:t>
      </w:r>
      <w:r w:rsidRPr="00036FAC">
        <w:t>government</w:t>
      </w:r>
      <w:r w:rsidR="00A864D7">
        <w:t>-</w:t>
      </w:r>
      <w:r w:rsidRPr="00036FAC">
        <w:t>disability</w:t>
      </w:r>
      <w:r w:rsidR="00907D8C">
        <w:t xml:space="preserve"> </w:t>
      </w:r>
      <w:r w:rsidRPr="00036FAC">
        <w:t>sector</w:t>
      </w:r>
      <w:r w:rsidR="00907D8C">
        <w:t xml:space="preserve"> </w:t>
      </w:r>
      <w:r w:rsidRPr="00036FAC">
        <w:t>relationships</w:t>
      </w:r>
      <w:r w:rsidR="00907D8C">
        <w:t xml:space="preserve"> </w:t>
      </w:r>
      <w:r w:rsidRPr="00036FAC">
        <w:t>to</w:t>
      </w:r>
      <w:r w:rsidR="00907D8C">
        <w:t xml:space="preserve"> </w:t>
      </w:r>
      <w:r w:rsidRPr="00036FAC">
        <w:t>enhance</w:t>
      </w:r>
      <w:r w:rsidR="00907D8C">
        <w:t xml:space="preserve"> </w:t>
      </w:r>
      <w:r w:rsidRPr="00036FAC">
        <w:t>understanding</w:t>
      </w:r>
      <w:r w:rsidR="00907D8C">
        <w:t xml:space="preserve"> </w:t>
      </w:r>
      <w:r w:rsidRPr="00036FAC">
        <w:t>of</w:t>
      </w:r>
      <w:r w:rsidR="00907D8C">
        <w:t xml:space="preserve"> </w:t>
      </w:r>
      <w:r w:rsidRPr="00036FAC">
        <w:t>sector</w:t>
      </w:r>
      <w:r w:rsidR="00907D8C">
        <w:t xml:space="preserve"> </w:t>
      </w:r>
      <w:r w:rsidRPr="00036FAC">
        <w:t>perspectives,</w:t>
      </w:r>
      <w:r w:rsidR="00907D8C">
        <w:t xml:space="preserve"> </w:t>
      </w:r>
      <w:r w:rsidRPr="00036FAC">
        <w:t>issues,</w:t>
      </w:r>
      <w:r w:rsidR="00907D8C">
        <w:t xml:space="preserve"> </w:t>
      </w:r>
      <w:r w:rsidRPr="00036FAC">
        <w:t>and</w:t>
      </w:r>
      <w:r w:rsidR="00907D8C">
        <w:t xml:space="preserve"> </w:t>
      </w:r>
      <w:r w:rsidRPr="00036FAC">
        <w:t>concerns</w:t>
      </w:r>
      <w:r w:rsidR="00907D8C">
        <w:t xml:space="preserve"> </w:t>
      </w:r>
      <w:r w:rsidRPr="00036FAC">
        <w:t>(including</w:t>
      </w:r>
      <w:r w:rsidR="00907D8C">
        <w:t xml:space="preserve"> </w:t>
      </w:r>
      <w:r w:rsidRPr="00036FAC">
        <w:t>emerging</w:t>
      </w:r>
      <w:r w:rsidR="00907D8C">
        <w:t xml:space="preserve"> </w:t>
      </w:r>
      <w:r w:rsidRPr="00036FAC">
        <w:t>issues).</w:t>
      </w:r>
    </w:p>
    <w:p w:rsidR="00036FAC" w:rsidRPr="00036FAC" w:rsidRDefault="00036FAC" w:rsidP="006C436C">
      <w:pPr>
        <w:pStyle w:val="H23G"/>
      </w:pPr>
      <w:bookmarkStart w:id="228" w:name="_Toc114894982"/>
      <w:bookmarkStart w:id="229" w:name="_Toc114895873"/>
      <w:bookmarkStart w:id="230" w:name="_Toc115493418"/>
      <w:bookmarkStart w:id="231" w:name="_Toc115493762"/>
      <w:bookmarkStart w:id="232" w:name="_Toc115493837"/>
      <w:bookmarkStart w:id="233" w:name="_Toc118100638"/>
      <w:bookmarkStart w:id="234" w:name="_Toc125276406"/>
      <w:bookmarkStart w:id="235" w:name="_Toc125278805"/>
      <w:bookmarkStart w:id="236" w:name="_Toc125278924"/>
      <w:r w:rsidRPr="00036FAC">
        <w:tab/>
        <w:t>3.</w:t>
      </w:r>
      <w:r w:rsidRPr="00036FAC">
        <w:tab/>
        <w:t>Enforcement</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instruments</w:t>
      </w:r>
      <w:r w:rsidR="00907D8C">
        <w:t xml:space="preserve"> </w:t>
      </w:r>
      <w:r w:rsidRPr="00036FAC">
        <w:t>by</w:t>
      </w:r>
      <w:r w:rsidR="00907D8C">
        <w:t xml:space="preserve"> </w:t>
      </w:r>
      <w:r w:rsidRPr="00036FAC">
        <w:t>domestic</w:t>
      </w:r>
      <w:r w:rsidR="00907D8C">
        <w:t xml:space="preserve"> </w:t>
      </w:r>
      <w:r w:rsidRPr="00036FAC">
        <w:t>courts</w:t>
      </w:r>
      <w:r w:rsidR="00907D8C">
        <w:t xml:space="preserve"> </w:t>
      </w:r>
      <w:r w:rsidRPr="00036FAC">
        <w:t>and</w:t>
      </w:r>
      <w:r w:rsidR="00907D8C">
        <w:t xml:space="preserve"> </w:t>
      </w:r>
      <w:r w:rsidRPr="00036FAC">
        <w:t>other</w:t>
      </w:r>
      <w:r w:rsidR="00907D8C">
        <w:t xml:space="preserve"> </w:t>
      </w:r>
      <w:r w:rsidRPr="00036FAC">
        <w:t>authorities</w:t>
      </w:r>
    </w:p>
    <w:p w:rsidR="00036FAC" w:rsidRPr="00036FAC" w:rsidRDefault="00036FAC" w:rsidP="00A864D7">
      <w:pPr>
        <w:pStyle w:val="SingleTxtG"/>
      </w:pPr>
      <w:r w:rsidRPr="00036FAC">
        <w:t>205.</w:t>
      </w:r>
      <w:r w:rsidRPr="00036FAC">
        <w:tab/>
        <w:t>Generally,</w:t>
      </w:r>
      <w:r w:rsidR="00907D8C">
        <w:t xml:space="preserve"> </w:t>
      </w:r>
      <w:r w:rsidRPr="00036FAC">
        <w:t>for</w:t>
      </w:r>
      <w:r w:rsidR="00907D8C">
        <w:t xml:space="preserve"> </w:t>
      </w:r>
      <w:r w:rsidRPr="00036FAC">
        <w:t>an</w:t>
      </w:r>
      <w:r w:rsidR="00907D8C">
        <w:t xml:space="preserve"> </w:t>
      </w:r>
      <w:r w:rsidRPr="00036FAC">
        <w:t>individual</w:t>
      </w:r>
      <w:r w:rsidR="00907D8C">
        <w:t xml:space="preserve"> </w:t>
      </w:r>
      <w:r w:rsidRPr="00036FAC">
        <w:t>to</w:t>
      </w:r>
      <w:r w:rsidR="00907D8C">
        <w:t xml:space="preserve"> </w:t>
      </w:r>
      <w:r w:rsidRPr="00036FAC">
        <w:t>take</w:t>
      </w:r>
      <w:r w:rsidR="00907D8C">
        <w:t xml:space="preserve"> </w:t>
      </w:r>
      <w:r w:rsidRPr="00036FAC">
        <w:t>a</w:t>
      </w:r>
      <w:r w:rsidR="00907D8C">
        <w:t xml:space="preserve"> </w:t>
      </w:r>
      <w:r w:rsidRPr="00036FAC">
        <w:t>case</w:t>
      </w:r>
      <w:r w:rsidR="00907D8C">
        <w:t xml:space="preserve"> </w:t>
      </w:r>
      <w:r w:rsidRPr="00036FAC">
        <w:t>on</w:t>
      </w:r>
      <w:r w:rsidR="00907D8C">
        <w:t xml:space="preserve"> </w:t>
      </w:r>
      <w:r w:rsidRPr="00036FAC">
        <w:t>rights</w:t>
      </w:r>
      <w:r w:rsidR="00907D8C">
        <w:t xml:space="preserve"> </w:t>
      </w:r>
      <w:r w:rsidRPr="00036FAC">
        <w:t>protected</w:t>
      </w:r>
      <w:r w:rsidR="00907D8C">
        <w:t xml:space="preserve"> </w:t>
      </w:r>
      <w:r w:rsidRPr="00036FAC">
        <w:t>by</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instruments,</w:t>
      </w:r>
      <w:r w:rsidR="00907D8C">
        <w:t xml:space="preserve"> </w:t>
      </w:r>
      <w:r w:rsidRPr="00036FAC">
        <w:t>the</w:t>
      </w:r>
      <w:r w:rsidR="00907D8C">
        <w:t xml:space="preserve"> </w:t>
      </w:r>
      <w:r w:rsidRPr="00036FAC">
        <w:t>right</w:t>
      </w:r>
      <w:r w:rsidR="00907D8C">
        <w:t xml:space="preserve"> </w:t>
      </w:r>
      <w:r w:rsidRPr="00036FAC">
        <w:t>needs</w:t>
      </w:r>
      <w:r w:rsidR="00907D8C">
        <w:t xml:space="preserve"> </w:t>
      </w:r>
      <w:r w:rsidRPr="00036FAC">
        <w:t>to</w:t>
      </w:r>
      <w:r w:rsidR="00907D8C">
        <w:t xml:space="preserve"> </w:t>
      </w:r>
      <w:r w:rsidRPr="00036FAC">
        <w:t>be</w:t>
      </w:r>
      <w:r w:rsidR="00907D8C">
        <w:t xml:space="preserve"> </w:t>
      </w:r>
      <w:r w:rsidRPr="00036FAC">
        <w:t>incorporated</w:t>
      </w:r>
      <w:r w:rsidR="00907D8C">
        <w:t xml:space="preserve"> </w:t>
      </w:r>
      <w:r w:rsidRPr="00036FAC">
        <w:t>into</w:t>
      </w:r>
      <w:r w:rsidR="00907D8C">
        <w:t xml:space="preserve"> </w:t>
      </w:r>
      <w:r w:rsidRPr="00036FAC">
        <w:t>domestic</w:t>
      </w:r>
      <w:r w:rsidR="00907D8C">
        <w:t xml:space="preserve"> </w:t>
      </w:r>
      <w:r w:rsidRPr="00036FAC">
        <w:t>statute</w:t>
      </w:r>
      <w:r w:rsidR="00907D8C">
        <w:t xml:space="preserve"> </w:t>
      </w:r>
      <w:r w:rsidRPr="00036FAC">
        <w:t>law.</w:t>
      </w:r>
      <w:r w:rsidR="00907D8C">
        <w:t xml:space="preserve"> </w:t>
      </w:r>
      <w:r w:rsidRPr="00036FAC">
        <w:t>Where</w:t>
      </w:r>
      <w:r w:rsidR="00907D8C">
        <w:t xml:space="preserve"> </w:t>
      </w:r>
      <w:r w:rsidRPr="00036FAC">
        <w:t>the</w:t>
      </w:r>
      <w:r w:rsidR="00907D8C">
        <w:t xml:space="preserve"> </w:t>
      </w:r>
      <w:r w:rsidRPr="00036FAC">
        <w:t>wording</w:t>
      </w:r>
      <w:r w:rsidR="00907D8C">
        <w:t xml:space="preserve"> </w:t>
      </w:r>
      <w:r w:rsidRPr="00036FAC">
        <w:t>of</w:t>
      </w:r>
      <w:r w:rsidR="00907D8C">
        <w:t xml:space="preserve"> </w:t>
      </w:r>
      <w:r w:rsidRPr="00036FAC">
        <w:t>a</w:t>
      </w:r>
      <w:r w:rsidR="00907D8C">
        <w:t xml:space="preserve"> </w:t>
      </w:r>
      <w:r w:rsidRPr="00036FAC">
        <w:t>statue</w:t>
      </w:r>
      <w:r w:rsidR="00907D8C">
        <w:t xml:space="preserve"> </w:t>
      </w:r>
      <w:r w:rsidRPr="00036FAC">
        <w:t>permits,</w:t>
      </w:r>
      <w:r w:rsidR="00907D8C">
        <w:t xml:space="preserve"> </w:t>
      </w:r>
      <w:r w:rsidRPr="00036FAC">
        <w:t>the</w:t>
      </w:r>
      <w:r w:rsidR="00907D8C">
        <w:t xml:space="preserve"> </w:t>
      </w:r>
      <w:r w:rsidRPr="00036FAC">
        <w:t>courts</w:t>
      </w:r>
      <w:r w:rsidR="00907D8C">
        <w:t xml:space="preserve"> </w:t>
      </w:r>
      <w:r w:rsidRPr="00036FAC">
        <w:t>will</w:t>
      </w:r>
      <w:r w:rsidR="00907D8C">
        <w:t xml:space="preserve"> </w:t>
      </w:r>
      <w:r w:rsidRPr="00036FAC">
        <w:t>interpret</w:t>
      </w:r>
      <w:r w:rsidR="00907D8C">
        <w:t xml:space="preserve"> </w:t>
      </w:r>
      <w:r w:rsidRPr="00036FAC">
        <w:t>the</w:t>
      </w:r>
      <w:r w:rsidR="00907D8C">
        <w:t xml:space="preserve"> </w:t>
      </w:r>
      <w:r w:rsidRPr="00036FAC">
        <w:t>statute</w:t>
      </w:r>
      <w:r w:rsidR="00907D8C">
        <w:t xml:space="preserve"> </w:t>
      </w:r>
      <w:r w:rsidRPr="00036FAC">
        <w:t>in</w:t>
      </w:r>
      <w:r w:rsidR="00907D8C">
        <w:t xml:space="preserve"> </w:t>
      </w:r>
      <w:r w:rsidRPr="00036FAC">
        <w:t>a</w:t>
      </w:r>
      <w:r w:rsidR="00907D8C">
        <w:t xml:space="preserve"> </w:t>
      </w:r>
      <w:r w:rsidRPr="00036FAC">
        <w:t>way</w:t>
      </w:r>
      <w:r w:rsidR="00907D8C">
        <w:t xml:space="preserve"> </w:t>
      </w:r>
      <w:r w:rsidRPr="00036FAC">
        <w:t>that</w:t>
      </w:r>
      <w:r w:rsidR="00907D8C">
        <w:t xml:space="preserve"> </w:t>
      </w:r>
      <w:r w:rsidRPr="00036FAC">
        <w:t>is</w:t>
      </w:r>
      <w:r w:rsidR="00907D8C">
        <w:t xml:space="preserve"> </w:t>
      </w:r>
      <w:r w:rsidRPr="00036FAC">
        <w:t>consistent</w:t>
      </w:r>
      <w:r w:rsidR="00907D8C">
        <w:t xml:space="preserve"> </w:t>
      </w:r>
      <w:r w:rsidRPr="00036FAC">
        <w:t>with,</w:t>
      </w:r>
      <w:r w:rsidR="00907D8C">
        <w:t xml:space="preserve"> </w:t>
      </w:r>
      <w:r w:rsidRPr="00036FAC">
        <w:t>and</w:t>
      </w:r>
      <w:r w:rsidR="00907D8C">
        <w:t xml:space="preserve"> </w:t>
      </w:r>
      <w:r w:rsidRPr="00036FAC">
        <w:t>gives</w:t>
      </w:r>
      <w:r w:rsidR="00907D8C">
        <w:t xml:space="preserve"> </w:t>
      </w:r>
      <w:r w:rsidRPr="00036FAC">
        <w:t>effect</w:t>
      </w:r>
      <w:r w:rsidR="00907D8C">
        <w:t xml:space="preserve"> </w:t>
      </w:r>
      <w:r w:rsidRPr="00036FAC">
        <w:t>to,</w:t>
      </w:r>
      <w:r w:rsidR="00907D8C">
        <w:t xml:space="preserve"> </w:t>
      </w:r>
      <w:r w:rsidRPr="00036FAC">
        <w:t>international</w:t>
      </w:r>
      <w:r w:rsidR="00907D8C">
        <w:t xml:space="preserve"> </w:t>
      </w:r>
      <w:r w:rsidRPr="00036FAC">
        <w:t>law.</w:t>
      </w:r>
      <w:r w:rsidR="00907D8C">
        <w:t xml:space="preserve"> </w:t>
      </w:r>
      <w:r w:rsidRPr="00036FAC">
        <w:t>Failure</w:t>
      </w:r>
      <w:r w:rsidR="00907D8C">
        <w:t xml:space="preserve"> </w:t>
      </w:r>
      <w:r w:rsidRPr="00036FAC">
        <w:t>to</w:t>
      </w:r>
      <w:r w:rsidR="00907D8C">
        <w:t xml:space="preserve"> </w:t>
      </w:r>
      <w:r w:rsidRPr="00036FAC">
        <w:t>consider</w:t>
      </w:r>
      <w:r w:rsidR="00907D8C">
        <w:t xml:space="preserve"> </w:t>
      </w:r>
      <w:r w:rsidRPr="00036FAC">
        <w:t>relevant</w:t>
      </w:r>
      <w:r w:rsidR="00907D8C">
        <w:t xml:space="preserve"> </w:t>
      </w:r>
      <w:r w:rsidRPr="00036FAC">
        <w:t>international</w:t>
      </w:r>
      <w:r w:rsidR="00907D8C">
        <w:t xml:space="preserve"> </w:t>
      </w:r>
      <w:r w:rsidRPr="00036FAC">
        <w:t>instruments</w:t>
      </w:r>
      <w:r w:rsidR="00907D8C">
        <w:t xml:space="preserve"> </w:t>
      </w:r>
      <w:r w:rsidRPr="00036FAC">
        <w:t>may</w:t>
      </w:r>
      <w:r w:rsidR="00907D8C">
        <w:t xml:space="preserve"> </w:t>
      </w:r>
      <w:r w:rsidRPr="00036FAC">
        <w:t>make</w:t>
      </w:r>
      <w:r w:rsidR="00907D8C">
        <w:t xml:space="preserve"> </w:t>
      </w:r>
      <w:r w:rsidRPr="00036FAC">
        <w:t>a</w:t>
      </w:r>
      <w:r w:rsidR="00907D8C">
        <w:t xml:space="preserve"> </w:t>
      </w:r>
      <w:r w:rsidRPr="00036FAC">
        <w:t>decision</w:t>
      </w:r>
      <w:r w:rsidR="00907D8C">
        <w:t xml:space="preserve"> </w:t>
      </w:r>
      <w:r w:rsidRPr="00036FAC">
        <w:t>maker</w:t>
      </w:r>
      <w:r w:rsidR="00907D8C">
        <w:t xml:space="preserve"> </w:t>
      </w:r>
      <w:r w:rsidRPr="00036FAC">
        <w:t>liable</w:t>
      </w:r>
      <w:r w:rsidR="00907D8C">
        <w:t xml:space="preserve"> </w:t>
      </w:r>
      <w:r w:rsidRPr="00036FAC">
        <w:t>to</w:t>
      </w:r>
      <w:r w:rsidR="00907D8C">
        <w:t xml:space="preserve"> </w:t>
      </w:r>
      <w:r w:rsidRPr="00036FAC">
        <w:t>judicial</w:t>
      </w:r>
      <w:r w:rsidR="00907D8C">
        <w:t xml:space="preserve"> </w:t>
      </w:r>
      <w:r w:rsidRPr="00036FAC">
        <w:t>review.</w:t>
      </w:r>
    </w:p>
    <w:p w:rsidR="00036FAC" w:rsidRPr="00036FAC" w:rsidRDefault="00036FAC" w:rsidP="00A864D7">
      <w:pPr>
        <w:pStyle w:val="H4G"/>
      </w:pPr>
      <w:r w:rsidRPr="00036FAC">
        <w:tab/>
      </w:r>
      <w:r w:rsidRPr="00036FAC">
        <w:tab/>
        <w:t>Remedies,</w:t>
      </w:r>
      <w:r w:rsidR="00907D8C">
        <w:t xml:space="preserve"> </w:t>
      </w:r>
      <w:r w:rsidRPr="00036FAC">
        <w:t>compensation,</w:t>
      </w:r>
      <w:r w:rsidR="00907D8C">
        <w:t xml:space="preserve"> </w:t>
      </w:r>
      <w:r w:rsidRPr="00036FAC">
        <w:t>and</w:t>
      </w:r>
      <w:r w:rsidR="00907D8C">
        <w:t xml:space="preserve"> </w:t>
      </w:r>
      <w:r w:rsidRPr="00036FAC">
        <w:t>rehabilitation</w:t>
      </w:r>
      <w:bookmarkEnd w:id="228"/>
      <w:bookmarkEnd w:id="229"/>
      <w:bookmarkEnd w:id="230"/>
      <w:bookmarkEnd w:id="231"/>
      <w:bookmarkEnd w:id="232"/>
      <w:bookmarkEnd w:id="233"/>
      <w:bookmarkEnd w:id="234"/>
      <w:bookmarkEnd w:id="235"/>
      <w:bookmarkEnd w:id="236"/>
    </w:p>
    <w:p w:rsidR="00036FAC" w:rsidRPr="00036FAC" w:rsidRDefault="00036FAC" w:rsidP="00A864D7">
      <w:pPr>
        <w:pStyle w:val="SingleTxtG"/>
      </w:pPr>
      <w:r w:rsidRPr="00036FAC">
        <w:t>206.</w:t>
      </w:r>
      <w:r w:rsidRPr="00036FAC">
        <w:tab/>
        <w:t>Individuals</w:t>
      </w:r>
      <w:r w:rsidR="00907D8C">
        <w:t xml:space="preserve"> </w:t>
      </w:r>
      <w:r w:rsidRPr="00036FAC">
        <w:t>who</w:t>
      </w:r>
      <w:r w:rsidR="00907D8C">
        <w:t xml:space="preserve"> </w:t>
      </w:r>
      <w:r w:rsidRPr="00036FAC">
        <w:t>consider</w:t>
      </w:r>
      <w:r w:rsidR="00907D8C">
        <w:t xml:space="preserve"> </w:t>
      </w:r>
      <w:r w:rsidRPr="00036FAC">
        <w:t>that</w:t>
      </w:r>
      <w:r w:rsidR="00907D8C">
        <w:t xml:space="preserve"> </w:t>
      </w:r>
      <w:r w:rsidRPr="00036FAC">
        <w:t>any</w:t>
      </w:r>
      <w:r w:rsidR="00907D8C">
        <w:t xml:space="preserve"> </w:t>
      </w:r>
      <w:r w:rsidRPr="00036FAC">
        <w:t>of</w:t>
      </w:r>
      <w:r w:rsidR="00907D8C">
        <w:t xml:space="preserve"> </w:t>
      </w:r>
      <w:r w:rsidRPr="00036FAC">
        <w:t>their</w:t>
      </w:r>
      <w:r w:rsidR="00907D8C">
        <w:t xml:space="preserve"> </w:t>
      </w:r>
      <w:r w:rsidRPr="00036FAC">
        <w:t>rights</w:t>
      </w:r>
      <w:r w:rsidR="00907D8C">
        <w:t xml:space="preserve"> </w:t>
      </w:r>
      <w:r w:rsidRPr="00036FAC">
        <w:t>under</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have</w:t>
      </w:r>
      <w:r w:rsidR="00907D8C">
        <w:t xml:space="preserve"> </w:t>
      </w:r>
      <w:r w:rsidRPr="00036FAC">
        <w:t>been</w:t>
      </w:r>
      <w:r w:rsidR="00907D8C">
        <w:t xml:space="preserve"> </w:t>
      </w:r>
      <w:r w:rsidRPr="00036FAC">
        <w:t>infringed</w:t>
      </w:r>
      <w:r w:rsidR="00907D8C">
        <w:t xml:space="preserve"> </w:t>
      </w:r>
      <w:r w:rsidRPr="00036FAC">
        <w:t>can</w:t>
      </w:r>
      <w:r w:rsidR="00907D8C">
        <w:t xml:space="preserve"> </w:t>
      </w:r>
      <w:r w:rsidRPr="00036FAC">
        <w:t>bring</w:t>
      </w:r>
      <w:r w:rsidR="00907D8C">
        <w:t xml:space="preserve"> </w:t>
      </w:r>
      <w:r w:rsidRPr="00036FAC">
        <w:t>an</w:t>
      </w:r>
      <w:r w:rsidR="00907D8C">
        <w:t xml:space="preserve"> </w:t>
      </w:r>
      <w:r w:rsidRPr="00036FAC">
        <w:t>action</w:t>
      </w:r>
      <w:r w:rsidR="00907D8C">
        <w:t xml:space="preserve"> </w:t>
      </w:r>
      <w:r w:rsidRPr="00036FAC">
        <w:t>against</w:t>
      </w:r>
      <w:r w:rsidR="00907D8C">
        <w:t xml:space="preserve"> </w:t>
      </w:r>
      <w:r w:rsidRPr="00036FAC">
        <w:t>the</w:t>
      </w:r>
      <w:r w:rsidR="00907D8C">
        <w:t xml:space="preserve"> </w:t>
      </w:r>
      <w:r w:rsidRPr="00036FAC">
        <w:t>Crown.</w:t>
      </w:r>
      <w:r w:rsidR="00907D8C">
        <w:t xml:space="preserve"> </w:t>
      </w:r>
      <w:r w:rsidRPr="00036FAC">
        <w:t>There</w:t>
      </w:r>
      <w:r w:rsidR="00907D8C">
        <w:t xml:space="preserve"> </w:t>
      </w:r>
      <w:r w:rsidRPr="00036FAC">
        <w:t>are</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possible</w:t>
      </w:r>
      <w:r w:rsidR="00907D8C">
        <w:t xml:space="preserve"> </w:t>
      </w:r>
      <w:r w:rsidRPr="00036FAC">
        <w:t>remedies</w:t>
      </w:r>
      <w:r w:rsidR="00907D8C">
        <w:t xml:space="preserve"> </w:t>
      </w:r>
      <w:r w:rsidRPr="00036FAC">
        <w:t>available,</w:t>
      </w:r>
      <w:r w:rsidR="00907D8C">
        <w:t xml:space="preserve"> </w:t>
      </w:r>
      <w:r w:rsidRPr="00036FAC">
        <w:t>including</w:t>
      </w:r>
      <w:r w:rsidR="00907D8C">
        <w:t xml:space="preserve"> </w:t>
      </w:r>
      <w:r w:rsidRPr="00036FAC">
        <w:t>orders</w:t>
      </w:r>
      <w:r w:rsidR="00907D8C">
        <w:t xml:space="preserve"> </w:t>
      </w:r>
      <w:r w:rsidRPr="00036FAC">
        <w:t>excluding</w:t>
      </w:r>
      <w:r w:rsidR="00907D8C">
        <w:t xml:space="preserve"> </w:t>
      </w:r>
      <w:r w:rsidRPr="00036FAC">
        <w:t>evidence</w:t>
      </w:r>
      <w:r w:rsidR="00907D8C">
        <w:t xml:space="preserve"> </w:t>
      </w:r>
      <w:r w:rsidRPr="00036FAC">
        <w:t>obtained</w:t>
      </w:r>
      <w:r w:rsidR="00907D8C">
        <w:t xml:space="preserve"> </w:t>
      </w:r>
      <w:r w:rsidRPr="00036FAC">
        <w:t>in</w:t>
      </w:r>
      <w:r w:rsidR="00907D8C">
        <w:t xml:space="preserve"> </w:t>
      </w:r>
      <w:r w:rsidRPr="00036FAC">
        <w:t>breach</w:t>
      </w:r>
      <w:r w:rsidR="00907D8C">
        <w:t xml:space="preserve"> </w:t>
      </w:r>
      <w:r w:rsidRPr="00036FAC">
        <w:t>of</w:t>
      </w:r>
      <w:r w:rsidR="00907D8C">
        <w:t xml:space="preserve"> </w:t>
      </w:r>
      <w:r w:rsidRPr="00036FAC">
        <w:t>a</w:t>
      </w:r>
      <w:r w:rsidR="00907D8C">
        <w:t xml:space="preserve"> </w:t>
      </w:r>
      <w:r w:rsidRPr="00036FAC">
        <w:t>right</w:t>
      </w:r>
      <w:r w:rsidR="00907D8C">
        <w:t xml:space="preserve"> </w:t>
      </w:r>
      <w:r w:rsidRPr="00036FAC">
        <w:t>guaranteed</w:t>
      </w:r>
      <w:r w:rsidR="00907D8C">
        <w:t xml:space="preserve"> </w:t>
      </w:r>
      <w:r w:rsidRPr="00036FAC">
        <w:t>by</w:t>
      </w:r>
      <w:r w:rsidR="00907D8C">
        <w:t xml:space="preserve"> </w:t>
      </w:r>
      <w:r w:rsidRPr="00036FAC">
        <w:t>the</w:t>
      </w:r>
      <w:r w:rsidR="00907D8C">
        <w:t xml:space="preserve"> </w:t>
      </w:r>
      <w:r w:rsidRPr="00036FAC">
        <w:t>Act.</w:t>
      </w:r>
      <w:r w:rsidR="00907D8C">
        <w:t xml:space="preserve"> </w:t>
      </w:r>
      <w:r w:rsidRPr="00036FAC">
        <w:t>Such</w:t>
      </w:r>
      <w:r w:rsidR="00907D8C">
        <w:t xml:space="preserve"> </w:t>
      </w:r>
      <w:r w:rsidRPr="00036FAC">
        <w:t>orders</w:t>
      </w:r>
      <w:r w:rsidR="00907D8C">
        <w:t xml:space="preserve"> </w:t>
      </w:r>
      <w:r w:rsidRPr="00036FAC">
        <w:t>are</w:t>
      </w:r>
      <w:r w:rsidR="00907D8C">
        <w:t xml:space="preserve"> </w:t>
      </w:r>
      <w:r w:rsidRPr="00036FAC">
        <w:t>made</w:t>
      </w:r>
      <w:r w:rsidR="00907D8C">
        <w:t xml:space="preserve"> </w:t>
      </w:r>
      <w:r w:rsidRPr="00036FAC">
        <w:t>subject</w:t>
      </w:r>
      <w:r w:rsidR="00907D8C">
        <w:t xml:space="preserve"> </w:t>
      </w:r>
      <w:r w:rsidRPr="00036FAC">
        <w:t>to</w:t>
      </w:r>
      <w:r w:rsidR="00907D8C">
        <w:t xml:space="preserve"> </w:t>
      </w:r>
      <w:r w:rsidRPr="00036FAC">
        <w:t>a</w:t>
      </w:r>
      <w:r w:rsidR="00907D8C">
        <w:t xml:space="preserve"> </w:t>
      </w:r>
      <w:r w:rsidRPr="00036FAC">
        <w:t>balancing</w:t>
      </w:r>
      <w:r w:rsidR="00907D8C">
        <w:t xml:space="preserve"> </w:t>
      </w:r>
      <w:r w:rsidRPr="00036FAC">
        <w:t>exercise</w:t>
      </w:r>
      <w:r w:rsidR="00907D8C">
        <w:t xml:space="preserve"> </w:t>
      </w:r>
      <w:r w:rsidRPr="00036FAC">
        <w:t>that</w:t>
      </w:r>
      <w:r w:rsidR="00907D8C">
        <w:t xml:space="preserve"> </w:t>
      </w:r>
      <w:r w:rsidRPr="00036FAC">
        <w:t>gives</w:t>
      </w:r>
      <w:r w:rsidR="00907D8C">
        <w:t xml:space="preserve"> </w:t>
      </w:r>
      <w:r w:rsidRPr="00036FAC">
        <w:t>appropriate</w:t>
      </w:r>
      <w:r w:rsidR="00907D8C">
        <w:t xml:space="preserve"> </w:t>
      </w:r>
      <w:r w:rsidRPr="00036FAC">
        <w:t>weight</w:t>
      </w:r>
      <w:r w:rsidR="00907D8C">
        <w:t xml:space="preserve"> </w:t>
      </w:r>
      <w:r w:rsidRPr="00036FAC">
        <w:t>to</w:t>
      </w:r>
      <w:r w:rsidR="00907D8C">
        <w:t xml:space="preserve"> </w:t>
      </w:r>
      <w:r w:rsidRPr="00036FAC">
        <w:t>the</w:t>
      </w:r>
      <w:r w:rsidR="00907D8C">
        <w:t xml:space="preserve"> </w:t>
      </w:r>
      <w:r w:rsidRPr="00036FAC">
        <w:t>right</w:t>
      </w:r>
      <w:r w:rsidR="00907D8C">
        <w:t xml:space="preserve"> </w:t>
      </w:r>
      <w:r w:rsidRPr="00036FAC">
        <w:t>and</w:t>
      </w:r>
      <w:r w:rsidR="00907D8C">
        <w:t xml:space="preserve"> </w:t>
      </w:r>
      <w:r w:rsidRPr="00036FAC">
        <w:t>to</w:t>
      </w:r>
      <w:r w:rsidR="00907D8C">
        <w:t xml:space="preserve"> </w:t>
      </w:r>
      <w:r w:rsidRPr="00036FAC">
        <w:t>other</w:t>
      </w:r>
      <w:r w:rsidR="00907D8C">
        <w:t xml:space="preserve"> </w:t>
      </w:r>
      <w:r w:rsidRPr="00036FAC">
        <w:t>factors</w:t>
      </w:r>
      <w:r w:rsidR="00907D8C">
        <w:t xml:space="preserve"> </w:t>
      </w:r>
      <w:r w:rsidRPr="00036FAC">
        <w:t>mitigating</w:t>
      </w:r>
      <w:r w:rsidR="00907D8C">
        <w:t xml:space="preserve"> </w:t>
      </w:r>
      <w:r w:rsidRPr="00036FAC">
        <w:t>for</w:t>
      </w:r>
      <w:r w:rsidR="00907D8C">
        <w:t xml:space="preserve"> </w:t>
      </w:r>
      <w:r w:rsidRPr="00036FAC">
        <w:t>or</w:t>
      </w:r>
      <w:r w:rsidR="00907D8C">
        <w:t xml:space="preserve"> </w:t>
      </w:r>
      <w:r w:rsidRPr="00036FAC">
        <w:t>against</w:t>
      </w:r>
      <w:r w:rsidR="00907D8C">
        <w:t xml:space="preserve"> </w:t>
      </w:r>
      <w:r w:rsidRPr="00036FAC">
        <w:t>exclusion.</w:t>
      </w:r>
      <w:r w:rsidR="00907D8C">
        <w:t xml:space="preserve"> </w:t>
      </w:r>
      <w:r w:rsidRPr="00036FAC">
        <w:t>A</w:t>
      </w:r>
      <w:r w:rsidR="00907D8C">
        <w:t xml:space="preserve"> </w:t>
      </w:r>
      <w:r w:rsidRPr="00036FAC">
        <w:t>court</w:t>
      </w:r>
      <w:r w:rsidR="00907D8C">
        <w:t xml:space="preserve"> </w:t>
      </w:r>
      <w:r w:rsidRPr="00036FAC">
        <w:t>can</w:t>
      </w:r>
      <w:r w:rsidR="00907D8C">
        <w:t xml:space="preserve"> </w:t>
      </w:r>
      <w:r w:rsidRPr="00036FAC">
        <w:t>also</w:t>
      </w:r>
      <w:r w:rsidR="00907D8C">
        <w:t xml:space="preserve"> </w:t>
      </w:r>
      <w:r w:rsidRPr="00036FAC">
        <w:t>order</w:t>
      </w:r>
      <w:r w:rsidR="00907D8C">
        <w:t xml:space="preserve"> </w:t>
      </w:r>
      <w:r w:rsidRPr="00036FAC">
        <w:t>a</w:t>
      </w:r>
      <w:r w:rsidR="00907D8C">
        <w:t xml:space="preserve"> </w:t>
      </w:r>
      <w:r w:rsidRPr="00036FAC">
        <w:t>stay</w:t>
      </w:r>
      <w:r w:rsidR="00907D8C">
        <w:t xml:space="preserve"> </w:t>
      </w:r>
      <w:r w:rsidRPr="00036FAC">
        <w:t>in</w:t>
      </w:r>
      <w:r w:rsidR="00907D8C">
        <w:t xml:space="preserve"> </w:t>
      </w:r>
      <w:r w:rsidRPr="00036FAC">
        <w:t>proceedings</w:t>
      </w:r>
      <w:r w:rsidR="00907D8C">
        <w:t xml:space="preserve"> </w:t>
      </w:r>
      <w:r w:rsidRPr="00036FAC">
        <w:t>where</w:t>
      </w:r>
      <w:r w:rsidR="00907D8C">
        <w:t xml:space="preserve"> </w:t>
      </w:r>
      <w:r w:rsidRPr="00036FAC">
        <w:t>there</w:t>
      </w:r>
      <w:r w:rsidR="00907D8C">
        <w:t xml:space="preserve"> </w:t>
      </w:r>
      <w:r w:rsidRPr="00036FAC">
        <w:t>has</w:t>
      </w:r>
      <w:r w:rsidR="00907D8C">
        <w:t xml:space="preserve"> </w:t>
      </w:r>
      <w:r w:rsidRPr="00036FAC">
        <w:t>been</w:t>
      </w:r>
      <w:r w:rsidR="00907D8C">
        <w:t xml:space="preserve"> </w:t>
      </w:r>
      <w:r w:rsidRPr="00036FAC">
        <w:t>a</w:t>
      </w:r>
      <w:r w:rsidR="00907D8C">
        <w:t xml:space="preserve"> </w:t>
      </w:r>
      <w:r w:rsidRPr="00036FAC">
        <w:t>delay</w:t>
      </w:r>
      <w:r w:rsidR="00907D8C">
        <w:t xml:space="preserve"> </w:t>
      </w:r>
      <w:r w:rsidRPr="00036FAC">
        <w:t>of</w:t>
      </w:r>
      <w:r w:rsidR="00907D8C">
        <w:t xml:space="preserve"> </w:t>
      </w:r>
      <w:r w:rsidRPr="00036FAC">
        <w:t>such</w:t>
      </w:r>
      <w:r w:rsidR="00907D8C">
        <w:t xml:space="preserve"> </w:t>
      </w:r>
      <w:r w:rsidRPr="00036FAC">
        <w:t>length</w:t>
      </w:r>
      <w:r w:rsidR="00907D8C">
        <w:t xml:space="preserve"> </w:t>
      </w:r>
      <w:r w:rsidRPr="00036FAC">
        <w:t>that</w:t>
      </w:r>
      <w:r w:rsidR="00907D8C">
        <w:t xml:space="preserve"> </w:t>
      </w:r>
      <w:r w:rsidRPr="00036FAC">
        <w:t>it</w:t>
      </w:r>
      <w:r w:rsidR="00907D8C">
        <w:t xml:space="preserve"> </w:t>
      </w:r>
      <w:r w:rsidRPr="00036FAC">
        <w:t>constitutes</w:t>
      </w:r>
      <w:r w:rsidR="00907D8C">
        <w:t xml:space="preserve"> </w:t>
      </w:r>
      <w:r w:rsidRPr="00036FAC">
        <w:t>a</w:t>
      </w:r>
      <w:r w:rsidR="00907D8C">
        <w:t xml:space="preserve"> </w:t>
      </w:r>
      <w:r w:rsidRPr="00036FAC">
        <w:t>breach</w:t>
      </w:r>
      <w:r w:rsidR="00907D8C">
        <w:t xml:space="preserve"> </w:t>
      </w:r>
      <w:r w:rsidRPr="00036FAC">
        <w:t>of</w:t>
      </w:r>
      <w:r w:rsidR="00907D8C">
        <w:t xml:space="preserve"> </w:t>
      </w:r>
      <w:r w:rsidRPr="00036FAC">
        <w:t>section</w:t>
      </w:r>
      <w:r w:rsidR="00907D8C">
        <w:t xml:space="preserve"> </w:t>
      </w:r>
      <w:r w:rsidRPr="00036FAC">
        <w:t>25</w:t>
      </w:r>
      <w:r w:rsidR="00A864D7">
        <w:t xml:space="preserve"> </w:t>
      </w:r>
      <w:r w:rsidRPr="00036FAC">
        <w:t>(b)</w:t>
      </w:r>
      <w:r w:rsidR="00907D8C">
        <w:t xml:space="preserve"> </w:t>
      </w:r>
      <w:r w:rsidRPr="00036FAC">
        <w:t>of</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(the</w:t>
      </w:r>
      <w:r w:rsidR="00907D8C">
        <w:t xml:space="preserve"> </w:t>
      </w:r>
      <w:r w:rsidRPr="00036FAC">
        <w:t>right</w:t>
      </w:r>
      <w:r w:rsidR="00907D8C">
        <w:t xml:space="preserve"> </w:t>
      </w:r>
      <w:r w:rsidRPr="00036FAC">
        <w:t>to</w:t>
      </w:r>
      <w:r w:rsidR="00907D8C">
        <w:t xml:space="preserve"> </w:t>
      </w:r>
      <w:r w:rsidRPr="00036FAC">
        <w:t>be</w:t>
      </w:r>
      <w:r w:rsidR="00907D8C">
        <w:t xml:space="preserve"> </w:t>
      </w:r>
      <w:r w:rsidRPr="00036FAC">
        <w:t>tried</w:t>
      </w:r>
      <w:r w:rsidR="00907D8C">
        <w:t xml:space="preserve"> </w:t>
      </w:r>
      <w:r w:rsidRPr="00036FAC">
        <w:t>without</w:t>
      </w:r>
      <w:r w:rsidR="00907D8C">
        <w:t xml:space="preserve"> </w:t>
      </w:r>
      <w:r w:rsidRPr="00036FAC">
        <w:t>undue</w:t>
      </w:r>
      <w:r w:rsidR="00907D8C">
        <w:t xml:space="preserve"> </w:t>
      </w:r>
      <w:r w:rsidRPr="00036FAC">
        <w:t>delay).</w:t>
      </w:r>
      <w:r w:rsidRPr="00A864D7">
        <w:rPr>
          <w:rStyle w:val="FootnoteReference"/>
        </w:rPr>
        <w:footnoteReference w:id="13"/>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has</w:t>
      </w:r>
      <w:r w:rsidR="00907D8C">
        <w:t xml:space="preserve"> </w:t>
      </w:r>
      <w:r w:rsidRPr="00036FAC">
        <w:t>held</w:t>
      </w:r>
      <w:r w:rsidR="00907D8C">
        <w:t xml:space="preserve"> </w:t>
      </w:r>
      <w:r w:rsidRPr="00036FAC">
        <w:t>that</w:t>
      </w:r>
      <w:r w:rsidR="00907D8C">
        <w:t xml:space="preserve"> </w:t>
      </w:r>
      <w:r w:rsidRPr="00036FAC">
        <w:t>where</w:t>
      </w:r>
      <w:r w:rsidR="00907D8C">
        <w:t xml:space="preserve"> </w:t>
      </w:r>
      <w:r w:rsidRPr="00036FAC">
        <w:t>a</w:t>
      </w:r>
      <w:r w:rsidR="00907D8C">
        <w:t xml:space="preserve"> </w:t>
      </w:r>
      <w:r w:rsidRPr="00036FAC">
        <w:t>statutory</w:t>
      </w:r>
      <w:r w:rsidR="00907D8C">
        <w:t xml:space="preserve"> </w:t>
      </w:r>
      <w:r w:rsidRPr="00036FAC">
        <w:t>provision</w:t>
      </w:r>
      <w:r w:rsidR="00907D8C">
        <w:t xml:space="preserve"> </w:t>
      </w:r>
      <w:r w:rsidRPr="00036FAC">
        <w:t>cannot</w:t>
      </w:r>
      <w:r w:rsidR="00907D8C">
        <w:t xml:space="preserve"> </w:t>
      </w:r>
      <w:r w:rsidRPr="00036FAC">
        <w:t>be</w:t>
      </w:r>
      <w:r w:rsidR="00907D8C">
        <w:t xml:space="preserve"> </w:t>
      </w:r>
      <w:r w:rsidRPr="00036FAC">
        <w:t>given</w:t>
      </w:r>
      <w:r w:rsidR="00907D8C">
        <w:t xml:space="preserve"> </w:t>
      </w:r>
      <w:r w:rsidRPr="00036FAC">
        <w:t>a</w:t>
      </w:r>
      <w:r w:rsidR="00907D8C">
        <w:t xml:space="preserve"> </w:t>
      </w:r>
      <w:r w:rsidRPr="00036FAC">
        <w:t>meaning</w:t>
      </w:r>
      <w:r w:rsidR="00907D8C">
        <w:t xml:space="preserve"> </w:t>
      </w:r>
      <w:r w:rsidRPr="00036FAC">
        <w:t>that</w:t>
      </w:r>
      <w:r w:rsidR="00907D8C">
        <w:t xml:space="preserve"> </w:t>
      </w:r>
      <w:r w:rsidRPr="00036FAC">
        <w:t>is</w:t>
      </w:r>
      <w:r w:rsidR="00907D8C">
        <w:t xml:space="preserve"> </w:t>
      </w:r>
      <w:r w:rsidRPr="00036FAC">
        <w:t>consistent</w:t>
      </w:r>
      <w:r w:rsidR="00907D8C">
        <w:t xml:space="preserve"> </w:t>
      </w:r>
      <w:r w:rsidRPr="00036FAC">
        <w:t>with</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a</w:t>
      </w:r>
      <w:r w:rsidR="00907D8C">
        <w:t xml:space="preserve"> </w:t>
      </w:r>
      <w:r w:rsidRPr="00036FAC">
        <w:t>court</w:t>
      </w:r>
      <w:r w:rsidR="00907D8C">
        <w:t xml:space="preserve"> </w:t>
      </w:r>
      <w:r w:rsidRPr="00036FAC">
        <w:t>may</w:t>
      </w:r>
      <w:r w:rsidR="00907D8C">
        <w:t xml:space="preserve"> </w:t>
      </w:r>
      <w:r w:rsidRPr="00036FAC">
        <w:t>issue</w:t>
      </w:r>
      <w:r w:rsidR="00907D8C">
        <w:t xml:space="preserve"> </w:t>
      </w:r>
      <w:r w:rsidRPr="00036FAC">
        <w:t>a</w:t>
      </w:r>
      <w:r w:rsidR="00907D8C">
        <w:t xml:space="preserve"> </w:t>
      </w:r>
      <w:r w:rsidRPr="00036FAC">
        <w:t>declaration</w:t>
      </w:r>
      <w:r w:rsidR="00907D8C">
        <w:t xml:space="preserve"> </w:t>
      </w:r>
      <w:r w:rsidRPr="00036FAC">
        <w:t>of</w:t>
      </w:r>
      <w:r w:rsidR="00907D8C">
        <w:t xml:space="preserve"> </w:t>
      </w:r>
      <w:r w:rsidRPr="00036FAC">
        <w:t>inconsistency</w:t>
      </w:r>
      <w:r w:rsidR="00907D8C">
        <w:t xml:space="preserve"> </w:t>
      </w:r>
      <w:r w:rsidRPr="00036FAC">
        <w:t>despite</w:t>
      </w:r>
      <w:r w:rsidR="00907D8C">
        <w:t xml:space="preserve"> </w:t>
      </w:r>
      <w:r w:rsidRPr="00036FAC">
        <w:t>the</w:t>
      </w:r>
      <w:r w:rsidR="00907D8C">
        <w:t xml:space="preserve"> </w:t>
      </w:r>
      <w:r w:rsidRPr="00036FAC">
        <w:t>fact</w:t>
      </w:r>
      <w:r w:rsidR="00907D8C">
        <w:t xml:space="preserve"> </w:t>
      </w:r>
      <w:r w:rsidRPr="00036FAC">
        <w:t>that</w:t>
      </w:r>
      <w:r w:rsidR="00907D8C">
        <w:t xml:space="preserve"> </w:t>
      </w:r>
      <w:r w:rsidRPr="00036FAC">
        <w:t>the</w:t>
      </w:r>
      <w:r w:rsidR="00907D8C">
        <w:t xml:space="preserve"> </w:t>
      </w:r>
      <w:r w:rsidRPr="00036FAC">
        <w:t>provision</w:t>
      </w:r>
      <w:r w:rsidR="00907D8C">
        <w:t xml:space="preserve"> </w:t>
      </w:r>
      <w:r w:rsidRPr="00036FAC">
        <w:t>must</w:t>
      </w:r>
      <w:r w:rsidR="00907D8C">
        <w:t xml:space="preserve"> </w:t>
      </w:r>
      <w:r w:rsidRPr="00036FAC">
        <w:t>be</w:t>
      </w:r>
      <w:r w:rsidR="00907D8C">
        <w:t xml:space="preserve"> </w:t>
      </w:r>
      <w:r w:rsidRPr="00036FAC">
        <w:t>enforced.</w:t>
      </w:r>
      <w:r w:rsidRPr="00A864D7">
        <w:rPr>
          <w:rStyle w:val="FootnoteReference"/>
        </w:rPr>
        <w:footnoteReference w:id="14"/>
      </w:r>
    </w:p>
    <w:p w:rsidR="00036FAC" w:rsidRPr="00036FAC" w:rsidRDefault="00036FAC" w:rsidP="00A864D7">
      <w:pPr>
        <w:pStyle w:val="SingleTxtG"/>
      </w:pPr>
      <w:r w:rsidRPr="00036FAC">
        <w:t>207.</w:t>
      </w:r>
      <w:r w:rsidRPr="00036FAC">
        <w:tab/>
        <w:t>With</w:t>
      </w:r>
      <w:r w:rsidR="00907D8C">
        <w:t xml:space="preserve"> </w:t>
      </w:r>
      <w:r w:rsidRPr="00036FAC">
        <w:t>respect</w:t>
      </w:r>
      <w:r w:rsidR="00907D8C">
        <w:t xml:space="preserve"> </w:t>
      </w:r>
      <w:r w:rsidRPr="00036FAC">
        <w:t>to</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complaints</w:t>
      </w:r>
      <w:r w:rsidR="00907D8C">
        <w:t xml:space="preserve"> </w:t>
      </w:r>
      <w:r w:rsidRPr="00036FAC">
        <w:t>of</w:t>
      </w:r>
      <w:r w:rsidR="00907D8C">
        <w:t xml:space="preserve"> </w:t>
      </w:r>
      <w:r w:rsidRPr="00036FAC">
        <w:t>unlawful</w:t>
      </w:r>
      <w:r w:rsidR="00907D8C">
        <w:t xml:space="preserve"> </w:t>
      </w:r>
      <w:r w:rsidRPr="00036FAC">
        <w:t>discrimination</w:t>
      </w:r>
      <w:r w:rsidR="00907D8C">
        <w:t xml:space="preserve"> </w:t>
      </w:r>
      <w:r w:rsidRPr="00036FAC">
        <w:t>can</w:t>
      </w:r>
      <w:r w:rsidR="00907D8C">
        <w:t xml:space="preserve"> </w:t>
      </w:r>
      <w:r w:rsidRPr="00036FAC">
        <w:t>be</w:t>
      </w:r>
      <w:r w:rsidR="00907D8C">
        <w:t xml:space="preserve"> </w:t>
      </w:r>
      <w:r w:rsidRPr="00036FAC">
        <w:t>resolved</w:t>
      </w:r>
      <w:r w:rsidR="00907D8C">
        <w:t xml:space="preserve"> </w:t>
      </w:r>
      <w:r w:rsidRPr="00036FAC">
        <w:t>through</w:t>
      </w:r>
      <w:r w:rsidR="00907D8C">
        <w:t xml:space="preserve"> </w:t>
      </w:r>
      <w:r w:rsidRPr="00036FAC">
        <w:t>the</w:t>
      </w:r>
      <w:r w:rsidR="00907D8C">
        <w:t xml:space="preserve"> </w:t>
      </w:r>
      <w:r w:rsidRPr="00036FAC">
        <w:t>complaints</w:t>
      </w:r>
      <w:r w:rsidR="00907D8C">
        <w:t xml:space="preserve"> </w:t>
      </w:r>
      <w:r w:rsidRPr="00036FAC">
        <w:t>mechanism</w:t>
      </w:r>
      <w:r w:rsidR="00907D8C">
        <w:t xml:space="preserve"> </w:t>
      </w:r>
      <w:r w:rsidRPr="00036FAC">
        <w:t>of</w:t>
      </w:r>
      <w:r w:rsidR="00907D8C">
        <w:t xml:space="preserve"> </w:t>
      </w:r>
      <w:r w:rsidRPr="00036FAC">
        <w:t>the</w:t>
      </w:r>
      <w:r w:rsidR="00907D8C">
        <w:t xml:space="preserve"> </w:t>
      </w:r>
      <w:r w:rsidRPr="00036FAC">
        <w:t>NZHRC.</w:t>
      </w:r>
      <w:r w:rsidR="00907D8C">
        <w:t xml:space="preserve"> </w:t>
      </w:r>
      <w:r w:rsidRPr="00036FAC">
        <w:t>The</w:t>
      </w:r>
      <w:r w:rsidR="00907D8C">
        <w:t xml:space="preserve"> </w:t>
      </w:r>
      <w:r w:rsidRPr="00036FAC">
        <w:t>NZHRC</w:t>
      </w:r>
      <w:r w:rsidR="00907D8C">
        <w:t xml:space="preserve"> </w:t>
      </w:r>
      <w:r w:rsidRPr="00036FAC">
        <w:t>attempts</w:t>
      </w:r>
      <w:r w:rsidR="00907D8C">
        <w:t xml:space="preserve"> </w:t>
      </w:r>
      <w:r w:rsidRPr="00036FAC">
        <w:t>to</w:t>
      </w:r>
      <w:r w:rsidR="00907D8C">
        <w:t xml:space="preserve"> </w:t>
      </w:r>
      <w:r w:rsidRPr="00036FAC">
        <w:t>assist</w:t>
      </w:r>
      <w:r w:rsidR="00907D8C">
        <w:t xml:space="preserve"> </w:t>
      </w:r>
      <w:r w:rsidRPr="00036FAC">
        <w:t>the</w:t>
      </w:r>
      <w:r w:rsidR="00907D8C">
        <w:t xml:space="preserve"> </w:t>
      </w:r>
      <w:r w:rsidRPr="00036FAC">
        <w:t>parties</w:t>
      </w:r>
      <w:r w:rsidR="00907D8C">
        <w:t xml:space="preserve"> </w:t>
      </w:r>
      <w:r w:rsidRPr="00036FAC">
        <w:t>to</w:t>
      </w:r>
      <w:r w:rsidR="00907D8C">
        <w:t xml:space="preserve"> </w:t>
      </w:r>
      <w:r w:rsidRPr="00036FAC">
        <w:t>resolve</w:t>
      </w:r>
      <w:r w:rsidR="00907D8C">
        <w:t xml:space="preserve"> </w:t>
      </w:r>
      <w:r w:rsidRPr="00036FAC">
        <w:t>the</w:t>
      </w:r>
      <w:r w:rsidR="00907D8C">
        <w:t xml:space="preserve"> </w:t>
      </w:r>
      <w:r w:rsidRPr="00036FAC">
        <w:t>complaint</w:t>
      </w:r>
      <w:r w:rsidR="00907D8C">
        <w:t xml:space="preserve"> </w:t>
      </w:r>
      <w:r w:rsidRPr="00036FAC">
        <w:t>by</w:t>
      </w:r>
      <w:r w:rsidR="00907D8C">
        <w:t xml:space="preserve"> </w:t>
      </w:r>
      <w:r w:rsidRPr="00036FAC">
        <w:t>using</w:t>
      </w:r>
      <w:r w:rsidR="00907D8C">
        <w:t xml:space="preserve"> </w:t>
      </w:r>
      <w:r w:rsidRPr="00036FAC">
        <w:t>a</w:t>
      </w:r>
      <w:r w:rsidR="00907D8C">
        <w:t xml:space="preserve"> </w:t>
      </w:r>
      <w:r w:rsidRPr="00036FAC">
        <w:t>flexible</w:t>
      </w:r>
      <w:r w:rsidR="00907D8C">
        <w:t xml:space="preserve"> </w:t>
      </w:r>
      <w:r w:rsidRPr="00036FAC">
        <w:t>and</w:t>
      </w:r>
      <w:r w:rsidR="00907D8C">
        <w:t xml:space="preserve"> </w:t>
      </w:r>
      <w:r w:rsidRPr="00036FAC">
        <w:t>speedy</w:t>
      </w:r>
      <w:r w:rsidR="00907D8C">
        <w:t xml:space="preserve"> </w:t>
      </w:r>
      <w:r w:rsidRPr="00036FAC">
        <w:t>approach</w:t>
      </w:r>
      <w:r w:rsidR="00907D8C">
        <w:t xml:space="preserve"> </w:t>
      </w:r>
      <w:r w:rsidRPr="00036FAC">
        <w:t>to</w:t>
      </w:r>
      <w:r w:rsidR="00907D8C">
        <w:t xml:space="preserve"> </w:t>
      </w:r>
      <w:r w:rsidRPr="00036FAC">
        <w:t>dispute</w:t>
      </w:r>
      <w:r w:rsidR="00907D8C">
        <w:t xml:space="preserve"> </w:t>
      </w:r>
      <w:r w:rsidRPr="00036FAC">
        <w:t>resolution,</w:t>
      </w:r>
      <w:r w:rsidR="00907D8C">
        <w:t xml:space="preserve"> </w:t>
      </w:r>
      <w:r w:rsidRPr="00036FAC">
        <w:t>which</w:t>
      </w:r>
      <w:r w:rsidR="00907D8C">
        <w:t xml:space="preserve"> </w:t>
      </w:r>
      <w:r w:rsidRPr="00036FAC">
        <w:t>includes</w:t>
      </w:r>
      <w:r w:rsidR="00907D8C">
        <w:t xml:space="preserve"> </w:t>
      </w:r>
      <w:r w:rsidRPr="00036FAC">
        <w:t>mediation</w:t>
      </w:r>
      <w:r w:rsidR="00907D8C">
        <w:t xml:space="preserve"> </w:t>
      </w:r>
      <w:r w:rsidRPr="00036FAC">
        <w:t>and</w:t>
      </w:r>
      <w:r w:rsidR="00907D8C">
        <w:t xml:space="preserve"> </w:t>
      </w:r>
      <w:r w:rsidRPr="00036FAC">
        <w:t>other</w:t>
      </w:r>
      <w:r w:rsidR="00907D8C">
        <w:t xml:space="preserve"> </w:t>
      </w:r>
      <w:r w:rsidRPr="00036FAC">
        <w:t>low</w:t>
      </w:r>
      <w:r w:rsidR="00A864D7">
        <w:t>-</w:t>
      </w:r>
      <w:r w:rsidRPr="00036FAC">
        <w:t>level</w:t>
      </w:r>
      <w:r w:rsidR="00907D8C">
        <w:t xml:space="preserve"> </w:t>
      </w:r>
      <w:r w:rsidRPr="00036FAC">
        <w:t>dispute</w:t>
      </w:r>
      <w:r w:rsidR="00907D8C">
        <w:t xml:space="preserve"> </w:t>
      </w:r>
      <w:r w:rsidRPr="00036FAC">
        <w:t>resolution</w:t>
      </w:r>
      <w:r w:rsidR="00907D8C">
        <w:t xml:space="preserve"> </w:t>
      </w:r>
      <w:r w:rsidRPr="00036FAC">
        <w:t>mechanisms.</w:t>
      </w:r>
      <w:r w:rsidR="00907D8C">
        <w:t xml:space="preserve"> </w:t>
      </w:r>
      <w:r w:rsidRPr="00036FAC">
        <w:t>If</w:t>
      </w:r>
      <w:r w:rsidR="00907D8C">
        <w:t xml:space="preserve"> </w:t>
      </w:r>
      <w:r w:rsidRPr="00036FAC">
        <w:t>low-level</w:t>
      </w:r>
      <w:r w:rsidR="00907D8C">
        <w:t xml:space="preserve"> </w:t>
      </w:r>
      <w:r w:rsidRPr="00036FAC">
        <w:t>dispute</w:t>
      </w:r>
      <w:r w:rsidR="00907D8C">
        <w:t xml:space="preserve"> </w:t>
      </w:r>
      <w:r w:rsidRPr="00036FAC">
        <w:t>resolution</w:t>
      </w:r>
      <w:r w:rsidR="00907D8C">
        <w:t xml:space="preserve"> </w:t>
      </w:r>
      <w:r w:rsidRPr="00036FAC">
        <w:t>fails</w:t>
      </w:r>
      <w:r w:rsidR="00907D8C">
        <w:t xml:space="preserve"> </w:t>
      </w:r>
      <w:r w:rsidRPr="00036FAC">
        <w:t>or</w:t>
      </w:r>
      <w:r w:rsidR="00907D8C">
        <w:t xml:space="preserve"> </w:t>
      </w:r>
      <w:r w:rsidRPr="00036FAC">
        <w:t>is</w:t>
      </w:r>
      <w:r w:rsidR="00907D8C">
        <w:t xml:space="preserve"> </w:t>
      </w:r>
      <w:r w:rsidRPr="00036FAC">
        <w:t>inappropriate,</w:t>
      </w:r>
      <w:r w:rsidR="00907D8C">
        <w:t xml:space="preserve"> </w:t>
      </w:r>
      <w:r w:rsidRPr="00036FAC">
        <w:t>complainants</w:t>
      </w:r>
      <w:r w:rsidR="00907D8C">
        <w:t xml:space="preserve"> </w:t>
      </w:r>
      <w:r w:rsidRPr="00036FAC">
        <w:t>may</w:t>
      </w:r>
      <w:r w:rsidR="00907D8C">
        <w:t xml:space="preserve"> </w:t>
      </w:r>
      <w:r w:rsidRPr="00036FAC">
        <w:t>take</w:t>
      </w:r>
      <w:r w:rsidR="00907D8C">
        <w:t xml:space="preserve"> </w:t>
      </w:r>
      <w:r w:rsidRPr="00036FAC">
        <w:t>their</w:t>
      </w:r>
      <w:r w:rsidR="00907D8C">
        <w:t xml:space="preserve"> </w:t>
      </w:r>
      <w:r w:rsidRPr="00036FAC">
        <w:t>case</w:t>
      </w:r>
      <w:r w:rsidR="00907D8C">
        <w:t xml:space="preserve"> </w:t>
      </w:r>
      <w:r w:rsidRPr="00036FAC">
        <w:t>to</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(formerly</w:t>
      </w:r>
      <w:r w:rsidR="00907D8C">
        <w:t xml:space="preserve"> </w:t>
      </w:r>
      <w:r w:rsidRPr="00036FAC">
        <w:t>the</w:t>
      </w:r>
      <w:r w:rsidR="00907D8C">
        <w:t xml:space="preserve"> </w:t>
      </w:r>
      <w:r w:rsidRPr="00036FAC">
        <w:t>Complaints</w:t>
      </w:r>
      <w:r w:rsidR="00907D8C">
        <w:t xml:space="preserve"> </w:t>
      </w:r>
      <w:r w:rsidRPr="00036FAC">
        <w:t>Review</w:t>
      </w:r>
      <w:r w:rsidR="00907D8C">
        <w:t xml:space="preserve"> </w:t>
      </w:r>
      <w:r w:rsidRPr="00036FAC">
        <w:t>Tribunal)</w:t>
      </w:r>
      <w:r w:rsidR="00907D8C">
        <w:t xml:space="preserve"> </w:t>
      </w:r>
      <w:r w:rsidRPr="00036FAC">
        <w:t>for</w:t>
      </w:r>
      <w:r w:rsidR="00907D8C">
        <w:t xml:space="preserve"> </w:t>
      </w:r>
      <w:r w:rsidRPr="00036FAC">
        <w:t>adjudication.</w:t>
      </w:r>
      <w:r w:rsidR="00907D8C">
        <w:t xml:space="preserve"> </w:t>
      </w:r>
      <w:r w:rsidRPr="00036FAC">
        <w:t>The</w:t>
      </w:r>
      <w:r w:rsidR="00907D8C">
        <w:t xml:space="preserve"> </w:t>
      </w:r>
      <w:r w:rsidRPr="00036FAC">
        <w:t>Director</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Proceedings</w:t>
      </w:r>
      <w:r w:rsidR="00907D8C">
        <w:t xml:space="preserve"> </w:t>
      </w:r>
      <w:r w:rsidRPr="00036FAC">
        <w:t>(an</w:t>
      </w:r>
      <w:r w:rsidR="00907D8C">
        <w:t xml:space="preserve"> </w:t>
      </w:r>
      <w:r w:rsidRPr="00036FAC">
        <w:t>autonomous</w:t>
      </w:r>
      <w:r w:rsidR="00907D8C">
        <w:t xml:space="preserve"> </w:t>
      </w:r>
      <w:r w:rsidRPr="00036FAC">
        <w:t>office</w:t>
      </w:r>
      <w:r w:rsidR="00907D8C">
        <w:t xml:space="preserve"> </w:t>
      </w:r>
      <w:r w:rsidRPr="00036FAC">
        <w:t>situated</w:t>
      </w:r>
      <w:r w:rsidR="00907D8C">
        <w:t xml:space="preserve"> </w:t>
      </w:r>
      <w:r w:rsidRPr="00036FAC">
        <w:t>within</w:t>
      </w:r>
      <w:r w:rsidR="00907D8C">
        <w:t xml:space="preserve"> </w:t>
      </w:r>
      <w:r w:rsidRPr="00036FAC">
        <w:t>the</w:t>
      </w:r>
      <w:r w:rsidR="00907D8C">
        <w:t xml:space="preserve"> </w:t>
      </w:r>
      <w:r w:rsidRPr="00036FAC">
        <w:t>NZHRC),</w:t>
      </w:r>
      <w:r w:rsidR="00907D8C">
        <w:t xml:space="preserve"> </w:t>
      </w:r>
      <w:r w:rsidRPr="00036FAC">
        <w:t>who</w:t>
      </w:r>
      <w:r w:rsidR="00907D8C">
        <w:t xml:space="preserve"> </w:t>
      </w:r>
      <w:r w:rsidRPr="00036FAC">
        <w:t>represents</w:t>
      </w:r>
      <w:r w:rsidR="00907D8C">
        <w:t xml:space="preserve"> </w:t>
      </w:r>
      <w:r w:rsidRPr="00036FAC">
        <w:t>complainants</w:t>
      </w:r>
      <w:r w:rsidR="00907D8C">
        <w:t xml:space="preserve"> </w:t>
      </w:r>
      <w:r w:rsidRPr="00036FAC">
        <w:t>free</w:t>
      </w:r>
      <w:r w:rsidR="00907D8C">
        <w:t xml:space="preserve"> </w:t>
      </w:r>
      <w:r w:rsidRPr="00036FAC">
        <w:t>of</w:t>
      </w:r>
      <w:r w:rsidR="00907D8C">
        <w:t xml:space="preserve"> </w:t>
      </w:r>
      <w:r w:rsidRPr="00036FAC">
        <w:t>charge</w:t>
      </w:r>
      <w:r w:rsidR="00907D8C">
        <w:t xml:space="preserve"> </w:t>
      </w:r>
      <w:r w:rsidRPr="00036FAC">
        <w:t>in</w:t>
      </w:r>
      <w:r w:rsidR="00907D8C">
        <w:t xml:space="preserve"> </w:t>
      </w:r>
      <w:r w:rsidRPr="00036FAC">
        <w:t>the</w:t>
      </w:r>
      <w:r w:rsidR="00907D8C">
        <w:t xml:space="preserve"> </w:t>
      </w:r>
      <w:r w:rsidRPr="00036FAC">
        <w:t>litigation,</w:t>
      </w:r>
      <w:r w:rsidR="00907D8C">
        <w:t xml:space="preserve"> </w:t>
      </w:r>
      <w:r w:rsidRPr="00036FAC">
        <w:t>if</w:t>
      </w:r>
      <w:r w:rsidR="00907D8C">
        <w:t xml:space="preserve"> </w:t>
      </w:r>
      <w:r w:rsidRPr="00036FAC">
        <w:t>they</w:t>
      </w:r>
      <w:r w:rsidR="00907D8C">
        <w:t xml:space="preserve"> </w:t>
      </w:r>
      <w:r w:rsidRPr="00036FAC">
        <w:t>meet</w:t>
      </w:r>
      <w:r w:rsidR="00907D8C">
        <w:t xml:space="preserve"> </w:t>
      </w:r>
      <w:r w:rsidRPr="00036FAC">
        <w:t>certain</w:t>
      </w:r>
      <w:r w:rsidR="00907D8C">
        <w:t xml:space="preserve"> </w:t>
      </w:r>
      <w:r w:rsidRPr="00036FAC">
        <w:t>criteria,</w:t>
      </w:r>
      <w:r w:rsidR="00907D8C">
        <w:t xml:space="preserve"> </w:t>
      </w:r>
      <w:r w:rsidRPr="00036FAC">
        <w:t>may</w:t>
      </w:r>
      <w:r w:rsidR="00907D8C">
        <w:t xml:space="preserve"> </w:t>
      </w:r>
      <w:r w:rsidRPr="00036FAC">
        <w:t>represent</w:t>
      </w:r>
      <w:r w:rsidR="00907D8C">
        <w:t xml:space="preserve"> </w:t>
      </w:r>
      <w:r w:rsidRPr="00036FAC">
        <w:t>a</w:t>
      </w:r>
      <w:r w:rsidR="00907D8C">
        <w:t xml:space="preserve"> </w:t>
      </w:r>
      <w:r w:rsidRPr="00036FAC">
        <w:t>complainant.</w:t>
      </w:r>
      <w:r w:rsidR="00907D8C">
        <w:t xml:space="preserve"> </w:t>
      </w:r>
      <w:r w:rsidRPr="00036FAC">
        <w:t>Alternatively,</w:t>
      </w:r>
      <w:r w:rsidR="00907D8C">
        <w:t xml:space="preserve"> </w:t>
      </w:r>
      <w:r w:rsidRPr="00036FAC">
        <w:t>complainants</w:t>
      </w:r>
      <w:r w:rsidR="00907D8C">
        <w:t xml:space="preserve"> </w:t>
      </w:r>
      <w:r w:rsidRPr="00036FAC">
        <w:t>may</w:t>
      </w:r>
      <w:r w:rsidR="00907D8C">
        <w:t xml:space="preserve"> </w:t>
      </w:r>
      <w:r w:rsidRPr="00036FAC">
        <w:t>take</w:t>
      </w:r>
      <w:r w:rsidR="00907D8C">
        <w:t xml:space="preserve"> </w:t>
      </w:r>
      <w:r w:rsidRPr="00036FAC">
        <w:t>their</w:t>
      </w:r>
      <w:r w:rsidR="00907D8C">
        <w:t xml:space="preserve"> </w:t>
      </w:r>
      <w:r w:rsidRPr="00036FAC">
        <w:t>case</w:t>
      </w:r>
      <w:r w:rsidR="00907D8C">
        <w:t xml:space="preserve"> </w:t>
      </w:r>
      <w:r w:rsidRPr="00036FAC">
        <w:t>to</w:t>
      </w:r>
      <w:r w:rsidR="00907D8C">
        <w:t xml:space="preserve"> </w:t>
      </w:r>
      <w:r w:rsidRPr="00036FAC">
        <w:t>the</w:t>
      </w:r>
      <w:r w:rsidR="00907D8C">
        <w:t xml:space="preserve"> </w:t>
      </w:r>
      <w:r w:rsidRPr="00036FAC">
        <w:t>Tribunal</w:t>
      </w:r>
      <w:r w:rsidR="00907D8C">
        <w:t xml:space="preserve"> </w:t>
      </w:r>
      <w:r w:rsidRPr="00036FAC">
        <w:t>themselves</w:t>
      </w:r>
      <w:r w:rsidR="00907D8C">
        <w:t xml:space="preserve"> </w:t>
      </w:r>
      <w:r w:rsidRPr="00036FAC">
        <w:t>or</w:t>
      </w:r>
      <w:r w:rsidR="00907D8C">
        <w:t xml:space="preserve"> </w:t>
      </w:r>
      <w:r w:rsidRPr="00036FAC">
        <w:t>engage</w:t>
      </w:r>
      <w:r w:rsidR="00907D8C">
        <w:t xml:space="preserve"> </w:t>
      </w:r>
      <w:r w:rsidRPr="00036FAC">
        <w:t>their</w:t>
      </w:r>
      <w:r w:rsidR="00907D8C">
        <w:t xml:space="preserve"> </w:t>
      </w:r>
      <w:r w:rsidRPr="00036FAC">
        <w:t>own</w:t>
      </w:r>
      <w:r w:rsidR="00907D8C">
        <w:t xml:space="preserve"> </w:t>
      </w:r>
      <w:r w:rsidRPr="00036FAC">
        <w:t>legal</w:t>
      </w:r>
      <w:r w:rsidR="00907D8C">
        <w:t xml:space="preserve"> </w:t>
      </w:r>
      <w:r w:rsidRPr="00036FAC">
        <w:t>counsel.</w:t>
      </w:r>
    </w:p>
    <w:p w:rsidR="00036FAC" w:rsidRPr="00036FAC" w:rsidRDefault="00036FAC" w:rsidP="00A864D7">
      <w:pPr>
        <w:pStyle w:val="SingleTxtG"/>
      </w:pPr>
      <w:r w:rsidRPr="00036FAC">
        <w:t>208.</w:t>
      </w:r>
      <w:r w:rsidRPr="00036FAC">
        <w:tab/>
        <w:t>Where</w:t>
      </w:r>
      <w:r w:rsidR="00907D8C">
        <w:t xml:space="preserve"> </w:t>
      </w:r>
      <w:r w:rsidRPr="00036FAC">
        <w:t>a</w:t>
      </w:r>
      <w:r w:rsidR="00907D8C">
        <w:t xml:space="preserve"> </w:t>
      </w:r>
      <w:r w:rsidRPr="00036FAC">
        <w:t>complaint</w:t>
      </w:r>
      <w:r w:rsidR="00907D8C">
        <w:t xml:space="preserve"> </w:t>
      </w:r>
      <w:r w:rsidRPr="00036FAC">
        <w:t>is</w:t>
      </w:r>
      <w:r w:rsidR="00907D8C">
        <w:t xml:space="preserve"> </w:t>
      </w:r>
      <w:r w:rsidRPr="00036FAC">
        <w:t>upheld</w:t>
      </w:r>
      <w:r w:rsidR="00907D8C">
        <w:t xml:space="preserve"> </w:t>
      </w:r>
      <w:r w:rsidRPr="00036FAC">
        <w:t>by</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including</w:t>
      </w:r>
      <w:r w:rsidR="00907D8C">
        <w:t xml:space="preserve"> </w:t>
      </w:r>
      <w:r w:rsidRPr="00036FAC">
        <w:t>complaints</w:t>
      </w:r>
      <w:r w:rsidR="00907D8C">
        <w:t xml:space="preserve"> </w:t>
      </w:r>
      <w:r w:rsidRPr="00036FAC">
        <w:t>about</w:t>
      </w:r>
      <w:r w:rsidR="00907D8C">
        <w:t xml:space="preserve"> </w:t>
      </w:r>
      <w:r w:rsidRPr="00036FAC">
        <w:t>government</w:t>
      </w:r>
      <w:r w:rsidR="00907D8C">
        <w:t xml:space="preserve"> </w:t>
      </w:r>
      <w:r w:rsidRPr="00036FAC">
        <w:t>policies</w:t>
      </w:r>
      <w:r w:rsidR="00907D8C">
        <w:t xml:space="preserve"> </w:t>
      </w:r>
      <w:r w:rsidRPr="00036FAC">
        <w:t>and</w:t>
      </w:r>
      <w:r w:rsidR="00907D8C">
        <w:t xml:space="preserve"> </w:t>
      </w:r>
      <w:r w:rsidRPr="00036FAC">
        <w:t>practices,</w:t>
      </w:r>
      <w:r w:rsidR="00907D8C">
        <w:t xml:space="preserve"> </w:t>
      </w:r>
      <w:r w:rsidRPr="00036FAC">
        <w:t>a</w:t>
      </w:r>
      <w:r w:rsidR="00907D8C">
        <w:t xml:space="preserve"> </w:t>
      </w:r>
      <w:r w:rsidRPr="00036FAC">
        <w:t>wide</w:t>
      </w:r>
      <w:r w:rsidR="00907D8C">
        <w:t xml:space="preserve"> </w:t>
      </w:r>
      <w:r w:rsidRPr="00036FAC">
        <w:t>range</w:t>
      </w:r>
      <w:r w:rsidR="00907D8C">
        <w:t xml:space="preserve"> </w:t>
      </w:r>
      <w:r w:rsidRPr="00036FAC">
        <w:t>of</w:t>
      </w:r>
      <w:r w:rsidR="00907D8C">
        <w:t xml:space="preserve"> </w:t>
      </w:r>
      <w:r w:rsidRPr="00036FAC">
        <w:t>remedies</w:t>
      </w:r>
      <w:r w:rsidR="00907D8C">
        <w:t xml:space="preserve"> </w:t>
      </w:r>
      <w:r w:rsidRPr="00036FAC">
        <w:t>is</w:t>
      </w:r>
      <w:r w:rsidR="00907D8C">
        <w:t xml:space="preserve"> </w:t>
      </w:r>
      <w:r w:rsidRPr="00036FAC">
        <w:t>available,</w:t>
      </w:r>
      <w:r w:rsidR="00907D8C">
        <w:t xml:space="preserve"> </w:t>
      </w:r>
      <w:r w:rsidRPr="00036FAC">
        <w:t>including:</w:t>
      </w:r>
      <w:r w:rsidR="00907D8C">
        <w:t xml:space="preserve"> </w:t>
      </w:r>
      <w:r w:rsidRPr="00036FAC">
        <w:t>awards</w:t>
      </w:r>
      <w:r w:rsidR="00907D8C">
        <w:t xml:space="preserve"> </w:t>
      </w:r>
      <w:r w:rsidRPr="00036FAC">
        <w:t>of</w:t>
      </w:r>
      <w:r w:rsidR="00907D8C">
        <w:t xml:space="preserve"> </w:t>
      </w:r>
      <w:r w:rsidRPr="00036FAC">
        <w:t>damages;</w:t>
      </w:r>
      <w:r w:rsidR="00907D8C">
        <w:t xml:space="preserve"> </w:t>
      </w:r>
      <w:r w:rsidRPr="00036FAC">
        <w:t>restraining</w:t>
      </w:r>
      <w:r w:rsidR="00907D8C">
        <w:t xml:space="preserve"> </w:t>
      </w:r>
      <w:r w:rsidRPr="00036FAC">
        <w:t>orders;</w:t>
      </w:r>
      <w:r w:rsidR="00907D8C">
        <w:t xml:space="preserve"> </w:t>
      </w:r>
      <w:r w:rsidRPr="00036FAC">
        <w:t>orders</w:t>
      </w:r>
      <w:r w:rsidR="00907D8C">
        <w:t xml:space="preserve"> </w:t>
      </w:r>
      <w:r w:rsidRPr="00036FAC">
        <w:t>to</w:t>
      </w:r>
      <w:r w:rsidR="00907D8C">
        <w:t xml:space="preserve"> </w:t>
      </w:r>
      <w:r w:rsidRPr="00036FAC">
        <w:t>perform</w:t>
      </w:r>
      <w:r w:rsidR="00907D8C">
        <w:t xml:space="preserve"> </w:t>
      </w:r>
      <w:r w:rsidRPr="00036FAC">
        <w:t>acts</w:t>
      </w:r>
      <w:r w:rsidR="00907D8C">
        <w:t xml:space="preserve"> </w:t>
      </w:r>
      <w:r w:rsidRPr="00036FAC">
        <w:t>to</w:t>
      </w:r>
      <w:r w:rsidR="00907D8C">
        <w:t xml:space="preserve"> </w:t>
      </w:r>
      <w:r w:rsidRPr="00036FAC">
        <w:t>redress</w:t>
      </w:r>
      <w:r w:rsidR="00907D8C">
        <w:t xml:space="preserve"> </w:t>
      </w:r>
      <w:r w:rsidRPr="00036FAC">
        <w:t>the</w:t>
      </w:r>
      <w:r w:rsidR="00907D8C">
        <w:t xml:space="preserve"> </w:t>
      </w:r>
      <w:r w:rsidRPr="00036FAC">
        <w:t>loss;</w:t>
      </w:r>
      <w:r w:rsidR="00907D8C">
        <w:t xml:space="preserve"> </w:t>
      </w:r>
      <w:r w:rsidRPr="00036FAC">
        <w:t>and</w:t>
      </w:r>
      <w:r w:rsidR="00907D8C">
        <w:t xml:space="preserve"> </w:t>
      </w:r>
      <w:r w:rsidRPr="00036FAC">
        <w:t>orders</w:t>
      </w:r>
      <w:r w:rsidR="00907D8C">
        <w:t xml:space="preserve"> </w:t>
      </w:r>
      <w:r w:rsidRPr="00036FAC">
        <w:t>for</w:t>
      </w:r>
      <w:r w:rsidR="00907D8C">
        <w:t xml:space="preserve"> </w:t>
      </w:r>
      <w:r w:rsidRPr="00036FAC">
        <w:t>training</w:t>
      </w:r>
      <w:r w:rsidR="00907D8C">
        <w:t xml:space="preserve"> </w:t>
      </w:r>
      <w:r w:rsidRPr="00036FAC">
        <w:t>to</w:t>
      </w:r>
      <w:r w:rsidR="00907D8C">
        <w:t xml:space="preserve"> </w:t>
      </w:r>
      <w:r w:rsidRPr="00036FAC">
        <w:t>assist</w:t>
      </w:r>
      <w:r w:rsidR="00907D8C">
        <w:t xml:space="preserve"> </w:t>
      </w:r>
      <w:r w:rsidRPr="00036FAC">
        <w:t>those</w:t>
      </w:r>
      <w:r w:rsidR="00907D8C">
        <w:t xml:space="preserve"> </w:t>
      </w:r>
      <w:r w:rsidRPr="00036FAC">
        <w:t>who</w:t>
      </w:r>
      <w:r w:rsidR="00907D8C">
        <w:t xml:space="preserve"> </w:t>
      </w:r>
      <w:r w:rsidRPr="00036FAC">
        <w:t>have</w:t>
      </w:r>
      <w:r w:rsidR="00907D8C">
        <w:t xml:space="preserve"> </w:t>
      </w:r>
      <w:r w:rsidRPr="00036FAC">
        <w:t>breached</w:t>
      </w:r>
      <w:r w:rsidR="00907D8C">
        <w:t xml:space="preserve"> </w:t>
      </w:r>
      <w:r w:rsidRPr="00036FAC">
        <w:t>the</w:t>
      </w:r>
      <w:r w:rsidR="00907D8C">
        <w:t xml:space="preserve"> </w:t>
      </w:r>
      <w:r w:rsidRPr="00036FAC">
        <w:t>Act</w:t>
      </w:r>
      <w:r w:rsidR="00907D8C">
        <w:t xml:space="preserve"> </w:t>
      </w:r>
      <w:r w:rsidRPr="00036FAC">
        <w:t>to</w:t>
      </w:r>
      <w:r w:rsidR="00907D8C">
        <w:t xml:space="preserve"> </w:t>
      </w:r>
      <w:r w:rsidRPr="00036FAC">
        <w:t>comply</w:t>
      </w:r>
      <w:r w:rsidR="00907D8C">
        <w:t xml:space="preserve"> </w:t>
      </w:r>
      <w:r w:rsidRPr="00036FAC">
        <w:t>with</w:t>
      </w:r>
      <w:r w:rsidR="00907D8C">
        <w:t xml:space="preserve"> </w:t>
      </w:r>
      <w:r w:rsidRPr="00036FAC">
        <w:t>their</w:t>
      </w:r>
      <w:r w:rsidR="00907D8C">
        <w:t xml:space="preserve"> </w:t>
      </w:r>
      <w:r w:rsidRPr="00036FAC">
        <w:t>future</w:t>
      </w:r>
      <w:r w:rsidR="00907D8C">
        <w:t xml:space="preserve"> </w:t>
      </w:r>
      <w:r w:rsidRPr="00036FAC">
        <w:t>obligations.</w:t>
      </w:r>
      <w:r w:rsidR="00907D8C">
        <w:t xml:space="preserve"> </w:t>
      </w:r>
      <w:r w:rsidRPr="00036FAC">
        <w:t>When</w:t>
      </w:r>
      <w:r w:rsidR="00907D8C">
        <w:t xml:space="preserve"> </w:t>
      </w:r>
      <w:r w:rsidRPr="00036FAC">
        <w:t>a</w:t>
      </w:r>
      <w:r w:rsidR="00907D8C">
        <w:t xml:space="preserve"> </w:t>
      </w:r>
      <w:r w:rsidRPr="00036FAC">
        <w:t>complaint</w:t>
      </w:r>
      <w:r w:rsidR="00907D8C">
        <w:t xml:space="preserve"> </w:t>
      </w:r>
      <w:r w:rsidRPr="00036FAC">
        <w:t>concerns</w:t>
      </w:r>
      <w:r w:rsidR="00907D8C">
        <w:t xml:space="preserve"> </w:t>
      </w:r>
      <w:r w:rsidRPr="00036FAC">
        <w:t>legislation</w:t>
      </w:r>
      <w:r w:rsidR="00907D8C">
        <w:t xml:space="preserve"> </w:t>
      </w:r>
      <w:r w:rsidRPr="00036FAC">
        <w:t>or</w:t>
      </w:r>
      <w:r w:rsidR="00907D8C">
        <w:t xml:space="preserve"> </w:t>
      </w:r>
      <w:r w:rsidRPr="00036FAC">
        <w:t>validly</w:t>
      </w:r>
      <w:r w:rsidR="00907D8C">
        <w:t xml:space="preserve"> </w:t>
      </w:r>
      <w:r w:rsidRPr="00036FAC">
        <w:t>made</w:t>
      </w:r>
      <w:r w:rsidR="00907D8C">
        <w:t xml:space="preserve"> </w:t>
      </w:r>
      <w:r w:rsidRPr="00036FAC">
        <w:t>regulations,</w:t>
      </w:r>
      <w:r w:rsidR="00907D8C">
        <w:t xml:space="preserve"> </w:t>
      </w:r>
      <w:r w:rsidRPr="00036FAC">
        <w:t>and</w:t>
      </w:r>
      <w:r w:rsidR="00907D8C">
        <w:t xml:space="preserve"> </w:t>
      </w:r>
      <w:r w:rsidRPr="00036FAC">
        <w:t>the</w:t>
      </w:r>
      <w:r w:rsidR="00907D8C">
        <w:t xml:space="preserve"> </w:t>
      </w:r>
      <w:r w:rsidRPr="00036FAC">
        <w:t>complaint</w:t>
      </w:r>
      <w:r w:rsidR="00907D8C">
        <w:t xml:space="preserve"> </w:t>
      </w:r>
      <w:r w:rsidRPr="00036FAC">
        <w:t>is</w:t>
      </w:r>
      <w:r w:rsidR="00907D8C">
        <w:t xml:space="preserve"> </w:t>
      </w:r>
      <w:r w:rsidRPr="00036FAC">
        <w:t>upheld,</w:t>
      </w:r>
      <w:r w:rsidR="00907D8C">
        <w:t xml:space="preserve"> </w:t>
      </w:r>
      <w:r w:rsidRPr="00036FAC">
        <w:t>the</w:t>
      </w:r>
      <w:r w:rsidR="00907D8C">
        <w:t xml:space="preserve"> </w:t>
      </w:r>
      <w:r w:rsidRPr="00036FAC">
        <w:t>sole</w:t>
      </w:r>
      <w:r w:rsidR="00907D8C">
        <w:t xml:space="preserve"> </w:t>
      </w:r>
      <w:r w:rsidRPr="00036FAC">
        <w:t>remedy</w:t>
      </w:r>
      <w:r w:rsidR="00907D8C">
        <w:t xml:space="preserve"> </w:t>
      </w:r>
      <w:r w:rsidRPr="00036FAC">
        <w:t>available</w:t>
      </w:r>
      <w:r w:rsidR="00907D8C">
        <w:t xml:space="preserve"> </w:t>
      </w:r>
      <w:r w:rsidRPr="00036FAC">
        <w:t>is</w:t>
      </w:r>
      <w:r w:rsidR="00907D8C">
        <w:t xml:space="preserve"> </w:t>
      </w:r>
      <w:r w:rsidRPr="00036FAC">
        <w:t>a</w:t>
      </w:r>
      <w:r w:rsidR="00907D8C">
        <w:t xml:space="preserve"> </w:t>
      </w:r>
      <w:r w:rsidRPr="00036FAC">
        <w:t>declaration</w:t>
      </w:r>
      <w:r w:rsidR="00907D8C">
        <w:t xml:space="preserve"> </w:t>
      </w:r>
      <w:r w:rsidRPr="00036FAC">
        <w:t>of</w:t>
      </w:r>
      <w:r w:rsidR="00907D8C">
        <w:t xml:space="preserve"> </w:t>
      </w:r>
      <w:r w:rsidRPr="00036FAC">
        <w:t>inconsistency.</w:t>
      </w:r>
      <w:r w:rsidR="00907D8C">
        <w:t xml:space="preserve"> </w:t>
      </w:r>
      <w:r w:rsidRPr="00036FAC">
        <w:t>This</w:t>
      </w:r>
      <w:r w:rsidR="00907D8C">
        <w:t xml:space="preserve"> </w:t>
      </w:r>
      <w:r w:rsidRPr="00036FAC">
        <w:t>does</w:t>
      </w:r>
      <w:r w:rsidR="00907D8C">
        <w:t xml:space="preserve"> </w:t>
      </w:r>
      <w:r w:rsidRPr="00036FAC">
        <w:t>not</w:t>
      </w:r>
      <w:r w:rsidR="00907D8C">
        <w:t xml:space="preserve"> </w:t>
      </w:r>
      <w:r w:rsidRPr="00036FAC">
        <w:t>mean</w:t>
      </w:r>
      <w:r w:rsidR="00907D8C">
        <w:t xml:space="preserve"> </w:t>
      </w:r>
      <w:r w:rsidRPr="00036FAC">
        <w:t>that</w:t>
      </w:r>
      <w:r w:rsidR="00907D8C">
        <w:t xml:space="preserve"> </w:t>
      </w:r>
      <w:r w:rsidRPr="00036FAC">
        <w:t>the</w:t>
      </w:r>
      <w:r w:rsidR="00907D8C">
        <w:t xml:space="preserve"> </w:t>
      </w:r>
      <w:r w:rsidRPr="00036FAC">
        <w:t>legislation</w:t>
      </w:r>
      <w:r w:rsidR="00907D8C">
        <w:t xml:space="preserve"> </w:t>
      </w:r>
      <w:r w:rsidRPr="00036FAC">
        <w:t>is</w:t>
      </w:r>
      <w:r w:rsidR="00907D8C">
        <w:t xml:space="preserve"> </w:t>
      </w:r>
      <w:r w:rsidRPr="00036FAC">
        <w:t>invalidated,</w:t>
      </w:r>
      <w:r w:rsidR="00907D8C">
        <w:t xml:space="preserve"> </w:t>
      </w:r>
      <w:r w:rsidRPr="00036FAC">
        <w:t>but</w:t>
      </w:r>
      <w:r w:rsidR="00907D8C">
        <w:t xml:space="preserve"> </w:t>
      </w:r>
      <w:r w:rsidRPr="00036FAC">
        <w:t>the</w:t>
      </w:r>
      <w:r w:rsidR="00907D8C">
        <w:t xml:space="preserve"> </w:t>
      </w:r>
      <w:r w:rsidRPr="00036FAC">
        <w:t>responsible</w:t>
      </w:r>
      <w:r w:rsidR="00907D8C">
        <w:t xml:space="preserve"> </w:t>
      </w:r>
      <w:r w:rsidRPr="00036FAC">
        <w:t>Minister</w:t>
      </w:r>
      <w:r w:rsidR="00907D8C">
        <w:t xml:space="preserve"> </w:t>
      </w:r>
      <w:r w:rsidRPr="00036FAC">
        <w:t>is</w:t>
      </w:r>
      <w:r w:rsidR="00907D8C">
        <w:t xml:space="preserve"> </w:t>
      </w:r>
      <w:r w:rsidRPr="00036FAC">
        <w:t>required</w:t>
      </w:r>
      <w:r w:rsidR="00907D8C">
        <w:t xml:space="preserve"> </w:t>
      </w:r>
      <w:r w:rsidRPr="00036FAC">
        <w:t>to</w:t>
      </w:r>
      <w:r w:rsidR="00907D8C">
        <w:t xml:space="preserve"> </w:t>
      </w:r>
      <w:r w:rsidRPr="00036FAC">
        <w:t>bring</w:t>
      </w:r>
      <w:r w:rsidR="00907D8C">
        <w:t xml:space="preserve"> </w:t>
      </w:r>
      <w:r w:rsidRPr="00036FAC">
        <w:t>the</w:t>
      </w:r>
      <w:r w:rsidR="00907D8C">
        <w:t xml:space="preserve"> </w:t>
      </w:r>
      <w:r w:rsidRPr="00036FAC">
        <w:t>declaration</w:t>
      </w:r>
      <w:r w:rsidR="00907D8C">
        <w:t xml:space="preserve"> </w:t>
      </w:r>
      <w:r w:rsidRPr="00036FAC">
        <w:t>to</w:t>
      </w:r>
      <w:r w:rsidR="00907D8C">
        <w:t xml:space="preserve"> </w:t>
      </w:r>
      <w:r w:rsidRPr="00036FAC">
        <w:t>the</w:t>
      </w:r>
      <w:r w:rsidR="00907D8C">
        <w:t xml:space="preserve"> </w:t>
      </w:r>
      <w:r w:rsidRPr="00036FAC">
        <w:t>attention</w:t>
      </w:r>
      <w:r w:rsidR="00907D8C">
        <w:t xml:space="preserve"> </w:t>
      </w:r>
      <w:r w:rsidRPr="00036FAC">
        <w:t>of</w:t>
      </w:r>
      <w:r w:rsidR="00907D8C">
        <w:t xml:space="preserve"> </w:t>
      </w:r>
      <w:r w:rsidRPr="00036FAC">
        <w:t>Parliament,</w:t>
      </w:r>
      <w:r w:rsidR="00907D8C">
        <w:t xml:space="preserve"> </w:t>
      </w:r>
      <w:r w:rsidRPr="00036FAC">
        <w:t>along</w:t>
      </w:r>
      <w:r w:rsidR="00907D8C">
        <w:t xml:space="preserve"> </w:t>
      </w:r>
      <w:r w:rsidRPr="00036FAC">
        <w:t>with</w:t>
      </w:r>
      <w:r w:rsidR="00907D8C">
        <w:t xml:space="preserve"> </w:t>
      </w:r>
      <w:r w:rsidRPr="00036FAC">
        <w:t>the</w:t>
      </w:r>
      <w:r w:rsidR="00907D8C">
        <w:t xml:space="preserve"> </w:t>
      </w:r>
      <w:r w:rsidRPr="00036FAC">
        <w:t>executive</w:t>
      </w:r>
      <w:r w:rsidR="003E4D94">
        <w:t>’</w:t>
      </w:r>
      <w:r w:rsidRPr="00036FAC">
        <w:t>s</w:t>
      </w:r>
      <w:r w:rsidR="00907D8C">
        <w:t xml:space="preserve"> </w:t>
      </w:r>
      <w:r w:rsidRPr="00036FAC">
        <w:t>response</w:t>
      </w:r>
      <w:r w:rsidR="00907D8C">
        <w:t xml:space="preserve"> </w:t>
      </w:r>
      <w:r w:rsidRPr="00036FAC">
        <w:t>to</w:t>
      </w:r>
      <w:r w:rsidR="00907D8C">
        <w:t xml:space="preserve"> </w:t>
      </w:r>
      <w:r w:rsidRPr="00036FAC">
        <w:t>that</w:t>
      </w:r>
      <w:r w:rsidR="00907D8C">
        <w:t xml:space="preserve"> </w:t>
      </w:r>
      <w:r w:rsidRPr="00036FAC">
        <w:t>declaration.</w:t>
      </w:r>
    </w:p>
    <w:p w:rsidR="00036FAC" w:rsidRPr="00036FAC" w:rsidRDefault="00036FAC" w:rsidP="00A864D7">
      <w:pPr>
        <w:pStyle w:val="SingleTxtG"/>
      </w:pPr>
      <w:r w:rsidRPr="00036FAC">
        <w:t>209.</w:t>
      </w:r>
      <w:r w:rsidRPr="00036FAC">
        <w:tab/>
        <w:t>Decisions</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Review</w:t>
      </w:r>
      <w:r w:rsidR="00907D8C">
        <w:t xml:space="preserve"> </w:t>
      </w:r>
      <w:r w:rsidRPr="00036FAC">
        <w:t>Tribunal</w:t>
      </w:r>
      <w:r w:rsidR="00907D8C">
        <w:t xml:space="preserve"> </w:t>
      </w:r>
      <w:r w:rsidRPr="00036FAC">
        <w:t>may</w:t>
      </w:r>
      <w:r w:rsidR="00907D8C">
        <w:t xml:space="preserve"> </w:t>
      </w:r>
      <w:r w:rsidRPr="00036FAC">
        <w:t>be</w:t>
      </w:r>
      <w:r w:rsidR="00907D8C">
        <w:t xml:space="preserve"> </w:t>
      </w:r>
      <w:r w:rsidRPr="00036FAC">
        <w:t>appealed</w:t>
      </w:r>
      <w:r w:rsidR="00907D8C">
        <w:t xml:space="preserve"> </w:t>
      </w:r>
      <w:r w:rsidRPr="00036FAC">
        <w:t>to</w:t>
      </w:r>
      <w:r w:rsidR="00907D8C">
        <w:t xml:space="preserve"> </w:t>
      </w:r>
      <w:r w:rsidRPr="00036FAC">
        <w:t>the</w:t>
      </w:r>
      <w:r w:rsidR="00907D8C">
        <w:t xml:space="preserve"> </w:t>
      </w:r>
      <w:r w:rsidRPr="00036FAC">
        <w:t>High</w:t>
      </w:r>
      <w:r w:rsidR="00907D8C">
        <w:t xml:space="preserve"> </w:t>
      </w:r>
      <w:r w:rsidRPr="00036FAC">
        <w:t>Court</w:t>
      </w:r>
      <w:r w:rsidR="00907D8C">
        <w:t xml:space="preserve"> </w:t>
      </w:r>
      <w:r w:rsidRPr="00036FAC">
        <w:t>on</w:t>
      </w:r>
      <w:r w:rsidR="00907D8C">
        <w:t xml:space="preserve"> </w:t>
      </w:r>
      <w:r w:rsidRPr="00036FAC">
        <w:t>questions</w:t>
      </w:r>
      <w:r w:rsidR="00907D8C">
        <w:t xml:space="preserve"> </w:t>
      </w:r>
      <w:r w:rsidRPr="00036FAC">
        <w:t>of</w:t>
      </w:r>
      <w:r w:rsidR="00907D8C">
        <w:t xml:space="preserve"> </w:t>
      </w:r>
      <w:r w:rsidRPr="00036FAC">
        <w:t>fact</w:t>
      </w:r>
      <w:r w:rsidR="00907D8C">
        <w:t xml:space="preserve"> </w:t>
      </w:r>
      <w:r w:rsidRPr="00036FAC">
        <w:t>and</w:t>
      </w:r>
      <w:r w:rsidR="00907D8C">
        <w:t xml:space="preserve"> </w:t>
      </w:r>
      <w:r w:rsidRPr="00036FAC">
        <w:t>law,</w:t>
      </w:r>
      <w:r w:rsidR="00907D8C">
        <w:t xml:space="preserve"> </w:t>
      </w:r>
      <w:r w:rsidRPr="00036FAC">
        <w:t>or</w:t>
      </w:r>
      <w:r w:rsidR="00907D8C">
        <w:t xml:space="preserve"> </w:t>
      </w:r>
      <w:r w:rsidRPr="00036FAC">
        <w:t>to</w:t>
      </w:r>
      <w:r w:rsidR="00907D8C">
        <w:t xml:space="preserve"> </w:t>
      </w:r>
      <w:r w:rsidRPr="00036FAC">
        <w:t>the</w:t>
      </w:r>
      <w:r w:rsidR="00907D8C">
        <w:t xml:space="preserve"> </w:t>
      </w:r>
      <w:r w:rsidRPr="00036FAC">
        <w:t>Court</w:t>
      </w:r>
      <w:r w:rsidR="00907D8C">
        <w:t xml:space="preserve"> </w:t>
      </w:r>
      <w:r w:rsidRPr="00036FAC">
        <w:t>of</w:t>
      </w:r>
      <w:r w:rsidR="00907D8C">
        <w:t xml:space="preserve"> </w:t>
      </w:r>
      <w:r w:rsidRPr="00036FAC">
        <w:t>Appeal</w:t>
      </w:r>
      <w:r w:rsidR="00907D8C">
        <w:t xml:space="preserve"> </w:t>
      </w:r>
      <w:r w:rsidRPr="00036FAC">
        <w:t>and</w:t>
      </w:r>
      <w:r w:rsidR="00907D8C">
        <w:t xml:space="preserve"> </w:t>
      </w:r>
      <w:r w:rsidRPr="00036FAC">
        <w:t>Supreme</w:t>
      </w:r>
      <w:r w:rsidR="00907D8C">
        <w:t xml:space="preserve"> </w:t>
      </w:r>
      <w:r w:rsidRPr="00036FAC">
        <w:t>Court</w:t>
      </w:r>
      <w:r w:rsidR="00907D8C">
        <w:t xml:space="preserve"> </w:t>
      </w:r>
      <w:r w:rsidRPr="00036FAC">
        <w:t>on</w:t>
      </w:r>
      <w:r w:rsidR="00907D8C">
        <w:t xml:space="preserve"> </w:t>
      </w:r>
      <w:r w:rsidRPr="00036FAC">
        <w:t>points</w:t>
      </w:r>
      <w:r w:rsidR="00907D8C">
        <w:t xml:space="preserve"> </w:t>
      </w:r>
      <w:r w:rsidRPr="00036FAC">
        <w:t>of</w:t>
      </w:r>
      <w:r w:rsidR="00907D8C">
        <w:t xml:space="preserve"> </w:t>
      </w:r>
      <w:r w:rsidRPr="00036FAC">
        <w:t>law.</w:t>
      </w:r>
    </w:p>
    <w:p w:rsidR="00036FAC" w:rsidRPr="00036FAC" w:rsidRDefault="00036FAC" w:rsidP="00A864D7">
      <w:pPr>
        <w:pStyle w:val="SingleTxtG"/>
      </w:pPr>
      <w:r w:rsidRPr="00036FAC">
        <w:t>210.</w:t>
      </w:r>
      <w:r w:rsidRPr="00036FAC">
        <w:tab/>
        <w:t>The</w:t>
      </w:r>
      <w:r w:rsidR="00907D8C">
        <w:t xml:space="preserve"> </w:t>
      </w:r>
      <w:r w:rsidRPr="00036FAC">
        <w:t>Employment</w:t>
      </w:r>
      <w:r w:rsidR="00907D8C">
        <w:t xml:space="preserve"> </w:t>
      </w:r>
      <w:r w:rsidRPr="00036FAC">
        <w:t>Relations</w:t>
      </w:r>
      <w:r w:rsidR="00907D8C">
        <w:t xml:space="preserve"> </w:t>
      </w:r>
      <w:r w:rsidRPr="00036FAC">
        <w:t>Authority</w:t>
      </w:r>
      <w:r w:rsidR="00907D8C">
        <w:t xml:space="preserve"> </w:t>
      </w:r>
      <w:r w:rsidRPr="00036FAC">
        <w:t>and</w:t>
      </w:r>
      <w:r w:rsidR="00907D8C">
        <w:t xml:space="preserve"> </w:t>
      </w:r>
      <w:r w:rsidRPr="00036FAC">
        <w:t>Employment</w:t>
      </w:r>
      <w:r w:rsidR="00907D8C">
        <w:t xml:space="preserve"> </w:t>
      </w:r>
      <w:r w:rsidRPr="00036FAC">
        <w:t>Court</w:t>
      </w:r>
      <w:r w:rsidR="00907D8C">
        <w:t xml:space="preserve"> </w:t>
      </w:r>
      <w:r w:rsidRPr="00036FAC">
        <w:t>also</w:t>
      </w:r>
      <w:r w:rsidR="00907D8C">
        <w:t xml:space="preserve"> </w:t>
      </w:r>
      <w:r w:rsidRPr="00036FAC">
        <w:t>have</w:t>
      </w:r>
      <w:r w:rsidR="00907D8C">
        <w:t xml:space="preserve"> </w:t>
      </w:r>
      <w:r w:rsidRPr="00036FAC">
        <w:t>some</w:t>
      </w:r>
      <w:r w:rsidR="00907D8C">
        <w:t xml:space="preserve"> </w:t>
      </w:r>
      <w:r w:rsidRPr="00036FAC">
        <w:t>jurisdiction</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personal</w:t>
      </w:r>
      <w:r w:rsidR="00907D8C">
        <w:t xml:space="preserve"> </w:t>
      </w:r>
      <w:r w:rsidRPr="00036FAC">
        <w:t>grievance</w:t>
      </w:r>
      <w:r w:rsidR="00907D8C">
        <w:t xml:space="preserve"> </w:t>
      </w:r>
      <w:r w:rsidRPr="00036FAC">
        <w:t>claims</w:t>
      </w:r>
      <w:r w:rsidR="00907D8C">
        <w:t xml:space="preserve"> </w:t>
      </w:r>
      <w:r w:rsidRPr="00036FAC">
        <w:t>and</w:t>
      </w:r>
      <w:r w:rsidR="00907D8C">
        <w:t xml:space="preserve"> </w:t>
      </w:r>
      <w:r w:rsidRPr="00036FAC">
        <w:t>claims</w:t>
      </w:r>
      <w:r w:rsidR="00907D8C">
        <w:t xml:space="preserve"> </w:t>
      </w:r>
      <w:r w:rsidRPr="00036FAC">
        <w:t>concerning</w:t>
      </w:r>
      <w:r w:rsidR="00907D8C">
        <w:t xml:space="preserve"> </w:t>
      </w:r>
      <w:r w:rsidRPr="00036FAC">
        <w:t>a</w:t>
      </w:r>
      <w:r w:rsidR="00907D8C">
        <w:t xml:space="preserve"> </w:t>
      </w:r>
      <w:r w:rsidRPr="00036FAC">
        <w:t>breach</w:t>
      </w:r>
      <w:r w:rsidR="00907D8C">
        <w:t xml:space="preserve"> </w:t>
      </w:r>
      <w:r w:rsidRPr="00036FAC">
        <w:t>of</w:t>
      </w:r>
      <w:r w:rsidR="00907D8C">
        <w:t xml:space="preserve"> </w:t>
      </w:r>
      <w:r w:rsidRPr="00036FAC">
        <w:t>an</w:t>
      </w:r>
      <w:r w:rsidR="00907D8C">
        <w:t xml:space="preserve"> </w:t>
      </w:r>
      <w:r w:rsidRPr="00036FAC">
        <w:t>employment</w:t>
      </w:r>
      <w:r w:rsidR="00907D8C">
        <w:t xml:space="preserve"> </w:t>
      </w:r>
      <w:r w:rsidRPr="00036FAC">
        <w:t>contract.</w:t>
      </w:r>
      <w:r w:rsidR="00907D8C">
        <w:t xml:space="preserve"> </w:t>
      </w:r>
      <w:r w:rsidRPr="00036FAC">
        <w:t>Matters</w:t>
      </w:r>
      <w:r w:rsidR="00907D8C">
        <w:t xml:space="preserve"> </w:t>
      </w:r>
      <w:r w:rsidRPr="00036FAC">
        <w:t>covered</w:t>
      </w:r>
      <w:r w:rsidR="00907D8C">
        <w:t xml:space="preserve"> </w:t>
      </w:r>
      <w:r w:rsidRPr="00036FAC">
        <w:t>by</w:t>
      </w:r>
      <w:r w:rsidR="00907D8C">
        <w:t xml:space="preserve"> </w:t>
      </w:r>
      <w:r w:rsidRPr="00036FAC">
        <w:t>personal</w:t>
      </w:r>
      <w:r w:rsidR="00907D8C">
        <w:t xml:space="preserve"> </w:t>
      </w:r>
      <w:r w:rsidRPr="00036FAC">
        <w:t>grievance</w:t>
      </w:r>
      <w:r w:rsidR="00907D8C">
        <w:t xml:space="preserve"> </w:t>
      </w:r>
      <w:r w:rsidRPr="00036FAC">
        <w:t>procedures</w:t>
      </w:r>
      <w:r w:rsidR="00907D8C">
        <w:t xml:space="preserve"> </w:t>
      </w:r>
      <w:r w:rsidRPr="00036FAC">
        <w:t>include</w:t>
      </w:r>
      <w:r w:rsidR="00907D8C">
        <w:t xml:space="preserve"> </w:t>
      </w:r>
      <w:r w:rsidRPr="00036FAC">
        <w:t>claims</w:t>
      </w:r>
      <w:r w:rsidR="00907D8C">
        <w:t xml:space="preserve"> </w:t>
      </w:r>
      <w:r w:rsidRPr="00036FAC">
        <w:t>of</w:t>
      </w:r>
      <w:r w:rsidR="00907D8C">
        <w:t xml:space="preserve"> </w:t>
      </w:r>
      <w:r w:rsidRPr="00036FAC">
        <w:t>unjustified</w:t>
      </w:r>
      <w:r w:rsidR="00907D8C">
        <w:t xml:space="preserve"> </w:t>
      </w:r>
      <w:r w:rsidRPr="00036FAC">
        <w:t>dismissal,</w:t>
      </w:r>
      <w:r w:rsidR="00907D8C">
        <w:t xml:space="preserve"> </w:t>
      </w:r>
      <w:r w:rsidRPr="00036FAC">
        <w:t>discrimination</w:t>
      </w:r>
      <w:r w:rsidR="00907D8C">
        <w:t xml:space="preserve"> </w:t>
      </w:r>
      <w:r w:rsidRPr="00036FAC">
        <w:t>in</w:t>
      </w:r>
      <w:r w:rsidR="00907D8C">
        <w:t xml:space="preserve"> </w:t>
      </w:r>
      <w:r w:rsidRPr="00036FAC">
        <w:t>particular</w:t>
      </w:r>
      <w:r w:rsidR="00907D8C">
        <w:t xml:space="preserve"> </w:t>
      </w:r>
      <w:r w:rsidRPr="00036FAC">
        <w:t>areas,</w:t>
      </w:r>
      <w:r w:rsidR="00907D8C">
        <w:t xml:space="preserve"> </w:t>
      </w:r>
      <w:r w:rsidRPr="00036FAC">
        <w:t>unjustifiable</w:t>
      </w:r>
      <w:r w:rsidR="00907D8C">
        <w:t xml:space="preserve"> </w:t>
      </w:r>
      <w:r w:rsidRPr="00036FAC">
        <w:t>action</w:t>
      </w:r>
      <w:r w:rsidR="00907D8C">
        <w:t xml:space="preserve"> </w:t>
      </w:r>
      <w:r w:rsidRPr="00036FAC">
        <w:t>by</w:t>
      </w:r>
      <w:r w:rsidR="00907D8C">
        <w:t xml:space="preserve"> </w:t>
      </w:r>
      <w:r w:rsidRPr="00036FAC">
        <w:t>an</w:t>
      </w:r>
      <w:r w:rsidR="00907D8C">
        <w:t xml:space="preserve"> </w:t>
      </w:r>
      <w:r w:rsidRPr="00036FAC">
        <w:t>employer,</w:t>
      </w:r>
      <w:r w:rsidR="00907D8C">
        <w:t xml:space="preserve"> </w:t>
      </w:r>
      <w:r w:rsidRPr="00036FAC">
        <w:t>sexual</w:t>
      </w:r>
      <w:r w:rsidR="00907D8C">
        <w:t xml:space="preserve"> </w:t>
      </w:r>
      <w:r w:rsidRPr="00036FAC">
        <w:t>harassment,</w:t>
      </w:r>
      <w:r w:rsidR="00907D8C">
        <w:t xml:space="preserve"> </w:t>
      </w:r>
      <w:r w:rsidRPr="00036FAC">
        <w:t>and</w:t>
      </w:r>
      <w:r w:rsidR="00907D8C">
        <w:t xml:space="preserve"> </w:t>
      </w:r>
      <w:r w:rsidRPr="00036FAC">
        <w:t>duress</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membership</w:t>
      </w:r>
      <w:r w:rsidR="00907D8C">
        <w:t xml:space="preserve"> </w:t>
      </w:r>
      <w:r w:rsidRPr="00036FAC">
        <w:t>or</w:t>
      </w:r>
      <w:r w:rsidR="00907D8C">
        <w:t xml:space="preserve"> </w:t>
      </w:r>
      <w:r w:rsidRPr="00036FAC">
        <w:t>non</w:t>
      </w:r>
      <w:r w:rsidR="00A864D7">
        <w:t>-</w:t>
      </w:r>
      <w:r w:rsidRPr="00036FAC">
        <w:t>membership</w:t>
      </w:r>
      <w:r w:rsidR="00907D8C">
        <w:t xml:space="preserve"> </w:t>
      </w:r>
      <w:r w:rsidRPr="00036FAC">
        <w:t>of</w:t>
      </w:r>
      <w:r w:rsidR="00907D8C">
        <w:t xml:space="preserve"> </w:t>
      </w:r>
      <w:r w:rsidRPr="00036FAC">
        <w:t>an</w:t>
      </w:r>
      <w:r w:rsidR="00907D8C">
        <w:t xml:space="preserve"> </w:t>
      </w:r>
      <w:r w:rsidRPr="00036FAC">
        <w:t>employees</w:t>
      </w:r>
      <w:r w:rsidR="003E4D94">
        <w:t>’</w:t>
      </w:r>
      <w:r w:rsidR="00907D8C">
        <w:t xml:space="preserve"> </w:t>
      </w:r>
      <w:r w:rsidRPr="00036FAC">
        <w:t>organisation.</w:t>
      </w:r>
      <w:r w:rsidR="00907D8C">
        <w:t xml:space="preserve"> </w:t>
      </w:r>
      <w:r w:rsidRPr="00036FAC">
        <w:t>Decisions</w:t>
      </w:r>
      <w:r w:rsidR="00907D8C">
        <w:t xml:space="preserve"> </w:t>
      </w:r>
      <w:r w:rsidRPr="00036FAC">
        <w:t>of</w:t>
      </w:r>
      <w:r w:rsidR="00907D8C">
        <w:t xml:space="preserve"> </w:t>
      </w:r>
      <w:r w:rsidRPr="00036FAC">
        <w:t>the</w:t>
      </w:r>
      <w:r w:rsidR="00907D8C">
        <w:t xml:space="preserve"> </w:t>
      </w:r>
      <w:r w:rsidRPr="00036FAC">
        <w:t>Employment</w:t>
      </w:r>
      <w:r w:rsidR="00907D8C">
        <w:t xml:space="preserve"> </w:t>
      </w:r>
      <w:r w:rsidRPr="00036FAC">
        <w:t>Relations</w:t>
      </w:r>
      <w:r w:rsidR="00907D8C">
        <w:t xml:space="preserve"> </w:t>
      </w:r>
      <w:r w:rsidRPr="00036FAC">
        <w:t>Authority</w:t>
      </w:r>
      <w:r w:rsidR="00907D8C">
        <w:t xml:space="preserve"> </w:t>
      </w:r>
      <w:r w:rsidRPr="00036FAC">
        <w:t>can</w:t>
      </w:r>
      <w:r w:rsidR="00907D8C">
        <w:t xml:space="preserve"> </w:t>
      </w:r>
      <w:r w:rsidRPr="00036FAC">
        <w:t>be</w:t>
      </w:r>
      <w:r w:rsidR="00907D8C">
        <w:t xml:space="preserve"> </w:t>
      </w:r>
      <w:r w:rsidRPr="00036FAC">
        <w:t>appealed</w:t>
      </w:r>
      <w:r w:rsidR="00907D8C">
        <w:t xml:space="preserve"> </w:t>
      </w:r>
      <w:r w:rsidRPr="00036FAC">
        <w:t>to</w:t>
      </w:r>
      <w:r w:rsidR="00907D8C">
        <w:t xml:space="preserve"> </w:t>
      </w:r>
      <w:r w:rsidRPr="00036FAC">
        <w:t>the</w:t>
      </w:r>
      <w:r w:rsidR="00907D8C">
        <w:t xml:space="preserve"> </w:t>
      </w:r>
      <w:r w:rsidRPr="00036FAC">
        <w:t>Employment</w:t>
      </w:r>
      <w:r w:rsidR="00907D8C">
        <w:t xml:space="preserve"> </w:t>
      </w:r>
      <w:r w:rsidRPr="00036FAC">
        <w:t>Court.</w:t>
      </w:r>
    </w:p>
    <w:p w:rsidR="00036FAC" w:rsidRPr="00036FAC" w:rsidRDefault="00036FAC" w:rsidP="00A864D7">
      <w:pPr>
        <w:pStyle w:val="SingleTxtG"/>
      </w:pPr>
      <w:r w:rsidRPr="00036FAC">
        <w:t>211.</w:t>
      </w:r>
      <w:r w:rsidRPr="00036FAC">
        <w:tab/>
        <w:t>Finally,</w:t>
      </w:r>
      <w:r w:rsidR="00907D8C">
        <w:t xml:space="preserve"> </w:t>
      </w:r>
      <w:r w:rsidRPr="00036FAC">
        <w:t>under</w:t>
      </w:r>
      <w:r w:rsidR="00907D8C">
        <w:t xml:space="preserve"> </w:t>
      </w:r>
      <w:r w:rsidRPr="00036FAC">
        <w:t>sections</w:t>
      </w:r>
      <w:r w:rsidR="00907D8C">
        <w:t xml:space="preserve"> </w:t>
      </w:r>
      <w:r w:rsidRPr="00036FAC">
        <w:t>131</w:t>
      </w:r>
      <w:r w:rsidR="00907D8C">
        <w:t xml:space="preserve"> </w:t>
      </w:r>
      <w:r w:rsidRPr="00036FAC">
        <w:t>and</w:t>
      </w:r>
      <w:r w:rsidR="00907D8C">
        <w:t xml:space="preserve"> </w:t>
      </w:r>
      <w:r w:rsidRPr="00036FAC">
        <w:t>134</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the</w:t>
      </w:r>
      <w:r w:rsidR="00907D8C">
        <w:t xml:space="preserve"> </w:t>
      </w:r>
      <w:r w:rsidRPr="00036FAC">
        <w:t>District</w:t>
      </w:r>
      <w:r w:rsidR="00907D8C">
        <w:t xml:space="preserve"> </w:t>
      </w:r>
      <w:r w:rsidRPr="00036FAC">
        <w:t>Court</w:t>
      </w:r>
      <w:r w:rsidR="00907D8C">
        <w:t xml:space="preserve"> </w:t>
      </w:r>
      <w:r w:rsidRPr="00036FAC">
        <w:t>has</w:t>
      </w:r>
      <w:r w:rsidR="00907D8C">
        <w:t xml:space="preserve"> </w:t>
      </w:r>
      <w:r w:rsidRPr="00036FAC">
        <w:t>jurisdiction</w:t>
      </w:r>
      <w:r w:rsidR="00907D8C">
        <w:t xml:space="preserve"> </w:t>
      </w:r>
      <w:r w:rsidRPr="00036FAC">
        <w:t>over</w:t>
      </w:r>
      <w:r w:rsidR="00907D8C">
        <w:t xml:space="preserve"> </w:t>
      </w:r>
      <w:r w:rsidRPr="00036FAC">
        <w:t>the</w:t>
      </w:r>
      <w:r w:rsidR="00907D8C">
        <w:t xml:space="preserve"> </w:t>
      </w:r>
      <w:r w:rsidRPr="00036FAC">
        <w:t>offences</w:t>
      </w:r>
      <w:r w:rsidR="00907D8C">
        <w:t xml:space="preserve"> </w:t>
      </w:r>
      <w:r w:rsidRPr="00036FAC">
        <w:t>of</w:t>
      </w:r>
      <w:r w:rsidR="00907D8C">
        <w:t xml:space="preserve"> </w:t>
      </w:r>
      <w:r w:rsidRPr="00036FAC">
        <w:t>inciting</w:t>
      </w:r>
      <w:r w:rsidR="00907D8C">
        <w:t xml:space="preserve"> </w:t>
      </w:r>
      <w:r w:rsidRPr="00036FAC">
        <w:t>racial</w:t>
      </w:r>
      <w:r w:rsidR="00907D8C">
        <w:t xml:space="preserve"> </w:t>
      </w:r>
      <w:r w:rsidRPr="00036FAC">
        <w:t>disharmony</w:t>
      </w:r>
      <w:r w:rsidR="00907D8C">
        <w:t xml:space="preserve"> </w:t>
      </w:r>
      <w:r w:rsidRPr="00036FAC">
        <w:t>and</w:t>
      </w:r>
      <w:r w:rsidR="00907D8C">
        <w:t xml:space="preserve"> </w:t>
      </w:r>
      <w:r w:rsidRPr="00036FAC">
        <w:t>of</w:t>
      </w:r>
      <w:r w:rsidR="00907D8C">
        <w:t xml:space="preserve"> </w:t>
      </w:r>
      <w:r w:rsidRPr="00036FAC">
        <w:t>refusing</w:t>
      </w:r>
      <w:r w:rsidR="00907D8C">
        <w:t xml:space="preserve"> </w:t>
      </w:r>
      <w:r w:rsidRPr="00036FAC">
        <w:t>access</w:t>
      </w:r>
      <w:r w:rsidR="00907D8C">
        <w:t xml:space="preserve"> </w:t>
      </w:r>
      <w:r w:rsidRPr="00036FAC">
        <w:t>on</w:t>
      </w:r>
      <w:r w:rsidR="00907D8C">
        <w:t xml:space="preserve"> </w:t>
      </w:r>
      <w:r w:rsidRPr="00036FAC">
        <w:t>discriminatory</w:t>
      </w:r>
      <w:r w:rsidR="00907D8C">
        <w:t xml:space="preserve"> </w:t>
      </w:r>
      <w:r w:rsidRPr="00036FAC">
        <w:t>grounds</w:t>
      </w:r>
      <w:r w:rsidR="00907D8C">
        <w:t xml:space="preserve"> </w:t>
      </w:r>
      <w:r w:rsidRPr="00036FAC">
        <w:t>to</w:t>
      </w:r>
      <w:r w:rsidR="00907D8C">
        <w:t xml:space="preserve"> </w:t>
      </w:r>
      <w:r w:rsidRPr="00036FAC">
        <w:t>a</w:t>
      </w:r>
      <w:r w:rsidR="00907D8C">
        <w:t xml:space="preserve"> </w:t>
      </w:r>
      <w:r w:rsidRPr="00036FAC">
        <w:t>public</w:t>
      </w:r>
      <w:r w:rsidR="00907D8C">
        <w:t xml:space="preserve"> </w:t>
      </w:r>
      <w:r w:rsidRPr="00036FAC">
        <w:t>place,</w:t>
      </w:r>
      <w:r w:rsidR="00907D8C">
        <w:t xml:space="preserve"> </w:t>
      </w:r>
      <w:r w:rsidRPr="00036FAC">
        <w:t>vehicle,</w:t>
      </w:r>
      <w:r w:rsidR="00907D8C">
        <w:t xml:space="preserve"> </w:t>
      </w:r>
      <w:r w:rsidRPr="00036FAC">
        <w:t>or</w:t>
      </w:r>
      <w:r w:rsidR="00907D8C">
        <w:t xml:space="preserve"> </w:t>
      </w:r>
      <w:r w:rsidRPr="00036FAC">
        <w:t>facility.</w:t>
      </w:r>
      <w:r w:rsidR="00907D8C">
        <w:t xml:space="preserve"> </w:t>
      </w:r>
      <w:r w:rsidRPr="00036FAC">
        <w:t>Such</w:t>
      </w:r>
      <w:r w:rsidR="00907D8C">
        <w:t xml:space="preserve"> </w:t>
      </w:r>
      <w:r w:rsidRPr="00036FAC">
        <w:t>prosecutions</w:t>
      </w:r>
      <w:r w:rsidR="00907D8C">
        <w:t xml:space="preserve"> </w:t>
      </w:r>
      <w:r w:rsidRPr="00036FAC">
        <w:t>may</w:t>
      </w:r>
      <w:r w:rsidR="00907D8C">
        <w:t xml:space="preserve"> </w:t>
      </w:r>
      <w:r w:rsidRPr="00036FAC">
        <w:t>be</w:t>
      </w:r>
      <w:r w:rsidR="00907D8C">
        <w:t xml:space="preserve"> </w:t>
      </w:r>
      <w:r w:rsidRPr="00036FAC">
        <w:t>instituted</w:t>
      </w:r>
      <w:r w:rsidR="00907D8C">
        <w:t xml:space="preserve"> </w:t>
      </w:r>
      <w:r w:rsidRPr="00036FAC">
        <w:t>only</w:t>
      </w:r>
      <w:r w:rsidR="00907D8C">
        <w:t xml:space="preserve"> </w:t>
      </w:r>
      <w:r w:rsidRPr="00036FAC">
        <w:t>with</w:t>
      </w:r>
      <w:r w:rsidR="00907D8C">
        <w:t xml:space="preserve"> </w:t>
      </w:r>
      <w:r w:rsidRPr="00036FAC">
        <w:t>the</w:t>
      </w:r>
      <w:r w:rsidR="00907D8C">
        <w:t xml:space="preserve"> </w:t>
      </w:r>
      <w:r w:rsidRPr="00036FAC">
        <w:t>consent</w:t>
      </w:r>
      <w:r w:rsidR="00907D8C">
        <w:t xml:space="preserve"> </w:t>
      </w:r>
      <w:r w:rsidRPr="00036FAC">
        <w:t>of</w:t>
      </w:r>
      <w:r w:rsidR="00907D8C">
        <w:t xml:space="preserve"> </w:t>
      </w:r>
      <w:r w:rsidRPr="00036FAC">
        <w:t>the</w:t>
      </w:r>
      <w:r w:rsidR="00907D8C">
        <w:t xml:space="preserve"> </w:t>
      </w:r>
      <w:r w:rsidRPr="00036FAC">
        <w:t>Attorney-General.</w:t>
      </w:r>
    </w:p>
    <w:p w:rsidR="00036FAC" w:rsidRPr="00036FAC" w:rsidRDefault="00036FAC" w:rsidP="00A864D7">
      <w:pPr>
        <w:pStyle w:val="SingleTxtG"/>
      </w:pPr>
      <w:r w:rsidRPr="00036FAC">
        <w:t>212.</w:t>
      </w:r>
      <w:r w:rsidRPr="00036FAC">
        <w:tab/>
        <w:t>New</w:t>
      </w:r>
      <w:r w:rsidR="00907D8C">
        <w:t xml:space="preserve"> </w:t>
      </w:r>
      <w:r w:rsidRPr="00036FAC">
        <w:t>Zealand</w:t>
      </w:r>
      <w:r w:rsidR="00907D8C">
        <w:t xml:space="preserve"> </w:t>
      </w:r>
      <w:r w:rsidRPr="00036FAC">
        <w:t>citizens</w:t>
      </w:r>
      <w:r w:rsidR="00907D8C">
        <w:t xml:space="preserve"> </w:t>
      </w:r>
      <w:r w:rsidRPr="00036FAC">
        <w:t>may</w:t>
      </w:r>
      <w:r w:rsidR="00907D8C">
        <w:t xml:space="preserve"> </w:t>
      </w:r>
      <w:r w:rsidRPr="00036FAC">
        <w:t>also</w:t>
      </w:r>
      <w:r w:rsidR="00907D8C">
        <w:t xml:space="preserve"> </w:t>
      </w:r>
      <w:r w:rsidRPr="00036FAC">
        <w:t>avail</w:t>
      </w:r>
      <w:r w:rsidR="00907D8C">
        <w:t xml:space="preserve"> </w:t>
      </w:r>
      <w:r w:rsidRPr="00036FAC">
        <w:t>themselves</w:t>
      </w:r>
      <w:r w:rsidR="00907D8C">
        <w:t xml:space="preserve"> </w:t>
      </w:r>
      <w:r w:rsidRPr="00036FAC">
        <w:t>of</w:t>
      </w:r>
      <w:r w:rsidR="00907D8C">
        <w:t xml:space="preserve"> </w:t>
      </w:r>
      <w:r w:rsidRPr="00036FAC">
        <w:t>the</w:t>
      </w:r>
      <w:r w:rsidR="00907D8C">
        <w:t xml:space="preserve"> </w:t>
      </w:r>
      <w:r w:rsidRPr="00036FAC">
        <w:t>complaint</w:t>
      </w:r>
      <w:r w:rsidR="00907D8C">
        <w:t xml:space="preserve"> </w:t>
      </w:r>
      <w:r w:rsidRPr="00036FAC">
        <w:t>provisions</w:t>
      </w:r>
      <w:r w:rsidR="00907D8C">
        <w:t xml:space="preserve"> </w:t>
      </w:r>
      <w:r w:rsidRPr="00036FAC">
        <w:t>under</w:t>
      </w:r>
      <w:r w:rsidR="00907D8C">
        <w:t xml:space="preserve"> </w:t>
      </w:r>
      <w:r w:rsidRPr="00036FAC">
        <w:t>the</w:t>
      </w:r>
      <w:r w:rsidR="00907D8C">
        <w:t xml:space="preserve"> </w:t>
      </w:r>
      <w:r w:rsidRPr="00036FAC">
        <w:t>individual</w:t>
      </w:r>
      <w:r w:rsidR="00907D8C">
        <w:t xml:space="preserve"> </w:t>
      </w:r>
      <w:r w:rsidRPr="00036FAC">
        <w:t>communication</w:t>
      </w:r>
      <w:r w:rsidR="00907D8C">
        <w:t xml:space="preserve"> </w:t>
      </w:r>
      <w:r w:rsidRPr="00036FAC">
        <w:t>procedures</w:t>
      </w:r>
      <w:r w:rsidR="00907D8C">
        <w:t xml:space="preserve"> </w:t>
      </w:r>
      <w:r w:rsidRPr="00036FAC">
        <w:t>contained</w:t>
      </w:r>
      <w:r w:rsidR="00907D8C">
        <w:t xml:space="preserve"> </w:t>
      </w:r>
      <w:r w:rsidRPr="00036FAC">
        <w:t>in</w:t>
      </w:r>
      <w:r w:rsidR="00907D8C">
        <w:t xml:space="preserve"> </w:t>
      </w:r>
      <w:r w:rsidRPr="00036FAC">
        <w:t>both</w:t>
      </w:r>
      <w:r w:rsidR="00907D8C">
        <w:t xml:space="preserve"> </w:t>
      </w:r>
      <w:r w:rsidRPr="00036FAC">
        <w:t>the</w:t>
      </w:r>
      <w:r w:rsidR="00907D8C">
        <w:t xml:space="preserve"> </w:t>
      </w:r>
      <w:r w:rsidRPr="00036FAC">
        <w:t>first</w:t>
      </w:r>
      <w:r w:rsidR="00907D8C">
        <w:t xml:space="preserve"> </w:t>
      </w:r>
      <w:r w:rsidRPr="00036FAC">
        <w:t>Optional</w:t>
      </w:r>
      <w:r w:rsidR="00907D8C">
        <w:t xml:space="preserve"> </w:t>
      </w:r>
      <w:r w:rsidRPr="00036FAC">
        <w:t>Protocol</w:t>
      </w:r>
      <w:r w:rsidR="00907D8C">
        <w:t xml:space="preserve"> </w:t>
      </w:r>
      <w:r w:rsidRPr="00036FAC">
        <w:t>to</w:t>
      </w:r>
      <w:r w:rsidR="00907D8C">
        <w:t xml:space="preserve"> </w:t>
      </w:r>
      <w:r w:rsidRPr="00036FAC">
        <w:t>the</w:t>
      </w:r>
      <w:r w:rsidR="00907D8C">
        <w:t xml:space="preserve"> </w:t>
      </w:r>
      <w:r w:rsidRPr="00036FAC">
        <w:t>International</w:t>
      </w:r>
      <w:r w:rsidR="00907D8C">
        <w:t xml:space="preserve"> </w:t>
      </w:r>
      <w:r w:rsidRPr="00036FAC">
        <w:t>Covenant</w:t>
      </w:r>
      <w:r w:rsidR="00907D8C">
        <w:t xml:space="preserve"> </w:t>
      </w:r>
      <w:r w:rsidRPr="00036FAC">
        <w:t>on</w:t>
      </w:r>
      <w:r w:rsidR="00907D8C">
        <w:t xml:space="preserve"> </w:t>
      </w:r>
      <w:r w:rsidRPr="00036FAC">
        <w:t>Civil</w:t>
      </w:r>
      <w:r w:rsidR="00907D8C">
        <w:t xml:space="preserve"> </w:t>
      </w:r>
      <w:r w:rsidRPr="00036FAC">
        <w:t>and</w:t>
      </w:r>
      <w:r w:rsidR="00907D8C">
        <w:t xml:space="preserve"> </w:t>
      </w:r>
      <w:r w:rsidRPr="00036FAC">
        <w:t>Political</w:t>
      </w:r>
      <w:r w:rsidR="00907D8C">
        <w:t xml:space="preserve"> </w:t>
      </w:r>
      <w:r w:rsidRPr="00036FAC">
        <w:t>Rights</w:t>
      </w:r>
      <w:r w:rsidR="00907D8C">
        <w:t xml:space="preserve"> </w:t>
      </w:r>
      <w:r w:rsidRPr="00036FAC">
        <w:t>and</w:t>
      </w:r>
      <w:r w:rsidR="00907D8C">
        <w:t xml:space="preserve"> </w:t>
      </w:r>
      <w:r w:rsidRPr="00036FAC">
        <w:t>the</w:t>
      </w:r>
      <w:r w:rsidR="00907D8C">
        <w:t xml:space="preserve"> </w:t>
      </w:r>
      <w:r w:rsidRPr="00036FAC">
        <w:t>Optional</w:t>
      </w:r>
      <w:r w:rsidR="00907D8C">
        <w:t xml:space="preserve"> </w:t>
      </w:r>
      <w:r w:rsidRPr="00036FAC">
        <w:t>Protocol</w:t>
      </w:r>
      <w:r w:rsidR="00907D8C">
        <w:t xml:space="preserve"> </w:t>
      </w:r>
      <w:r w:rsidRPr="00036FAC">
        <w:t>to</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All</w:t>
      </w:r>
      <w:r w:rsidR="00907D8C">
        <w:t xml:space="preserve"> </w:t>
      </w:r>
      <w:r w:rsidRPr="00036FAC">
        <w:t>Forms</w:t>
      </w:r>
      <w:r w:rsidR="00907D8C">
        <w:t xml:space="preserve"> </w:t>
      </w:r>
      <w:r w:rsidRPr="00036FAC">
        <w:t>of</w:t>
      </w:r>
      <w:r w:rsidR="00907D8C">
        <w:t xml:space="preserve"> </w:t>
      </w:r>
      <w:r w:rsidRPr="00036FAC">
        <w:t>Discrimination</w:t>
      </w:r>
      <w:r w:rsidR="00907D8C">
        <w:t xml:space="preserve"> </w:t>
      </w:r>
      <w:r w:rsidRPr="00036FAC">
        <w:t>against</w:t>
      </w:r>
      <w:r w:rsidR="00907D8C">
        <w:t xml:space="preserve"> </w:t>
      </w:r>
      <w:r w:rsidRPr="00036FAC">
        <w:t>Women.</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also</w:t>
      </w:r>
      <w:r w:rsidR="00907D8C">
        <w:t xml:space="preserve"> </w:t>
      </w:r>
      <w:r w:rsidRPr="00036FAC">
        <w:t>made</w:t>
      </w:r>
      <w:r w:rsidR="00907D8C">
        <w:t xml:space="preserve"> </w:t>
      </w:r>
      <w:r w:rsidRPr="00036FAC">
        <w:t>the</w:t>
      </w:r>
      <w:r w:rsidR="00907D8C">
        <w:t xml:space="preserve"> </w:t>
      </w:r>
      <w:r w:rsidRPr="00036FAC">
        <w:t>declaration</w:t>
      </w:r>
      <w:r w:rsidR="00907D8C">
        <w:t xml:space="preserve"> </w:t>
      </w:r>
      <w:r w:rsidRPr="00036FAC">
        <w:t>under</w:t>
      </w:r>
      <w:r w:rsidR="00907D8C">
        <w:t xml:space="preserve"> </w:t>
      </w:r>
      <w:r w:rsidRPr="00036FAC">
        <w:t>article</w:t>
      </w:r>
      <w:r w:rsidR="00907D8C">
        <w:t xml:space="preserve"> </w:t>
      </w:r>
      <w:r w:rsidRPr="00036FAC">
        <w:t>22</w:t>
      </w:r>
      <w:r w:rsidR="00907D8C">
        <w:t xml:space="preserve"> </w:t>
      </w:r>
      <w:r w:rsidRPr="00036FAC">
        <w:t>of</w:t>
      </w:r>
      <w:r w:rsidR="00907D8C">
        <w:t xml:space="preserve"> </w:t>
      </w:r>
      <w:r w:rsidRPr="00036FAC">
        <w:t>the</w:t>
      </w:r>
      <w:r w:rsidR="00907D8C">
        <w:t xml:space="preserve"> </w:t>
      </w:r>
      <w:r w:rsidRPr="00036FAC">
        <w:t>Convention</w:t>
      </w:r>
      <w:r w:rsidR="00907D8C">
        <w:t xml:space="preserve"> </w:t>
      </w:r>
      <w:r w:rsidRPr="00036FAC">
        <w:t>against</w:t>
      </w:r>
      <w:r w:rsidR="00907D8C">
        <w:t xml:space="preserve"> </w:t>
      </w:r>
      <w:r w:rsidRPr="00036FAC">
        <w:t>Torture</w:t>
      </w:r>
      <w:r w:rsidR="00907D8C">
        <w:t xml:space="preserve"> </w:t>
      </w:r>
      <w:r w:rsidRPr="00036FAC">
        <w:t>and</w:t>
      </w:r>
      <w:r w:rsidR="00907D8C">
        <w:t xml:space="preserve"> </w:t>
      </w:r>
      <w:r w:rsidRPr="00036FAC">
        <w:t>Other</w:t>
      </w:r>
      <w:r w:rsidR="00907D8C">
        <w:t xml:space="preserve"> </w:t>
      </w:r>
      <w:r w:rsidRPr="00036FAC">
        <w:t>Cruel,</w:t>
      </w:r>
      <w:r w:rsidR="00907D8C">
        <w:t xml:space="preserve"> </w:t>
      </w:r>
      <w:r w:rsidRPr="00036FAC">
        <w:t>Inhuman</w:t>
      </w:r>
      <w:r w:rsidR="00907D8C">
        <w:t xml:space="preserve"> </w:t>
      </w:r>
      <w:r w:rsidRPr="00036FAC">
        <w:t>or</w:t>
      </w:r>
      <w:r w:rsidR="00907D8C">
        <w:t xml:space="preserve"> </w:t>
      </w:r>
      <w:r w:rsidRPr="00036FAC">
        <w:t>Degrading</w:t>
      </w:r>
      <w:r w:rsidR="00907D8C">
        <w:t xml:space="preserve"> </w:t>
      </w:r>
      <w:r w:rsidRPr="00036FAC">
        <w:t>Treatment</w:t>
      </w:r>
      <w:r w:rsidR="00907D8C">
        <w:t xml:space="preserve"> </w:t>
      </w:r>
      <w:r w:rsidRPr="00036FAC">
        <w:t>or</w:t>
      </w:r>
      <w:r w:rsidR="00907D8C">
        <w:t xml:space="preserve"> </w:t>
      </w:r>
      <w:r w:rsidRPr="00036FAC">
        <w:t>Punishment</w:t>
      </w:r>
      <w:r w:rsidR="00907D8C">
        <w:t xml:space="preserve"> </w:t>
      </w:r>
      <w:r w:rsidRPr="00036FAC">
        <w:t>recognising</w:t>
      </w:r>
      <w:r w:rsidR="00907D8C">
        <w:t xml:space="preserve"> </w:t>
      </w:r>
      <w:r w:rsidRPr="00036FAC">
        <w:t>the</w:t>
      </w:r>
      <w:r w:rsidR="00907D8C">
        <w:t xml:space="preserve"> </w:t>
      </w:r>
      <w:r w:rsidRPr="00036FAC">
        <w:t>competence</w:t>
      </w:r>
      <w:r w:rsidR="00907D8C">
        <w:t xml:space="preserve"> </w:t>
      </w:r>
      <w:r w:rsidRPr="00036FAC">
        <w:t>of</w:t>
      </w:r>
      <w:r w:rsidR="00907D8C">
        <w:t xml:space="preserve"> </w:t>
      </w:r>
      <w:r w:rsidRPr="00036FAC">
        <w:t>the</w:t>
      </w:r>
      <w:r w:rsidR="00907D8C">
        <w:t xml:space="preserve"> </w:t>
      </w:r>
      <w:r w:rsidRPr="00036FAC">
        <w:t>Committee</w:t>
      </w:r>
      <w:r w:rsidR="00907D8C">
        <w:t xml:space="preserve"> </w:t>
      </w:r>
      <w:r w:rsidRPr="00036FAC">
        <w:t>against</w:t>
      </w:r>
      <w:r w:rsidR="00907D8C">
        <w:t xml:space="preserve"> </w:t>
      </w:r>
      <w:r w:rsidRPr="00036FAC">
        <w:t>Torture</w:t>
      </w:r>
      <w:r w:rsidR="00907D8C">
        <w:t xml:space="preserve"> </w:t>
      </w:r>
      <w:r w:rsidRPr="00036FAC">
        <w:t>to</w:t>
      </w:r>
      <w:r w:rsidR="00907D8C">
        <w:t xml:space="preserve"> </w:t>
      </w:r>
      <w:r w:rsidRPr="00036FAC">
        <w:t>receive</w:t>
      </w:r>
      <w:r w:rsidR="00907D8C">
        <w:t xml:space="preserve"> </w:t>
      </w:r>
      <w:r w:rsidRPr="00036FAC">
        <w:t>communications</w:t>
      </w:r>
      <w:r w:rsidR="00907D8C">
        <w:t xml:space="preserve"> </w:t>
      </w:r>
      <w:r w:rsidRPr="00036FAC">
        <w:t>from</w:t>
      </w:r>
      <w:r w:rsidR="00907D8C">
        <w:t xml:space="preserve"> </w:t>
      </w:r>
      <w:r w:rsidRPr="00036FAC">
        <w:t>individuals</w:t>
      </w:r>
      <w:r w:rsidR="00907D8C">
        <w:t xml:space="preserve"> </w:t>
      </w:r>
      <w:r w:rsidRPr="00036FAC">
        <w:t>subject</w:t>
      </w:r>
      <w:r w:rsidR="00907D8C">
        <w:t xml:space="preserve"> </w:t>
      </w:r>
      <w:r w:rsidRPr="00036FAC">
        <w:t>to</w:t>
      </w:r>
      <w:r w:rsidR="00907D8C">
        <w:t xml:space="preserve"> </w:t>
      </w:r>
      <w:r w:rsidRPr="00036FAC">
        <w:t>its</w:t>
      </w:r>
      <w:r w:rsidR="00907D8C">
        <w:t xml:space="preserve"> </w:t>
      </w:r>
      <w:r w:rsidRPr="00036FAC">
        <w:t>jurisdiction.</w:t>
      </w:r>
    </w:p>
    <w:p w:rsidR="00036FAC" w:rsidRPr="00036FAC" w:rsidRDefault="00036FAC" w:rsidP="00A864D7">
      <w:pPr>
        <w:pStyle w:val="H1G"/>
      </w:pPr>
      <w:bookmarkStart w:id="237" w:name="_Toc114895000"/>
      <w:bookmarkStart w:id="238" w:name="_Toc114895891"/>
      <w:bookmarkStart w:id="239" w:name="_Toc115493436"/>
      <w:bookmarkStart w:id="240" w:name="_Toc115493780"/>
      <w:bookmarkStart w:id="241" w:name="_Toc115493855"/>
      <w:bookmarkStart w:id="242" w:name="_Toc118100639"/>
      <w:bookmarkStart w:id="243" w:name="_Toc125276407"/>
      <w:bookmarkStart w:id="244" w:name="_Toc125278806"/>
      <w:bookmarkStart w:id="245" w:name="_Toc125278925"/>
      <w:bookmarkStart w:id="246" w:name="_Toc265677525"/>
      <w:bookmarkStart w:id="247" w:name="_Toc275331898"/>
      <w:r w:rsidRPr="00036FAC">
        <w:tab/>
        <w:t>C.</w:t>
      </w:r>
      <w:r w:rsidRPr="00036FAC">
        <w:tab/>
      </w:r>
      <w:r w:rsidRPr="00036FAC">
        <w:t>G</w:t>
      </w:r>
      <w:r w:rsidRPr="00036FAC">
        <w:t>e</w:t>
      </w:r>
      <w:r w:rsidRPr="00036FAC">
        <w:t>neral</w:t>
      </w:r>
      <w:r w:rsidR="00907D8C">
        <w:t xml:space="preserve"> </w:t>
      </w:r>
      <w:r w:rsidRPr="00036FAC">
        <w:t>framework</w:t>
      </w:r>
      <w:r w:rsidR="00907D8C">
        <w:t xml:space="preserve"> </w:t>
      </w:r>
      <w:r w:rsidRPr="00036FAC">
        <w:t>for</w:t>
      </w:r>
      <w:r w:rsidR="00907D8C">
        <w:t xml:space="preserve"> </w:t>
      </w:r>
      <w:r w:rsidRPr="00036FAC">
        <w:t>promoting</w:t>
      </w:r>
      <w:r w:rsidR="00907D8C">
        <w:t xml:space="preserve"> </w:t>
      </w:r>
      <w:r w:rsidRPr="00036FAC">
        <w:t>human</w:t>
      </w:r>
      <w:r w:rsidR="00907D8C">
        <w:t xml:space="preserve"> </w:t>
      </w:r>
      <w:r w:rsidRPr="00036FAC">
        <w:t>rights</w:t>
      </w:r>
      <w:r w:rsidR="00907D8C">
        <w:t xml:space="preserve"> </w:t>
      </w:r>
      <w:r w:rsidRPr="00036FAC">
        <w:t>at</w:t>
      </w:r>
      <w:r w:rsidR="00907D8C">
        <w:t xml:space="preserve"> </w:t>
      </w:r>
      <w:r w:rsidRPr="00036FAC">
        <w:t>the</w:t>
      </w:r>
      <w:r w:rsidR="00907D8C">
        <w:t xml:space="preserve"> </w:t>
      </w:r>
      <w:r w:rsidRPr="00036FAC">
        <w:t>national</w:t>
      </w:r>
      <w:r w:rsidR="00907D8C">
        <w:t xml:space="preserve"> </w:t>
      </w:r>
      <w:r w:rsidRPr="00036FAC">
        <w:t>level</w:t>
      </w:r>
      <w:bookmarkEnd w:id="237"/>
      <w:bookmarkEnd w:id="238"/>
      <w:bookmarkEnd w:id="239"/>
      <w:bookmarkEnd w:id="240"/>
      <w:bookmarkEnd w:id="241"/>
      <w:bookmarkEnd w:id="242"/>
      <w:bookmarkEnd w:id="243"/>
      <w:bookmarkEnd w:id="244"/>
      <w:bookmarkEnd w:id="245"/>
      <w:bookmarkEnd w:id="246"/>
      <w:bookmarkEnd w:id="247"/>
    </w:p>
    <w:p w:rsidR="00036FAC" w:rsidRPr="00036FAC" w:rsidRDefault="00036FAC" w:rsidP="006C436C">
      <w:pPr>
        <w:pStyle w:val="H23G"/>
      </w:pPr>
      <w:bookmarkStart w:id="248" w:name="_Toc114895001"/>
      <w:bookmarkStart w:id="249" w:name="_Toc114895892"/>
      <w:bookmarkStart w:id="250" w:name="_Toc115493437"/>
      <w:bookmarkStart w:id="251" w:name="_Toc115493781"/>
      <w:bookmarkStart w:id="252" w:name="_Toc115493856"/>
      <w:bookmarkStart w:id="253" w:name="_Toc118100640"/>
      <w:bookmarkStart w:id="254" w:name="_Toc125276408"/>
      <w:bookmarkStart w:id="255" w:name="_Toc125278807"/>
      <w:bookmarkStart w:id="256" w:name="_Toc125278926"/>
      <w:r w:rsidRPr="00036FAC">
        <w:tab/>
        <w:t>1.</w:t>
      </w:r>
      <w:r w:rsidRPr="00036FAC">
        <w:tab/>
        <w:t>Publication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instruments</w:t>
      </w:r>
      <w:bookmarkEnd w:id="249"/>
      <w:bookmarkEnd w:id="250"/>
      <w:bookmarkEnd w:id="251"/>
      <w:bookmarkEnd w:id="252"/>
      <w:bookmarkEnd w:id="253"/>
      <w:bookmarkEnd w:id="254"/>
      <w:bookmarkEnd w:id="255"/>
      <w:bookmarkEnd w:id="256"/>
    </w:p>
    <w:p w:rsidR="00036FAC" w:rsidRPr="00036FAC" w:rsidRDefault="00036FAC" w:rsidP="00A864D7">
      <w:pPr>
        <w:pStyle w:val="SingleTxtG"/>
      </w:pPr>
      <w:r w:rsidRPr="00036FAC">
        <w:t>213.</w:t>
      </w:r>
      <w:r w:rsidRPr="00036FAC">
        <w:tab/>
        <w:t>In</w:t>
      </w:r>
      <w:r w:rsidR="00907D8C">
        <w:t xml:space="preserve"> </w:t>
      </w:r>
      <w:r w:rsidRPr="00036FAC">
        <w:t>commemoration</w:t>
      </w:r>
      <w:r w:rsidR="00907D8C">
        <w:t xml:space="preserve"> </w:t>
      </w:r>
      <w:r w:rsidRPr="00036FAC">
        <w:t>of</w:t>
      </w:r>
      <w:r w:rsidR="00907D8C">
        <w:t xml:space="preserve"> </w:t>
      </w:r>
      <w:r w:rsidRPr="00036FAC">
        <w:t>the</w:t>
      </w:r>
      <w:r w:rsidR="00907D8C">
        <w:t xml:space="preserve"> </w:t>
      </w:r>
      <w:r w:rsidRPr="00036FAC">
        <w:t>60th</w:t>
      </w:r>
      <w:r w:rsidR="00907D8C">
        <w:t xml:space="preserve"> </w:t>
      </w:r>
      <w:r w:rsidRPr="00036FAC">
        <w:t>anniversary</w:t>
      </w:r>
      <w:r w:rsidR="00907D8C">
        <w:t xml:space="preserve"> </w:t>
      </w:r>
      <w:r w:rsidRPr="00036FAC">
        <w:t>in</w:t>
      </w:r>
      <w:r w:rsidR="00907D8C">
        <w:t xml:space="preserve"> </w:t>
      </w:r>
      <w:r w:rsidRPr="00036FAC">
        <w:t>2008</w:t>
      </w:r>
      <w:r w:rsidR="00907D8C">
        <w:t xml:space="preserve"> </w:t>
      </w:r>
      <w:r w:rsidRPr="00036FAC">
        <w:t>of</w:t>
      </w:r>
      <w:r w:rsidR="00907D8C">
        <w:t xml:space="preserve"> </w:t>
      </w:r>
      <w:r w:rsidRPr="00036FAC">
        <w:t>the</w:t>
      </w:r>
      <w:r w:rsidR="00907D8C">
        <w:t xml:space="preserve"> </w:t>
      </w:r>
      <w:r w:rsidRPr="00036FAC">
        <w:t>Universal</w:t>
      </w:r>
      <w:r w:rsidR="00907D8C">
        <w:t xml:space="preserve"> </w:t>
      </w:r>
      <w:r w:rsidRPr="00036FAC">
        <w:t>Declaration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the</w:t>
      </w:r>
      <w:r w:rsidR="00907D8C">
        <w:t xml:space="preserve"> </w:t>
      </w:r>
      <w:r w:rsidRPr="00036FAC">
        <w:t>Government</w:t>
      </w:r>
      <w:r w:rsidR="00907D8C">
        <w:t xml:space="preserve"> </w:t>
      </w:r>
      <w:r w:rsidRPr="00036FAC">
        <w:t>produced</w:t>
      </w:r>
      <w:r w:rsidR="00907D8C">
        <w:t xml:space="preserve"> </w:t>
      </w:r>
      <w:r w:rsidRPr="00036FAC">
        <w:t>the</w:t>
      </w:r>
      <w:r w:rsidR="00907D8C">
        <w:t xml:space="preserve"> </w:t>
      </w:r>
      <w:r w:rsidRPr="00036FAC">
        <w:t>third</w:t>
      </w:r>
      <w:r w:rsidR="00907D8C">
        <w:t xml:space="preserve"> </w:t>
      </w:r>
      <w:r w:rsidRPr="00036FAC">
        <w:t>edition</w:t>
      </w:r>
      <w:r w:rsidR="00907D8C">
        <w:t xml:space="preserve"> </w:t>
      </w:r>
      <w:r w:rsidRPr="00036FAC">
        <w:t>of</w:t>
      </w:r>
      <w:r w:rsidR="00907D8C">
        <w:t xml:space="preserve"> </w:t>
      </w:r>
      <w:r w:rsidRPr="00036FAC">
        <w:t>the</w:t>
      </w:r>
      <w:r w:rsidR="00907D8C">
        <w:t xml:space="preserve"> </w:t>
      </w:r>
      <w:r w:rsidRPr="009A16A2">
        <w:rPr>
          <w:i/>
        </w:rPr>
        <w:t>New</w:t>
      </w:r>
      <w:r w:rsidR="00907D8C" w:rsidRPr="009A16A2">
        <w:rPr>
          <w:i/>
        </w:rPr>
        <w:t xml:space="preserve"> </w:t>
      </w:r>
      <w:r w:rsidRPr="009A16A2">
        <w:rPr>
          <w:i/>
        </w:rPr>
        <w:t>Zealand</w:t>
      </w:r>
      <w:r w:rsidR="00907D8C" w:rsidRPr="009A16A2">
        <w:rPr>
          <w:i/>
        </w:rPr>
        <w:t xml:space="preserve"> </w:t>
      </w:r>
      <w:r w:rsidRPr="009A16A2">
        <w:rPr>
          <w:i/>
        </w:rPr>
        <w:t>Handbook</w:t>
      </w:r>
      <w:r w:rsidR="00907D8C" w:rsidRPr="009A16A2">
        <w:rPr>
          <w:i/>
        </w:rPr>
        <w:t xml:space="preserve"> </w:t>
      </w:r>
      <w:r w:rsidRPr="009A16A2">
        <w:rPr>
          <w:i/>
        </w:rPr>
        <w:t>on</w:t>
      </w:r>
      <w:r w:rsidR="00907D8C" w:rsidRPr="009A16A2">
        <w:rPr>
          <w:i/>
        </w:rPr>
        <w:t xml:space="preserve"> </w:t>
      </w:r>
      <w:r w:rsidRPr="009A16A2">
        <w:rPr>
          <w:i/>
        </w:rPr>
        <w:t>International</w:t>
      </w:r>
      <w:r w:rsidR="00907D8C" w:rsidRPr="009A16A2">
        <w:rPr>
          <w:i/>
        </w:rPr>
        <w:t xml:space="preserve"> </w:t>
      </w:r>
      <w:r w:rsidRPr="009A16A2">
        <w:rPr>
          <w:i/>
        </w:rPr>
        <w:t>Human</w:t>
      </w:r>
      <w:r w:rsidR="00907D8C" w:rsidRPr="009A16A2">
        <w:rPr>
          <w:i/>
        </w:rPr>
        <w:t xml:space="preserve"> </w:t>
      </w:r>
      <w:r w:rsidRPr="009A16A2">
        <w:rPr>
          <w:i/>
        </w:rPr>
        <w:t>Rights</w:t>
      </w:r>
      <w:r w:rsidRPr="00036FAC">
        <w:t>.</w:t>
      </w:r>
      <w:r w:rsidR="00907D8C">
        <w:t xml:space="preserve"> </w:t>
      </w:r>
      <w:r w:rsidRPr="00036FAC">
        <w:t>The</w:t>
      </w:r>
      <w:r w:rsidR="00907D8C">
        <w:t xml:space="preserve"> </w:t>
      </w:r>
      <w:r w:rsidRPr="00036FAC">
        <w:t>handbook</w:t>
      </w:r>
      <w:r w:rsidR="00907D8C">
        <w:t xml:space="preserve"> </w:t>
      </w:r>
      <w:r w:rsidRPr="00036FAC">
        <w:t>was</w:t>
      </w:r>
      <w:r w:rsidR="00907D8C">
        <w:t xml:space="preserve"> </w:t>
      </w:r>
      <w:r w:rsidRPr="00036FAC">
        <w:t>published</w:t>
      </w:r>
      <w:r w:rsidR="00907D8C">
        <w:t xml:space="preserve"> </w:t>
      </w:r>
      <w:r w:rsidRPr="00036FAC">
        <w:t>to</w:t>
      </w:r>
      <w:r w:rsidR="00907D8C">
        <w:t xml:space="preserve"> </w:t>
      </w:r>
      <w:r w:rsidRPr="00036FAC">
        <w:t>provide</w:t>
      </w:r>
      <w:r w:rsidR="00907D8C">
        <w:t xml:space="preserve"> </w:t>
      </w:r>
      <w:r w:rsidRPr="00036FAC">
        <w:t>an</w:t>
      </w:r>
      <w:r w:rsidR="00907D8C">
        <w:t xml:space="preserve"> </w:t>
      </w:r>
      <w:r w:rsidRPr="00036FAC">
        <w:t>introduction</w:t>
      </w:r>
      <w:r w:rsidR="00907D8C">
        <w:t xml:space="preserve"> </w:t>
      </w:r>
      <w:r w:rsidRPr="00036FAC">
        <w:t>for</w:t>
      </w:r>
      <w:r w:rsidR="00907D8C">
        <w:t xml:space="preserve"> </w:t>
      </w:r>
      <w:r w:rsidRPr="00036FAC">
        <w:t>New</w:t>
      </w:r>
      <w:r w:rsidR="00907D8C">
        <w:t xml:space="preserve"> </w:t>
      </w:r>
      <w:r w:rsidRPr="00036FAC">
        <w:t>Zealanders</w:t>
      </w:r>
      <w:r w:rsidR="00907D8C">
        <w:t xml:space="preserve"> </w:t>
      </w:r>
      <w:r w:rsidRPr="00036FAC">
        <w:t>wanting</w:t>
      </w:r>
      <w:r w:rsidR="00907D8C">
        <w:t xml:space="preserve"> </w:t>
      </w:r>
      <w:r w:rsidRPr="00036FAC">
        <w:t>to</w:t>
      </w:r>
      <w:r w:rsidR="00907D8C">
        <w:t xml:space="preserve"> </w:t>
      </w:r>
      <w:r w:rsidRPr="00036FAC">
        <w:t>know</w:t>
      </w:r>
      <w:r w:rsidR="00907D8C">
        <w:t xml:space="preserve"> </w:t>
      </w:r>
      <w:r w:rsidRPr="00036FAC">
        <w:t>more</w:t>
      </w:r>
      <w:r w:rsidR="00907D8C">
        <w:t xml:space="preserve"> </w:t>
      </w:r>
      <w:r w:rsidRPr="00036FAC">
        <w:t>about</w:t>
      </w:r>
      <w:r w:rsidR="00907D8C">
        <w:t xml:space="preserve"> </w:t>
      </w:r>
      <w:r w:rsidRPr="00036FAC">
        <w:t>the</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framework.</w:t>
      </w:r>
      <w:r w:rsidR="00907D8C">
        <w:t xml:space="preserve"> </w:t>
      </w:r>
      <w:r w:rsidRPr="00036FAC">
        <w:t>It</w:t>
      </w:r>
      <w:r w:rsidR="00907D8C">
        <w:t xml:space="preserve"> </w:t>
      </w:r>
      <w:r w:rsidRPr="00036FAC">
        <w:t>was</w:t>
      </w:r>
      <w:r w:rsidR="00907D8C">
        <w:t xml:space="preserve"> </w:t>
      </w:r>
      <w:r w:rsidRPr="00036FAC">
        <w:t>first</w:t>
      </w:r>
      <w:r w:rsidR="00907D8C">
        <w:t xml:space="preserve"> </w:t>
      </w:r>
      <w:r w:rsidRPr="00036FAC">
        <w:t>published</w:t>
      </w:r>
      <w:r w:rsidR="00907D8C">
        <w:t xml:space="preserve"> </w:t>
      </w:r>
      <w:r w:rsidRPr="00036FAC">
        <w:t>in</w:t>
      </w:r>
      <w:r w:rsidR="00907D8C">
        <w:t xml:space="preserve"> </w:t>
      </w:r>
      <w:r w:rsidRPr="00036FAC">
        <w:t>1998</w:t>
      </w:r>
      <w:r w:rsidR="00907D8C">
        <w:t xml:space="preserve"> </w:t>
      </w:r>
      <w:r w:rsidRPr="00036FAC">
        <w:t>and</w:t>
      </w:r>
      <w:r w:rsidR="00907D8C">
        <w:t xml:space="preserve"> </w:t>
      </w:r>
      <w:r w:rsidRPr="00036FAC">
        <w:t>again</w:t>
      </w:r>
      <w:r w:rsidR="00907D8C">
        <w:t xml:space="preserve"> </w:t>
      </w:r>
      <w:r w:rsidRPr="00036FAC">
        <w:t>in</w:t>
      </w:r>
      <w:r w:rsidR="00907D8C">
        <w:t xml:space="preserve"> </w:t>
      </w:r>
      <w:r w:rsidRPr="00036FAC">
        <w:t>2003.</w:t>
      </w:r>
      <w:r w:rsidR="00907D8C">
        <w:t xml:space="preserve"> </w:t>
      </w:r>
      <w:r w:rsidRPr="00036FAC">
        <w:t>The</w:t>
      </w:r>
      <w:r w:rsidR="00907D8C">
        <w:t xml:space="preserve"> </w:t>
      </w:r>
      <w:r w:rsidRPr="00036FAC">
        <w:t>handbook</w:t>
      </w:r>
      <w:r w:rsidR="00907D8C">
        <w:t xml:space="preserve"> </w:t>
      </w:r>
      <w:r w:rsidRPr="00036FAC">
        <w:t>is</w:t>
      </w:r>
      <w:r w:rsidR="00907D8C">
        <w:t xml:space="preserve"> </w:t>
      </w:r>
      <w:r w:rsidRPr="00036FAC">
        <w:t>distributed</w:t>
      </w:r>
      <w:r w:rsidR="00907D8C">
        <w:t xml:space="preserve"> </w:t>
      </w:r>
      <w:r w:rsidRPr="00036FAC">
        <w:t>widely,</w:t>
      </w:r>
      <w:r w:rsidR="00907D8C">
        <w:t xml:space="preserve"> </w:t>
      </w:r>
      <w:r w:rsidRPr="00036FAC">
        <w:t>including</w:t>
      </w:r>
      <w:r w:rsidR="00907D8C">
        <w:t xml:space="preserve"> </w:t>
      </w:r>
      <w:r w:rsidRPr="00036FAC">
        <w:t>to</w:t>
      </w:r>
      <w:r w:rsidR="00907D8C">
        <w:t xml:space="preserve"> </w:t>
      </w:r>
      <w:r w:rsidRPr="00036FAC">
        <w:t>government</w:t>
      </w:r>
      <w:r w:rsidR="00907D8C">
        <w:t xml:space="preserve"> </w:t>
      </w:r>
      <w:r w:rsidRPr="00036FAC">
        <w:t>agencies,</w:t>
      </w:r>
      <w:r w:rsidR="00907D8C">
        <w:t xml:space="preserve"> </w:t>
      </w:r>
      <w:r w:rsidRPr="00036FAC">
        <w:t>Ministers,</w:t>
      </w:r>
      <w:r w:rsidR="00907D8C">
        <w:t xml:space="preserve"> </w:t>
      </w:r>
      <w:r w:rsidRPr="00036FAC">
        <w:t>MPs,</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Commission,</w:t>
      </w:r>
      <w:r w:rsidR="00907D8C">
        <w:t xml:space="preserve"> </w:t>
      </w:r>
      <w:r w:rsidRPr="00036FAC">
        <w:t>non-governmental</w:t>
      </w:r>
      <w:r w:rsidR="00907D8C">
        <w:t xml:space="preserve"> </w:t>
      </w:r>
      <w:r w:rsidRPr="00036FAC">
        <w:t>organisations,</w:t>
      </w:r>
      <w:r w:rsidR="00907D8C">
        <w:t xml:space="preserve"> </w:t>
      </w:r>
      <w:r w:rsidRPr="00036FAC">
        <w:t>schools,</w:t>
      </w:r>
      <w:r w:rsidR="00907D8C">
        <w:t xml:space="preserve"> </w:t>
      </w:r>
      <w:r w:rsidRPr="00036FAC">
        <w:t>universities,</w:t>
      </w:r>
      <w:r w:rsidR="00907D8C">
        <w:t xml:space="preserve"> </w:t>
      </w:r>
      <w:r w:rsidRPr="00036FAC">
        <w:t>libraries,</w:t>
      </w:r>
      <w:r w:rsidR="00907D8C">
        <w:t xml:space="preserve"> </w:t>
      </w:r>
      <w:r w:rsidRPr="00036FAC">
        <w:t>diplomatic</w:t>
      </w:r>
      <w:r w:rsidR="00907D8C">
        <w:t xml:space="preserve"> </w:t>
      </w:r>
      <w:r w:rsidRPr="00036FAC">
        <w:t>missions</w:t>
      </w:r>
      <w:r w:rsidR="00907D8C">
        <w:t xml:space="preserve"> </w:t>
      </w:r>
      <w:r w:rsidRPr="00036FAC">
        <w:t>(both</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abroad),</w:t>
      </w:r>
      <w:r w:rsidR="00907D8C">
        <w:t xml:space="preserve"> </w:t>
      </w:r>
      <w:r w:rsidRPr="00036FAC">
        <w:t>and</w:t>
      </w:r>
      <w:r w:rsidR="00907D8C">
        <w:t xml:space="preserve"> </w:t>
      </w:r>
      <w:r w:rsidRPr="00036FAC">
        <w:t>international</w:t>
      </w:r>
      <w:r w:rsidR="00907D8C">
        <w:t xml:space="preserve"> </w:t>
      </w:r>
      <w:r w:rsidRPr="00036FAC">
        <w:t>organisations.</w:t>
      </w:r>
      <w:r w:rsidR="00907D8C">
        <w:t xml:space="preserve"> </w:t>
      </w:r>
      <w:r w:rsidRPr="00036FAC">
        <w:t>The</w:t>
      </w:r>
      <w:r w:rsidR="00907D8C">
        <w:t xml:space="preserve"> </w:t>
      </w:r>
      <w:r w:rsidRPr="00036FAC">
        <w:t>handbook</w:t>
      </w:r>
      <w:r w:rsidR="00907D8C">
        <w:t xml:space="preserve"> </w:t>
      </w:r>
      <w:r w:rsidRPr="00036FAC">
        <w:t>contains</w:t>
      </w:r>
      <w:r w:rsidR="00907D8C">
        <w:t xml:space="preserve"> </w:t>
      </w:r>
      <w:r w:rsidRPr="00036FAC">
        <w:t>the</w:t>
      </w:r>
      <w:r w:rsidR="00907D8C">
        <w:t xml:space="preserve"> </w:t>
      </w:r>
      <w:r w:rsidRPr="00036FAC">
        <w:t>text</w:t>
      </w:r>
      <w:r w:rsidR="00907D8C">
        <w:t xml:space="preserve"> </w:t>
      </w:r>
      <w:r w:rsidRPr="00036FAC">
        <w:t>of</w:t>
      </w:r>
      <w:r w:rsidR="00907D8C">
        <w:t xml:space="preserve"> </w:t>
      </w:r>
      <w:r w:rsidRPr="00036FAC">
        <w:t>all</w:t>
      </w:r>
      <w:r w:rsidR="00907D8C">
        <w:t xml:space="preserve"> </w:t>
      </w:r>
      <w:r w:rsidRPr="00036FAC">
        <w:t>human</w:t>
      </w:r>
      <w:r w:rsidR="00907D8C">
        <w:t xml:space="preserve"> </w:t>
      </w:r>
      <w:r w:rsidRPr="00036FAC">
        <w:t>rights</w:t>
      </w:r>
      <w:r w:rsidR="00907D8C">
        <w:t xml:space="preserve"> </w:t>
      </w:r>
      <w:r w:rsidRPr="00036FAC">
        <w:t>treaties</w:t>
      </w:r>
      <w:r w:rsidR="00907D8C">
        <w:t xml:space="preserve"> </w:t>
      </w:r>
      <w:r w:rsidRPr="00036FAC">
        <w:t>to</w:t>
      </w:r>
      <w:r w:rsidR="00907D8C">
        <w:t xml:space="preserve"> </w:t>
      </w:r>
      <w:r w:rsidRPr="00036FAC">
        <w:t>which</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a</w:t>
      </w:r>
      <w:r w:rsidR="00907D8C">
        <w:t xml:space="preserve"> </w:t>
      </w:r>
      <w:r w:rsidRPr="00036FAC">
        <w:t>party.</w:t>
      </w:r>
    </w:p>
    <w:p w:rsidR="00036FAC" w:rsidRPr="00036FAC" w:rsidRDefault="00036FAC" w:rsidP="006C436C">
      <w:pPr>
        <w:pStyle w:val="H23G"/>
      </w:pPr>
      <w:bookmarkStart w:id="257" w:name="_Toc114895893"/>
      <w:bookmarkStart w:id="258" w:name="_Toc115493438"/>
      <w:bookmarkStart w:id="259" w:name="_Toc115493782"/>
      <w:bookmarkStart w:id="260" w:name="_Toc115493857"/>
      <w:bookmarkStart w:id="261" w:name="_Toc118100641"/>
      <w:bookmarkStart w:id="262" w:name="_Toc125276409"/>
      <w:bookmarkStart w:id="263" w:name="_Toc125278808"/>
      <w:bookmarkStart w:id="264" w:name="_Toc125278927"/>
      <w:r w:rsidRPr="00036FAC">
        <w:tab/>
        <w:t>2.</w:t>
      </w:r>
      <w:r w:rsidRPr="00036FAC">
        <w:tab/>
        <w:t>National</w:t>
      </w:r>
      <w:r w:rsidR="00907D8C">
        <w:t xml:space="preserve"> </w:t>
      </w:r>
      <w:r w:rsidRPr="00036FAC">
        <w:t>human</w:t>
      </w:r>
      <w:r w:rsidR="00907D8C">
        <w:t xml:space="preserve"> </w:t>
      </w:r>
      <w:r w:rsidRPr="00036FAC">
        <w:t>rights</w:t>
      </w:r>
      <w:r w:rsidR="00907D8C">
        <w:t xml:space="preserve"> </w:t>
      </w:r>
      <w:r w:rsidRPr="00036FAC">
        <w:t>institutions</w:t>
      </w:r>
      <w:bookmarkEnd w:id="248"/>
      <w:bookmarkEnd w:id="257"/>
      <w:bookmarkEnd w:id="258"/>
      <w:bookmarkEnd w:id="259"/>
      <w:bookmarkEnd w:id="260"/>
      <w:bookmarkEnd w:id="261"/>
      <w:bookmarkEnd w:id="262"/>
      <w:bookmarkEnd w:id="263"/>
      <w:bookmarkEnd w:id="264"/>
      <w:r w:rsidRPr="00036FAC">
        <w:t>:</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Human</w:t>
      </w:r>
      <w:r w:rsidR="00907D8C">
        <w:t xml:space="preserve"> </w:t>
      </w:r>
      <w:r w:rsidRPr="00036FAC">
        <w:t>Rights</w:t>
      </w:r>
      <w:r w:rsidR="00907D8C">
        <w:t xml:space="preserve"> </w:t>
      </w:r>
      <w:r w:rsidRPr="00036FAC">
        <w:t>Commission</w:t>
      </w:r>
    </w:p>
    <w:p w:rsidR="00036FAC" w:rsidRPr="00036FAC" w:rsidRDefault="00036FAC" w:rsidP="00A864D7">
      <w:pPr>
        <w:pStyle w:val="SingleTxtG"/>
      </w:pPr>
      <w:r w:rsidRPr="00036FAC">
        <w:t>214.</w:t>
      </w:r>
      <w:r w:rsidRPr="00036FAC">
        <w:tab/>
        <w:t>The</w:t>
      </w:r>
      <w:r w:rsidR="00907D8C">
        <w:t xml:space="preserve"> </w:t>
      </w:r>
      <w:r w:rsidRPr="00036FAC">
        <w:t>NZHRC</w:t>
      </w:r>
      <w:r w:rsidR="00907D8C">
        <w:t xml:space="preserve"> </w:t>
      </w:r>
      <w:r w:rsidRPr="00036FAC">
        <w:t>was</w:t>
      </w:r>
      <w:r w:rsidR="00907D8C">
        <w:t xml:space="preserve"> </w:t>
      </w:r>
      <w:r w:rsidRPr="00036FAC">
        <w:t>established</w:t>
      </w:r>
      <w:r w:rsidR="00907D8C">
        <w:t xml:space="preserve"> </w:t>
      </w:r>
      <w:r w:rsidRPr="00036FAC">
        <w:t>in</w:t>
      </w:r>
      <w:r w:rsidR="00907D8C">
        <w:t xml:space="preserve"> </w:t>
      </w:r>
      <w:r w:rsidRPr="00036FAC">
        <w:t>September</w:t>
      </w:r>
      <w:r w:rsidR="00907D8C">
        <w:t xml:space="preserve"> </w:t>
      </w:r>
      <w:r w:rsidRPr="00036FAC">
        <w:t>1978.</w:t>
      </w:r>
      <w:r w:rsidR="00907D8C">
        <w:t xml:space="preserve"> </w:t>
      </w:r>
      <w:r w:rsidRPr="00036FAC">
        <w:t>It</w:t>
      </w:r>
      <w:r w:rsidR="00907D8C">
        <w:t xml:space="preserve"> </w:t>
      </w:r>
      <w:r w:rsidRPr="00036FAC">
        <w:t>is</w:t>
      </w:r>
      <w:r w:rsidR="00907D8C">
        <w:t xml:space="preserve"> </w:t>
      </w:r>
      <w:r w:rsidRPr="00036FAC">
        <w:t>an</w:t>
      </w:r>
      <w:r w:rsidR="00907D8C">
        <w:t xml:space="preserve"> </w:t>
      </w:r>
      <w:r w:rsidRPr="00036FAC">
        <w:t>independent</w:t>
      </w:r>
      <w:r w:rsidR="00907D8C">
        <w:t xml:space="preserve"> </w:t>
      </w:r>
      <w:r w:rsidRPr="00036FAC">
        <w:t>national</w:t>
      </w:r>
      <w:r w:rsidR="00907D8C">
        <w:t xml:space="preserve"> </w:t>
      </w:r>
      <w:r w:rsidRPr="00036FAC">
        <w:t>human</w:t>
      </w:r>
      <w:r w:rsidR="00907D8C">
        <w:t xml:space="preserve"> </w:t>
      </w:r>
      <w:r w:rsidRPr="00036FAC">
        <w:t>rights</w:t>
      </w:r>
      <w:r w:rsidR="00907D8C">
        <w:t xml:space="preserve"> </w:t>
      </w:r>
      <w:r w:rsidRPr="00036FAC">
        <w:t>institution</w:t>
      </w:r>
      <w:r w:rsidR="00907D8C">
        <w:t xml:space="preserve"> </w:t>
      </w:r>
      <w:r w:rsidRPr="00036FAC">
        <w:t>with</w:t>
      </w:r>
      <w:r w:rsidR="00907D8C">
        <w:t xml:space="preserve"> </w:t>
      </w:r>
      <w:r w:rsidR="003E4D94">
        <w:t>“</w:t>
      </w:r>
      <w:r w:rsidRPr="00036FAC">
        <w:t>A</w:t>
      </w:r>
      <w:r w:rsidR="003E4D94">
        <w:t>”</w:t>
      </w:r>
      <w:r w:rsidR="00907D8C">
        <w:t xml:space="preserve"> </w:t>
      </w:r>
      <w:r w:rsidRPr="00036FAC">
        <w:t>status</w:t>
      </w:r>
      <w:r w:rsidR="00907D8C">
        <w:t xml:space="preserve"> </w:t>
      </w:r>
      <w:r w:rsidRPr="00036FAC">
        <w:t>accreditation</w:t>
      </w:r>
      <w:r w:rsidR="00907D8C">
        <w:t xml:space="preserve"> </w:t>
      </w:r>
      <w:r w:rsidRPr="00036FAC">
        <w:t>from</w:t>
      </w:r>
      <w:r w:rsidR="00907D8C">
        <w:t xml:space="preserve"> </w:t>
      </w:r>
      <w:r w:rsidRPr="00036FAC">
        <w:t>the</w:t>
      </w:r>
      <w:r w:rsidR="00907D8C">
        <w:t xml:space="preserve"> </w:t>
      </w:r>
      <w:r w:rsidRPr="00036FAC">
        <w:t>International</w:t>
      </w:r>
      <w:r w:rsidR="00907D8C">
        <w:t xml:space="preserve"> </w:t>
      </w:r>
      <w:r w:rsidRPr="00036FAC">
        <w:t>Coordinating</w:t>
      </w:r>
      <w:r w:rsidR="00907D8C">
        <w:t xml:space="preserve"> </w:t>
      </w:r>
      <w:r w:rsidRPr="00036FAC">
        <w:t>Committee</w:t>
      </w:r>
      <w:r w:rsidR="00907D8C">
        <w:t xml:space="preserve"> </w:t>
      </w:r>
      <w:r w:rsidRPr="00036FAC">
        <w:t>of</w:t>
      </w:r>
      <w:r w:rsidR="00907D8C">
        <w:t xml:space="preserve"> </w:t>
      </w:r>
      <w:r w:rsidRPr="00036FAC">
        <w:t>National</w:t>
      </w:r>
      <w:r w:rsidR="00907D8C">
        <w:t xml:space="preserve"> </w:t>
      </w:r>
      <w:r w:rsidRPr="00036FAC">
        <w:t>Human</w:t>
      </w:r>
      <w:r w:rsidR="00907D8C">
        <w:t xml:space="preserve"> </w:t>
      </w:r>
      <w:r w:rsidRPr="00036FAC">
        <w:t>Rights</w:t>
      </w:r>
      <w:r w:rsidR="00907D8C">
        <w:t xml:space="preserve"> </w:t>
      </w:r>
      <w:r w:rsidRPr="00036FAC">
        <w:t>Institutions.</w:t>
      </w:r>
      <w:r w:rsidR="00907D8C">
        <w:t xml:space="preserve"> </w:t>
      </w:r>
      <w:r w:rsidRPr="00036FAC">
        <w:t>The</w:t>
      </w:r>
      <w:r w:rsidR="00907D8C">
        <w:t xml:space="preserve"> </w:t>
      </w:r>
      <w:r w:rsidRPr="00036FAC">
        <w:t>NZHRC</w:t>
      </w:r>
      <w:r w:rsidR="003E4D94">
        <w:t>’</w:t>
      </w:r>
      <w:r w:rsidRPr="00036FAC">
        <w:t>s</w:t>
      </w:r>
      <w:r w:rsidR="00907D8C">
        <w:t xml:space="preserve"> </w:t>
      </w:r>
      <w:r w:rsidRPr="00036FAC">
        <w:t>statutory</w:t>
      </w:r>
      <w:r w:rsidR="00907D8C">
        <w:t xml:space="preserve"> </w:t>
      </w:r>
      <w:r w:rsidRPr="00036FAC">
        <w:t>functions</w:t>
      </w:r>
      <w:r w:rsidR="00907D8C">
        <w:t xml:space="preserve"> </w:t>
      </w:r>
      <w:r w:rsidRPr="00036FAC">
        <w:t>are</w:t>
      </w:r>
      <w:r w:rsidR="00907D8C">
        <w:t xml:space="preserve"> </w:t>
      </w:r>
      <w:r w:rsidRPr="00036FAC">
        <w:t>set</w:t>
      </w:r>
      <w:r w:rsidR="00907D8C">
        <w:t xml:space="preserve"> </w:t>
      </w:r>
      <w:r w:rsidRPr="00036FAC">
        <w:t>out</w:t>
      </w:r>
      <w:r w:rsidR="00907D8C">
        <w:t xml:space="preserve"> </w:t>
      </w:r>
      <w:r w:rsidRPr="00036FAC">
        <w:t>in</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1993:</w:t>
      </w:r>
    </w:p>
    <w:p w:rsidR="00036FAC" w:rsidRPr="00036FAC" w:rsidRDefault="00A864D7" w:rsidP="00A864D7">
      <w:pPr>
        <w:pStyle w:val="SingleTxtG"/>
      </w:pPr>
      <w:r>
        <w:tab/>
      </w:r>
      <w:r w:rsidR="00036FAC" w:rsidRPr="00036FAC">
        <w:t>(a)</w:t>
      </w:r>
      <w:r w:rsidR="00036FAC" w:rsidRPr="00036FAC">
        <w:tab/>
        <w:t>To</w:t>
      </w:r>
      <w:r w:rsidR="00907D8C">
        <w:t xml:space="preserve"> </w:t>
      </w:r>
      <w:r w:rsidR="00036FAC" w:rsidRPr="00036FAC">
        <w:t>advocate</w:t>
      </w:r>
      <w:r w:rsidR="00907D8C">
        <w:t xml:space="preserve"> </w:t>
      </w:r>
      <w:r w:rsidR="00036FAC" w:rsidRPr="00036FAC">
        <w:t>and</w:t>
      </w:r>
      <w:r w:rsidR="00907D8C">
        <w:t xml:space="preserve"> </w:t>
      </w:r>
      <w:r w:rsidR="00036FAC" w:rsidRPr="00036FAC">
        <w:t>promote</w:t>
      </w:r>
      <w:r w:rsidR="00907D8C">
        <w:t xml:space="preserve"> </w:t>
      </w:r>
      <w:r w:rsidR="00036FAC" w:rsidRPr="00036FAC">
        <w:t>respect</w:t>
      </w:r>
      <w:r w:rsidR="00907D8C">
        <w:t xml:space="preserve"> </w:t>
      </w:r>
      <w:r w:rsidR="00036FAC" w:rsidRPr="00036FAC">
        <w:t>and</w:t>
      </w:r>
      <w:r w:rsidR="00907D8C">
        <w:t xml:space="preserve"> </w:t>
      </w:r>
      <w:r w:rsidR="00036FAC" w:rsidRPr="00036FAC">
        <w:t>an</w:t>
      </w:r>
      <w:r w:rsidR="00907D8C">
        <w:t xml:space="preserve"> </w:t>
      </w:r>
      <w:r w:rsidR="00036FAC" w:rsidRPr="00036FAC">
        <w:t>understanding</w:t>
      </w:r>
      <w:r w:rsidR="00907D8C">
        <w:t xml:space="preserve"> </w:t>
      </w:r>
      <w:r w:rsidR="00036FAC" w:rsidRPr="00036FAC">
        <w:t>and</w:t>
      </w:r>
      <w:r w:rsidR="00907D8C">
        <w:t xml:space="preserve"> </w:t>
      </w:r>
      <w:r w:rsidR="00036FAC" w:rsidRPr="00036FAC">
        <w:t>appreciation</w:t>
      </w:r>
      <w:r w:rsidR="00907D8C">
        <w:t xml:space="preserve"> </w:t>
      </w:r>
      <w:r w:rsidR="00036FAC" w:rsidRPr="00036FAC">
        <w:t>of</w:t>
      </w:r>
      <w:r w:rsidR="00907D8C">
        <w:t xml:space="preserve"> </w:t>
      </w:r>
      <w:r w:rsidR="00036FAC" w:rsidRPr="00036FAC">
        <w:t>human</w:t>
      </w:r>
      <w:r w:rsidR="00907D8C">
        <w:t xml:space="preserve"> </w:t>
      </w:r>
      <w:r w:rsidR="00036FAC" w:rsidRPr="00036FAC">
        <w:t>rights</w:t>
      </w:r>
      <w:r w:rsidR="00907D8C">
        <w:t xml:space="preserve"> </w:t>
      </w:r>
      <w:r w:rsidR="00036FAC" w:rsidRPr="00036FAC">
        <w:t>in</w:t>
      </w:r>
      <w:r w:rsidR="00907D8C">
        <w:t xml:space="preserve"> </w:t>
      </w:r>
      <w:r w:rsidR="00036FAC" w:rsidRPr="00036FAC">
        <w:t>New</w:t>
      </w:r>
      <w:r w:rsidR="00907D8C">
        <w:t xml:space="preserve"> </w:t>
      </w:r>
      <w:r w:rsidR="00036FAC" w:rsidRPr="00036FAC">
        <w:t>Zealand;</w:t>
      </w:r>
    </w:p>
    <w:p w:rsidR="00036FAC" w:rsidRPr="00036FAC" w:rsidRDefault="00A864D7" w:rsidP="00A864D7">
      <w:pPr>
        <w:pStyle w:val="SingleTxtG"/>
      </w:pPr>
      <w:r>
        <w:tab/>
      </w:r>
      <w:r w:rsidR="00036FAC" w:rsidRPr="00036FAC">
        <w:t>(b)</w:t>
      </w:r>
      <w:r w:rsidR="00036FAC" w:rsidRPr="00036FAC">
        <w:tab/>
        <w:t>To</w:t>
      </w:r>
      <w:r w:rsidR="00907D8C">
        <w:t xml:space="preserve"> </w:t>
      </w:r>
      <w:r w:rsidR="00036FAC" w:rsidRPr="00036FAC">
        <w:t>encourage</w:t>
      </w:r>
      <w:r w:rsidR="00907D8C">
        <w:t xml:space="preserve"> </w:t>
      </w:r>
      <w:r w:rsidR="00036FAC" w:rsidRPr="00036FAC">
        <w:t>the</w:t>
      </w:r>
      <w:r w:rsidR="00907D8C">
        <w:t xml:space="preserve"> </w:t>
      </w:r>
      <w:r w:rsidR="00036FAC" w:rsidRPr="00036FAC">
        <w:t>maintenance</w:t>
      </w:r>
      <w:r w:rsidR="00907D8C">
        <w:t xml:space="preserve"> </w:t>
      </w:r>
      <w:r w:rsidR="00036FAC" w:rsidRPr="00036FAC">
        <w:t>and</w:t>
      </w:r>
      <w:r w:rsidR="00907D8C">
        <w:t xml:space="preserve"> </w:t>
      </w:r>
      <w:r w:rsidR="00036FAC" w:rsidRPr="00036FAC">
        <w:t>development</w:t>
      </w:r>
      <w:r w:rsidR="00907D8C">
        <w:t xml:space="preserve"> </w:t>
      </w:r>
      <w:r w:rsidR="00036FAC" w:rsidRPr="00036FAC">
        <w:t>of</w:t>
      </w:r>
      <w:r w:rsidR="00907D8C">
        <w:t xml:space="preserve"> </w:t>
      </w:r>
      <w:r w:rsidR="00036FAC" w:rsidRPr="00036FAC">
        <w:t>harmonious</w:t>
      </w:r>
      <w:r w:rsidR="00907D8C">
        <w:t xml:space="preserve"> </w:t>
      </w:r>
      <w:r w:rsidR="00036FAC" w:rsidRPr="00036FAC">
        <w:t>relations</w:t>
      </w:r>
      <w:r w:rsidR="00907D8C">
        <w:t xml:space="preserve"> </w:t>
      </w:r>
      <w:r w:rsidR="00036FAC" w:rsidRPr="00036FAC">
        <w:t>between</w:t>
      </w:r>
      <w:r w:rsidR="00907D8C">
        <w:t xml:space="preserve"> </w:t>
      </w:r>
      <w:r w:rsidR="00036FAC" w:rsidRPr="00036FAC">
        <w:t>individuals</w:t>
      </w:r>
      <w:r w:rsidR="00907D8C">
        <w:t xml:space="preserve"> </w:t>
      </w:r>
      <w:r w:rsidR="00036FAC" w:rsidRPr="00036FAC">
        <w:t>and</w:t>
      </w:r>
      <w:r w:rsidR="00907D8C">
        <w:t xml:space="preserve"> </w:t>
      </w:r>
      <w:r w:rsidR="00036FAC" w:rsidRPr="00036FAC">
        <w:t>among</w:t>
      </w:r>
      <w:r w:rsidR="00907D8C">
        <w:t xml:space="preserve"> </w:t>
      </w:r>
      <w:r w:rsidR="00036FAC" w:rsidRPr="00036FAC">
        <w:t>the</w:t>
      </w:r>
      <w:r w:rsidR="00907D8C">
        <w:t xml:space="preserve"> </w:t>
      </w:r>
      <w:r w:rsidR="00036FAC" w:rsidRPr="00036FAC">
        <w:t>diverse</w:t>
      </w:r>
      <w:r w:rsidR="00907D8C">
        <w:t xml:space="preserve"> </w:t>
      </w:r>
      <w:r w:rsidR="00036FAC" w:rsidRPr="00036FAC">
        <w:t>groups</w:t>
      </w:r>
      <w:r w:rsidR="00907D8C">
        <w:t xml:space="preserve"> </w:t>
      </w:r>
      <w:r w:rsidR="00036FAC" w:rsidRPr="00036FAC">
        <w:t>in</w:t>
      </w:r>
      <w:r w:rsidR="00907D8C">
        <w:t xml:space="preserve"> </w:t>
      </w:r>
      <w:r w:rsidR="00036FAC" w:rsidRPr="00036FAC">
        <w:t>New</w:t>
      </w:r>
      <w:r w:rsidR="00907D8C">
        <w:t xml:space="preserve"> </w:t>
      </w:r>
      <w:r w:rsidR="00036FAC" w:rsidRPr="00036FAC">
        <w:t>Zealand;</w:t>
      </w:r>
    </w:p>
    <w:p w:rsidR="00036FAC" w:rsidRPr="00036FAC" w:rsidRDefault="00A864D7" w:rsidP="00A864D7">
      <w:pPr>
        <w:pStyle w:val="SingleTxtG"/>
      </w:pPr>
      <w:r>
        <w:tab/>
      </w:r>
      <w:r w:rsidR="00036FAC" w:rsidRPr="00036FAC">
        <w:t>(c)</w:t>
      </w:r>
      <w:r w:rsidR="00036FAC" w:rsidRPr="00036FAC">
        <w:tab/>
        <w:t>To</w:t>
      </w:r>
      <w:r w:rsidR="00907D8C">
        <w:t xml:space="preserve"> </w:t>
      </w:r>
      <w:r w:rsidR="00036FAC" w:rsidRPr="00036FAC">
        <w:t>lead,</w:t>
      </w:r>
      <w:r w:rsidR="00907D8C">
        <w:t xml:space="preserve"> </w:t>
      </w:r>
      <w:r w:rsidR="00036FAC" w:rsidRPr="00036FAC">
        <w:t>evaluate,</w:t>
      </w:r>
      <w:r w:rsidR="00907D8C">
        <w:t xml:space="preserve"> </w:t>
      </w:r>
      <w:r w:rsidR="00036FAC" w:rsidRPr="00036FAC">
        <w:t>monitor,</w:t>
      </w:r>
      <w:r w:rsidR="00907D8C">
        <w:t xml:space="preserve"> </w:t>
      </w:r>
      <w:r w:rsidR="00036FAC" w:rsidRPr="00036FAC">
        <w:t>and</w:t>
      </w:r>
      <w:r w:rsidR="00907D8C">
        <w:t xml:space="preserve"> </w:t>
      </w:r>
      <w:r w:rsidR="00036FAC" w:rsidRPr="00036FAC">
        <w:t>advise</w:t>
      </w:r>
      <w:r w:rsidR="00907D8C">
        <w:t xml:space="preserve"> </w:t>
      </w:r>
      <w:r w:rsidR="00036FAC" w:rsidRPr="00036FAC">
        <w:t>on</w:t>
      </w:r>
      <w:r w:rsidR="00907D8C">
        <w:t xml:space="preserve"> </w:t>
      </w:r>
      <w:r w:rsidR="00036FAC" w:rsidRPr="00036FAC">
        <w:t>equal</w:t>
      </w:r>
      <w:r w:rsidR="00907D8C">
        <w:t xml:space="preserve"> </w:t>
      </w:r>
      <w:r w:rsidR="00036FAC" w:rsidRPr="00036FAC">
        <w:t>employment</w:t>
      </w:r>
      <w:r w:rsidR="00907D8C">
        <w:t xml:space="preserve"> </w:t>
      </w:r>
      <w:r w:rsidR="00036FAC" w:rsidRPr="00036FAC">
        <w:t>opportunities;</w:t>
      </w:r>
      <w:r w:rsidR="00907D8C">
        <w:t xml:space="preserve"> </w:t>
      </w:r>
      <w:r w:rsidR="00036FAC" w:rsidRPr="00036FAC">
        <w:t>and</w:t>
      </w:r>
    </w:p>
    <w:p w:rsidR="00036FAC" w:rsidRPr="00036FAC" w:rsidRDefault="00A864D7" w:rsidP="00A864D7">
      <w:pPr>
        <w:pStyle w:val="SingleTxtG"/>
      </w:pPr>
      <w:r>
        <w:tab/>
      </w:r>
      <w:r w:rsidR="00036FAC" w:rsidRPr="00036FAC">
        <w:t>(d)</w:t>
      </w:r>
      <w:r w:rsidR="00036FAC" w:rsidRPr="00036FAC">
        <w:tab/>
        <w:t>To</w:t>
      </w:r>
      <w:r w:rsidR="00907D8C">
        <w:t xml:space="preserve"> </w:t>
      </w:r>
      <w:r w:rsidR="00036FAC" w:rsidRPr="00036FAC">
        <w:t>provide</w:t>
      </w:r>
      <w:r w:rsidR="00907D8C">
        <w:t xml:space="preserve"> </w:t>
      </w:r>
      <w:r w:rsidR="00036FAC" w:rsidRPr="00036FAC">
        <w:t>information</w:t>
      </w:r>
      <w:r w:rsidR="00907D8C">
        <w:t xml:space="preserve"> </w:t>
      </w:r>
      <w:r w:rsidR="00036FAC" w:rsidRPr="00036FAC">
        <w:t>to</w:t>
      </w:r>
      <w:r w:rsidR="00907D8C">
        <w:t xml:space="preserve"> </w:t>
      </w:r>
      <w:r w:rsidR="00036FAC" w:rsidRPr="00036FAC">
        <w:t>people</w:t>
      </w:r>
      <w:r w:rsidR="00907D8C">
        <w:t xml:space="preserve"> </w:t>
      </w:r>
      <w:r w:rsidR="00036FAC" w:rsidRPr="00036FAC">
        <w:t>who</w:t>
      </w:r>
      <w:r w:rsidR="00907D8C">
        <w:t xml:space="preserve"> </w:t>
      </w:r>
      <w:r w:rsidR="00036FAC" w:rsidRPr="00036FAC">
        <w:t>have</w:t>
      </w:r>
      <w:r w:rsidR="00907D8C">
        <w:t xml:space="preserve"> </w:t>
      </w:r>
      <w:r w:rsidR="00036FAC" w:rsidRPr="00036FAC">
        <w:t>questions</w:t>
      </w:r>
      <w:r w:rsidR="00907D8C">
        <w:t xml:space="preserve"> </w:t>
      </w:r>
      <w:r w:rsidR="00036FAC" w:rsidRPr="00036FAC">
        <w:t>about</w:t>
      </w:r>
      <w:r w:rsidR="00907D8C">
        <w:t xml:space="preserve"> </w:t>
      </w:r>
      <w:r w:rsidR="00036FAC" w:rsidRPr="00036FAC">
        <w:t>discrimination</w:t>
      </w:r>
      <w:r w:rsidR="00907D8C">
        <w:t xml:space="preserve"> </w:t>
      </w:r>
      <w:r w:rsidR="00036FAC" w:rsidRPr="00036FAC">
        <w:t>and</w:t>
      </w:r>
      <w:r w:rsidR="00907D8C">
        <w:t xml:space="preserve"> </w:t>
      </w:r>
      <w:r w:rsidR="00036FAC" w:rsidRPr="00036FAC">
        <w:t>facilitate</w:t>
      </w:r>
      <w:r w:rsidR="00907D8C">
        <w:t xml:space="preserve"> </w:t>
      </w:r>
      <w:r w:rsidR="00036FAC" w:rsidRPr="00036FAC">
        <w:t>resolution</w:t>
      </w:r>
      <w:r w:rsidR="00907D8C">
        <w:t xml:space="preserve"> </w:t>
      </w:r>
      <w:r w:rsidR="00036FAC" w:rsidRPr="00036FAC">
        <w:t>in</w:t>
      </w:r>
      <w:r w:rsidR="00907D8C">
        <w:t xml:space="preserve"> </w:t>
      </w:r>
      <w:r w:rsidR="00036FAC" w:rsidRPr="00036FAC">
        <w:t>disputes</w:t>
      </w:r>
      <w:r w:rsidR="00907D8C">
        <w:t xml:space="preserve"> </w:t>
      </w:r>
      <w:r w:rsidR="00036FAC" w:rsidRPr="00036FAC">
        <w:t>about</w:t>
      </w:r>
      <w:r w:rsidR="00907D8C">
        <w:t xml:space="preserve"> </w:t>
      </w:r>
      <w:r w:rsidR="00036FAC" w:rsidRPr="00036FAC">
        <w:t>discrimination.</w:t>
      </w:r>
    </w:p>
    <w:p w:rsidR="00036FAC" w:rsidRPr="00036FAC" w:rsidRDefault="00036FAC" w:rsidP="006C436C">
      <w:pPr>
        <w:pStyle w:val="H23G"/>
      </w:pPr>
      <w:r w:rsidRPr="00036FAC">
        <w:tab/>
        <w:t>(a)</w:t>
      </w:r>
      <w:r w:rsidRPr="00036FAC">
        <w:tab/>
        <w:t>Roles</w:t>
      </w:r>
      <w:r w:rsidR="00907D8C">
        <w:t xml:space="preserve"> </w:t>
      </w:r>
      <w:r w:rsidRPr="00036FAC">
        <w:t>and</w:t>
      </w:r>
      <w:r w:rsidR="00907D8C">
        <w:t xml:space="preserve"> </w:t>
      </w:r>
      <w:r w:rsidRPr="00036FAC">
        <w:t>functions</w:t>
      </w:r>
    </w:p>
    <w:p w:rsidR="00036FAC" w:rsidRPr="00036FAC" w:rsidRDefault="00036FAC" w:rsidP="002B6E7E">
      <w:pPr>
        <w:pStyle w:val="SingleTxtG"/>
      </w:pPr>
      <w:r w:rsidRPr="00036FAC">
        <w:t>215.</w:t>
      </w:r>
      <w:r w:rsidRPr="00036FAC">
        <w:tab/>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1993</w:t>
      </w:r>
      <w:r w:rsidR="00907D8C">
        <w:t xml:space="preserve"> </w:t>
      </w:r>
      <w:r w:rsidRPr="00036FAC">
        <w:t>sets</w:t>
      </w:r>
      <w:r w:rsidR="00907D8C">
        <w:t xml:space="preserve"> </w:t>
      </w:r>
      <w:r w:rsidRPr="00036FAC">
        <w:t>out</w:t>
      </w:r>
      <w:r w:rsidR="00907D8C">
        <w:t xml:space="preserve"> </w:t>
      </w:r>
      <w:r w:rsidRPr="00036FAC">
        <w:t>the</w:t>
      </w:r>
      <w:r w:rsidR="00907D8C">
        <w:t xml:space="preserve"> </w:t>
      </w:r>
      <w:r w:rsidRPr="00036FAC">
        <w:t>NZHRC</w:t>
      </w:r>
      <w:r w:rsidR="003E4D94">
        <w:t>’</w:t>
      </w:r>
      <w:r w:rsidRPr="00036FAC">
        <w:t>s</w:t>
      </w:r>
      <w:r w:rsidR="00907D8C">
        <w:t xml:space="preserve"> </w:t>
      </w:r>
      <w:r w:rsidRPr="00036FAC">
        <w:t>functions</w:t>
      </w:r>
      <w:r w:rsidR="00907D8C">
        <w:t xml:space="preserve"> </w:t>
      </w:r>
      <w:r w:rsidRPr="00036FAC">
        <w:t>and</w:t>
      </w:r>
      <w:r w:rsidR="00907D8C">
        <w:t xml:space="preserve"> </w:t>
      </w:r>
      <w:r w:rsidRPr="00036FAC">
        <w:t>related</w:t>
      </w:r>
      <w:r w:rsidR="00907D8C">
        <w:t xml:space="preserve"> </w:t>
      </w:r>
      <w:r w:rsidRPr="00036FAC">
        <w:t>responsibilities,</w:t>
      </w:r>
      <w:r w:rsidR="00907D8C">
        <w:t xml:space="preserve"> </w:t>
      </w:r>
      <w:r w:rsidRPr="00036FAC">
        <w:t>which</w:t>
      </w:r>
      <w:r w:rsidR="00907D8C">
        <w:t xml:space="preserve"> </w:t>
      </w:r>
      <w:r w:rsidRPr="00036FAC">
        <w:t>include:</w:t>
      </w:r>
    </w:p>
    <w:p w:rsidR="00036FAC" w:rsidRPr="00036FAC" w:rsidRDefault="00036FAC" w:rsidP="002B6E7E">
      <w:pPr>
        <w:pStyle w:val="Bullet1G"/>
      </w:pPr>
      <w:r w:rsidRPr="00036FAC">
        <w:t>Advocating</w:t>
      </w:r>
      <w:r w:rsidR="00907D8C">
        <w:t xml:space="preserve"> </w:t>
      </w:r>
      <w:r w:rsidRPr="00036FAC">
        <w:t>for</w:t>
      </w:r>
      <w:r w:rsidR="00907D8C">
        <w:t xml:space="preserve"> </w:t>
      </w:r>
      <w:r w:rsidRPr="00036FAC">
        <w:t>human</w:t>
      </w:r>
      <w:r w:rsidR="00907D8C">
        <w:t xml:space="preserve"> </w:t>
      </w:r>
      <w:r w:rsidRPr="00036FAC">
        <w:t>rights</w:t>
      </w:r>
    </w:p>
    <w:p w:rsidR="00036FAC" w:rsidRPr="00036FAC" w:rsidRDefault="00036FAC" w:rsidP="002B6E7E">
      <w:pPr>
        <w:pStyle w:val="Bullet1G"/>
      </w:pPr>
      <w:r w:rsidRPr="00036FAC">
        <w:t>Conducting</w:t>
      </w:r>
      <w:r w:rsidR="00907D8C">
        <w:t xml:space="preserve"> </w:t>
      </w:r>
      <w:r w:rsidRPr="00036FAC">
        <w:t>human</w:t>
      </w:r>
      <w:r w:rsidR="00907D8C">
        <w:t xml:space="preserve"> </w:t>
      </w:r>
      <w:r w:rsidRPr="00036FAC">
        <w:t>rights</w:t>
      </w:r>
      <w:r w:rsidR="00907D8C">
        <w:t xml:space="preserve"> </w:t>
      </w:r>
      <w:r w:rsidRPr="00036FAC">
        <w:t>programmes</w:t>
      </w:r>
      <w:r w:rsidR="00907D8C">
        <w:t xml:space="preserve"> </w:t>
      </w:r>
      <w:r w:rsidRPr="00036FAC">
        <w:t>and</w:t>
      </w:r>
      <w:r w:rsidR="00907D8C">
        <w:t xml:space="preserve"> </w:t>
      </w:r>
      <w:r w:rsidRPr="00036FAC">
        <w:t>activities</w:t>
      </w:r>
    </w:p>
    <w:p w:rsidR="00036FAC" w:rsidRPr="00036FAC" w:rsidRDefault="00036FAC" w:rsidP="002B6E7E">
      <w:pPr>
        <w:pStyle w:val="Bullet1G"/>
      </w:pPr>
      <w:r w:rsidRPr="00036FAC">
        <w:t>Making</w:t>
      </w:r>
      <w:r w:rsidR="00907D8C">
        <w:t xml:space="preserve"> </w:t>
      </w:r>
      <w:r w:rsidRPr="00036FAC">
        <w:t>public</w:t>
      </w:r>
      <w:r w:rsidR="00907D8C">
        <w:t xml:space="preserve"> </w:t>
      </w:r>
      <w:r w:rsidRPr="00036FAC">
        <w:t>statements</w:t>
      </w:r>
      <w:r w:rsidR="00907D8C">
        <w:t xml:space="preserve"> </w:t>
      </w:r>
      <w:r w:rsidRPr="00036FAC">
        <w:t>on</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race</w:t>
      </w:r>
      <w:r w:rsidR="00907D8C">
        <w:t xml:space="preserve"> </w:t>
      </w:r>
      <w:r w:rsidRPr="00036FAC">
        <w:t>relations</w:t>
      </w:r>
      <w:r w:rsidR="00907D8C">
        <w:t xml:space="preserve"> </w:t>
      </w:r>
      <w:r w:rsidRPr="00036FAC">
        <w:t>issues</w:t>
      </w:r>
    </w:p>
    <w:p w:rsidR="00036FAC" w:rsidRPr="00036FAC" w:rsidRDefault="00036FAC" w:rsidP="002B6E7E">
      <w:pPr>
        <w:pStyle w:val="Bullet1G"/>
      </w:pPr>
      <w:r w:rsidRPr="00036FAC">
        <w:t>Promoting</w:t>
      </w:r>
      <w:r w:rsidR="00907D8C">
        <w:t xml:space="preserve"> </w:t>
      </w:r>
      <w:r w:rsidRPr="00036FAC">
        <w:t>understanding</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dimensions</w:t>
      </w:r>
      <w:r w:rsidR="00907D8C">
        <w:t xml:space="preserve"> </w:t>
      </w:r>
      <w:r w:rsidRPr="00036FAC">
        <w:t>of</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p>
    <w:p w:rsidR="00036FAC" w:rsidRPr="00036FAC" w:rsidRDefault="00036FAC" w:rsidP="002B6E7E">
      <w:pPr>
        <w:pStyle w:val="Bullet1G"/>
      </w:pPr>
      <w:r w:rsidRPr="00036FAC">
        <w:t>Publishing</w:t>
      </w:r>
      <w:r w:rsidR="00907D8C">
        <w:t xml:space="preserve"> </w:t>
      </w:r>
      <w:r w:rsidRPr="00036FAC">
        <w:t>guidelines</w:t>
      </w:r>
      <w:r w:rsidR="00907D8C">
        <w:t xml:space="preserve"> </w:t>
      </w:r>
      <w:r w:rsidRPr="00036FAC">
        <w:t>and</w:t>
      </w:r>
      <w:r w:rsidR="00907D8C">
        <w:t xml:space="preserve"> </w:t>
      </w:r>
      <w:r w:rsidRPr="00036FAC">
        <w:t>voluntary</w:t>
      </w:r>
      <w:r w:rsidR="00907D8C">
        <w:t xml:space="preserve"> </w:t>
      </w:r>
      <w:r w:rsidRPr="00036FAC">
        <w:t>codes</w:t>
      </w:r>
      <w:r w:rsidR="00907D8C">
        <w:t xml:space="preserve"> </w:t>
      </w:r>
      <w:r w:rsidRPr="00036FAC">
        <w:t>of</w:t>
      </w:r>
      <w:r w:rsidR="00907D8C">
        <w:t xml:space="preserve"> </w:t>
      </w:r>
      <w:r w:rsidRPr="00036FAC">
        <w:t>practice</w:t>
      </w:r>
    </w:p>
    <w:p w:rsidR="00036FAC" w:rsidRPr="00036FAC" w:rsidRDefault="00036FAC" w:rsidP="002B6E7E">
      <w:pPr>
        <w:pStyle w:val="Bullet1G"/>
      </w:pPr>
      <w:r w:rsidRPr="00036FAC">
        <w:t>Receiving</w:t>
      </w:r>
      <w:r w:rsidR="00907D8C">
        <w:t xml:space="preserve"> </w:t>
      </w:r>
      <w:r w:rsidRPr="00036FAC">
        <w:t>and</w:t>
      </w:r>
      <w:r w:rsidR="00907D8C">
        <w:t xml:space="preserve"> </w:t>
      </w:r>
      <w:r w:rsidRPr="00036FAC">
        <w:t>inviting</w:t>
      </w:r>
      <w:r w:rsidR="00907D8C">
        <w:t xml:space="preserve"> </w:t>
      </w:r>
      <w:r w:rsidRPr="00036FAC">
        <w:t>public</w:t>
      </w:r>
      <w:r w:rsidR="00907D8C">
        <w:t xml:space="preserve"> </w:t>
      </w:r>
      <w:r w:rsidRPr="00036FAC">
        <w:t>representations</w:t>
      </w:r>
      <w:r w:rsidR="00907D8C">
        <w:t xml:space="preserve"> </w:t>
      </w:r>
      <w:r w:rsidRPr="00036FAC">
        <w:t>on</w:t>
      </w:r>
      <w:r w:rsidR="00907D8C">
        <w:t xml:space="preserve"> </w:t>
      </w:r>
      <w:r w:rsidRPr="00036FAC">
        <w:t>human</w:t>
      </w:r>
      <w:r w:rsidR="00907D8C">
        <w:t xml:space="preserve"> </w:t>
      </w:r>
      <w:r w:rsidRPr="00036FAC">
        <w:t>rights</w:t>
      </w:r>
    </w:p>
    <w:p w:rsidR="00036FAC" w:rsidRPr="00036FAC" w:rsidRDefault="00036FAC" w:rsidP="002B6E7E">
      <w:pPr>
        <w:pStyle w:val="Bullet1G"/>
      </w:pPr>
      <w:r w:rsidRPr="00036FAC">
        <w:t>Consulting</w:t>
      </w:r>
      <w:r w:rsidR="00907D8C">
        <w:t xml:space="preserve"> </w:t>
      </w:r>
      <w:r w:rsidRPr="00036FAC">
        <w:t>and</w:t>
      </w:r>
      <w:r w:rsidR="00907D8C">
        <w:t xml:space="preserve"> </w:t>
      </w:r>
      <w:r w:rsidRPr="00036FAC">
        <w:t>cooperating</w:t>
      </w:r>
      <w:r w:rsidR="00907D8C">
        <w:t xml:space="preserve"> </w:t>
      </w:r>
      <w:r w:rsidRPr="00036FAC">
        <w:t>with</w:t>
      </w:r>
      <w:r w:rsidR="00907D8C">
        <w:t xml:space="preserve"> </w:t>
      </w:r>
      <w:r w:rsidRPr="00036FAC">
        <w:t>other</w:t>
      </w:r>
      <w:r w:rsidR="00907D8C">
        <w:t xml:space="preserve"> </w:t>
      </w:r>
      <w:r w:rsidRPr="00036FAC">
        <w:t>organisations</w:t>
      </w:r>
    </w:p>
    <w:p w:rsidR="00036FAC" w:rsidRPr="00036FAC" w:rsidRDefault="00036FAC" w:rsidP="002B6E7E">
      <w:pPr>
        <w:pStyle w:val="Bullet1G"/>
      </w:pPr>
      <w:r w:rsidRPr="00036FAC">
        <w:t>Inquiring</w:t>
      </w:r>
      <w:r w:rsidR="00907D8C">
        <w:t xml:space="preserve"> </w:t>
      </w:r>
      <w:r w:rsidRPr="00036FAC">
        <w:t>into</w:t>
      </w:r>
      <w:r w:rsidR="00907D8C">
        <w:t xml:space="preserve"> </w:t>
      </w:r>
      <w:r w:rsidRPr="00036FAC">
        <w:t>infringements</w:t>
      </w:r>
      <w:r w:rsidR="00907D8C">
        <w:t xml:space="preserve"> </w:t>
      </w:r>
      <w:r w:rsidRPr="00036FAC">
        <w:t>of</w:t>
      </w:r>
      <w:r w:rsidR="00907D8C">
        <w:t xml:space="preserve"> </w:t>
      </w:r>
      <w:r w:rsidRPr="00036FAC">
        <w:t>human</w:t>
      </w:r>
      <w:r w:rsidR="00907D8C">
        <w:t xml:space="preserve"> </w:t>
      </w:r>
      <w:r w:rsidRPr="00036FAC">
        <w:t>rights</w:t>
      </w:r>
    </w:p>
    <w:p w:rsidR="00036FAC" w:rsidRPr="00036FAC" w:rsidRDefault="00036FAC" w:rsidP="002B6E7E">
      <w:pPr>
        <w:pStyle w:val="Bullet1G"/>
      </w:pPr>
      <w:r w:rsidRPr="00036FAC">
        <w:t>Bringing</w:t>
      </w:r>
      <w:r w:rsidR="00907D8C">
        <w:t xml:space="preserve"> </w:t>
      </w:r>
      <w:r w:rsidRPr="00036FAC">
        <w:t>proceedings</w:t>
      </w:r>
      <w:r w:rsidR="00907D8C">
        <w:t xml:space="preserve"> </w:t>
      </w:r>
      <w:r w:rsidRPr="00036FAC">
        <w:t>and</w:t>
      </w:r>
      <w:r w:rsidR="00907D8C">
        <w:t xml:space="preserve"> </w:t>
      </w:r>
      <w:r w:rsidRPr="00036FAC">
        <w:t>intervening</w:t>
      </w:r>
      <w:r w:rsidR="00907D8C">
        <w:t xml:space="preserve"> </w:t>
      </w:r>
      <w:r w:rsidRPr="00036FAC">
        <w:t>in</w:t>
      </w:r>
      <w:r w:rsidR="00907D8C">
        <w:t xml:space="preserve"> </w:t>
      </w:r>
      <w:r w:rsidRPr="00036FAC">
        <w:t>court</w:t>
      </w:r>
      <w:r w:rsidR="00907D8C">
        <w:t xml:space="preserve"> </w:t>
      </w:r>
      <w:r w:rsidRPr="00036FAC">
        <w:t>proceedings</w:t>
      </w:r>
    </w:p>
    <w:p w:rsidR="00036FAC" w:rsidRPr="00036FAC" w:rsidRDefault="00036FAC" w:rsidP="002B6E7E">
      <w:pPr>
        <w:pStyle w:val="Bullet1G"/>
      </w:pPr>
      <w:r w:rsidRPr="00036FAC">
        <w:t>Reporting</w:t>
      </w:r>
      <w:r w:rsidR="00907D8C">
        <w:t xml:space="preserve"> </w:t>
      </w:r>
      <w:r w:rsidRPr="00036FAC">
        <w:t>to</w:t>
      </w:r>
      <w:r w:rsidR="00907D8C">
        <w:t xml:space="preserve"> </w:t>
      </w:r>
      <w:r w:rsidRPr="00036FAC">
        <w:t>the</w:t>
      </w:r>
      <w:r w:rsidR="00907D8C">
        <w:t xml:space="preserve"> </w:t>
      </w:r>
      <w:r w:rsidRPr="00036FAC">
        <w:t>Prime</w:t>
      </w:r>
      <w:r w:rsidR="00907D8C">
        <w:t xml:space="preserve"> </w:t>
      </w:r>
      <w:r w:rsidRPr="00036FAC">
        <w:t>Minister</w:t>
      </w:r>
      <w:r w:rsidR="00907D8C">
        <w:t xml:space="preserve"> </w:t>
      </w:r>
      <w:r w:rsidRPr="00036FAC">
        <w:t>on</w:t>
      </w:r>
      <w:r w:rsidR="00907D8C">
        <w:t xml:space="preserve"> </w:t>
      </w:r>
      <w:r w:rsidRPr="00036FAC">
        <w:t>human</w:t>
      </w:r>
      <w:r w:rsidR="00907D8C">
        <w:t xml:space="preserve"> </w:t>
      </w:r>
      <w:r w:rsidRPr="00036FAC">
        <w:t>rights</w:t>
      </w:r>
      <w:r w:rsidR="00907D8C">
        <w:t xml:space="preserve"> </w:t>
      </w:r>
      <w:r w:rsidRPr="00036FAC">
        <w:t>compliance,</w:t>
      </w:r>
      <w:r w:rsidR="00907D8C">
        <w:t xml:space="preserve"> </w:t>
      </w:r>
      <w:r w:rsidRPr="00036FAC">
        <w:t>international</w:t>
      </w:r>
      <w:r w:rsidR="00907D8C">
        <w:t xml:space="preserve"> </w:t>
      </w:r>
      <w:r w:rsidRPr="00036FAC">
        <w:t>standards,</w:t>
      </w:r>
      <w:r w:rsidR="00907D8C">
        <w:t xml:space="preserve"> </w:t>
      </w:r>
      <w:r w:rsidRPr="00036FAC">
        <w:t>and</w:t>
      </w:r>
      <w:r w:rsidR="00907D8C">
        <w:t xml:space="preserve"> </w:t>
      </w:r>
      <w:r w:rsidRPr="00036FAC">
        <w:t>legislation</w:t>
      </w:r>
    </w:p>
    <w:p w:rsidR="00036FAC" w:rsidRPr="00036FAC" w:rsidRDefault="00036FAC" w:rsidP="002B6E7E">
      <w:pPr>
        <w:pStyle w:val="Bullet1G"/>
      </w:pPr>
      <w:r w:rsidRPr="00036FAC">
        <w:t>Developing</w:t>
      </w:r>
      <w:r w:rsidR="00907D8C">
        <w:t xml:space="preserve"> </w:t>
      </w:r>
      <w:r w:rsidRPr="00036FAC">
        <w:t>a</w:t>
      </w:r>
      <w:r w:rsidR="00907D8C">
        <w:t xml:space="preserve"> </w:t>
      </w:r>
      <w:r w:rsidRPr="00036FAC">
        <w:t>national</w:t>
      </w:r>
      <w:r w:rsidR="00907D8C">
        <w:t xml:space="preserve"> </w:t>
      </w:r>
      <w:r w:rsidRPr="00036FAC">
        <w:t>plan</w:t>
      </w:r>
      <w:r w:rsidR="00907D8C">
        <w:t xml:space="preserve"> </w:t>
      </w:r>
      <w:r w:rsidRPr="00036FAC">
        <w:t>of</w:t>
      </w:r>
      <w:r w:rsidR="00907D8C">
        <w:t xml:space="preserve"> </w:t>
      </w:r>
      <w:r w:rsidRPr="00036FAC">
        <w:t>action</w:t>
      </w:r>
      <w:r w:rsidR="00907D8C">
        <w:t xml:space="preserve"> </w:t>
      </w:r>
      <w:r w:rsidRPr="00036FAC">
        <w:t>for</w:t>
      </w:r>
      <w:r w:rsidR="00907D8C">
        <w:t xml:space="preserve"> </w:t>
      </w:r>
      <w:r w:rsidRPr="00036FAC">
        <w:t>human</w:t>
      </w:r>
      <w:r w:rsidR="00907D8C">
        <w:t xml:space="preserve"> </w:t>
      </w:r>
      <w:r w:rsidRPr="00036FAC">
        <w:t>rights</w:t>
      </w:r>
    </w:p>
    <w:p w:rsidR="00036FAC" w:rsidRPr="00036FAC" w:rsidRDefault="00036FAC" w:rsidP="002B6E7E">
      <w:pPr>
        <w:pStyle w:val="SingleTxtG"/>
      </w:pPr>
      <w:r w:rsidRPr="00036FAC">
        <w:t>216.</w:t>
      </w:r>
      <w:r w:rsidRPr="00036FAC">
        <w:tab/>
        <w:t>The</w:t>
      </w:r>
      <w:r w:rsidR="00907D8C">
        <w:t xml:space="preserve"> </w:t>
      </w:r>
      <w:r w:rsidRPr="00036FAC">
        <w:t>NZHRC</w:t>
      </w:r>
      <w:r w:rsidR="00907D8C">
        <w:t xml:space="preserve"> </w:t>
      </w:r>
      <w:r w:rsidRPr="00036FAC">
        <w:t>publishes</w:t>
      </w:r>
      <w:r w:rsidR="00907D8C">
        <w:t xml:space="preserve"> </w:t>
      </w:r>
      <w:r w:rsidRPr="00036FAC">
        <w:t>an</w:t>
      </w:r>
      <w:r w:rsidR="00907D8C">
        <w:t xml:space="preserve"> </w:t>
      </w:r>
      <w:r w:rsidRPr="00036FAC">
        <w:t>annual</w:t>
      </w:r>
      <w:r w:rsidR="00907D8C">
        <w:t xml:space="preserve"> </w:t>
      </w:r>
      <w:r w:rsidRPr="00036FAC">
        <w:t>Race</w:t>
      </w:r>
      <w:r w:rsidR="00907D8C">
        <w:t xml:space="preserve"> </w:t>
      </w:r>
      <w:r w:rsidRPr="00036FAC">
        <w:t>Relati</w:t>
      </w:r>
      <w:r w:rsidRPr="002B6E7E">
        <w:t>o</w:t>
      </w:r>
      <w:r w:rsidRPr="00036FAC">
        <w:t>ns</w:t>
      </w:r>
      <w:r w:rsidR="00907D8C">
        <w:t xml:space="preserve"> </w:t>
      </w:r>
      <w:r w:rsidRPr="00036FAC">
        <w:t>Report,</w:t>
      </w:r>
      <w:r w:rsidR="00907D8C">
        <w:t xml:space="preserve"> </w:t>
      </w:r>
      <w:r w:rsidRPr="00036FAC">
        <w:t>which</w:t>
      </w:r>
      <w:r w:rsidR="00907D8C">
        <w:t xml:space="preserve"> </w:t>
      </w:r>
      <w:r w:rsidRPr="00036FAC">
        <w:t>reviews</w:t>
      </w:r>
      <w:r w:rsidR="00907D8C">
        <w:t xml:space="preserve"> </w:t>
      </w:r>
      <w:r w:rsidRPr="00036FAC">
        <w:t>developments</w:t>
      </w:r>
      <w:r w:rsidR="00907D8C">
        <w:t xml:space="preserve"> </w:t>
      </w:r>
      <w:r w:rsidRPr="00036FAC">
        <w:t>over</w:t>
      </w:r>
      <w:r w:rsidR="00907D8C">
        <w:t xml:space="preserve"> </w:t>
      </w:r>
      <w:r w:rsidRPr="00036FAC">
        <w:t>the</w:t>
      </w:r>
      <w:r w:rsidR="00907D8C">
        <w:t xml:space="preserve"> </w:t>
      </w:r>
      <w:r w:rsidRPr="00036FAC">
        <w:t>past</w:t>
      </w:r>
      <w:r w:rsidR="00907D8C">
        <w:t xml:space="preserve"> </w:t>
      </w:r>
      <w:r w:rsidRPr="00036FAC">
        <w:t>year,</w:t>
      </w:r>
      <w:r w:rsidR="00907D8C">
        <w:t xml:space="preserve"> </w:t>
      </w:r>
      <w:r w:rsidRPr="00036FAC">
        <w:t>monitors</w:t>
      </w:r>
      <w:r w:rsidR="00907D8C">
        <w:t xml:space="preserve"> </w:t>
      </w:r>
      <w:r w:rsidRPr="00036FAC">
        <w:t>compliance</w:t>
      </w:r>
      <w:r w:rsidR="00907D8C">
        <w:t xml:space="preserve"> </w:t>
      </w:r>
      <w:r w:rsidRPr="00036FAC">
        <w:t>with</w:t>
      </w:r>
      <w:r w:rsidR="00907D8C">
        <w:t xml:space="preserve"> </w:t>
      </w:r>
      <w:r w:rsidRPr="00036FAC">
        <w:t>treaty</w:t>
      </w:r>
      <w:r w:rsidR="00907D8C">
        <w:t xml:space="preserve"> </w:t>
      </w:r>
      <w:r w:rsidRPr="00036FAC">
        <w:t>body</w:t>
      </w:r>
      <w:r w:rsidR="00907D8C">
        <w:t xml:space="preserve"> </w:t>
      </w:r>
      <w:r w:rsidRPr="00036FAC">
        <w:t>recommendations,</w:t>
      </w:r>
      <w:r w:rsidR="00907D8C">
        <w:t xml:space="preserve"> </w:t>
      </w:r>
      <w:r w:rsidRPr="00036FAC">
        <w:t>and</w:t>
      </w:r>
      <w:r w:rsidR="00907D8C">
        <w:t xml:space="preserve"> </w:t>
      </w:r>
      <w:r w:rsidRPr="00036FAC">
        <w:t>identifies</w:t>
      </w:r>
      <w:r w:rsidR="00907D8C">
        <w:t xml:space="preserve"> </w:t>
      </w:r>
      <w:r w:rsidRPr="00036FAC">
        <w:t>priorities</w:t>
      </w:r>
      <w:r w:rsidR="00907D8C">
        <w:t xml:space="preserve"> </w:t>
      </w:r>
      <w:r w:rsidRPr="00036FAC">
        <w:t>for</w:t>
      </w:r>
      <w:r w:rsidR="00907D8C">
        <w:t xml:space="preserve"> </w:t>
      </w:r>
      <w:r w:rsidRPr="00036FAC">
        <w:t>the</w:t>
      </w:r>
      <w:r w:rsidR="00907D8C">
        <w:t xml:space="preserve"> </w:t>
      </w:r>
      <w:r w:rsidRPr="00036FAC">
        <w:t>coming</w:t>
      </w:r>
      <w:r w:rsidR="00907D8C">
        <w:t xml:space="preserve"> </w:t>
      </w:r>
      <w:r w:rsidRPr="00036FAC">
        <w:t>year.</w:t>
      </w:r>
    </w:p>
    <w:p w:rsidR="00036FAC" w:rsidRPr="00036FAC" w:rsidRDefault="00036FAC" w:rsidP="002B6E7E">
      <w:pPr>
        <w:pStyle w:val="SingleTxtG"/>
      </w:pPr>
      <w:r w:rsidRPr="00036FAC">
        <w:t>217.</w:t>
      </w:r>
      <w:r w:rsidRPr="00036FAC">
        <w:tab/>
        <w:t>The</w:t>
      </w:r>
      <w:r w:rsidR="00907D8C">
        <w:t xml:space="preserve"> </w:t>
      </w:r>
      <w:r w:rsidRPr="00036FAC">
        <w:t>NZHRC</w:t>
      </w:r>
      <w:r w:rsidR="00907D8C">
        <w:t xml:space="preserve"> </w:t>
      </w:r>
      <w:r w:rsidRPr="00036FAC">
        <w:t>has</w:t>
      </w:r>
      <w:r w:rsidR="00907D8C">
        <w:t xml:space="preserve"> </w:t>
      </w:r>
      <w:r w:rsidRPr="00036FAC">
        <w:t>offices</w:t>
      </w:r>
      <w:r w:rsidR="00907D8C">
        <w:t xml:space="preserve"> </w:t>
      </w:r>
      <w:r w:rsidRPr="00036FAC">
        <w:t>in</w:t>
      </w:r>
      <w:r w:rsidR="00907D8C">
        <w:t xml:space="preserve"> </w:t>
      </w:r>
      <w:r w:rsidRPr="00036FAC">
        <w:t>the</w:t>
      </w:r>
      <w:r w:rsidR="00907D8C">
        <w:t xml:space="preserve"> </w:t>
      </w:r>
      <w:r w:rsidRPr="00036FAC">
        <w:t>three</w:t>
      </w:r>
      <w:r w:rsidR="00907D8C">
        <w:t xml:space="preserve"> </w:t>
      </w:r>
      <w:r w:rsidRPr="00036FAC">
        <w:t>main</w:t>
      </w:r>
      <w:r w:rsidR="00907D8C">
        <w:t xml:space="preserve"> </w:t>
      </w:r>
      <w:r w:rsidRPr="00036FAC">
        <w:t>cities</w:t>
      </w:r>
      <w:r w:rsidR="00907D8C">
        <w:t xml:space="preserve"> </w:t>
      </w:r>
      <w:r w:rsidRPr="00036FAC">
        <w:t>in</w:t>
      </w:r>
      <w:r w:rsidR="00907D8C">
        <w:t xml:space="preserve"> </w:t>
      </w:r>
      <w:r w:rsidRPr="00036FAC">
        <w:t>New</w:t>
      </w:r>
      <w:r w:rsidR="00907D8C">
        <w:t xml:space="preserve"> </w:t>
      </w:r>
      <w:r w:rsidRPr="00036FAC">
        <w:t>Zealand.</w:t>
      </w:r>
    </w:p>
    <w:p w:rsidR="00036FAC" w:rsidRPr="00036FAC" w:rsidRDefault="00036FAC" w:rsidP="006C436C">
      <w:pPr>
        <w:pStyle w:val="H23G"/>
      </w:pPr>
      <w:r w:rsidRPr="00036FAC">
        <w:tab/>
        <w:t>(b)</w:t>
      </w:r>
      <w:r w:rsidRPr="00036FAC">
        <w:tab/>
        <w:t>New</w:t>
      </w:r>
      <w:r w:rsidR="00907D8C">
        <w:t xml:space="preserve"> </w:t>
      </w:r>
      <w:r w:rsidRPr="00036FAC">
        <w:t>Zealand</w:t>
      </w:r>
      <w:r w:rsidR="00907D8C">
        <w:t xml:space="preserve"> </w:t>
      </w:r>
      <w:r w:rsidRPr="00036FAC">
        <w:t>Action</w:t>
      </w:r>
      <w:r w:rsidR="00907D8C">
        <w:t xml:space="preserve"> </w:t>
      </w:r>
      <w:r w:rsidRPr="00036FAC">
        <w:t>Plan</w:t>
      </w:r>
      <w:r w:rsidR="00907D8C">
        <w:t xml:space="preserve"> </w:t>
      </w:r>
      <w:r w:rsidRPr="00036FAC">
        <w:t>for</w:t>
      </w:r>
      <w:r w:rsidR="00907D8C">
        <w:t xml:space="preserve"> </w:t>
      </w:r>
      <w:r w:rsidRPr="00036FAC">
        <w:t>Human</w:t>
      </w:r>
      <w:r w:rsidR="00907D8C">
        <w:t xml:space="preserve"> </w:t>
      </w:r>
      <w:r w:rsidRPr="00036FAC">
        <w:t>Rights</w:t>
      </w:r>
    </w:p>
    <w:p w:rsidR="00036FAC" w:rsidRPr="00036FAC" w:rsidRDefault="00036FAC" w:rsidP="002B6E7E">
      <w:pPr>
        <w:pStyle w:val="SingleTxtG"/>
      </w:pPr>
      <w:r w:rsidRPr="00036FAC">
        <w:t>218.</w:t>
      </w:r>
      <w:r w:rsidRPr="00036FAC">
        <w:tab/>
        <w:t>The</w:t>
      </w:r>
      <w:r w:rsidR="00907D8C">
        <w:t xml:space="preserve"> </w:t>
      </w:r>
      <w:r w:rsidRPr="00036FAC">
        <w:t>Human</w:t>
      </w:r>
      <w:r w:rsidR="00907D8C">
        <w:t xml:space="preserve"> </w:t>
      </w:r>
      <w:r w:rsidRPr="00036FAC">
        <w:t>Rights</w:t>
      </w:r>
      <w:r w:rsidR="00907D8C">
        <w:t xml:space="preserve"> </w:t>
      </w:r>
      <w:r w:rsidRPr="00036FAC">
        <w:t>Amendment</w:t>
      </w:r>
      <w:r w:rsidR="00907D8C">
        <w:t xml:space="preserve"> </w:t>
      </w:r>
      <w:r w:rsidRPr="00036FAC">
        <w:t>Act</w:t>
      </w:r>
      <w:r w:rsidR="00907D8C">
        <w:t xml:space="preserve"> </w:t>
      </w:r>
      <w:r w:rsidRPr="00036FAC">
        <w:t>2001</w:t>
      </w:r>
      <w:r w:rsidR="00907D8C">
        <w:t xml:space="preserve"> </w:t>
      </w:r>
      <w:r w:rsidRPr="00036FAC">
        <w:t>required</w:t>
      </w:r>
      <w:r w:rsidR="00907D8C">
        <w:t xml:space="preserve"> </w:t>
      </w:r>
      <w:r w:rsidRPr="00036FAC">
        <w:t>the</w:t>
      </w:r>
      <w:r w:rsidR="00907D8C">
        <w:t xml:space="preserve"> </w:t>
      </w:r>
      <w:r w:rsidRPr="00036FAC">
        <w:t>NZHRC</w:t>
      </w:r>
      <w:r w:rsidR="00907D8C">
        <w:t xml:space="preserve"> </w:t>
      </w:r>
      <w:r w:rsidRPr="00036FAC">
        <w:t>to</w:t>
      </w:r>
      <w:r w:rsidR="00907D8C">
        <w:t xml:space="preserve"> </w:t>
      </w:r>
      <w:r w:rsidRPr="00036FAC">
        <w:t>develop</w:t>
      </w:r>
      <w:r w:rsidR="00907D8C">
        <w:t xml:space="preserve"> </w:t>
      </w:r>
      <w:r w:rsidRPr="00036FAC">
        <w:t>a</w:t>
      </w:r>
      <w:r w:rsidR="00907D8C">
        <w:t xml:space="preserve"> </w:t>
      </w:r>
      <w:r w:rsidRPr="00036FAC">
        <w:t>New</w:t>
      </w:r>
      <w:r w:rsidR="00907D8C">
        <w:t xml:space="preserve"> </w:t>
      </w:r>
      <w:r w:rsidRPr="00036FAC">
        <w:t>Zealand</w:t>
      </w:r>
      <w:r w:rsidR="00907D8C">
        <w:t xml:space="preserve"> </w:t>
      </w:r>
      <w:r w:rsidRPr="00036FAC">
        <w:t>Action</w:t>
      </w:r>
      <w:r w:rsidR="00907D8C">
        <w:t xml:space="preserve"> </w:t>
      </w:r>
      <w:r w:rsidRPr="00036FAC">
        <w:t>Plan</w:t>
      </w:r>
      <w:r w:rsidR="00907D8C">
        <w:t xml:space="preserve"> </w:t>
      </w:r>
      <w:r w:rsidRPr="00036FAC">
        <w:t>for</w:t>
      </w:r>
      <w:r w:rsidR="00907D8C">
        <w:t xml:space="preserve"> </w:t>
      </w:r>
      <w:r w:rsidRPr="00036FAC">
        <w:t>Human</w:t>
      </w:r>
      <w:r w:rsidR="00907D8C">
        <w:t xml:space="preserve"> </w:t>
      </w:r>
      <w:r w:rsidRPr="00036FAC">
        <w:t>Rights</w:t>
      </w:r>
      <w:r w:rsidR="00907D8C">
        <w:t xml:space="preserve"> </w:t>
      </w:r>
      <w:r w:rsidRPr="00036FAC">
        <w:t>(NZAPHR).</w:t>
      </w:r>
      <w:r w:rsidR="00907D8C">
        <w:t xml:space="preserve"> </w:t>
      </w:r>
      <w:r w:rsidRPr="00036FAC">
        <w:t>The</w:t>
      </w:r>
      <w:r w:rsidR="00907D8C">
        <w:t xml:space="preserve"> </w:t>
      </w:r>
      <w:r w:rsidRPr="00036FAC">
        <w:t>NZAPHR</w:t>
      </w:r>
      <w:r w:rsidR="00907D8C">
        <w:t xml:space="preserve"> </w:t>
      </w:r>
      <w:r w:rsidRPr="00036FAC">
        <w:t>was</w:t>
      </w:r>
      <w:r w:rsidR="00907D8C">
        <w:t xml:space="preserve"> </w:t>
      </w:r>
      <w:r w:rsidRPr="00036FAC">
        <w:t>published</w:t>
      </w:r>
      <w:r w:rsidR="00907D8C">
        <w:t xml:space="preserve"> </w:t>
      </w:r>
      <w:r w:rsidRPr="00036FAC">
        <w:t>in</w:t>
      </w:r>
      <w:r w:rsidR="00907D8C">
        <w:t xml:space="preserve"> </w:t>
      </w:r>
      <w:r w:rsidRPr="00036FAC">
        <w:t>March</w:t>
      </w:r>
      <w:r w:rsidR="00907D8C">
        <w:t xml:space="preserve"> </w:t>
      </w:r>
      <w:r w:rsidRPr="00036FAC">
        <w:t>2005</w:t>
      </w:r>
      <w:r w:rsidR="00907D8C">
        <w:t xml:space="preserve"> </w:t>
      </w:r>
      <w:r w:rsidRPr="00036FAC">
        <w:t>and</w:t>
      </w:r>
      <w:r w:rsidR="00907D8C">
        <w:t xml:space="preserve"> </w:t>
      </w:r>
      <w:r w:rsidRPr="00036FAC">
        <w:t>contained</w:t>
      </w:r>
      <w:r w:rsidR="00907D8C">
        <w:t xml:space="preserve"> </w:t>
      </w:r>
      <w:r w:rsidRPr="00036FAC">
        <w:t>178</w:t>
      </w:r>
      <w:r w:rsidR="00907D8C">
        <w:t xml:space="preserve"> </w:t>
      </w:r>
      <w:r w:rsidRPr="00036FAC">
        <w:t>priorities</w:t>
      </w:r>
      <w:r w:rsidR="00907D8C">
        <w:t xml:space="preserve"> </w:t>
      </w:r>
      <w:r w:rsidRPr="00036FAC">
        <w:t>for</w:t>
      </w:r>
      <w:r w:rsidR="00907D8C">
        <w:t xml:space="preserve"> </w:t>
      </w:r>
      <w:r w:rsidRPr="00036FAC">
        <w:t>action.</w:t>
      </w:r>
      <w:r w:rsidR="00907D8C">
        <w:t xml:space="preserve"> </w:t>
      </w:r>
      <w:r w:rsidRPr="00036FAC">
        <w:t>In</w:t>
      </w:r>
      <w:r w:rsidR="00907D8C">
        <w:t xml:space="preserve"> </w:t>
      </w:r>
      <w:r w:rsidRPr="00036FAC">
        <w:t>response,</w:t>
      </w:r>
      <w:r w:rsidR="00907D8C">
        <w:t xml:space="preserve"> </w:t>
      </w:r>
      <w:r w:rsidRPr="00036FAC">
        <w:t>the</w:t>
      </w:r>
      <w:r w:rsidR="00907D8C">
        <w:t xml:space="preserve"> </w:t>
      </w:r>
      <w:r w:rsidRPr="00036FAC">
        <w:t>Government</w:t>
      </w:r>
      <w:r w:rsidR="00907D8C">
        <w:t xml:space="preserve"> </w:t>
      </w:r>
      <w:r w:rsidRPr="00036FAC">
        <w:t>directed</w:t>
      </w:r>
      <w:r w:rsidR="00907D8C">
        <w:t xml:space="preserve"> </w:t>
      </w:r>
      <w:r w:rsidRPr="00036FAC">
        <w:t>departments</w:t>
      </w:r>
      <w:r w:rsidR="00907D8C">
        <w:t xml:space="preserve"> </w:t>
      </w:r>
      <w:r w:rsidRPr="00036FAC">
        <w:t>to</w:t>
      </w:r>
      <w:r w:rsidR="00907D8C">
        <w:t xml:space="preserve"> </w:t>
      </w:r>
      <w:r w:rsidRPr="00036FAC">
        <w:t>consider</w:t>
      </w:r>
      <w:r w:rsidR="00907D8C">
        <w:t xml:space="preserve"> </w:t>
      </w:r>
      <w:r w:rsidRPr="00036FAC">
        <w:t>implementing</w:t>
      </w:r>
      <w:r w:rsidR="00907D8C">
        <w:t xml:space="preserve"> </w:t>
      </w:r>
      <w:r w:rsidRPr="00036FAC">
        <w:t>the</w:t>
      </w:r>
      <w:r w:rsidR="00907D8C">
        <w:t xml:space="preserve"> </w:t>
      </w:r>
      <w:r w:rsidRPr="00036FAC">
        <w:t>priorities</w:t>
      </w:r>
      <w:r w:rsidR="00907D8C">
        <w:t xml:space="preserve"> </w:t>
      </w:r>
      <w:r w:rsidRPr="00036FAC">
        <w:t>for</w:t>
      </w:r>
      <w:r w:rsidR="00907D8C">
        <w:t xml:space="preserve"> </w:t>
      </w:r>
      <w:r w:rsidRPr="00036FAC">
        <w:t>action</w:t>
      </w:r>
      <w:r w:rsidR="00907D8C">
        <w:t xml:space="preserve"> </w:t>
      </w:r>
      <w:r w:rsidRPr="00036FAC">
        <w:t>as</w:t>
      </w:r>
      <w:r w:rsidR="00907D8C">
        <w:t xml:space="preserve"> </w:t>
      </w:r>
      <w:r w:rsidRPr="00036FAC">
        <w:t>part</w:t>
      </w:r>
      <w:r w:rsidR="00907D8C">
        <w:t xml:space="preserve"> </w:t>
      </w:r>
      <w:r w:rsidRPr="00036FAC">
        <w:t>of</w:t>
      </w:r>
      <w:r w:rsidR="00907D8C">
        <w:t xml:space="preserve"> </w:t>
      </w:r>
      <w:r w:rsidRPr="00036FAC">
        <w:t>normal</w:t>
      </w:r>
      <w:r w:rsidR="00907D8C">
        <w:t xml:space="preserve"> </w:t>
      </w:r>
      <w:r w:rsidRPr="00036FAC">
        <w:t>business.</w:t>
      </w:r>
      <w:r w:rsidR="00907D8C">
        <w:t xml:space="preserve"> </w:t>
      </w:r>
      <w:r w:rsidRPr="00036FAC">
        <w:t>Departments</w:t>
      </w:r>
      <w:r w:rsidR="00907D8C">
        <w:t xml:space="preserve"> </w:t>
      </w:r>
      <w:r w:rsidRPr="00036FAC">
        <w:t>were</w:t>
      </w:r>
      <w:r w:rsidR="00907D8C">
        <w:t xml:space="preserve"> </w:t>
      </w:r>
      <w:r w:rsidRPr="00036FAC">
        <w:t>also</w:t>
      </w:r>
      <w:r w:rsidR="00907D8C">
        <w:t xml:space="preserve"> </w:t>
      </w:r>
      <w:r w:rsidRPr="00036FAC">
        <w:t>encouraged</w:t>
      </w:r>
      <w:r w:rsidR="00907D8C">
        <w:t xml:space="preserve"> </w:t>
      </w:r>
      <w:r w:rsidRPr="00036FAC">
        <w:t>to</w:t>
      </w:r>
      <w:r w:rsidR="00907D8C">
        <w:t xml:space="preserve"> </w:t>
      </w:r>
      <w:r w:rsidRPr="00036FAC">
        <w:t>respond</w:t>
      </w:r>
      <w:r w:rsidR="00907D8C">
        <w:t xml:space="preserve"> </w:t>
      </w:r>
      <w:r w:rsidRPr="00036FAC">
        <w:t>to</w:t>
      </w:r>
      <w:r w:rsidR="00907D8C">
        <w:t xml:space="preserve"> </w:t>
      </w:r>
      <w:r w:rsidRPr="00036FAC">
        <w:t>requests</w:t>
      </w:r>
      <w:r w:rsidR="00907D8C">
        <w:t xml:space="preserve"> </w:t>
      </w:r>
      <w:r w:rsidRPr="00036FAC">
        <w:t>from</w:t>
      </w:r>
      <w:r w:rsidR="00907D8C">
        <w:t xml:space="preserve"> </w:t>
      </w:r>
      <w:r w:rsidRPr="00036FAC">
        <w:t>the</w:t>
      </w:r>
      <w:r w:rsidR="00907D8C">
        <w:t xml:space="preserve"> </w:t>
      </w:r>
      <w:r w:rsidRPr="00036FAC">
        <w:t>NZHRC</w:t>
      </w:r>
      <w:r w:rsidR="00907D8C">
        <w:t xml:space="preserve"> </w:t>
      </w:r>
      <w:r w:rsidRPr="00036FAC">
        <w:t>for</w:t>
      </w:r>
      <w:r w:rsidR="00907D8C">
        <w:t xml:space="preserve"> </w:t>
      </w:r>
      <w:r w:rsidRPr="00036FAC">
        <w:t>relevant</w:t>
      </w:r>
      <w:r w:rsidR="00907D8C">
        <w:t xml:space="preserve"> </w:t>
      </w:r>
      <w:r w:rsidRPr="00036FAC">
        <w:t>information.</w:t>
      </w:r>
      <w:r w:rsidR="00907D8C">
        <w:t xml:space="preserve"> </w:t>
      </w:r>
      <w:r w:rsidRPr="00036FAC">
        <w:t>This</w:t>
      </w:r>
      <w:r w:rsidR="00907D8C">
        <w:t xml:space="preserve"> </w:t>
      </w:r>
      <w:r w:rsidRPr="00036FAC">
        <w:t>approach</w:t>
      </w:r>
      <w:r w:rsidR="00907D8C">
        <w:t xml:space="preserve"> </w:t>
      </w:r>
      <w:r w:rsidRPr="00036FAC">
        <w:t>encouraged</w:t>
      </w:r>
      <w:r w:rsidR="00907D8C">
        <w:t xml:space="preserve"> </w:t>
      </w:r>
      <w:r w:rsidRPr="00036FAC">
        <w:t>continuing</w:t>
      </w:r>
      <w:r w:rsidR="00907D8C">
        <w:t xml:space="preserve"> </w:t>
      </w:r>
      <w:r w:rsidRPr="00036FAC">
        <w:t>dialogue</w:t>
      </w:r>
      <w:r w:rsidR="00907D8C">
        <w:t xml:space="preserve"> </w:t>
      </w:r>
      <w:r w:rsidRPr="00036FAC">
        <w:t>between</w:t>
      </w:r>
      <w:r w:rsidR="00907D8C">
        <w:t xml:space="preserve"> </w:t>
      </w:r>
      <w:r w:rsidRPr="00036FAC">
        <w:t>the</w:t>
      </w:r>
      <w:r w:rsidR="00907D8C">
        <w:t xml:space="preserve"> </w:t>
      </w:r>
      <w:r w:rsidRPr="00036FAC">
        <w:t>NZHRC</w:t>
      </w:r>
      <w:r w:rsidR="00907D8C">
        <w:t xml:space="preserve"> </w:t>
      </w:r>
      <w:r w:rsidRPr="00036FAC">
        <w:t>and</w:t>
      </w:r>
      <w:r w:rsidR="00907D8C">
        <w:t xml:space="preserve"> </w:t>
      </w:r>
      <w:r w:rsidRPr="00036FAC">
        <w:t>government</w:t>
      </w:r>
      <w:r w:rsidR="00907D8C">
        <w:t xml:space="preserve"> </w:t>
      </w:r>
      <w:r w:rsidRPr="00036FAC">
        <w:t>departments.</w:t>
      </w:r>
    </w:p>
    <w:p w:rsidR="00036FAC" w:rsidRPr="00036FAC" w:rsidRDefault="00036FAC" w:rsidP="002B6E7E">
      <w:pPr>
        <w:pStyle w:val="SingleTxtG"/>
      </w:pPr>
      <w:r w:rsidRPr="00036FAC">
        <w:t>219.</w:t>
      </w:r>
      <w:r w:rsidRPr="00036FAC">
        <w:tab/>
        <w:t>In</w:t>
      </w:r>
      <w:r w:rsidR="00907D8C">
        <w:t xml:space="preserve"> </w:t>
      </w:r>
      <w:r w:rsidRPr="00036FAC">
        <w:t>2008,</w:t>
      </w:r>
      <w:r w:rsidR="00907D8C">
        <w:t xml:space="preserve"> </w:t>
      </w:r>
      <w:r w:rsidRPr="00036FAC">
        <w:t>the</w:t>
      </w:r>
      <w:r w:rsidR="00907D8C">
        <w:t xml:space="preserve"> </w:t>
      </w:r>
      <w:r w:rsidRPr="00036FAC">
        <w:t>NZHRC</w:t>
      </w:r>
      <w:r w:rsidR="00907D8C">
        <w:t xml:space="preserve"> </w:t>
      </w:r>
      <w:r w:rsidRPr="00036FAC">
        <w:t>conducted</w:t>
      </w:r>
      <w:r w:rsidR="00907D8C">
        <w:t xml:space="preserve"> </w:t>
      </w:r>
      <w:r w:rsidRPr="00036FAC">
        <w:t>a</w:t>
      </w:r>
      <w:r w:rsidR="00907D8C">
        <w:t xml:space="preserve"> </w:t>
      </w:r>
      <w:r w:rsidR="003E4D94">
        <w:t>“</w:t>
      </w:r>
      <w:r w:rsidRPr="00036FAC">
        <w:t>mid-term</w:t>
      </w:r>
      <w:r w:rsidR="003E4D94">
        <w:t>”</w:t>
      </w:r>
      <w:r w:rsidR="00907D8C">
        <w:t xml:space="preserve"> </w:t>
      </w:r>
      <w:r w:rsidRPr="00036FAC">
        <w:t>review</w:t>
      </w:r>
      <w:r w:rsidR="00907D8C">
        <w:t xml:space="preserve"> </w:t>
      </w:r>
      <w:r w:rsidRPr="00036FAC">
        <w:t>of</w:t>
      </w:r>
      <w:r w:rsidR="00907D8C">
        <w:t xml:space="preserve"> </w:t>
      </w:r>
      <w:r w:rsidRPr="00036FAC">
        <w:t>the</w:t>
      </w:r>
      <w:r w:rsidR="00907D8C">
        <w:t xml:space="preserve"> </w:t>
      </w:r>
      <w:r w:rsidRPr="00036FAC">
        <w:t>NZAPHR.</w:t>
      </w:r>
      <w:r w:rsidR="00907D8C">
        <w:t xml:space="preserve"> </w:t>
      </w:r>
      <w:r w:rsidRPr="00036FAC">
        <w:t>The</w:t>
      </w:r>
      <w:r w:rsidR="00907D8C">
        <w:t xml:space="preserve"> </w:t>
      </w:r>
      <w:r w:rsidRPr="00036FAC">
        <w:t>NZHRC</w:t>
      </w:r>
      <w:r w:rsidR="00907D8C">
        <w:t xml:space="preserve"> </w:t>
      </w:r>
      <w:r w:rsidRPr="00036FAC">
        <w:t>noted</w:t>
      </w:r>
      <w:r w:rsidR="00907D8C">
        <w:t xml:space="preserve"> </w:t>
      </w:r>
      <w:r w:rsidRPr="00036FAC">
        <w:t>that</w:t>
      </w:r>
      <w:r w:rsidR="00907D8C">
        <w:t xml:space="preserve"> </w:t>
      </w:r>
      <w:r w:rsidRPr="00036FAC">
        <w:t>21</w:t>
      </w:r>
      <w:r w:rsidR="00907D8C">
        <w:t xml:space="preserve"> </w:t>
      </w:r>
      <w:r w:rsidRPr="00036FAC">
        <w:t>priorities</w:t>
      </w:r>
      <w:r w:rsidR="00907D8C">
        <w:t xml:space="preserve"> </w:t>
      </w:r>
      <w:r w:rsidRPr="00036FAC">
        <w:t>for</w:t>
      </w:r>
      <w:r w:rsidR="00907D8C">
        <w:t xml:space="preserve"> </w:t>
      </w:r>
      <w:r w:rsidRPr="00036FAC">
        <w:t>action</w:t>
      </w:r>
      <w:r w:rsidR="00907D8C">
        <w:t xml:space="preserve"> </w:t>
      </w:r>
      <w:r w:rsidRPr="00036FAC">
        <w:t>had</w:t>
      </w:r>
      <w:r w:rsidR="00907D8C">
        <w:t xml:space="preserve"> </w:t>
      </w:r>
      <w:r w:rsidRPr="00036FAC">
        <w:t>been</w:t>
      </w:r>
      <w:r w:rsidR="00907D8C">
        <w:t xml:space="preserve"> </w:t>
      </w:r>
      <w:r w:rsidRPr="00036FAC">
        <w:t>achieved</w:t>
      </w:r>
      <w:r w:rsidR="00907D8C">
        <w:t xml:space="preserve"> </w:t>
      </w:r>
      <w:r w:rsidRPr="00036FAC">
        <w:t>and</w:t>
      </w:r>
      <w:r w:rsidR="00907D8C">
        <w:t xml:space="preserve"> </w:t>
      </w:r>
      <w:r w:rsidRPr="00036FAC">
        <w:t>132</w:t>
      </w:r>
      <w:r w:rsidR="00907D8C">
        <w:t xml:space="preserve"> </w:t>
      </w:r>
      <w:r w:rsidRPr="00036FAC">
        <w:t>had</w:t>
      </w:r>
      <w:r w:rsidR="00907D8C">
        <w:t xml:space="preserve"> </w:t>
      </w:r>
      <w:r w:rsidRPr="00036FAC">
        <w:t>seen</w:t>
      </w:r>
      <w:r w:rsidR="00907D8C">
        <w:t xml:space="preserve"> </w:t>
      </w:r>
      <w:r w:rsidRPr="00036FAC">
        <w:t>some</w:t>
      </w:r>
      <w:r w:rsidR="00907D8C">
        <w:t xml:space="preserve"> </w:t>
      </w:r>
      <w:r w:rsidRPr="00036FAC">
        <w:t>progress,</w:t>
      </w:r>
      <w:r w:rsidR="00907D8C">
        <w:t xml:space="preserve"> </w:t>
      </w:r>
      <w:r w:rsidRPr="00036FAC">
        <w:t>ranging</w:t>
      </w:r>
      <w:r w:rsidR="00907D8C">
        <w:t xml:space="preserve"> </w:t>
      </w:r>
      <w:r w:rsidRPr="00036FAC">
        <w:t>from</w:t>
      </w:r>
      <w:r w:rsidR="00907D8C">
        <w:t xml:space="preserve"> </w:t>
      </w:r>
      <w:r w:rsidRPr="00036FAC">
        <w:t>limited</w:t>
      </w:r>
      <w:r w:rsidR="00907D8C">
        <w:t xml:space="preserve"> </w:t>
      </w:r>
      <w:r w:rsidRPr="00036FAC">
        <w:t>to</w:t>
      </w:r>
      <w:r w:rsidR="00907D8C">
        <w:t xml:space="preserve"> </w:t>
      </w:r>
      <w:r w:rsidRPr="00036FAC">
        <w:t>significant.</w:t>
      </w:r>
      <w:r w:rsidR="00907D8C">
        <w:t xml:space="preserve"> </w:t>
      </w:r>
      <w:r w:rsidRPr="00036FAC">
        <w:t>In</w:t>
      </w:r>
      <w:r w:rsidR="00907D8C">
        <w:t xml:space="preserve"> </w:t>
      </w:r>
      <w:r w:rsidRPr="00036FAC">
        <w:t>24</w:t>
      </w:r>
      <w:r w:rsidR="00907D8C">
        <w:t xml:space="preserve"> </w:t>
      </w:r>
      <w:r w:rsidRPr="00036FAC">
        <w:t>cases,</w:t>
      </w:r>
      <w:r w:rsidR="00907D8C">
        <w:t xml:space="preserve"> </w:t>
      </w:r>
      <w:r w:rsidRPr="00036FAC">
        <w:t>no</w:t>
      </w:r>
      <w:r w:rsidR="00907D8C">
        <w:t xml:space="preserve"> </w:t>
      </w:r>
      <w:r w:rsidRPr="00036FAC">
        <w:t>progress</w:t>
      </w:r>
      <w:r w:rsidR="00907D8C">
        <w:t xml:space="preserve"> </w:t>
      </w:r>
      <w:r w:rsidRPr="00036FAC">
        <w:t>had</w:t>
      </w:r>
      <w:r w:rsidR="00907D8C">
        <w:t xml:space="preserve"> </w:t>
      </w:r>
      <w:r w:rsidRPr="00036FAC">
        <w:t>occurred</w:t>
      </w:r>
      <w:r w:rsidR="00907D8C">
        <w:t xml:space="preserve"> </w:t>
      </w:r>
      <w:r w:rsidRPr="00036FAC">
        <w:t>(that</w:t>
      </w:r>
      <w:r w:rsidR="00907D8C">
        <w:t xml:space="preserve"> </w:t>
      </w:r>
      <w:r w:rsidRPr="00036FAC">
        <w:t>is,</w:t>
      </w:r>
      <w:r w:rsidR="00907D8C">
        <w:t xml:space="preserve"> </w:t>
      </w:r>
      <w:r w:rsidRPr="00036FAC">
        <w:t>the</w:t>
      </w:r>
      <w:r w:rsidR="00907D8C">
        <w:t xml:space="preserve"> </w:t>
      </w:r>
      <w:r w:rsidRPr="00036FAC">
        <w:t>issues</w:t>
      </w:r>
      <w:r w:rsidR="00907D8C">
        <w:t xml:space="preserve"> </w:t>
      </w:r>
      <w:r w:rsidRPr="00036FAC">
        <w:t>in</w:t>
      </w:r>
      <w:r w:rsidR="00907D8C">
        <w:t xml:space="preserve"> </w:t>
      </w:r>
      <w:r w:rsidRPr="00036FAC">
        <w:t>question</w:t>
      </w:r>
      <w:r w:rsidR="00907D8C">
        <w:t xml:space="preserve"> </w:t>
      </w:r>
      <w:r w:rsidRPr="00036FAC">
        <w:t>were</w:t>
      </w:r>
      <w:r w:rsidR="00907D8C">
        <w:t xml:space="preserve"> </w:t>
      </w:r>
      <w:r w:rsidRPr="00036FAC">
        <w:t>not</w:t>
      </w:r>
      <w:r w:rsidR="00907D8C">
        <w:t xml:space="preserve"> </w:t>
      </w:r>
      <w:r w:rsidRPr="00036FAC">
        <w:t>part</w:t>
      </w:r>
      <w:r w:rsidR="00907D8C">
        <w:t xml:space="preserve"> </w:t>
      </w:r>
      <w:r w:rsidRPr="00036FAC">
        <w:t>of</w:t>
      </w:r>
      <w:r w:rsidR="00907D8C">
        <w:t xml:space="preserve"> </w:t>
      </w:r>
      <w:r w:rsidRPr="00036FAC">
        <w:t>the</w:t>
      </w:r>
      <w:r w:rsidR="00907D8C">
        <w:t xml:space="preserve"> </w:t>
      </w:r>
      <w:r w:rsidRPr="00036FAC">
        <w:t>Government</w:t>
      </w:r>
      <w:r w:rsidR="003E4D94">
        <w:t>’</w:t>
      </w:r>
      <w:r w:rsidRPr="00036FAC">
        <w:t>s</w:t>
      </w:r>
      <w:r w:rsidR="00907D8C">
        <w:t xml:space="preserve"> </w:t>
      </w:r>
      <w:r w:rsidRPr="00036FAC">
        <w:t>work</w:t>
      </w:r>
      <w:r w:rsidR="00907D8C">
        <w:t xml:space="preserve"> </w:t>
      </w:r>
      <w:r w:rsidRPr="00036FAC">
        <w:t>programme).</w:t>
      </w:r>
      <w:r w:rsidR="00907D8C">
        <w:t xml:space="preserve"> </w:t>
      </w:r>
      <w:r w:rsidRPr="00036FAC">
        <w:t>Examples</w:t>
      </w:r>
      <w:r w:rsidR="00907D8C">
        <w:t xml:space="preserve"> </w:t>
      </w:r>
      <w:r w:rsidRPr="00036FAC">
        <w:t>of</w:t>
      </w:r>
      <w:r w:rsidR="00907D8C">
        <w:t xml:space="preserve"> </w:t>
      </w:r>
      <w:r w:rsidRPr="00036FAC">
        <w:t>achievements</w:t>
      </w:r>
      <w:r w:rsidR="00907D8C">
        <w:t xml:space="preserve"> </w:t>
      </w:r>
      <w:r w:rsidRPr="00036FAC">
        <w:t>include:</w:t>
      </w:r>
    </w:p>
    <w:p w:rsidR="00036FAC" w:rsidRPr="00036FAC" w:rsidRDefault="00036FAC" w:rsidP="002B6E7E">
      <w:pPr>
        <w:pStyle w:val="Bullet1G"/>
      </w:pPr>
      <w:r w:rsidRPr="00036FAC">
        <w:t>Actions</w:t>
      </w:r>
      <w:r w:rsidR="00907D8C">
        <w:t xml:space="preserve"> </w:t>
      </w:r>
      <w:r w:rsidRPr="00036FAC">
        <w:t>to</w:t>
      </w:r>
      <w:r w:rsidR="00907D8C">
        <w:t xml:space="preserve"> </w:t>
      </w:r>
      <w:r w:rsidRPr="00036FAC">
        <w:t>reduce</w:t>
      </w:r>
      <w:r w:rsidR="00907D8C">
        <w:t xml:space="preserve"> </w:t>
      </w:r>
      <w:r w:rsidRPr="00036FAC">
        <w:t>violence</w:t>
      </w:r>
      <w:r w:rsidR="00907D8C">
        <w:t xml:space="preserve"> </w:t>
      </w:r>
      <w:r w:rsidRPr="00036FAC">
        <w:t>against</w:t>
      </w:r>
      <w:r w:rsidR="00907D8C">
        <w:t xml:space="preserve"> </w:t>
      </w:r>
      <w:r w:rsidRPr="00036FAC">
        <w:t>children</w:t>
      </w:r>
      <w:r w:rsidR="00907D8C">
        <w:t xml:space="preserve"> </w:t>
      </w:r>
      <w:r w:rsidRPr="00036FAC">
        <w:t>and</w:t>
      </w:r>
      <w:r w:rsidR="00907D8C">
        <w:t xml:space="preserve"> </w:t>
      </w:r>
      <w:r w:rsidRPr="00036FAC">
        <w:t>young</w:t>
      </w:r>
      <w:r w:rsidR="00907D8C">
        <w:t xml:space="preserve"> </w:t>
      </w:r>
      <w:r w:rsidRPr="00036FAC">
        <w:t>people</w:t>
      </w:r>
      <w:r w:rsidR="00907D8C">
        <w:t xml:space="preserve"> </w:t>
      </w:r>
      <w:r w:rsidRPr="00036FAC">
        <w:t>including</w:t>
      </w:r>
      <w:r w:rsidR="00907D8C">
        <w:t xml:space="preserve"> </w:t>
      </w:r>
      <w:r w:rsidRPr="00036FAC">
        <w:t>the</w:t>
      </w:r>
      <w:r w:rsidR="00907D8C">
        <w:t xml:space="preserve"> </w:t>
      </w:r>
      <w:r w:rsidRPr="00036FAC">
        <w:t>replacement</w:t>
      </w:r>
      <w:r w:rsidR="00907D8C">
        <w:t xml:space="preserve"> </w:t>
      </w:r>
      <w:r w:rsidRPr="00036FAC">
        <w:t>of</w:t>
      </w:r>
      <w:r w:rsidR="00907D8C">
        <w:t xml:space="preserve"> </w:t>
      </w:r>
      <w:r w:rsidRPr="00036FAC">
        <w:t>section</w:t>
      </w:r>
      <w:r w:rsidR="00907D8C">
        <w:t xml:space="preserve"> </w:t>
      </w:r>
      <w:r w:rsidRPr="00036FAC">
        <w:t>59</w:t>
      </w:r>
      <w:r w:rsidR="00907D8C">
        <w:t xml:space="preserve"> </w:t>
      </w:r>
      <w:r w:rsidRPr="00036FAC">
        <w:t>of</w:t>
      </w:r>
      <w:r w:rsidR="00907D8C">
        <w:t xml:space="preserve"> </w:t>
      </w:r>
      <w:r w:rsidRPr="00036FAC">
        <w:t>the</w:t>
      </w:r>
      <w:r w:rsidR="00907D8C">
        <w:t xml:space="preserve"> </w:t>
      </w:r>
      <w:r w:rsidRPr="00036FAC">
        <w:t>Crimes</w:t>
      </w:r>
      <w:r w:rsidR="00907D8C">
        <w:t xml:space="preserve"> </w:t>
      </w:r>
      <w:r w:rsidRPr="00036FAC">
        <w:t>Act</w:t>
      </w:r>
      <w:r w:rsidR="00907D8C">
        <w:t xml:space="preserve"> </w:t>
      </w:r>
      <w:r w:rsidRPr="00036FAC">
        <w:t>1961</w:t>
      </w:r>
      <w:r w:rsidR="00907D8C">
        <w:t xml:space="preserve"> </w:t>
      </w:r>
      <w:r w:rsidRPr="00036FAC">
        <w:t>(which</w:t>
      </w:r>
      <w:r w:rsidR="00907D8C">
        <w:t xml:space="preserve"> </w:t>
      </w:r>
      <w:r w:rsidRPr="00036FAC">
        <w:t>allowed</w:t>
      </w:r>
      <w:r w:rsidR="00907D8C">
        <w:t xml:space="preserve"> </w:t>
      </w:r>
      <w:r w:rsidRPr="00036FAC">
        <w:t>the</w:t>
      </w:r>
      <w:r w:rsidR="00907D8C">
        <w:t xml:space="preserve"> </w:t>
      </w:r>
      <w:r w:rsidRPr="00036FAC">
        <w:t>use</w:t>
      </w:r>
      <w:r w:rsidR="00907D8C">
        <w:t xml:space="preserve"> </w:t>
      </w:r>
      <w:r w:rsidRPr="00036FAC">
        <w:t>of</w:t>
      </w:r>
      <w:r w:rsidR="00907D8C">
        <w:t xml:space="preserve"> </w:t>
      </w:r>
      <w:r w:rsidRPr="00036FAC">
        <w:t>reasonable</w:t>
      </w:r>
      <w:r w:rsidR="00907D8C">
        <w:t xml:space="preserve"> </w:t>
      </w:r>
      <w:r w:rsidRPr="00036FAC">
        <w:t>force</w:t>
      </w:r>
      <w:r w:rsidR="00907D8C">
        <w:t xml:space="preserve"> </w:t>
      </w:r>
      <w:r w:rsidRPr="00036FAC">
        <w:t>for</w:t>
      </w:r>
      <w:r w:rsidR="00907D8C">
        <w:t xml:space="preserve"> </w:t>
      </w:r>
      <w:r w:rsidRPr="00036FAC">
        <w:t>the</w:t>
      </w:r>
      <w:r w:rsidR="00907D8C">
        <w:t xml:space="preserve"> </w:t>
      </w:r>
      <w:r w:rsidRPr="00036FAC">
        <w:t>purposes</w:t>
      </w:r>
      <w:r w:rsidR="00907D8C">
        <w:t xml:space="preserve"> </w:t>
      </w:r>
      <w:r w:rsidRPr="00036FAC">
        <w:t>of</w:t>
      </w:r>
      <w:r w:rsidR="00907D8C">
        <w:t xml:space="preserve"> </w:t>
      </w:r>
      <w:r w:rsidRPr="00036FAC">
        <w:t>correction)</w:t>
      </w:r>
    </w:p>
    <w:p w:rsidR="00036FAC" w:rsidRPr="00036FAC" w:rsidRDefault="00036FAC" w:rsidP="002B6E7E">
      <w:pPr>
        <w:pStyle w:val="Bullet1G"/>
      </w:pPr>
      <w:r w:rsidRPr="00036FAC">
        <w:t>Action</w:t>
      </w:r>
      <w:r w:rsidR="00907D8C">
        <w:t xml:space="preserve"> </w:t>
      </w:r>
      <w:r w:rsidRPr="00036FAC">
        <w:t>to</w:t>
      </w:r>
      <w:r w:rsidR="00907D8C">
        <w:t xml:space="preserve"> </w:t>
      </w:r>
      <w:r w:rsidRPr="00036FAC">
        <w:t>reduce</w:t>
      </w:r>
      <w:r w:rsidR="00907D8C">
        <w:t xml:space="preserve"> </w:t>
      </w:r>
      <w:r w:rsidRPr="00036FAC">
        <w:t>poverty</w:t>
      </w:r>
      <w:r w:rsidR="00907D8C">
        <w:t xml:space="preserve"> </w:t>
      </w:r>
      <w:r w:rsidRPr="00036FAC">
        <w:t>including</w:t>
      </w:r>
      <w:r w:rsidR="00907D8C">
        <w:t xml:space="preserve"> </w:t>
      </w:r>
      <w:r w:rsidRPr="00036FAC">
        <w:t>increases</w:t>
      </w:r>
      <w:r w:rsidR="00907D8C">
        <w:t xml:space="preserve"> </w:t>
      </w:r>
      <w:r w:rsidRPr="00036FAC">
        <w:t>in</w:t>
      </w:r>
      <w:r w:rsidR="00907D8C">
        <w:t xml:space="preserve"> </w:t>
      </w:r>
      <w:r w:rsidRPr="00036FAC">
        <w:t>the</w:t>
      </w:r>
      <w:r w:rsidR="00907D8C">
        <w:t xml:space="preserve"> </w:t>
      </w:r>
      <w:r w:rsidRPr="00036FAC">
        <w:t>minimum</w:t>
      </w:r>
      <w:r w:rsidR="00907D8C">
        <w:t xml:space="preserve"> </w:t>
      </w:r>
      <w:r w:rsidRPr="00036FAC">
        <w:t>wage</w:t>
      </w:r>
    </w:p>
    <w:p w:rsidR="00036FAC" w:rsidRPr="00036FAC" w:rsidRDefault="00036FAC" w:rsidP="002B6E7E">
      <w:pPr>
        <w:pStyle w:val="Bullet1G"/>
      </w:pPr>
      <w:r w:rsidRPr="00036FAC">
        <w:t>Introduction</w:t>
      </w:r>
      <w:r w:rsidR="00907D8C">
        <w:t xml:space="preserve"> </w:t>
      </w:r>
      <w:r w:rsidRPr="00036FAC">
        <w:t>of</w:t>
      </w:r>
      <w:r w:rsidR="00907D8C">
        <w:t xml:space="preserve"> </w:t>
      </w:r>
      <w:r w:rsidRPr="00036FAC">
        <w:t>paid</w:t>
      </w:r>
      <w:r w:rsidR="00907D8C">
        <w:t xml:space="preserve"> </w:t>
      </w:r>
      <w:r w:rsidRPr="00036FAC">
        <w:t>parental</w:t>
      </w:r>
      <w:r w:rsidR="00907D8C">
        <w:t xml:space="preserve"> </w:t>
      </w:r>
      <w:r w:rsidRPr="00036FAC">
        <w:t>leave</w:t>
      </w:r>
    </w:p>
    <w:p w:rsidR="00036FAC" w:rsidRPr="00036FAC" w:rsidRDefault="00036FAC" w:rsidP="002B6E7E">
      <w:pPr>
        <w:pStyle w:val="Bullet1G"/>
      </w:pPr>
      <w:r w:rsidRPr="00036FAC">
        <w:t>Ratification</w:t>
      </w:r>
      <w:r w:rsidR="00907D8C">
        <w:t xml:space="preserve"> </w:t>
      </w:r>
      <w:r w:rsidRPr="00036FAC">
        <w:t>of</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Persons</w:t>
      </w:r>
      <w:r w:rsidR="00907D8C">
        <w:t xml:space="preserve"> </w:t>
      </w:r>
      <w:r w:rsidRPr="00036FAC">
        <w:t>with</w:t>
      </w:r>
      <w:r w:rsidR="00907D8C">
        <w:t xml:space="preserve"> </w:t>
      </w:r>
      <w:r w:rsidRPr="00036FAC">
        <w:t>Disabilities</w:t>
      </w:r>
    </w:p>
    <w:p w:rsidR="00036FAC" w:rsidRPr="00036FAC" w:rsidRDefault="00036FAC" w:rsidP="002B6E7E">
      <w:pPr>
        <w:pStyle w:val="Bullet1G"/>
      </w:pPr>
      <w:r w:rsidRPr="00036FAC">
        <w:t>Recognition</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Sign</w:t>
      </w:r>
      <w:r w:rsidR="00907D8C">
        <w:t xml:space="preserve"> </w:t>
      </w:r>
      <w:r w:rsidRPr="00036FAC">
        <w:t>Language</w:t>
      </w:r>
      <w:r w:rsidR="00907D8C">
        <w:t xml:space="preserve"> </w:t>
      </w:r>
      <w:r w:rsidRPr="00036FAC">
        <w:t>as</w:t>
      </w:r>
      <w:r w:rsidR="00907D8C">
        <w:t xml:space="preserve"> </w:t>
      </w:r>
      <w:r w:rsidRPr="00036FAC">
        <w:t>an</w:t>
      </w:r>
      <w:r w:rsidR="00907D8C">
        <w:t xml:space="preserve"> </w:t>
      </w:r>
      <w:r w:rsidRPr="00036FAC">
        <w:t>official</w:t>
      </w:r>
      <w:r w:rsidR="00907D8C">
        <w:t xml:space="preserve"> </w:t>
      </w:r>
      <w:r w:rsidRPr="00036FAC">
        <w:t>language</w:t>
      </w:r>
    </w:p>
    <w:p w:rsidR="00036FAC" w:rsidRPr="00036FAC" w:rsidRDefault="00036FAC" w:rsidP="002B6E7E">
      <w:pPr>
        <w:pStyle w:val="Bullet1G"/>
      </w:pPr>
      <w:r w:rsidRPr="00036FAC">
        <w:t>Ratification</w:t>
      </w:r>
      <w:r w:rsidR="00907D8C">
        <w:t xml:space="preserve"> </w:t>
      </w:r>
      <w:r w:rsidRPr="00036FAC">
        <w:t>of</w:t>
      </w:r>
      <w:r w:rsidR="00907D8C">
        <w:t xml:space="preserve"> </w:t>
      </w:r>
      <w:r w:rsidRPr="00036FAC">
        <w:t>the</w:t>
      </w:r>
      <w:r w:rsidR="00907D8C">
        <w:t xml:space="preserve"> </w:t>
      </w:r>
      <w:r w:rsidRPr="00036FAC">
        <w:t>Optional</w:t>
      </w:r>
      <w:r w:rsidR="00907D8C">
        <w:t xml:space="preserve"> </w:t>
      </w:r>
      <w:r w:rsidRPr="00036FAC">
        <w:t>Protocol</w:t>
      </w:r>
      <w:r w:rsidR="00907D8C">
        <w:t xml:space="preserve"> </w:t>
      </w:r>
      <w:r w:rsidRPr="00036FAC">
        <w:t>to</w:t>
      </w:r>
      <w:r w:rsidR="00907D8C">
        <w:t xml:space="preserve"> </w:t>
      </w:r>
      <w:r w:rsidRPr="00036FAC">
        <w:t>the</w:t>
      </w:r>
      <w:r w:rsidR="00907D8C">
        <w:t xml:space="preserve"> </w:t>
      </w:r>
      <w:r w:rsidRPr="00036FAC">
        <w:t>Convention</w:t>
      </w:r>
      <w:r w:rsidR="00907D8C">
        <w:t xml:space="preserve"> </w:t>
      </w:r>
      <w:r w:rsidRPr="00036FAC">
        <w:t>against</w:t>
      </w:r>
      <w:r w:rsidR="00907D8C">
        <w:t xml:space="preserve"> </w:t>
      </w:r>
      <w:r w:rsidRPr="00036FAC">
        <w:t>Torture</w:t>
      </w:r>
      <w:r w:rsidR="00907D8C">
        <w:t xml:space="preserve"> </w:t>
      </w:r>
      <w:r w:rsidRPr="00036FAC">
        <w:t>and</w:t>
      </w:r>
      <w:r w:rsidR="00907D8C">
        <w:t xml:space="preserve"> </w:t>
      </w:r>
      <w:r w:rsidRPr="00036FAC">
        <w:t>Other</w:t>
      </w:r>
      <w:r w:rsidR="00907D8C">
        <w:t xml:space="preserve"> </w:t>
      </w:r>
      <w:r w:rsidRPr="00036FAC">
        <w:t>Cruel,</w:t>
      </w:r>
      <w:r w:rsidR="00907D8C">
        <w:t xml:space="preserve"> </w:t>
      </w:r>
      <w:r w:rsidRPr="00036FAC">
        <w:t>Inhuman</w:t>
      </w:r>
      <w:r w:rsidR="00907D8C">
        <w:t xml:space="preserve"> </w:t>
      </w:r>
      <w:r w:rsidRPr="00036FAC">
        <w:t>or</w:t>
      </w:r>
      <w:r w:rsidR="00907D8C">
        <w:t xml:space="preserve"> </w:t>
      </w:r>
      <w:r w:rsidRPr="00036FAC">
        <w:t>Degrading</w:t>
      </w:r>
      <w:r w:rsidR="00907D8C">
        <w:t xml:space="preserve"> </w:t>
      </w:r>
      <w:r w:rsidRPr="00036FAC">
        <w:t>Treatment</w:t>
      </w:r>
      <w:r w:rsidR="00907D8C">
        <w:t xml:space="preserve"> </w:t>
      </w:r>
      <w:r w:rsidRPr="00036FAC">
        <w:t>or</w:t>
      </w:r>
      <w:r w:rsidR="00907D8C">
        <w:t xml:space="preserve"> </w:t>
      </w:r>
      <w:r w:rsidRPr="00036FAC">
        <w:t>Punishment</w:t>
      </w:r>
      <w:r w:rsidR="00907D8C">
        <w:t xml:space="preserve"> </w:t>
      </w:r>
      <w:r w:rsidRPr="00036FAC">
        <w:t>providing</w:t>
      </w:r>
      <w:r w:rsidR="00907D8C">
        <w:t xml:space="preserve"> </w:t>
      </w:r>
      <w:r w:rsidRPr="00036FAC">
        <w:t>for</w:t>
      </w:r>
      <w:r w:rsidR="00907D8C">
        <w:t xml:space="preserve"> </w:t>
      </w:r>
      <w:r w:rsidRPr="00036FAC">
        <w:t>preventive</w:t>
      </w:r>
      <w:r w:rsidR="00907D8C">
        <w:t xml:space="preserve"> </w:t>
      </w:r>
      <w:r w:rsidRPr="00036FAC">
        <w:t>visits</w:t>
      </w:r>
      <w:r w:rsidR="00907D8C">
        <w:t xml:space="preserve"> </w:t>
      </w:r>
      <w:r w:rsidRPr="00036FAC">
        <w:t>to</w:t>
      </w:r>
      <w:r w:rsidR="00907D8C">
        <w:t xml:space="preserve"> </w:t>
      </w:r>
      <w:r w:rsidRPr="00036FAC">
        <w:t>all</w:t>
      </w:r>
      <w:r w:rsidR="00907D8C">
        <w:t xml:space="preserve"> </w:t>
      </w:r>
      <w:r w:rsidRPr="00036FAC">
        <w:t>places</w:t>
      </w:r>
      <w:r w:rsidR="00907D8C">
        <w:t xml:space="preserve"> </w:t>
      </w:r>
      <w:r w:rsidRPr="00036FAC">
        <w:t>of</w:t>
      </w:r>
      <w:r w:rsidR="00907D8C">
        <w:t xml:space="preserve"> </w:t>
      </w:r>
      <w:r w:rsidRPr="00036FAC">
        <w:t>detention</w:t>
      </w:r>
    </w:p>
    <w:p w:rsidR="00036FAC" w:rsidRPr="00036FAC" w:rsidRDefault="00036FAC" w:rsidP="002B6E7E">
      <w:pPr>
        <w:pStyle w:val="Bullet1G"/>
      </w:pPr>
      <w:r w:rsidRPr="00036FAC">
        <w:t>Greater</w:t>
      </w:r>
      <w:r w:rsidR="00907D8C">
        <w:t xml:space="preserve"> </w:t>
      </w:r>
      <w:r w:rsidRPr="00036FAC">
        <w:t>recognition</w:t>
      </w:r>
      <w:r w:rsidR="00907D8C">
        <w:t xml:space="preserve"> </w:t>
      </w:r>
      <w:r w:rsidRPr="00036FAC">
        <w:t>of</w:t>
      </w:r>
      <w:r w:rsidR="00907D8C">
        <w:t xml:space="preserve"> </w:t>
      </w:r>
      <w:r w:rsidRPr="00036FAC">
        <w:t>the</w:t>
      </w:r>
      <w:r w:rsidR="00907D8C">
        <w:t xml:space="preserve"> </w:t>
      </w:r>
      <w:r w:rsidRPr="00036FAC">
        <w:t>right</w:t>
      </w:r>
      <w:r w:rsidR="00907D8C">
        <w:t xml:space="preserve"> </w:t>
      </w:r>
      <w:r w:rsidRPr="00036FAC">
        <w:t>to</w:t>
      </w:r>
      <w:r w:rsidR="00907D8C">
        <w:t xml:space="preserve"> </w:t>
      </w:r>
      <w:r w:rsidRPr="00036FAC">
        <w:t>equality</w:t>
      </w:r>
      <w:r w:rsidR="00907D8C">
        <w:t xml:space="preserve"> </w:t>
      </w:r>
      <w:r w:rsidRPr="00036FAC">
        <w:t>of</w:t>
      </w:r>
      <w:r w:rsidR="00907D8C">
        <w:t xml:space="preserve"> </w:t>
      </w:r>
      <w:r w:rsidRPr="00036FAC">
        <w:t>gay,</w:t>
      </w:r>
      <w:r w:rsidR="00907D8C">
        <w:t xml:space="preserve"> </w:t>
      </w:r>
      <w:r w:rsidRPr="00036FAC">
        <w:t>lesbian,</w:t>
      </w:r>
      <w:r w:rsidR="00907D8C">
        <w:t xml:space="preserve"> </w:t>
      </w:r>
      <w:r w:rsidRPr="00036FAC">
        <w:t>bisexual,</w:t>
      </w:r>
      <w:r w:rsidR="00907D8C">
        <w:t xml:space="preserve"> </w:t>
      </w:r>
      <w:r w:rsidRPr="00036FAC">
        <w:t>and</w:t>
      </w:r>
      <w:r w:rsidR="00907D8C">
        <w:t xml:space="preserve"> </w:t>
      </w:r>
      <w:r w:rsidRPr="00036FAC">
        <w:t>transgender</w:t>
      </w:r>
      <w:r w:rsidR="00907D8C">
        <w:t xml:space="preserve"> </w:t>
      </w:r>
      <w:r w:rsidRPr="00036FAC">
        <w:t>people</w:t>
      </w:r>
      <w:r w:rsidR="00907D8C">
        <w:t xml:space="preserve"> </w:t>
      </w:r>
      <w:r w:rsidRPr="00036FAC">
        <w:t>including</w:t>
      </w:r>
      <w:r w:rsidR="00907D8C">
        <w:t xml:space="preserve"> </w:t>
      </w:r>
      <w:r w:rsidRPr="00036FAC">
        <w:t>the</w:t>
      </w:r>
      <w:r w:rsidR="00907D8C">
        <w:t xml:space="preserve"> </w:t>
      </w:r>
      <w:r w:rsidRPr="00036FAC">
        <w:t>Civil</w:t>
      </w:r>
      <w:r w:rsidR="00907D8C">
        <w:t xml:space="preserve"> </w:t>
      </w:r>
      <w:r w:rsidRPr="00036FAC">
        <w:t>Union</w:t>
      </w:r>
      <w:r w:rsidR="00907D8C">
        <w:t xml:space="preserve"> </w:t>
      </w:r>
      <w:r w:rsidRPr="00036FAC">
        <w:t>Act</w:t>
      </w:r>
      <w:r w:rsidR="00907D8C">
        <w:t xml:space="preserve"> </w:t>
      </w:r>
      <w:r w:rsidRPr="00036FAC">
        <w:t>2</w:t>
      </w:r>
      <w:r w:rsidR="002B6E7E">
        <w:t>005</w:t>
      </w:r>
    </w:p>
    <w:p w:rsidR="00036FAC" w:rsidRPr="00036FAC" w:rsidRDefault="00036FAC" w:rsidP="002B6E7E">
      <w:pPr>
        <w:pStyle w:val="SingleTxtG"/>
      </w:pPr>
      <w:r w:rsidRPr="00036FAC">
        <w:t>220.</w:t>
      </w:r>
      <w:r w:rsidRPr="00036FAC">
        <w:tab/>
        <w:t>The</w:t>
      </w:r>
      <w:r w:rsidR="00907D8C">
        <w:t xml:space="preserve"> </w:t>
      </w:r>
      <w:r w:rsidRPr="00036FAC">
        <w:t>NZHRC</w:t>
      </w:r>
      <w:r w:rsidR="00907D8C">
        <w:t xml:space="preserve"> </w:t>
      </w:r>
      <w:r w:rsidRPr="00036FAC">
        <w:t>intends</w:t>
      </w:r>
      <w:r w:rsidR="00907D8C">
        <w:t xml:space="preserve"> </w:t>
      </w:r>
      <w:r w:rsidRPr="00036FAC">
        <w:t>to</w:t>
      </w:r>
      <w:r w:rsidR="00907D8C">
        <w:t xml:space="preserve"> </w:t>
      </w:r>
      <w:r w:rsidRPr="00036FAC">
        <w:t>develop</w:t>
      </w:r>
      <w:r w:rsidR="00907D8C">
        <w:t xml:space="preserve"> </w:t>
      </w:r>
      <w:r w:rsidRPr="00036FAC">
        <w:t>a</w:t>
      </w:r>
      <w:r w:rsidR="00907D8C">
        <w:t xml:space="preserve"> </w:t>
      </w:r>
      <w:r w:rsidRPr="00036FAC">
        <w:t>second</w:t>
      </w:r>
      <w:r w:rsidR="00907D8C">
        <w:t xml:space="preserve"> </w:t>
      </w:r>
      <w:r w:rsidRPr="00036FAC">
        <w:t>Action</w:t>
      </w:r>
      <w:r w:rsidR="00907D8C">
        <w:t xml:space="preserve"> </w:t>
      </w:r>
      <w:r w:rsidRPr="00036FAC">
        <w:t>Plan</w:t>
      </w:r>
      <w:r w:rsidR="00907D8C">
        <w:t xml:space="preserve"> </w:t>
      </w:r>
      <w:r w:rsidRPr="00036FAC">
        <w:t>for</w:t>
      </w:r>
      <w:r w:rsidR="00907D8C">
        <w:t xml:space="preserve"> </w:t>
      </w:r>
      <w:r w:rsidRPr="00036FAC">
        <w:t>the</w:t>
      </w:r>
      <w:r w:rsidR="00907D8C">
        <w:t xml:space="preserve"> </w:t>
      </w:r>
      <w:r w:rsidRPr="00036FAC">
        <w:t>period</w:t>
      </w:r>
      <w:r w:rsidR="00907D8C">
        <w:t xml:space="preserve"> </w:t>
      </w:r>
      <w:r w:rsidRPr="00036FAC">
        <w:t>2010</w:t>
      </w:r>
      <w:r w:rsidR="00907D8C">
        <w:t xml:space="preserve"> </w:t>
      </w:r>
      <w:r w:rsidRPr="00036FAC">
        <w:t>to</w:t>
      </w:r>
      <w:r w:rsidR="00907D8C">
        <w:t xml:space="preserve"> </w:t>
      </w:r>
      <w:r w:rsidRPr="00036FAC">
        <w:t>2015.</w:t>
      </w:r>
    </w:p>
    <w:p w:rsidR="00036FAC" w:rsidRPr="00036FAC" w:rsidRDefault="00036FAC" w:rsidP="006C436C">
      <w:pPr>
        <w:pStyle w:val="H23G"/>
      </w:pPr>
      <w:r w:rsidRPr="00036FAC">
        <w:tab/>
        <w:t>(c)</w:t>
      </w:r>
      <w:r w:rsidRPr="00036FAC">
        <w:tab/>
        <w:t>Human</w:t>
      </w:r>
      <w:r w:rsidR="00907D8C">
        <w:t xml:space="preserve"> </w:t>
      </w:r>
      <w:r w:rsidRPr="00036FAC">
        <w:t>rights</w:t>
      </w:r>
      <w:r w:rsidR="00907D8C">
        <w:t xml:space="preserve"> </w:t>
      </w:r>
      <w:r w:rsidRPr="00036FAC">
        <w:t>education</w:t>
      </w:r>
      <w:r w:rsidR="00907D8C">
        <w:t xml:space="preserve"> </w:t>
      </w:r>
      <w:r w:rsidRPr="00036FAC">
        <w:t>and</w:t>
      </w:r>
      <w:r w:rsidR="00907D8C">
        <w:t xml:space="preserve"> </w:t>
      </w:r>
      <w:r w:rsidRPr="00036FAC">
        <w:t>information</w:t>
      </w:r>
    </w:p>
    <w:p w:rsidR="00036FAC" w:rsidRPr="00036FAC" w:rsidRDefault="00036FAC" w:rsidP="002B6E7E">
      <w:pPr>
        <w:pStyle w:val="SingleTxtG"/>
      </w:pPr>
      <w:r w:rsidRPr="00036FAC">
        <w:t>221.</w:t>
      </w:r>
      <w:r w:rsidRPr="00036FAC">
        <w:tab/>
        <w:t>Human</w:t>
      </w:r>
      <w:r w:rsidR="00907D8C">
        <w:t xml:space="preserve"> </w:t>
      </w:r>
      <w:r w:rsidRPr="00036FAC">
        <w:t>rights</w:t>
      </w:r>
      <w:r w:rsidR="00907D8C">
        <w:t xml:space="preserve"> </w:t>
      </w:r>
      <w:r w:rsidRPr="00036FAC">
        <w:t>education</w:t>
      </w:r>
      <w:r w:rsidR="00907D8C">
        <w:t xml:space="preserve"> </w:t>
      </w:r>
      <w:r w:rsidRPr="00036FAC">
        <w:t>and</w:t>
      </w:r>
      <w:r w:rsidR="00907D8C">
        <w:t xml:space="preserve"> </w:t>
      </w:r>
      <w:r w:rsidRPr="00036FAC">
        <w:t>information</w:t>
      </w:r>
      <w:r w:rsidR="00907D8C">
        <w:t xml:space="preserve"> </w:t>
      </w:r>
      <w:r w:rsidRPr="00036FAC">
        <w:t>is</w:t>
      </w:r>
      <w:r w:rsidR="00907D8C">
        <w:t xml:space="preserve"> </w:t>
      </w:r>
      <w:r w:rsidRPr="00036FAC">
        <w:t>delivered</w:t>
      </w:r>
      <w:r w:rsidR="00907D8C">
        <w:t xml:space="preserve"> </w:t>
      </w:r>
      <w:r w:rsidRPr="00036FAC">
        <w:t>by</w:t>
      </w:r>
      <w:r w:rsidR="00907D8C">
        <w:t xml:space="preserve"> </w:t>
      </w:r>
      <w:r w:rsidRPr="00036FAC">
        <w:t>the</w:t>
      </w:r>
      <w:r w:rsidR="00907D8C">
        <w:t xml:space="preserve"> </w:t>
      </w:r>
      <w:r w:rsidRPr="00036FAC">
        <w:t>NZHRC</w:t>
      </w:r>
      <w:r w:rsidR="00907D8C">
        <w:t xml:space="preserve"> </w:t>
      </w:r>
      <w:r w:rsidRPr="00036FAC">
        <w:t>in</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ways.</w:t>
      </w:r>
      <w:r w:rsidR="00907D8C">
        <w:t xml:space="preserve"> </w:t>
      </w:r>
      <w:r w:rsidRPr="00036FAC">
        <w:t>It</w:t>
      </w:r>
      <w:r w:rsidR="00907D8C">
        <w:t xml:space="preserve"> </w:t>
      </w:r>
      <w:r w:rsidRPr="00036FAC">
        <w:t>has</w:t>
      </w:r>
      <w:r w:rsidR="00907D8C">
        <w:t xml:space="preserve"> </w:t>
      </w:r>
      <w:r w:rsidRPr="00036FAC">
        <w:t>a</w:t>
      </w:r>
      <w:r w:rsidR="00907D8C">
        <w:t xml:space="preserve"> </w:t>
      </w:r>
      <w:r w:rsidRPr="00036FAC">
        <w:t>comprehensive</w:t>
      </w:r>
      <w:r w:rsidR="00907D8C">
        <w:t xml:space="preserve"> </w:t>
      </w:r>
      <w:r w:rsidRPr="00036FAC">
        <w:t>website,</w:t>
      </w:r>
      <w:r w:rsidR="00907D8C">
        <w:t xml:space="preserve"> </w:t>
      </w:r>
      <w:r w:rsidRPr="00036FAC">
        <w:t>which</w:t>
      </w:r>
      <w:r w:rsidR="00907D8C">
        <w:t xml:space="preserve"> </w:t>
      </w:r>
      <w:r w:rsidRPr="00036FAC">
        <w:t>provides</w:t>
      </w:r>
      <w:r w:rsidR="00907D8C">
        <w:t xml:space="preserve"> </w:t>
      </w:r>
      <w:r w:rsidRPr="00036FAC">
        <w:t>users</w:t>
      </w:r>
      <w:r w:rsidR="00907D8C">
        <w:t xml:space="preserve"> </w:t>
      </w:r>
      <w:r w:rsidRPr="00036FAC">
        <w:t>with</w:t>
      </w:r>
      <w:r w:rsidR="00907D8C">
        <w:t xml:space="preserve"> </w:t>
      </w:r>
      <w:r w:rsidRPr="00036FAC">
        <w:t>access</w:t>
      </w:r>
      <w:r w:rsidR="00907D8C">
        <w:t xml:space="preserve"> </w:t>
      </w:r>
      <w:r w:rsidRPr="00036FAC">
        <w:t>to</w:t>
      </w:r>
      <w:r w:rsidR="00907D8C">
        <w:t xml:space="preserve"> </w:t>
      </w:r>
      <w:r w:rsidRPr="00036FAC">
        <w:t>complaints</w:t>
      </w:r>
      <w:r w:rsidR="00907D8C">
        <w:t xml:space="preserve"> </w:t>
      </w:r>
      <w:r w:rsidRPr="00036FAC">
        <w:t>information,</w:t>
      </w:r>
      <w:r w:rsidR="00907D8C">
        <w:t xml:space="preserve"> </w:t>
      </w:r>
      <w:r w:rsidRPr="00036FAC">
        <w:t>media</w:t>
      </w:r>
      <w:r w:rsidR="00907D8C">
        <w:t xml:space="preserve"> </w:t>
      </w:r>
      <w:r w:rsidRPr="00036FAC">
        <w:t>releases,</w:t>
      </w:r>
      <w:r w:rsidR="00907D8C">
        <w:t xml:space="preserve"> </w:t>
      </w:r>
      <w:r w:rsidRPr="00036FAC">
        <w:t>resources,</w:t>
      </w:r>
      <w:r w:rsidR="00907D8C">
        <w:t xml:space="preserve"> </w:t>
      </w:r>
      <w:r w:rsidRPr="00036FAC">
        <w:t>submissions,</w:t>
      </w:r>
      <w:r w:rsidR="00907D8C">
        <w:t xml:space="preserve"> </w:t>
      </w:r>
      <w:r w:rsidRPr="00036FAC">
        <w:t>discussion</w:t>
      </w:r>
      <w:r w:rsidR="00907D8C">
        <w:t xml:space="preserve"> </w:t>
      </w:r>
      <w:r w:rsidRPr="00036FAC">
        <w:t>papers,</w:t>
      </w:r>
      <w:r w:rsidR="00907D8C">
        <w:t xml:space="preserve"> </w:t>
      </w:r>
      <w:r w:rsidRPr="00036FAC">
        <w:t>responses</w:t>
      </w:r>
      <w:r w:rsidR="00907D8C">
        <w:t xml:space="preserve"> </w:t>
      </w:r>
      <w:r w:rsidRPr="00036FAC">
        <w:t>to</w:t>
      </w:r>
      <w:r w:rsidR="00907D8C">
        <w:t xml:space="preserve"> </w:t>
      </w:r>
      <w:r w:rsidRPr="00036FAC">
        <w:t>frequently</w:t>
      </w:r>
      <w:r w:rsidR="00907D8C">
        <w:t xml:space="preserve"> </w:t>
      </w:r>
      <w:r w:rsidRPr="00036FAC">
        <w:t>asked</w:t>
      </w:r>
      <w:r w:rsidR="00907D8C">
        <w:t xml:space="preserve"> </w:t>
      </w:r>
      <w:r w:rsidRPr="00036FAC">
        <w:t>questions,</w:t>
      </w:r>
      <w:r w:rsidR="00907D8C">
        <w:t xml:space="preserve"> </w:t>
      </w:r>
      <w:r w:rsidRPr="00036FAC">
        <w:t>and</w:t>
      </w:r>
      <w:r w:rsidR="00907D8C">
        <w:t xml:space="preserve"> </w:t>
      </w:r>
      <w:r w:rsidRPr="00036FAC">
        <w:t>information</w:t>
      </w:r>
      <w:r w:rsidR="00907D8C">
        <w:t xml:space="preserve"> </w:t>
      </w:r>
      <w:r w:rsidRPr="00036FAC">
        <w:t>on</w:t>
      </w:r>
      <w:r w:rsidR="00907D8C">
        <w:t xml:space="preserve"> </w:t>
      </w:r>
      <w:r w:rsidRPr="00036FAC">
        <w:t>events.</w:t>
      </w:r>
      <w:r w:rsidR="00907D8C">
        <w:t xml:space="preserve"> </w:t>
      </w:r>
      <w:r w:rsidRPr="00036FAC">
        <w:t>InfoLine</w:t>
      </w:r>
      <w:r w:rsidR="00907D8C">
        <w:t xml:space="preserve"> </w:t>
      </w:r>
      <w:r w:rsidRPr="00036FAC">
        <w:t>is</w:t>
      </w:r>
      <w:r w:rsidR="00907D8C">
        <w:t xml:space="preserve"> </w:t>
      </w:r>
      <w:r w:rsidRPr="00036FAC">
        <w:t>a</w:t>
      </w:r>
      <w:r w:rsidR="00907D8C">
        <w:t xml:space="preserve"> </w:t>
      </w:r>
      <w:r w:rsidRPr="00036FAC">
        <w:t>free</w:t>
      </w:r>
      <w:r w:rsidR="00907D8C">
        <w:t xml:space="preserve"> </w:t>
      </w:r>
      <w:r w:rsidRPr="00036FAC">
        <w:t>and</w:t>
      </w:r>
      <w:r w:rsidR="00907D8C">
        <w:t xml:space="preserve"> </w:t>
      </w:r>
      <w:r w:rsidRPr="00036FAC">
        <w:t>confidential</w:t>
      </w:r>
      <w:r w:rsidR="00907D8C">
        <w:t xml:space="preserve"> </w:t>
      </w:r>
      <w:r w:rsidRPr="00036FAC">
        <w:t>enquiries</w:t>
      </w:r>
      <w:r w:rsidR="00907D8C">
        <w:t xml:space="preserve"> </w:t>
      </w:r>
      <w:r w:rsidRPr="00036FAC">
        <w:t>and</w:t>
      </w:r>
      <w:r w:rsidR="00907D8C">
        <w:t xml:space="preserve"> </w:t>
      </w:r>
      <w:r w:rsidRPr="00036FAC">
        <w:t>complaints</w:t>
      </w:r>
      <w:r w:rsidR="00907D8C">
        <w:t xml:space="preserve"> </w:t>
      </w:r>
      <w:r w:rsidRPr="00036FAC">
        <w:t>service.</w:t>
      </w:r>
      <w:r w:rsidR="00907D8C">
        <w:t xml:space="preserve"> </w:t>
      </w:r>
      <w:r w:rsidRPr="00036FAC">
        <w:t>Various</w:t>
      </w:r>
      <w:r w:rsidR="00907D8C">
        <w:t xml:space="preserve"> </w:t>
      </w:r>
      <w:r w:rsidRPr="00036FAC">
        <w:t>interactive</w:t>
      </w:r>
      <w:r w:rsidR="00907D8C">
        <w:t xml:space="preserve"> </w:t>
      </w:r>
      <w:r w:rsidRPr="00036FAC">
        <w:t>e-newsletters</w:t>
      </w:r>
      <w:r w:rsidR="00907D8C">
        <w:t xml:space="preserve"> </w:t>
      </w:r>
      <w:r w:rsidRPr="00036FAC">
        <w:t>and</w:t>
      </w:r>
      <w:r w:rsidR="00907D8C">
        <w:t xml:space="preserve"> </w:t>
      </w:r>
      <w:r w:rsidRPr="00036FAC">
        <w:t>Facebook</w:t>
      </w:r>
      <w:r w:rsidR="00907D8C">
        <w:t xml:space="preserve"> </w:t>
      </w:r>
      <w:r w:rsidRPr="00036FAC">
        <w:t>pages</w:t>
      </w:r>
      <w:r w:rsidR="00907D8C">
        <w:t xml:space="preserve"> </w:t>
      </w:r>
      <w:r w:rsidRPr="00036FAC">
        <w:t>enable</w:t>
      </w:r>
      <w:r w:rsidR="00907D8C">
        <w:t xml:space="preserve"> </w:t>
      </w:r>
      <w:r w:rsidRPr="00036FAC">
        <w:t>community</w:t>
      </w:r>
      <w:r w:rsidR="00907D8C">
        <w:t xml:space="preserve"> </w:t>
      </w:r>
      <w:r w:rsidRPr="00036FAC">
        <w:t>engagement</w:t>
      </w:r>
      <w:r w:rsidR="00907D8C">
        <w:t xml:space="preserve"> </w:t>
      </w:r>
      <w:r w:rsidRPr="00036FAC">
        <w:t>in</w:t>
      </w:r>
      <w:r w:rsidR="00907D8C">
        <w:t xml:space="preserve"> </w:t>
      </w:r>
      <w:r w:rsidRPr="00036FAC">
        <w:t>a</w:t>
      </w:r>
      <w:r w:rsidR="00907D8C">
        <w:t xml:space="preserve"> </w:t>
      </w:r>
      <w:r w:rsidRPr="00036FAC">
        <w:t>range</w:t>
      </w:r>
      <w:r w:rsidR="00907D8C">
        <w:t xml:space="preserve"> </w:t>
      </w:r>
      <w:r w:rsidRPr="00036FAC">
        <w:t>of</w:t>
      </w:r>
      <w:r w:rsidR="00907D8C">
        <w:t xml:space="preserve"> </w:t>
      </w:r>
      <w:r w:rsidRPr="00036FAC">
        <w:t>its</w:t>
      </w:r>
      <w:r w:rsidR="00907D8C">
        <w:t xml:space="preserve"> </w:t>
      </w:r>
      <w:r w:rsidRPr="00036FAC">
        <w:t>projects.</w:t>
      </w:r>
      <w:r w:rsidR="00907D8C">
        <w:t xml:space="preserve"> </w:t>
      </w:r>
      <w:r w:rsidRPr="00036FAC">
        <w:t>Human</w:t>
      </w:r>
      <w:r w:rsidR="00907D8C">
        <w:t xml:space="preserve"> </w:t>
      </w:r>
      <w:r w:rsidRPr="00036FAC">
        <w:t>rights</w:t>
      </w:r>
      <w:r w:rsidR="00907D8C">
        <w:t xml:space="preserve"> </w:t>
      </w:r>
      <w:r w:rsidRPr="00036FAC">
        <w:t>information</w:t>
      </w:r>
      <w:r w:rsidR="00907D8C">
        <w:t xml:space="preserve"> </w:t>
      </w:r>
      <w:r w:rsidRPr="00036FAC">
        <w:t>is</w:t>
      </w:r>
      <w:r w:rsidR="00907D8C">
        <w:t xml:space="preserve"> </w:t>
      </w:r>
      <w:r w:rsidRPr="00036FAC">
        <w:t>also</w:t>
      </w:r>
      <w:r w:rsidR="00907D8C">
        <w:t xml:space="preserve"> </w:t>
      </w:r>
      <w:r w:rsidRPr="00036FAC">
        <w:t>provided</w:t>
      </w:r>
      <w:r w:rsidR="00907D8C">
        <w:t xml:space="preserve"> </w:t>
      </w:r>
      <w:r w:rsidRPr="00036FAC">
        <w:t>via</w:t>
      </w:r>
      <w:r w:rsidR="00907D8C">
        <w:t xml:space="preserve"> </w:t>
      </w:r>
      <w:r w:rsidRPr="00036FAC">
        <w:t>printed</w:t>
      </w:r>
      <w:r w:rsidR="00907D8C">
        <w:t xml:space="preserve"> </w:t>
      </w:r>
      <w:r w:rsidRPr="00036FAC">
        <w:t>material</w:t>
      </w:r>
      <w:r w:rsidR="00907D8C">
        <w:t xml:space="preserve"> </w:t>
      </w:r>
      <w:r w:rsidRPr="00036FAC">
        <w:t>including</w:t>
      </w:r>
      <w:r w:rsidR="00907D8C">
        <w:t xml:space="preserve"> </w:t>
      </w:r>
      <w:r w:rsidRPr="00036FAC">
        <w:t>discussion</w:t>
      </w:r>
      <w:r w:rsidR="00907D8C">
        <w:t xml:space="preserve"> </w:t>
      </w:r>
      <w:r w:rsidRPr="00036FAC">
        <w:t>papers,</w:t>
      </w:r>
      <w:r w:rsidR="00907D8C">
        <w:t xml:space="preserve"> </w:t>
      </w:r>
      <w:r w:rsidRPr="00036FAC">
        <w:t>information</w:t>
      </w:r>
      <w:r w:rsidR="00907D8C">
        <w:t xml:space="preserve"> </w:t>
      </w:r>
      <w:r w:rsidRPr="00036FAC">
        <w:t>on</w:t>
      </w:r>
      <w:r w:rsidR="00907D8C">
        <w:t xml:space="preserve"> </w:t>
      </w:r>
      <w:r w:rsidRPr="00036FAC">
        <w:t>the</w:t>
      </w:r>
      <w:r w:rsidR="00907D8C">
        <w:t xml:space="preserve"> </w:t>
      </w:r>
      <w:r w:rsidRPr="00036FAC">
        <w:t>NZHRC</w:t>
      </w:r>
      <w:r w:rsidR="003E4D94">
        <w:t>’</w:t>
      </w:r>
      <w:r w:rsidRPr="00036FAC">
        <w:t>s</w:t>
      </w:r>
      <w:r w:rsidR="00907D8C">
        <w:t xml:space="preserve"> </w:t>
      </w:r>
      <w:r w:rsidRPr="00036FAC">
        <w:t>services,</w:t>
      </w:r>
      <w:r w:rsidR="00907D8C">
        <w:t xml:space="preserve"> </w:t>
      </w:r>
      <w:r w:rsidRPr="00036FAC">
        <w:t>situation-specific</w:t>
      </w:r>
      <w:r w:rsidR="00907D8C">
        <w:t xml:space="preserve"> </w:t>
      </w:r>
      <w:r w:rsidRPr="00036FAC">
        <w:t>human</w:t>
      </w:r>
      <w:r w:rsidR="00907D8C">
        <w:t xml:space="preserve"> </w:t>
      </w:r>
      <w:r w:rsidRPr="00036FAC">
        <w:t>rights</w:t>
      </w:r>
      <w:r w:rsidR="00907D8C">
        <w:t xml:space="preserve"> </w:t>
      </w:r>
      <w:r w:rsidRPr="00036FAC">
        <w:t>guidance,</w:t>
      </w:r>
      <w:r w:rsidR="00907D8C">
        <w:t xml:space="preserve"> </w:t>
      </w:r>
      <w:r w:rsidRPr="00036FAC">
        <w:t>bookmarks,</w:t>
      </w:r>
      <w:r w:rsidR="00907D8C">
        <w:t xml:space="preserve"> </w:t>
      </w:r>
      <w:r w:rsidRPr="00036FAC">
        <w:t>postcards,</w:t>
      </w:r>
      <w:r w:rsidR="00907D8C">
        <w:t xml:space="preserve"> </w:t>
      </w:r>
      <w:r w:rsidRPr="00036FAC">
        <w:t>and</w:t>
      </w:r>
      <w:r w:rsidR="00907D8C">
        <w:t xml:space="preserve"> </w:t>
      </w:r>
      <w:r w:rsidRPr="00036FAC">
        <w:t>posters.</w:t>
      </w:r>
      <w:r w:rsidR="00907D8C">
        <w:t xml:space="preserve"> </w:t>
      </w:r>
      <w:r w:rsidRPr="00036FAC">
        <w:t>Key</w:t>
      </w:r>
      <w:r w:rsidR="00907D8C">
        <w:t xml:space="preserve"> </w:t>
      </w:r>
      <w:r w:rsidRPr="00036FAC">
        <w:t>information</w:t>
      </w:r>
      <w:r w:rsidR="00907D8C">
        <w:t xml:space="preserve"> </w:t>
      </w:r>
      <w:r w:rsidRPr="00036FAC">
        <w:t>is</w:t>
      </w:r>
      <w:r w:rsidR="00907D8C">
        <w:t xml:space="preserve"> </w:t>
      </w:r>
      <w:r w:rsidRPr="00036FAC">
        <w:t>provided</w:t>
      </w:r>
      <w:r w:rsidR="00907D8C">
        <w:t xml:space="preserve"> </w:t>
      </w:r>
      <w:r w:rsidRPr="00036FAC">
        <w:t>in</w:t>
      </w:r>
      <w:r w:rsidR="00907D8C">
        <w:t xml:space="preserve"> </w:t>
      </w:r>
      <w:r w:rsidRPr="00036FAC">
        <w:t>diverse</w:t>
      </w:r>
      <w:r w:rsidR="00907D8C">
        <w:t xml:space="preserve"> </w:t>
      </w:r>
      <w:r w:rsidRPr="00036FAC">
        <w:t>languages</w:t>
      </w:r>
      <w:r w:rsidR="00907D8C">
        <w:t xml:space="preserve"> </w:t>
      </w:r>
      <w:r w:rsidRPr="00036FAC">
        <w:t>and</w:t>
      </w:r>
      <w:r w:rsidR="00907D8C">
        <w:t xml:space="preserve"> </w:t>
      </w:r>
      <w:r w:rsidRPr="00036FAC">
        <w:t>accessible</w:t>
      </w:r>
      <w:r w:rsidR="00907D8C">
        <w:t xml:space="preserve"> </w:t>
      </w:r>
      <w:r w:rsidRPr="00036FAC">
        <w:t>formats</w:t>
      </w:r>
      <w:r w:rsidR="00907D8C">
        <w:t xml:space="preserve"> </w:t>
      </w:r>
      <w:r w:rsidRPr="00036FAC">
        <w:t>including</w:t>
      </w:r>
      <w:r w:rsidR="00907D8C">
        <w:t xml:space="preserve"> </w:t>
      </w:r>
      <w:r w:rsidRPr="00036FAC">
        <w:t>New</w:t>
      </w:r>
      <w:r w:rsidR="00907D8C">
        <w:t xml:space="preserve"> </w:t>
      </w:r>
      <w:r w:rsidRPr="00036FAC">
        <w:t>Zealand</w:t>
      </w:r>
      <w:r w:rsidR="00907D8C">
        <w:t xml:space="preserve"> </w:t>
      </w:r>
      <w:r w:rsidRPr="00036FAC">
        <w:t>Sign</w:t>
      </w:r>
      <w:r w:rsidR="00907D8C">
        <w:t xml:space="preserve"> </w:t>
      </w:r>
      <w:r w:rsidRPr="00036FAC">
        <w:t>language</w:t>
      </w:r>
      <w:r w:rsidR="00907D8C">
        <w:t xml:space="preserve"> </w:t>
      </w:r>
      <w:r w:rsidRPr="00036FAC">
        <w:t>and</w:t>
      </w:r>
      <w:r w:rsidR="00907D8C">
        <w:t xml:space="preserve"> </w:t>
      </w:r>
      <w:r w:rsidRPr="00036FAC">
        <w:t>large</w:t>
      </w:r>
      <w:r w:rsidR="00907D8C">
        <w:t xml:space="preserve"> </w:t>
      </w:r>
      <w:r w:rsidRPr="00036FAC">
        <w:t>print.</w:t>
      </w:r>
    </w:p>
    <w:p w:rsidR="00036FAC" w:rsidRPr="00036FAC" w:rsidRDefault="00036FAC" w:rsidP="002B6E7E">
      <w:pPr>
        <w:pStyle w:val="SingleTxtG"/>
      </w:pPr>
      <w:r w:rsidRPr="00036FAC">
        <w:t>222.</w:t>
      </w:r>
      <w:r w:rsidRPr="00036FAC">
        <w:tab/>
        <w:t>The</w:t>
      </w:r>
      <w:r w:rsidR="00907D8C">
        <w:t xml:space="preserve"> </w:t>
      </w:r>
      <w:r w:rsidRPr="00036FAC">
        <w:t>NZHRC</w:t>
      </w:r>
      <w:r w:rsidR="00907D8C">
        <w:t xml:space="preserve"> </w:t>
      </w:r>
      <w:r w:rsidRPr="00036FAC">
        <w:t>has</w:t>
      </w:r>
      <w:r w:rsidR="00907D8C">
        <w:t xml:space="preserve"> </w:t>
      </w:r>
      <w:r w:rsidRPr="00036FAC">
        <w:t>a</w:t>
      </w:r>
      <w:r w:rsidR="00907D8C">
        <w:t xml:space="preserve"> </w:t>
      </w:r>
      <w:r w:rsidRPr="00036FAC">
        <w:t>dedicated</w:t>
      </w:r>
      <w:r w:rsidR="00907D8C">
        <w:t xml:space="preserve"> </w:t>
      </w:r>
      <w:r w:rsidRPr="00036FAC">
        <w:t>advisory</w:t>
      </w:r>
      <w:r w:rsidR="00907D8C">
        <w:t xml:space="preserve"> </w:t>
      </w:r>
      <w:r w:rsidRPr="00036FAC">
        <w:t>team</w:t>
      </w:r>
      <w:r w:rsidR="00907D8C">
        <w:t xml:space="preserve"> </w:t>
      </w:r>
      <w:r w:rsidRPr="00036FAC">
        <w:t>that</w:t>
      </w:r>
      <w:r w:rsidR="00907D8C">
        <w:t xml:space="preserve"> </w:t>
      </w:r>
      <w:r w:rsidRPr="00036FAC">
        <w:t>delivers</w:t>
      </w:r>
      <w:r w:rsidR="00907D8C">
        <w:t xml:space="preserve"> </w:t>
      </w:r>
      <w:r w:rsidRPr="00036FAC">
        <w:t>human</w:t>
      </w:r>
      <w:r w:rsidR="00907D8C">
        <w:t xml:space="preserve"> </w:t>
      </w:r>
      <w:r w:rsidRPr="00036FAC">
        <w:t>rights</w:t>
      </w:r>
      <w:r w:rsidR="00907D8C">
        <w:t xml:space="preserve"> </w:t>
      </w:r>
      <w:r w:rsidRPr="00036FAC">
        <w:t>education</w:t>
      </w:r>
      <w:r w:rsidR="00907D8C">
        <w:t xml:space="preserve"> </w:t>
      </w:r>
      <w:r w:rsidRPr="00036FAC">
        <w:t>to</w:t>
      </w:r>
      <w:r w:rsidR="00907D8C">
        <w:t xml:space="preserve"> </w:t>
      </w:r>
      <w:r w:rsidRPr="00036FAC">
        <w:t>a</w:t>
      </w:r>
      <w:r w:rsidR="00907D8C">
        <w:t xml:space="preserve"> </w:t>
      </w:r>
      <w:r w:rsidRPr="00036FAC">
        <w:t>wide</w:t>
      </w:r>
      <w:r w:rsidR="00907D8C">
        <w:t xml:space="preserve"> </w:t>
      </w:r>
      <w:r w:rsidRPr="00036FAC">
        <w:t>range</w:t>
      </w:r>
      <w:r w:rsidR="00907D8C">
        <w:t xml:space="preserve"> </w:t>
      </w:r>
      <w:r w:rsidRPr="00036FAC">
        <w:t>of</w:t>
      </w:r>
      <w:r w:rsidR="00907D8C">
        <w:t xml:space="preserve"> </w:t>
      </w:r>
      <w:r w:rsidRPr="00036FAC">
        <w:t>civil</w:t>
      </w:r>
      <w:r w:rsidR="00907D8C">
        <w:t xml:space="preserve"> </w:t>
      </w:r>
      <w:r w:rsidRPr="00036FAC">
        <w:t>society,</w:t>
      </w:r>
      <w:r w:rsidR="00907D8C">
        <w:t xml:space="preserve"> </w:t>
      </w:r>
      <w:r w:rsidRPr="00036FAC">
        <w:t>public</w:t>
      </w:r>
      <w:r w:rsidR="00907D8C">
        <w:t xml:space="preserve"> </w:t>
      </w:r>
      <w:r w:rsidRPr="00036FAC">
        <w:t>and</w:t>
      </w:r>
      <w:r w:rsidR="00907D8C">
        <w:t xml:space="preserve"> </w:t>
      </w:r>
      <w:r w:rsidRPr="00036FAC">
        <w:t>private</w:t>
      </w:r>
      <w:r w:rsidR="00907D8C">
        <w:t xml:space="preserve"> </w:t>
      </w:r>
      <w:r w:rsidRPr="00036FAC">
        <w:t>organisations.</w:t>
      </w:r>
      <w:r w:rsidR="00907D8C">
        <w:t xml:space="preserve"> </w:t>
      </w:r>
      <w:r w:rsidRPr="00036FAC">
        <w:t>Education</w:t>
      </w:r>
      <w:r w:rsidR="00907D8C">
        <w:t xml:space="preserve"> </w:t>
      </w:r>
      <w:r w:rsidRPr="00036FAC">
        <w:t>programmes</w:t>
      </w:r>
      <w:r w:rsidR="00907D8C">
        <w:t xml:space="preserve"> </w:t>
      </w:r>
      <w:r w:rsidRPr="00036FAC">
        <w:t>cover</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integration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into</w:t>
      </w:r>
      <w:r w:rsidR="00907D8C">
        <w:t xml:space="preserve"> </w:t>
      </w:r>
      <w:r w:rsidRPr="00036FAC">
        <w:t>policy</w:t>
      </w:r>
      <w:r w:rsidR="00907D8C">
        <w:t xml:space="preserve"> </w:t>
      </w:r>
      <w:r w:rsidRPr="00036FAC">
        <w:t>and</w:t>
      </w:r>
      <w:r w:rsidR="00907D8C">
        <w:t xml:space="preserve"> </w:t>
      </w:r>
      <w:r w:rsidRPr="00036FAC">
        <w:t>practice,</w:t>
      </w:r>
      <w:r w:rsidR="00907D8C">
        <w:t xml:space="preserve"> </w:t>
      </w:r>
      <w:r w:rsidRPr="00036FAC">
        <w:t>sexual</w:t>
      </w:r>
      <w:r w:rsidR="00907D8C">
        <w:t xml:space="preserve"> </w:t>
      </w:r>
      <w:r w:rsidRPr="00036FAC">
        <w:t>and</w:t>
      </w:r>
      <w:r w:rsidR="00907D8C">
        <w:t xml:space="preserve"> </w:t>
      </w:r>
      <w:r w:rsidRPr="00036FAC">
        <w:t>racial</w:t>
      </w:r>
      <w:r w:rsidR="00907D8C">
        <w:t xml:space="preserve"> </w:t>
      </w:r>
      <w:r w:rsidRPr="00036FAC">
        <w:t>harassment,</w:t>
      </w:r>
      <w:r w:rsidR="00907D8C">
        <w:t xml:space="preserve"> </w:t>
      </w:r>
      <w:r w:rsidRPr="00036FAC">
        <w:t>bullying,</w:t>
      </w:r>
      <w:r w:rsidR="00907D8C">
        <w:t xml:space="preserve"> </w:t>
      </w:r>
      <w:r w:rsidRPr="00036FAC">
        <w:t>and</w:t>
      </w:r>
      <w:r w:rsidR="00907D8C">
        <w:t xml:space="preserve"> </w:t>
      </w:r>
      <w:r w:rsidRPr="00036FAC">
        <w:t>workshops</w:t>
      </w:r>
      <w:r w:rsidR="00907D8C">
        <w:t xml:space="preserve"> </w:t>
      </w:r>
      <w:r w:rsidRPr="00036FAC">
        <w:t>on</w:t>
      </w:r>
      <w:r w:rsidR="00907D8C">
        <w:t xml:space="preserve"> </w:t>
      </w:r>
      <w:r w:rsidRPr="00036FAC">
        <w:t>the</w:t>
      </w:r>
      <w:r w:rsidR="00907D8C">
        <w:t xml:space="preserve"> </w:t>
      </w:r>
      <w:r w:rsidRPr="00036FAC">
        <w:t>various</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instruments,</w:t>
      </w:r>
      <w:r w:rsidR="00907D8C">
        <w:t xml:space="preserve"> </w:t>
      </w:r>
      <w:r w:rsidRPr="00036FAC">
        <w:t>including</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Persons</w:t>
      </w:r>
      <w:r w:rsidR="00907D8C">
        <w:t xml:space="preserve"> </w:t>
      </w:r>
      <w:r w:rsidRPr="00036FAC">
        <w:t>with</w:t>
      </w:r>
      <w:r w:rsidR="00907D8C">
        <w:t xml:space="preserve"> </w:t>
      </w:r>
      <w:r w:rsidRPr="00036FAC">
        <w:t>Disabilities.</w:t>
      </w:r>
      <w:r w:rsidR="00907D8C">
        <w:t xml:space="preserve"> </w:t>
      </w:r>
      <w:r w:rsidRPr="00036FAC">
        <w:t>Human</w:t>
      </w:r>
      <w:r w:rsidR="00907D8C">
        <w:t xml:space="preserve"> </w:t>
      </w:r>
      <w:r w:rsidRPr="00036FAC">
        <w:t>Rights</w:t>
      </w:r>
      <w:r w:rsidR="00907D8C">
        <w:t xml:space="preserve"> </w:t>
      </w:r>
      <w:r w:rsidRPr="00036FAC">
        <w:t>Dimensions</w:t>
      </w:r>
      <w:r w:rsidR="00907D8C">
        <w:t xml:space="preserve"> </w:t>
      </w:r>
      <w:r w:rsidRPr="00036FAC">
        <w:t>of</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workshops</w:t>
      </w:r>
      <w:r w:rsidR="00907D8C">
        <w:t xml:space="preserve"> </w:t>
      </w:r>
      <w:r w:rsidRPr="00036FAC">
        <w:t>are</w:t>
      </w:r>
      <w:r w:rsidR="00907D8C">
        <w:t xml:space="preserve"> </w:t>
      </w:r>
      <w:r w:rsidRPr="00036FAC">
        <w:t>delivered</w:t>
      </w:r>
      <w:r w:rsidR="00907D8C">
        <w:t xml:space="preserve"> </w:t>
      </w:r>
      <w:r w:rsidRPr="00036FAC">
        <w:t>throughout</w:t>
      </w:r>
      <w:r w:rsidR="00907D8C">
        <w:t xml:space="preserve"> </w:t>
      </w:r>
      <w:r w:rsidRPr="00036FAC">
        <w:t>the</w:t>
      </w:r>
      <w:r w:rsidR="00907D8C">
        <w:t xml:space="preserve"> </w:t>
      </w:r>
      <w:r w:rsidRPr="00036FAC">
        <w:t>country</w:t>
      </w:r>
      <w:r w:rsidR="00907D8C">
        <w:t xml:space="preserve"> </w:t>
      </w:r>
      <w:r w:rsidRPr="00036FAC">
        <w:t>as</w:t>
      </w:r>
      <w:r w:rsidR="00907D8C">
        <w:t xml:space="preserve"> </w:t>
      </w:r>
      <w:r w:rsidRPr="00036FAC">
        <w:t>part</w:t>
      </w:r>
      <w:r w:rsidR="00907D8C">
        <w:t xml:space="preserve"> </w:t>
      </w:r>
      <w:r w:rsidRPr="00036FAC">
        <w:t>of</w:t>
      </w:r>
      <w:r w:rsidR="00907D8C">
        <w:t xml:space="preserve"> </w:t>
      </w:r>
      <w:r w:rsidRPr="00036FAC">
        <w:t>the</w:t>
      </w:r>
      <w:r w:rsidR="00907D8C">
        <w:t xml:space="preserve"> </w:t>
      </w:r>
      <w:r w:rsidRPr="00036FAC">
        <w:t>NZHRC</w:t>
      </w:r>
      <w:r w:rsidR="003E4D94">
        <w:t>’</w:t>
      </w:r>
      <w:r w:rsidRPr="00036FAC">
        <w:t>s</w:t>
      </w:r>
      <w:r w:rsidR="00907D8C">
        <w:t xml:space="preserve"> </w:t>
      </w:r>
      <w:r w:rsidRPr="00036FAC">
        <w:t>Te</w:t>
      </w:r>
      <w:r w:rsidR="00907D8C">
        <w:t xml:space="preserve"> </w:t>
      </w:r>
      <w:r w:rsidRPr="00036FAC">
        <w:t>Mana</w:t>
      </w:r>
      <w:r w:rsidR="00907D8C">
        <w:t xml:space="preserve"> </w:t>
      </w:r>
      <w:r w:rsidRPr="00036FAC">
        <w:t>I</w:t>
      </w:r>
      <w:r w:rsidR="00907D8C">
        <w:t xml:space="preserve"> </w:t>
      </w:r>
      <w:r w:rsidRPr="00036FAC">
        <w:t>Waitangi</w:t>
      </w:r>
      <w:r w:rsidR="00907D8C">
        <w:t xml:space="preserve"> </w:t>
      </w:r>
      <w:r w:rsidRPr="00036FAC">
        <w:t>Project.</w:t>
      </w:r>
    </w:p>
    <w:p w:rsidR="00036FAC" w:rsidRPr="00036FAC" w:rsidRDefault="00036FAC" w:rsidP="002B6E7E">
      <w:pPr>
        <w:pStyle w:val="SingleTxtG"/>
      </w:pPr>
      <w:r w:rsidRPr="00036FAC">
        <w:t>223.</w:t>
      </w:r>
      <w:r w:rsidRPr="00036FAC">
        <w:tab/>
        <w:t>The</w:t>
      </w:r>
      <w:r w:rsidR="00907D8C">
        <w:t xml:space="preserve"> </w:t>
      </w:r>
      <w:r w:rsidRPr="00036FAC">
        <w:t>NZHRC</w:t>
      </w:r>
      <w:r w:rsidR="00907D8C">
        <w:t xml:space="preserve"> </w:t>
      </w:r>
      <w:r w:rsidRPr="00036FAC">
        <w:t>has</w:t>
      </w:r>
      <w:r w:rsidR="00907D8C">
        <w:t xml:space="preserve"> </w:t>
      </w:r>
      <w:r w:rsidRPr="00036FAC">
        <w:t>developed</w:t>
      </w:r>
      <w:r w:rsidR="00907D8C">
        <w:t xml:space="preserve"> </w:t>
      </w:r>
      <w:r w:rsidRPr="00036FAC">
        <w:t>Taku</w:t>
      </w:r>
      <w:r w:rsidR="00907D8C">
        <w:t xml:space="preserve"> </w:t>
      </w:r>
      <w:r w:rsidRPr="00036FAC">
        <w:t>Manawa,</w:t>
      </w:r>
      <w:r w:rsidR="00907D8C">
        <w:t xml:space="preserve"> </w:t>
      </w:r>
      <w:r w:rsidRPr="00036FAC">
        <w:t>a</w:t>
      </w:r>
      <w:r w:rsidR="00907D8C">
        <w:t xml:space="preserve"> </w:t>
      </w:r>
      <w:r w:rsidRPr="00036FAC">
        <w:t>human</w:t>
      </w:r>
      <w:r w:rsidR="00907D8C">
        <w:t xml:space="preserve"> </w:t>
      </w:r>
      <w:r w:rsidRPr="00036FAC">
        <w:t>rights</w:t>
      </w:r>
      <w:r w:rsidR="00907D8C">
        <w:t xml:space="preserve"> </w:t>
      </w:r>
      <w:r w:rsidRPr="00036FAC">
        <w:t>community</w:t>
      </w:r>
      <w:r w:rsidR="00907D8C">
        <w:t xml:space="preserve"> </w:t>
      </w:r>
      <w:r w:rsidRPr="00036FAC">
        <w:t>development</w:t>
      </w:r>
      <w:r w:rsidR="00907D8C">
        <w:t xml:space="preserve"> </w:t>
      </w:r>
      <w:r w:rsidRPr="00036FAC">
        <w:t>programme</w:t>
      </w:r>
      <w:r w:rsidR="00907D8C">
        <w:t xml:space="preserve"> </w:t>
      </w:r>
      <w:r w:rsidRPr="00036FAC">
        <w:t>that</w:t>
      </w:r>
      <w:r w:rsidR="00907D8C">
        <w:t xml:space="preserve"> </w:t>
      </w:r>
      <w:r w:rsidRPr="00036FAC">
        <w:t>builds</w:t>
      </w:r>
      <w:r w:rsidR="00907D8C">
        <w:t xml:space="preserve"> </w:t>
      </w:r>
      <w:r w:rsidRPr="00036FAC">
        <w:t>capability</w:t>
      </w:r>
      <w:r w:rsidR="00907D8C">
        <w:t xml:space="preserve"> </w:t>
      </w:r>
      <w:r w:rsidRPr="00036FAC">
        <w:t>to</w:t>
      </w:r>
      <w:r w:rsidR="00907D8C">
        <w:t xml:space="preserve"> </w:t>
      </w:r>
      <w:r w:rsidRPr="00036FAC">
        <w:t>address</w:t>
      </w:r>
      <w:r w:rsidR="00907D8C">
        <w:t xml:space="preserve"> </w:t>
      </w:r>
      <w:r w:rsidRPr="00036FAC">
        <w:t>local</w:t>
      </w:r>
      <w:r w:rsidR="00907D8C">
        <w:t xml:space="preserve"> </w:t>
      </w:r>
      <w:r w:rsidRPr="00036FAC">
        <w:t>human</w:t>
      </w:r>
      <w:r w:rsidR="00907D8C">
        <w:t xml:space="preserve"> </w:t>
      </w:r>
      <w:r w:rsidRPr="00036FAC">
        <w:t>rights</w:t>
      </w:r>
      <w:r w:rsidR="00907D8C">
        <w:t xml:space="preserve"> </w:t>
      </w:r>
      <w:r w:rsidRPr="00036FAC">
        <w:t>issues.</w:t>
      </w:r>
      <w:r w:rsidR="00907D8C">
        <w:t xml:space="preserve"> </w:t>
      </w:r>
      <w:r w:rsidRPr="00036FAC">
        <w:t>The</w:t>
      </w:r>
      <w:r w:rsidR="00907D8C">
        <w:t xml:space="preserve"> </w:t>
      </w:r>
      <w:r w:rsidRPr="00036FAC">
        <w:t>Taku</w:t>
      </w:r>
      <w:r w:rsidR="00907D8C">
        <w:t xml:space="preserve"> </w:t>
      </w:r>
      <w:r w:rsidRPr="00036FAC">
        <w:t>Manawa</w:t>
      </w:r>
      <w:r w:rsidR="00907D8C">
        <w:t xml:space="preserve"> </w:t>
      </w:r>
      <w:r w:rsidRPr="00036FAC">
        <w:t>programme</w:t>
      </w:r>
      <w:r w:rsidR="00907D8C">
        <w:t xml:space="preserve"> </w:t>
      </w:r>
      <w:r w:rsidRPr="00036FAC">
        <w:t>provides</w:t>
      </w:r>
      <w:r w:rsidR="00907D8C">
        <w:t xml:space="preserve"> </w:t>
      </w:r>
      <w:r w:rsidRPr="00036FAC">
        <w:t>training</w:t>
      </w:r>
      <w:r w:rsidR="00907D8C">
        <w:t xml:space="preserve"> </w:t>
      </w:r>
      <w:r w:rsidRPr="00036FAC">
        <w:t>for</w:t>
      </w:r>
      <w:r w:rsidR="00907D8C">
        <w:t xml:space="preserve"> </w:t>
      </w:r>
      <w:r w:rsidRPr="00036FAC">
        <w:t>community</w:t>
      </w:r>
      <w:r w:rsidR="00907D8C">
        <w:t xml:space="preserve"> </w:t>
      </w:r>
      <w:r w:rsidRPr="00036FAC">
        <w:t>members</w:t>
      </w:r>
      <w:r w:rsidR="00907D8C">
        <w:t xml:space="preserve"> </w:t>
      </w:r>
      <w:r w:rsidRPr="00036FAC">
        <w:t>to</w:t>
      </w:r>
      <w:r w:rsidR="00907D8C">
        <w:t xml:space="preserve"> </w:t>
      </w:r>
      <w:r w:rsidRPr="00036FAC">
        <w:t>employ</w:t>
      </w:r>
      <w:r w:rsidR="00907D8C">
        <w:t xml:space="preserve"> </w:t>
      </w:r>
      <w:r w:rsidRPr="00036FAC">
        <w:t>a</w:t>
      </w:r>
      <w:r w:rsidR="00907D8C">
        <w:t xml:space="preserve"> </w:t>
      </w:r>
      <w:r w:rsidRPr="00036FAC">
        <w:t>human</w:t>
      </w:r>
      <w:r w:rsidR="00907D8C">
        <w:t xml:space="preserve"> </w:t>
      </w:r>
      <w:r w:rsidRPr="00036FAC">
        <w:t>rights</w:t>
      </w:r>
      <w:r w:rsidR="00907D8C">
        <w:t xml:space="preserve"> </w:t>
      </w:r>
      <w:r w:rsidRPr="00036FAC">
        <w:t>approach</w:t>
      </w:r>
      <w:r w:rsidR="00907D8C">
        <w:t xml:space="preserve"> </w:t>
      </w:r>
      <w:r w:rsidRPr="00036FAC">
        <w:t>to</w:t>
      </w:r>
      <w:r w:rsidR="00907D8C">
        <w:t xml:space="preserve"> </w:t>
      </w:r>
      <w:r w:rsidRPr="00036FAC">
        <w:t>advocacy</w:t>
      </w:r>
      <w:r w:rsidR="00907D8C">
        <w:t xml:space="preserve"> </w:t>
      </w:r>
      <w:r w:rsidRPr="00036FAC">
        <w:t>for</w:t>
      </w:r>
      <w:r w:rsidR="00907D8C">
        <w:t xml:space="preserve"> </w:t>
      </w:r>
      <w:r w:rsidRPr="00036FAC">
        <w:t>groups</w:t>
      </w:r>
      <w:r w:rsidR="00907D8C">
        <w:t xml:space="preserve"> </w:t>
      </w:r>
      <w:r w:rsidRPr="00036FAC">
        <w:t>and</w:t>
      </w:r>
      <w:r w:rsidR="00907D8C">
        <w:t xml:space="preserve"> </w:t>
      </w:r>
      <w:r w:rsidRPr="00036FAC">
        <w:t>individuals</w:t>
      </w:r>
      <w:r w:rsidR="00907D8C">
        <w:t xml:space="preserve"> </w:t>
      </w:r>
      <w:r w:rsidRPr="00036FAC">
        <w:t>within</w:t>
      </w:r>
      <w:r w:rsidR="00907D8C">
        <w:t xml:space="preserve"> </w:t>
      </w:r>
      <w:r w:rsidRPr="00036FAC">
        <w:t>their</w:t>
      </w:r>
      <w:r w:rsidR="00907D8C">
        <w:t xml:space="preserve"> </w:t>
      </w:r>
      <w:r w:rsidRPr="00036FAC">
        <w:t>community.</w:t>
      </w:r>
      <w:r w:rsidR="00907D8C">
        <w:t xml:space="preserve"> </w:t>
      </w:r>
      <w:r w:rsidRPr="00036FAC">
        <w:t>Those</w:t>
      </w:r>
      <w:r w:rsidR="00907D8C">
        <w:t xml:space="preserve"> </w:t>
      </w:r>
      <w:r w:rsidRPr="00036FAC">
        <w:t>receiving</w:t>
      </w:r>
      <w:r w:rsidR="00907D8C">
        <w:t xml:space="preserve"> </w:t>
      </w:r>
      <w:r w:rsidRPr="00036FAC">
        <w:t>this</w:t>
      </w:r>
      <w:r w:rsidR="00907D8C">
        <w:t xml:space="preserve"> </w:t>
      </w:r>
      <w:r w:rsidRPr="00036FAC">
        <w:t>training</w:t>
      </w:r>
      <w:r w:rsidR="00907D8C">
        <w:t xml:space="preserve"> </w:t>
      </w:r>
      <w:r w:rsidRPr="00036FAC">
        <w:t>are</w:t>
      </w:r>
      <w:r w:rsidR="00907D8C">
        <w:t xml:space="preserve"> </w:t>
      </w:r>
      <w:r w:rsidRPr="00036FAC">
        <w:t>able</w:t>
      </w:r>
      <w:r w:rsidR="00907D8C">
        <w:t xml:space="preserve"> </w:t>
      </w:r>
      <w:r w:rsidRPr="00036FAC">
        <w:t>to</w:t>
      </w:r>
      <w:r w:rsidR="00907D8C">
        <w:t xml:space="preserve"> </w:t>
      </w:r>
      <w:r w:rsidRPr="00036FAC">
        <w:t>receive</w:t>
      </w:r>
      <w:r w:rsidR="00907D8C">
        <w:t xml:space="preserve"> </w:t>
      </w:r>
      <w:r w:rsidRPr="00036FAC">
        <w:t>credits</w:t>
      </w:r>
      <w:r w:rsidR="00907D8C">
        <w:t xml:space="preserve"> </w:t>
      </w:r>
      <w:r w:rsidRPr="00036FAC">
        <w:t>under</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Qualifications</w:t>
      </w:r>
      <w:r w:rsidR="00907D8C">
        <w:t xml:space="preserve"> </w:t>
      </w:r>
      <w:r w:rsidRPr="00036FAC">
        <w:t>Framework.</w:t>
      </w:r>
      <w:r w:rsidR="00907D8C">
        <w:t xml:space="preserve"> </w:t>
      </w:r>
      <w:r w:rsidRPr="00036FAC">
        <w:t>The</w:t>
      </w:r>
      <w:r w:rsidR="00907D8C">
        <w:t xml:space="preserve"> </w:t>
      </w:r>
      <w:r w:rsidRPr="00036FAC">
        <w:t>programme</w:t>
      </w:r>
      <w:r w:rsidR="00907D8C">
        <w:t xml:space="preserve"> </w:t>
      </w:r>
      <w:r w:rsidRPr="00036FAC">
        <w:t>has</w:t>
      </w:r>
      <w:r w:rsidR="00907D8C">
        <w:t xml:space="preserve"> </w:t>
      </w:r>
      <w:r w:rsidRPr="00036FAC">
        <w:t>been</w:t>
      </w:r>
      <w:r w:rsidR="00907D8C">
        <w:t xml:space="preserve"> </w:t>
      </w:r>
      <w:r w:rsidRPr="00036FAC">
        <w:t>implemented</w:t>
      </w:r>
      <w:r w:rsidR="00907D8C">
        <w:t xml:space="preserve"> </w:t>
      </w:r>
      <w:r w:rsidRPr="00036FAC">
        <w:t>in</w:t>
      </w:r>
      <w:r w:rsidR="00907D8C">
        <w:t xml:space="preserve"> </w:t>
      </w:r>
      <w:r w:rsidRPr="00036FAC">
        <w:t>three</w:t>
      </w:r>
      <w:r w:rsidR="00907D8C">
        <w:t xml:space="preserve"> </w:t>
      </w:r>
      <w:r w:rsidRPr="00036FAC">
        <w:t>regions</w:t>
      </w:r>
      <w:r w:rsidR="00907D8C">
        <w:t xml:space="preserve"> </w:t>
      </w:r>
      <w:r w:rsidRPr="00036FAC">
        <w:t>to</w:t>
      </w:r>
      <w:r w:rsidR="00907D8C">
        <w:t xml:space="preserve"> </w:t>
      </w:r>
      <w:r w:rsidRPr="00036FAC">
        <w:t>date.</w:t>
      </w:r>
    </w:p>
    <w:p w:rsidR="00036FAC" w:rsidRPr="00036FAC" w:rsidRDefault="00036FAC" w:rsidP="002B6E7E">
      <w:pPr>
        <w:pStyle w:val="SingleTxtG"/>
      </w:pPr>
      <w:r w:rsidRPr="00036FAC">
        <w:t>224.</w:t>
      </w:r>
      <w:r w:rsidRPr="00036FAC">
        <w:tab/>
        <w:t>The</w:t>
      </w:r>
      <w:r w:rsidR="00907D8C">
        <w:t xml:space="preserve"> </w:t>
      </w:r>
      <w:r w:rsidRPr="00036FAC">
        <w:t>NZHRC</w:t>
      </w:r>
      <w:r w:rsidR="00907D8C">
        <w:t xml:space="preserve"> </w:t>
      </w:r>
      <w:r w:rsidRPr="00036FAC">
        <w:t>facilitates</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Diversity</w:t>
      </w:r>
      <w:r w:rsidR="00907D8C">
        <w:t xml:space="preserve"> </w:t>
      </w:r>
      <w:r w:rsidRPr="00036FAC">
        <w:t>Action</w:t>
      </w:r>
      <w:r w:rsidR="00907D8C">
        <w:t xml:space="preserve"> </w:t>
      </w:r>
      <w:r w:rsidRPr="00036FAC">
        <w:t>Programme.</w:t>
      </w:r>
      <w:r w:rsidR="00907D8C">
        <w:t xml:space="preserve"> </w:t>
      </w:r>
      <w:r w:rsidRPr="00036FAC">
        <w:t>Through</w:t>
      </w:r>
      <w:r w:rsidR="00907D8C">
        <w:t xml:space="preserve"> </w:t>
      </w:r>
      <w:r w:rsidRPr="00036FAC">
        <w:t>this</w:t>
      </w:r>
      <w:r w:rsidR="00907D8C">
        <w:t xml:space="preserve"> </w:t>
      </w:r>
      <w:r w:rsidRPr="00036FAC">
        <w:t>programme,</w:t>
      </w:r>
      <w:r w:rsidR="00907D8C">
        <w:t xml:space="preserve"> </w:t>
      </w:r>
      <w:r w:rsidRPr="00036FAC">
        <w:t>250</w:t>
      </w:r>
      <w:r w:rsidR="00907D8C">
        <w:t xml:space="preserve"> </w:t>
      </w:r>
      <w:r w:rsidRPr="00036FAC">
        <w:t>government</w:t>
      </w:r>
      <w:r w:rsidR="00907D8C">
        <w:t xml:space="preserve"> </w:t>
      </w:r>
      <w:r w:rsidRPr="00036FAC">
        <w:t>agencies,</w:t>
      </w:r>
      <w:r w:rsidR="00907D8C">
        <w:t xml:space="preserve"> </w:t>
      </w:r>
      <w:r w:rsidRPr="00036FAC">
        <w:t>community,</w:t>
      </w:r>
      <w:r w:rsidR="00907D8C">
        <w:t xml:space="preserve"> </w:t>
      </w:r>
      <w:r w:rsidRPr="00036FAC">
        <w:t>and</w:t>
      </w:r>
      <w:r w:rsidR="00907D8C">
        <w:t xml:space="preserve"> </w:t>
      </w:r>
      <w:r w:rsidRPr="00036FAC">
        <w:t>private</w:t>
      </w:r>
      <w:r w:rsidR="00907D8C">
        <w:t xml:space="preserve"> </w:t>
      </w:r>
      <w:r w:rsidRPr="00036FAC">
        <w:t>sector</w:t>
      </w:r>
      <w:r w:rsidR="00907D8C">
        <w:t xml:space="preserve"> </w:t>
      </w:r>
      <w:r w:rsidRPr="00036FAC">
        <w:t>organisations</w:t>
      </w:r>
      <w:r w:rsidR="00907D8C">
        <w:t xml:space="preserve"> </w:t>
      </w:r>
      <w:r w:rsidRPr="00036FAC">
        <w:t>annually</w:t>
      </w:r>
      <w:r w:rsidR="00907D8C">
        <w:t xml:space="preserve"> </w:t>
      </w:r>
      <w:r w:rsidRPr="00036FAC">
        <w:t>register</w:t>
      </w:r>
      <w:r w:rsidR="00907D8C">
        <w:t xml:space="preserve"> </w:t>
      </w:r>
      <w:r w:rsidRPr="00036FAC">
        <w:t>projects</w:t>
      </w:r>
      <w:r w:rsidR="00907D8C">
        <w:t xml:space="preserve"> </w:t>
      </w:r>
      <w:r w:rsidRPr="00036FAC">
        <w:t>that</w:t>
      </w:r>
      <w:r w:rsidR="00907D8C">
        <w:t xml:space="preserve"> </w:t>
      </w:r>
      <w:r w:rsidRPr="00036FAC">
        <w:t>support</w:t>
      </w:r>
      <w:r w:rsidR="00907D8C">
        <w:t xml:space="preserve"> </w:t>
      </w:r>
      <w:r w:rsidRPr="00036FAC">
        <w:t>cultural</w:t>
      </w:r>
      <w:r w:rsidR="00907D8C">
        <w:t xml:space="preserve"> </w:t>
      </w:r>
      <w:r w:rsidRPr="00036FAC">
        <w:t>diversity,</w:t>
      </w:r>
      <w:r w:rsidR="00907D8C">
        <w:t xml:space="preserve"> </w:t>
      </w:r>
      <w:r w:rsidRPr="00036FAC">
        <w:t>equality,</w:t>
      </w:r>
      <w:r w:rsidR="00907D8C">
        <w:t xml:space="preserve"> </w:t>
      </w:r>
      <w:r w:rsidRPr="00036FAC">
        <w:t>and</w:t>
      </w:r>
      <w:r w:rsidR="00907D8C">
        <w:t xml:space="preserve"> </w:t>
      </w:r>
      <w:r w:rsidRPr="00036FAC">
        <w:t>harmonious</w:t>
      </w:r>
      <w:r w:rsidR="00907D8C">
        <w:t xml:space="preserve"> </w:t>
      </w:r>
      <w:r w:rsidRPr="00036FAC">
        <w:t>race</w:t>
      </w:r>
      <w:r w:rsidR="00907D8C">
        <w:t xml:space="preserve"> </w:t>
      </w:r>
      <w:r w:rsidRPr="00036FAC">
        <w:t>relations.</w:t>
      </w:r>
      <w:r w:rsidR="00907D8C">
        <w:t xml:space="preserve"> </w:t>
      </w:r>
      <w:r w:rsidRPr="00036FAC">
        <w:t>The</w:t>
      </w:r>
      <w:r w:rsidR="00907D8C">
        <w:t xml:space="preserve"> </w:t>
      </w:r>
      <w:r w:rsidRPr="00036FAC">
        <w:t>NZHRC</w:t>
      </w:r>
      <w:r w:rsidR="00907D8C">
        <w:t xml:space="preserve"> </w:t>
      </w:r>
      <w:r w:rsidRPr="00036FAC">
        <w:t>provides</w:t>
      </w:r>
      <w:r w:rsidR="00907D8C">
        <w:t xml:space="preserve"> </w:t>
      </w:r>
      <w:r w:rsidRPr="00036FAC">
        <w:t>information,</w:t>
      </w:r>
      <w:r w:rsidR="00907D8C">
        <w:t xml:space="preserve"> </w:t>
      </w:r>
      <w:r w:rsidRPr="00036FAC">
        <w:t>support,</w:t>
      </w:r>
      <w:r w:rsidR="00907D8C">
        <w:t xml:space="preserve"> </w:t>
      </w:r>
      <w:r w:rsidRPr="00036FAC">
        <w:t>and</w:t>
      </w:r>
      <w:r w:rsidR="00907D8C">
        <w:t xml:space="preserve"> </w:t>
      </w:r>
      <w:r w:rsidRPr="00036FAC">
        <w:t>sharing</w:t>
      </w:r>
      <w:r w:rsidR="00907D8C">
        <w:t xml:space="preserve"> </w:t>
      </w:r>
      <w:r w:rsidRPr="00036FAC">
        <w:t>of</w:t>
      </w:r>
      <w:r w:rsidR="00907D8C">
        <w:t xml:space="preserve"> </w:t>
      </w:r>
      <w:r w:rsidRPr="00036FAC">
        <w:t>good</w:t>
      </w:r>
      <w:r w:rsidR="00907D8C">
        <w:t xml:space="preserve"> </w:t>
      </w:r>
      <w:r w:rsidRPr="00036FAC">
        <w:t>practice</w:t>
      </w:r>
      <w:r w:rsidR="00907D8C">
        <w:t xml:space="preserve"> </w:t>
      </w:r>
      <w:r w:rsidRPr="00036FAC">
        <w:t>through</w:t>
      </w:r>
      <w:r w:rsidR="00907D8C">
        <w:t xml:space="preserve"> </w:t>
      </w:r>
      <w:r w:rsidRPr="00036FAC">
        <w:t>the</w:t>
      </w:r>
      <w:r w:rsidR="00907D8C">
        <w:t xml:space="preserve"> </w:t>
      </w:r>
      <w:r w:rsidRPr="00036FAC">
        <w:t>four</w:t>
      </w:r>
      <w:r w:rsidR="00907D8C">
        <w:t xml:space="preserve"> </w:t>
      </w:r>
      <w:r w:rsidRPr="00036FAC">
        <w:t>topic-specific</w:t>
      </w:r>
      <w:r w:rsidR="00907D8C">
        <w:t xml:space="preserve"> </w:t>
      </w:r>
      <w:r w:rsidRPr="00036FAC">
        <w:t>networks</w:t>
      </w:r>
      <w:r w:rsidR="00907D8C">
        <w:t xml:space="preserve"> </w:t>
      </w:r>
      <w:r w:rsidRPr="00036FAC">
        <w:t>that</w:t>
      </w:r>
      <w:r w:rsidR="00907D8C">
        <w:t xml:space="preserve"> </w:t>
      </w:r>
      <w:r w:rsidRPr="00036FAC">
        <w:t>participate</w:t>
      </w:r>
      <w:r w:rsidR="00907D8C">
        <w:t xml:space="preserve"> </w:t>
      </w:r>
      <w:r w:rsidRPr="00036FAC">
        <w:t>in</w:t>
      </w:r>
      <w:r w:rsidR="00907D8C">
        <w:t xml:space="preserve"> </w:t>
      </w:r>
      <w:r w:rsidRPr="00036FAC">
        <w:t>the</w:t>
      </w:r>
      <w:r w:rsidR="00907D8C">
        <w:t xml:space="preserve"> </w:t>
      </w:r>
      <w:r w:rsidRPr="00036FAC">
        <w:t>programme</w:t>
      </w:r>
      <w:r w:rsidR="00907D8C">
        <w:t xml:space="preserve"> </w:t>
      </w:r>
      <w:r w:rsidRPr="00036FAC">
        <w:t>and</w:t>
      </w:r>
      <w:r w:rsidR="00907D8C">
        <w:t xml:space="preserve"> </w:t>
      </w:r>
      <w:r w:rsidRPr="00036FAC">
        <w:t>an</w:t>
      </w:r>
      <w:r w:rsidR="00907D8C">
        <w:t xml:space="preserve"> </w:t>
      </w:r>
      <w:r w:rsidRPr="00036FAC">
        <w:t>annual</w:t>
      </w:r>
      <w:r w:rsidR="00907D8C">
        <w:t xml:space="preserve"> </w:t>
      </w:r>
      <w:r w:rsidRPr="00036FAC">
        <w:t>Diversity</w:t>
      </w:r>
      <w:r w:rsidR="00907D8C">
        <w:t xml:space="preserve"> </w:t>
      </w:r>
      <w:r w:rsidRPr="00036FAC">
        <w:t>Forum.</w:t>
      </w:r>
    </w:p>
    <w:p w:rsidR="00036FAC" w:rsidRPr="00036FAC" w:rsidRDefault="00036FAC" w:rsidP="006C436C">
      <w:pPr>
        <w:pStyle w:val="H23G"/>
      </w:pPr>
      <w:r w:rsidRPr="00036FAC">
        <w:tab/>
        <w:t>(d)</w:t>
      </w:r>
      <w:r w:rsidRPr="00036FAC">
        <w:tab/>
        <w:t>Human</w:t>
      </w:r>
      <w:r w:rsidR="00907D8C">
        <w:t xml:space="preserve"> </w:t>
      </w:r>
      <w:r w:rsidRPr="00036FAC">
        <w:t>rights</w:t>
      </w:r>
      <w:r w:rsidR="00907D8C">
        <w:t xml:space="preserve"> </w:t>
      </w:r>
      <w:r w:rsidRPr="00036FAC">
        <w:t>education</w:t>
      </w:r>
      <w:r w:rsidR="00907D8C">
        <w:t xml:space="preserve"> </w:t>
      </w:r>
      <w:r w:rsidRPr="00036FAC">
        <w:t>for</w:t>
      </w:r>
      <w:r w:rsidR="00907D8C">
        <w:t xml:space="preserve"> </w:t>
      </w:r>
      <w:r w:rsidRPr="00036FAC">
        <w:t>the</w:t>
      </w:r>
      <w:r w:rsidR="00907D8C">
        <w:t xml:space="preserve"> </w:t>
      </w:r>
      <w:r w:rsidRPr="00036FAC">
        <w:t>public</w:t>
      </w:r>
      <w:r w:rsidR="00907D8C">
        <w:t xml:space="preserve"> </w:t>
      </w:r>
      <w:r w:rsidRPr="00036FAC">
        <w:t>sector</w:t>
      </w:r>
    </w:p>
    <w:p w:rsidR="00036FAC" w:rsidRPr="00036FAC" w:rsidRDefault="00036FAC" w:rsidP="002B6E7E">
      <w:pPr>
        <w:pStyle w:val="SingleTxtG"/>
      </w:pPr>
      <w:r w:rsidRPr="00036FAC">
        <w:t>225.</w:t>
      </w:r>
      <w:r w:rsidRPr="00036FAC">
        <w:tab/>
        <w:t>The</w:t>
      </w:r>
      <w:r w:rsidR="00907D8C">
        <w:t xml:space="preserve"> </w:t>
      </w:r>
      <w:r w:rsidRPr="00036FAC">
        <w:t>NZHRC</w:t>
      </w:r>
      <w:r w:rsidR="00907D8C">
        <w:t xml:space="preserve"> </w:t>
      </w:r>
      <w:r w:rsidRPr="00036FAC">
        <w:t>works</w:t>
      </w:r>
      <w:r w:rsidR="00907D8C">
        <w:t xml:space="preserve"> </w:t>
      </w:r>
      <w:r w:rsidRPr="00036FAC">
        <w:t>with</w:t>
      </w:r>
      <w:r w:rsidR="00907D8C">
        <w:t xml:space="preserve"> </w:t>
      </w:r>
      <w:r w:rsidRPr="00036FAC">
        <w:t>a</w:t>
      </w:r>
      <w:r w:rsidR="00907D8C">
        <w:t xml:space="preserve"> </w:t>
      </w:r>
      <w:r w:rsidRPr="00036FAC">
        <w:t>range</w:t>
      </w:r>
      <w:r w:rsidR="00907D8C">
        <w:t xml:space="preserve"> </w:t>
      </w:r>
      <w:r w:rsidRPr="00036FAC">
        <w:t>of</w:t>
      </w:r>
      <w:r w:rsidR="00907D8C">
        <w:t xml:space="preserve"> </w:t>
      </w:r>
      <w:r w:rsidRPr="00036FAC">
        <w:t>government</w:t>
      </w:r>
      <w:r w:rsidR="00907D8C">
        <w:t xml:space="preserve"> </w:t>
      </w:r>
      <w:r w:rsidRPr="00036FAC">
        <w:t>agencies</w:t>
      </w:r>
      <w:r w:rsidR="00907D8C">
        <w:t xml:space="preserve"> </w:t>
      </w:r>
      <w:r w:rsidRPr="00036FAC">
        <w:t>to</w:t>
      </w:r>
      <w:r w:rsidR="00907D8C">
        <w:t xml:space="preserve"> </w:t>
      </w:r>
      <w:r w:rsidRPr="00036FAC">
        <w:t>integrate</w:t>
      </w:r>
      <w:r w:rsidR="00907D8C">
        <w:t xml:space="preserve"> </w:t>
      </w:r>
      <w:r w:rsidRPr="00036FAC">
        <w:t>a</w:t>
      </w:r>
      <w:r w:rsidR="00907D8C">
        <w:t xml:space="preserve"> </w:t>
      </w:r>
      <w:r w:rsidRPr="00036FAC">
        <w:t>human</w:t>
      </w:r>
      <w:r w:rsidR="00907D8C">
        <w:t xml:space="preserve"> </w:t>
      </w:r>
      <w:r w:rsidRPr="00036FAC">
        <w:t>rights</w:t>
      </w:r>
      <w:r w:rsidR="00907D8C">
        <w:t xml:space="preserve"> </w:t>
      </w:r>
      <w:r w:rsidRPr="00036FAC">
        <w:t>approach</w:t>
      </w:r>
      <w:r w:rsidR="00907D8C">
        <w:t xml:space="preserve"> </w:t>
      </w:r>
      <w:r w:rsidRPr="00036FAC">
        <w:t>into</w:t>
      </w:r>
      <w:r w:rsidR="00907D8C">
        <w:t xml:space="preserve"> </w:t>
      </w:r>
      <w:r w:rsidRPr="00036FAC">
        <w:t>their</w:t>
      </w:r>
      <w:r w:rsidR="00907D8C">
        <w:t xml:space="preserve"> </w:t>
      </w:r>
      <w:r w:rsidRPr="00036FAC">
        <w:t>policies</w:t>
      </w:r>
      <w:r w:rsidR="00907D8C">
        <w:t xml:space="preserve"> </w:t>
      </w:r>
      <w:r w:rsidRPr="00036FAC">
        <w:t>and</w:t>
      </w:r>
      <w:r w:rsidR="00907D8C">
        <w:t xml:space="preserve"> </w:t>
      </w:r>
      <w:r w:rsidRPr="00036FAC">
        <w:t>practices.</w:t>
      </w:r>
      <w:r w:rsidR="00907D8C">
        <w:t xml:space="preserve"> </w:t>
      </w:r>
      <w:r w:rsidRPr="00036FAC">
        <w:t>To</w:t>
      </w:r>
      <w:r w:rsidR="00907D8C">
        <w:t xml:space="preserve"> </w:t>
      </w:r>
      <w:r w:rsidRPr="00036FAC">
        <w:t>date</w:t>
      </w:r>
      <w:r w:rsidR="00907D8C">
        <w:t xml:space="preserve"> </w:t>
      </w:r>
      <w:r w:rsidRPr="00036FAC">
        <w:t>this</w:t>
      </w:r>
      <w:r w:rsidR="00907D8C">
        <w:t xml:space="preserve"> </w:t>
      </w:r>
      <w:r w:rsidRPr="00036FAC">
        <w:t>has</w:t>
      </w:r>
      <w:r w:rsidR="00907D8C">
        <w:t xml:space="preserve"> </w:t>
      </w:r>
      <w:r w:rsidRPr="00036FAC">
        <w:t>included</w:t>
      </w:r>
      <w:r w:rsidR="00907D8C">
        <w:t xml:space="preserve"> </w:t>
      </w:r>
      <w:r w:rsidRPr="00036FAC">
        <w:t>the</w:t>
      </w:r>
      <w:r w:rsidR="00907D8C">
        <w:t xml:space="preserve"> </w:t>
      </w:r>
      <w:r w:rsidRPr="00036FAC">
        <w:t>New</w:t>
      </w:r>
      <w:r w:rsidR="00907D8C">
        <w:t xml:space="preserve"> </w:t>
      </w:r>
      <w:r w:rsidRPr="00036FAC">
        <w:t>Zealand</w:t>
      </w:r>
      <w:r w:rsidR="00907D8C">
        <w:t xml:space="preserve"> </w:t>
      </w:r>
      <w:r w:rsidRPr="00036FAC">
        <w:t>Police,</w:t>
      </w:r>
      <w:r w:rsidR="00907D8C">
        <w:t xml:space="preserve"> </w:t>
      </w:r>
      <w:r w:rsidRPr="00036FAC">
        <w:t>Ministry</w:t>
      </w:r>
      <w:r w:rsidR="00907D8C">
        <w:t xml:space="preserve"> </w:t>
      </w:r>
      <w:r w:rsidRPr="00036FAC">
        <w:t>of</w:t>
      </w:r>
      <w:r w:rsidR="00907D8C">
        <w:t xml:space="preserve"> </w:t>
      </w:r>
      <w:r w:rsidRPr="00036FAC">
        <w:t>Foreign</w:t>
      </w:r>
      <w:r w:rsidR="00907D8C">
        <w:t xml:space="preserve"> </w:t>
      </w:r>
      <w:r w:rsidRPr="00036FAC">
        <w:t>Affairs</w:t>
      </w:r>
      <w:r w:rsidR="00907D8C">
        <w:t xml:space="preserve"> </w:t>
      </w:r>
      <w:r w:rsidRPr="00036FAC">
        <w:t>and</w:t>
      </w:r>
      <w:r w:rsidR="00907D8C">
        <w:t xml:space="preserve"> </w:t>
      </w:r>
      <w:r w:rsidRPr="00036FAC">
        <w:t>Trade,</w:t>
      </w:r>
      <w:r w:rsidR="00907D8C">
        <w:t xml:space="preserve"> </w:t>
      </w:r>
      <w:r w:rsidRPr="00036FAC">
        <w:t>and</w:t>
      </w:r>
      <w:r w:rsidR="00907D8C">
        <w:t xml:space="preserve"> </w:t>
      </w:r>
      <w:r w:rsidRPr="00036FAC">
        <w:t>Department</w:t>
      </w:r>
      <w:r w:rsidR="00907D8C">
        <w:t xml:space="preserve"> </w:t>
      </w:r>
      <w:r w:rsidRPr="00036FAC">
        <w:t>of</w:t>
      </w:r>
      <w:r w:rsidR="00907D8C">
        <w:t xml:space="preserve"> </w:t>
      </w:r>
      <w:r w:rsidRPr="00036FAC">
        <w:t>Corrections.</w:t>
      </w:r>
    </w:p>
    <w:p w:rsidR="00036FAC" w:rsidRPr="00036FAC" w:rsidRDefault="00036FAC" w:rsidP="002B6E7E">
      <w:pPr>
        <w:pStyle w:val="SingleTxtG"/>
      </w:pPr>
      <w:r w:rsidRPr="00036FAC">
        <w:t>226.</w:t>
      </w:r>
      <w:r w:rsidRPr="00036FAC">
        <w:tab/>
        <w:t>There</w:t>
      </w:r>
      <w:r w:rsidR="00907D8C">
        <w:t xml:space="preserve"> </w:t>
      </w:r>
      <w:r w:rsidRPr="00036FAC">
        <w:t>is</w:t>
      </w:r>
      <w:r w:rsidR="00907D8C">
        <w:t xml:space="preserve"> </w:t>
      </w:r>
      <w:r w:rsidRPr="00036FAC">
        <w:t>no</w:t>
      </w:r>
      <w:r w:rsidR="00907D8C">
        <w:t xml:space="preserve"> </w:t>
      </w:r>
      <w:r w:rsidRPr="00036FAC">
        <w:t>coordinated</w:t>
      </w:r>
      <w:r w:rsidR="00907D8C">
        <w:t xml:space="preserve"> </w:t>
      </w:r>
      <w:r w:rsidRPr="00036FAC">
        <w:t>programme</w:t>
      </w:r>
      <w:r w:rsidR="00907D8C">
        <w:t xml:space="preserve"> </w:t>
      </w:r>
      <w:r w:rsidRPr="00036FAC">
        <w:t>for</w:t>
      </w:r>
      <w:r w:rsidR="00907D8C">
        <w:t xml:space="preserve"> </w:t>
      </w:r>
      <w:r w:rsidRPr="00036FAC">
        <w:t>human</w:t>
      </w:r>
      <w:r w:rsidR="00907D8C">
        <w:t xml:space="preserve"> </w:t>
      </w:r>
      <w:r w:rsidRPr="00036FAC">
        <w:t>rights</w:t>
      </w:r>
      <w:r w:rsidR="00907D8C">
        <w:t xml:space="preserve"> </w:t>
      </w:r>
      <w:r w:rsidRPr="00036FAC">
        <w:t>education</w:t>
      </w:r>
      <w:r w:rsidR="00907D8C">
        <w:t xml:space="preserve"> </w:t>
      </w:r>
      <w:r w:rsidRPr="00036FAC">
        <w:t>specifically</w:t>
      </w:r>
      <w:r w:rsidR="00907D8C">
        <w:t xml:space="preserve"> </w:t>
      </w:r>
      <w:r w:rsidRPr="00036FAC">
        <w:t>designed</w:t>
      </w:r>
      <w:r w:rsidR="00907D8C">
        <w:t xml:space="preserve"> </w:t>
      </w:r>
      <w:r w:rsidRPr="00036FAC">
        <w:t>for</w:t>
      </w:r>
      <w:r w:rsidR="00907D8C">
        <w:t xml:space="preserve"> </w:t>
      </w:r>
      <w:r w:rsidRPr="00036FAC">
        <w:t>local</w:t>
      </w:r>
      <w:r w:rsidR="00907D8C">
        <w:t xml:space="preserve"> </w:t>
      </w:r>
      <w:r w:rsidRPr="00036FAC">
        <w:t>authorities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Instead,</w:t>
      </w:r>
      <w:r w:rsidR="00907D8C">
        <w:t xml:space="preserve"> </w:t>
      </w:r>
      <w:r w:rsidRPr="00036FAC">
        <w:t>each</w:t>
      </w:r>
      <w:r w:rsidR="00907D8C">
        <w:t xml:space="preserve"> </w:t>
      </w:r>
      <w:r w:rsidRPr="00036FAC">
        <w:t>local</w:t>
      </w:r>
      <w:r w:rsidR="00907D8C">
        <w:t xml:space="preserve"> </w:t>
      </w:r>
      <w:r w:rsidRPr="00036FAC">
        <w:t>authority</w:t>
      </w:r>
      <w:r w:rsidR="00907D8C">
        <w:t xml:space="preserve"> </w:t>
      </w:r>
      <w:r w:rsidRPr="00036FAC">
        <w:t>is</w:t>
      </w:r>
      <w:r w:rsidR="00907D8C">
        <w:t xml:space="preserve"> </w:t>
      </w:r>
      <w:r w:rsidRPr="00036FAC">
        <w:t>responsible</w:t>
      </w:r>
      <w:r w:rsidR="00907D8C">
        <w:t xml:space="preserve"> </w:t>
      </w:r>
      <w:r w:rsidRPr="00036FAC">
        <w:t>for</w:t>
      </w:r>
      <w:r w:rsidR="00907D8C">
        <w:t xml:space="preserve"> </w:t>
      </w:r>
      <w:r w:rsidRPr="00036FAC">
        <w:t>ensuring</w:t>
      </w:r>
      <w:r w:rsidR="00907D8C">
        <w:t xml:space="preserve"> </w:t>
      </w:r>
      <w:r w:rsidRPr="00036FAC">
        <w:t>all</w:t>
      </w:r>
      <w:r w:rsidR="00907D8C">
        <w:t xml:space="preserve"> </w:t>
      </w:r>
      <w:r w:rsidRPr="00036FAC">
        <w:t>employees</w:t>
      </w:r>
      <w:r w:rsidR="00907D8C">
        <w:t xml:space="preserve"> </w:t>
      </w:r>
      <w:r w:rsidRPr="00036FAC">
        <w:t>understand,</w:t>
      </w:r>
      <w:r w:rsidR="00907D8C">
        <w:t xml:space="preserve"> </w:t>
      </w:r>
      <w:r w:rsidRPr="00036FAC">
        <w:t>and</w:t>
      </w:r>
      <w:r w:rsidR="00907D8C">
        <w:t xml:space="preserve"> </w:t>
      </w:r>
      <w:r w:rsidRPr="00036FAC">
        <w:t>can</w:t>
      </w:r>
      <w:r w:rsidR="00907D8C">
        <w:t xml:space="preserve"> </w:t>
      </w:r>
      <w:r w:rsidRPr="00036FAC">
        <w:t>apply</w:t>
      </w:r>
      <w:r w:rsidR="00907D8C">
        <w:t xml:space="preserve"> </w:t>
      </w:r>
      <w:r w:rsidRPr="00036FAC">
        <w:t>in</w:t>
      </w:r>
      <w:r w:rsidR="00907D8C">
        <w:t xml:space="preserve"> </w:t>
      </w:r>
      <w:r w:rsidRPr="00036FAC">
        <w:t>practice,</w:t>
      </w:r>
      <w:r w:rsidR="00907D8C">
        <w:t xml:space="preserve"> </w:t>
      </w:r>
      <w:r w:rsidRPr="00036FAC">
        <w:t>relevant</w:t>
      </w:r>
      <w:r w:rsidR="00907D8C">
        <w:t xml:space="preserve"> </w:t>
      </w:r>
      <w:r w:rsidRPr="00036FAC">
        <w:t>human</w:t>
      </w:r>
      <w:r w:rsidR="00907D8C">
        <w:t xml:space="preserve"> </w:t>
      </w:r>
      <w:r w:rsidRPr="00036FAC">
        <w:t>rights</w:t>
      </w:r>
      <w:r w:rsidR="00907D8C">
        <w:t xml:space="preserve"> </w:t>
      </w:r>
      <w:r w:rsidRPr="00036FAC">
        <w:t>standards</w:t>
      </w:r>
      <w:r w:rsidR="00907D8C">
        <w:t xml:space="preserve"> </w:t>
      </w:r>
      <w:r w:rsidRPr="00036FAC">
        <w:t>(such</w:t>
      </w:r>
      <w:r w:rsidR="00907D8C">
        <w:t xml:space="preserve"> </w:t>
      </w:r>
      <w:r w:rsidRPr="00036FAC">
        <w:t>as</w:t>
      </w:r>
      <w:r w:rsidR="00907D8C">
        <w:t xml:space="preserve"> </w:t>
      </w:r>
      <w:r w:rsidRPr="00036FAC">
        <w:t>those</w:t>
      </w:r>
      <w:r w:rsidR="00907D8C">
        <w:t xml:space="preserve"> </w:t>
      </w:r>
      <w:r w:rsidRPr="00036FAC">
        <w:t>in</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The</w:t>
      </w:r>
      <w:r w:rsidR="00907D8C">
        <w:t xml:space="preserve"> </w:t>
      </w:r>
      <w:r w:rsidRPr="00036FAC">
        <w:t>Local</w:t>
      </w:r>
      <w:r w:rsidR="00907D8C">
        <w:t xml:space="preserve"> </w:t>
      </w:r>
      <w:r w:rsidRPr="00036FAC">
        <w:t>Government</w:t>
      </w:r>
      <w:r w:rsidR="00907D8C">
        <w:t xml:space="preserve"> </w:t>
      </w:r>
      <w:r w:rsidRPr="00036FAC">
        <w:t>Act</w:t>
      </w:r>
      <w:r w:rsidR="00907D8C">
        <w:t xml:space="preserve"> </w:t>
      </w:r>
      <w:r w:rsidRPr="00036FAC">
        <w:t>2002</w:t>
      </w:r>
      <w:r w:rsidR="00907D8C">
        <w:t xml:space="preserve"> </w:t>
      </w:r>
      <w:r w:rsidRPr="00036FAC">
        <w:t>requires</w:t>
      </w:r>
      <w:r w:rsidR="00907D8C">
        <w:t xml:space="preserve"> </w:t>
      </w:r>
      <w:r w:rsidRPr="00036FAC">
        <w:t>each</w:t>
      </w:r>
      <w:r w:rsidR="00907D8C">
        <w:t xml:space="preserve"> </w:t>
      </w:r>
      <w:r w:rsidRPr="00036FAC">
        <w:t>local</w:t>
      </w:r>
      <w:r w:rsidR="00907D8C">
        <w:t xml:space="preserve"> </w:t>
      </w:r>
      <w:r w:rsidRPr="00036FAC">
        <w:t>authority</w:t>
      </w:r>
      <w:r w:rsidR="00907D8C">
        <w:t xml:space="preserve"> </w:t>
      </w:r>
      <w:r w:rsidRPr="00036FAC">
        <w:t>to</w:t>
      </w:r>
      <w:r w:rsidR="00907D8C">
        <w:t xml:space="preserve"> </w:t>
      </w:r>
      <w:r w:rsidRPr="00036FAC">
        <w:t>consult</w:t>
      </w:r>
      <w:r w:rsidR="00907D8C">
        <w:t xml:space="preserve"> </w:t>
      </w:r>
      <w:r w:rsidRPr="00036FAC">
        <w:t>and</w:t>
      </w:r>
      <w:r w:rsidR="00907D8C">
        <w:t xml:space="preserve"> </w:t>
      </w:r>
      <w:r w:rsidRPr="00036FAC">
        <w:t>consider</w:t>
      </w:r>
      <w:r w:rsidR="00907D8C">
        <w:t xml:space="preserve"> </w:t>
      </w:r>
      <w:r w:rsidRPr="00036FAC">
        <w:t>the</w:t>
      </w:r>
      <w:r w:rsidR="00907D8C">
        <w:t xml:space="preserve"> </w:t>
      </w:r>
      <w:r w:rsidRPr="00036FAC">
        <w:t>needs</w:t>
      </w:r>
      <w:r w:rsidR="00907D8C">
        <w:t xml:space="preserve"> </w:t>
      </w:r>
      <w:r w:rsidRPr="00036FAC">
        <w:t>of</w:t>
      </w:r>
      <w:r w:rsidR="00907D8C">
        <w:t xml:space="preserve"> </w:t>
      </w:r>
      <w:r w:rsidRPr="00036FAC">
        <w:t>its</w:t>
      </w:r>
      <w:r w:rsidR="00907D8C">
        <w:t xml:space="preserve"> </w:t>
      </w:r>
      <w:r w:rsidRPr="00036FAC">
        <w:t>people</w:t>
      </w:r>
      <w:r w:rsidR="00907D8C">
        <w:t xml:space="preserve"> </w:t>
      </w:r>
      <w:r w:rsidRPr="00036FAC">
        <w:t>in</w:t>
      </w:r>
      <w:r w:rsidR="00907D8C">
        <w:t xml:space="preserve"> </w:t>
      </w:r>
      <w:r w:rsidRPr="00036FAC">
        <w:t>relation</w:t>
      </w:r>
      <w:r w:rsidR="00907D8C">
        <w:t xml:space="preserve"> </w:t>
      </w:r>
      <w:r w:rsidRPr="00036FAC">
        <w:t>to</w:t>
      </w:r>
      <w:r w:rsidR="00907D8C">
        <w:t xml:space="preserve"> </w:t>
      </w:r>
      <w:r w:rsidRPr="00036FAC">
        <w:t>social,</w:t>
      </w:r>
      <w:r w:rsidR="00907D8C">
        <w:t xml:space="preserve"> </w:t>
      </w:r>
      <w:r w:rsidRPr="00036FAC">
        <w:t>economic,</w:t>
      </w:r>
      <w:r w:rsidR="00907D8C">
        <w:t xml:space="preserve"> </w:t>
      </w:r>
      <w:r w:rsidRPr="00036FAC">
        <w:t>environmental,</w:t>
      </w:r>
      <w:r w:rsidR="00907D8C">
        <w:t xml:space="preserve"> </w:t>
      </w:r>
      <w:r w:rsidRPr="00036FAC">
        <w:t>and</w:t>
      </w:r>
      <w:r w:rsidR="00907D8C">
        <w:t xml:space="preserve"> </w:t>
      </w:r>
      <w:r w:rsidRPr="00036FAC">
        <w:t>cultural</w:t>
      </w:r>
      <w:r w:rsidR="00907D8C">
        <w:t xml:space="preserve"> </w:t>
      </w:r>
      <w:r w:rsidRPr="00036FAC">
        <w:t>development.</w:t>
      </w:r>
    </w:p>
    <w:p w:rsidR="00036FAC" w:rsidRPr="00036FAC" w:rsidRDefault="00036FAC" w:rsidP="002B6E7E">
      <w:pPr>
        <w:pStyle w:val="SingleTxtG"/>
      </w:pPr>
      <w:r w:rsidRPr="00036FAC">
        <w:t>227.</w:t>
      </w:r>
      <w:r w:rsidRPr="00036FAC">
        <w:tab/>
        <w:t>A</w:t>
      </w:r>
      <w:r w:rsidR="00907D8C">
        <w:t xml:space="preserve"> </w:t>
      </w:r>
      <w:r w:rsidRPr="00036FAC">
        <w:t>number</w:t>
      </w:r>
      <w:r w:rsidR="00907D8C">
        <w:t xml:space="preserve"> </w:t>
      </w:r>
      <w:r w:rsidRPr="00036FAC">
        <w:t>of</w:t>
      </w:r>
      <w:r w:rsidR="00907D8C">
        <w:t xml:space="preserve"> </w:t>
      </w:r>
      <w:r w:rsidRPr="00036FAC">
        <w:t>local</w:t>
      </w:r>
      <w:r w:rsidR="00907D8C">
        <w:t xml:space="preserve"> </w:t>
      </w:r>
      <w:r w:rsidRPr="00036FAC">
        <w:t>authorities</w:t>
      </w:r>
      <w:r w:rsidR="00907D8C">
        <w:t xml:space="preserve"> </w:t>
      </w:r>
      <w:r w:rsidRPr="00036FAC">
        <w:t>have</w:t>
      </w:r>
      <w:r w:rsidR="00907D8C">
        <w:t xml:space="preserve"> </w:t>
      </w:r>
      <w:r w:rsidRPr="00036FAC">
        <w:t>received</w:t>
      </w:r>
      <w:r w:rsidR="00907D8C">
        <w:t xml:space="preserve"> </w:t>
      </w:r>
      <w:r w:rsidRPr="00036FAC">
        <w:t>human</w:t>
      </w:r>
      <w:r w:rsidR="00907D8C">
        <w:t xml:space="preserve"> </w:t>
      </w:r>
      <w:r w:rsidRPr="00036FAC">
        <w:t>rights</w:t>
      </w:r>
      <w:r w:rsidR="00907D8C">
        <w:t xml:space="preserve"> </w:t>
      </w:r>
      <w:r w:rsidRPr="00036FAC">
        <w:t>education</w:t>
      </w:r>
      <w:r w:rsidR="00907D8C">
        <w:t xml:space="preserve"> </w:t>
      </w:r>
      <w:r w:rsidRPr="00036FAC">
        <w:t>through</w:t>
      </w:r>
      <w:r w:rsidR="00907D8C">
        <w:t xml:space="preserve"> </w:t>
      </w:r>
      <w:r w:rsidRPr="00036FAC">
        <w:t>the</w:t>
      </w:r>
      <w:r w:rsidR="00907D8C">
        <w:t xml:space="preserve"> </w:t>
      </w:r>
      <w:r w:rsidRPr="00036FAC">
        <w:t>NZHRC</w:t>
      </w:r>
      <w:r w:rsidR="003E4D94">
        <w:t>’</w:t>
      </w:r>
      <w:r w:rsidRPr="00036FAC">
        <w:t>s</w:t>
      </w:r>
      <w:r w:rsidR="00907D8C">
        <w:t xml:space="preserve"> </w:t>
      </w:r>
      <w:r w:rsidRPr="00036FAC">
        <w:t>regional</w:t>
      </w:r>
      <w:r w:rsidR="00907D8C">
        <w:t xml:space="preserve"> </w:t>
      </w:r>
      <w:r w:rsidRPr="00036FAC">
        <w:t>engagement</w:t>
      </w:r>
      <w:r w:rsidR="00907D8C">
        <w:t xml:space="preserve"> </w:t>
      </w:r>
      <w:r w:rsidRPr="00036FAC">
        <w:t>programme.</w:t>
      </w:r>
      <w:r w:rsidR="00907D8C">
        <w:t xml:space="preserve"> </w:t>
      </w:r>
      <w:r w:rsidRPr="00036FAC">
        <w:t>This</w:t>
      </w:r>
      <w:r w:rsidR="00907D8C">
        <w:t xml:space="preserve"> </w:t>
      </w:r>
      <w:r w:rsidRPr="00036FAC">
        <w:t>includes</w:t>
      </w:r>
      <w:r w:rsidR="00907D8C">
        <w:t xml:space="preserve"> </w:t>
      </w:r>
      <w:r w:rsidRPr="00036FAC">
        <w:t>working</w:t>
      </w:r>
      <w:r w:rsidR="00907D8C">
        <w:t xml:space="preserve"> </w:t>
      </w:r>
      <w:r w:rsidRPr="00036FAC">
        <w:t>with</w:t>
      </w:r>
      <w:r w:rsidR="00907D8C">
        <w:t xml:space="preserve"> </w:t>
      </w:r>
      <w:r w:rsidRPr="00036FAC">
        <w:t>the</w:t>
      </w:r>
      <w:r w:rsidR="00907D8C">
        <w:t xml:space="preserve"> </w:t>
      </w:r>
      <w:r w:rsidRPr="00036FAC">
        <w:t>NZHRC</w:t>
      </w:r>
      <w:r w:rsidR="00907D8C">
        <w:t xml:space="preserve"> </w:t>
      </w:r>
      <w:r w:rsidRPr="00036FAC">
        <w:t>and</w:t>
      </w:r>
      <w:r w:rsidR="00907D8C">
        <w:t xml:space="preserve"> </w:t>
      </w:r>
      <w:r w:rsidRPr="00036FAC">
        <w:t>community</w:t>
      </w:r>
      <w:r w:rsidR="00907D8C">
        <w:t xml:space="preserve"> </w:t>
      </w:r>
      <w:r w:rsidRPr="00036FAC">
        <w:t>groups</w:t>
      </w:r>
      <w:r w:rsidR="00907D8C">
        <w:t xml:space="preserve"> </w:t>
      </w:r>
      <w:r w:rsidRPr="00036FAC">
        <w:t>on</w:t>
      </w:r>
      <w:r w:rsidR="00907D8C">
        <w:t xml:space="preserve"> </w:t>
      </w:r>
      <w:r w:rsidRPr="00036FAC">
        <w:t>specific</w:t>
      </w:r>
      <w:r w:rsidR="00907D8C">
        <w:t xml:space="preserve"> </w:t>
      </w:r>
      <w:r w:rsidRPr="00036FAC">
        <w:t>human</w:t>
      </w:r>
      <w:r w:rsidR="00907D8C">
        <w:t xml:space="preserve"> </w:t>
      </w:r>
      <w:r w:rsidRPr="00036FAC">
        <w:t>rights</w:t>
      </w:r>
      <w:r w:rsidR="00907D8C">
        <w:t xml:space="preserve"> </w:t>
      </w:r>
      <w:r w:rsidRPr="00036FAC">
        <w:t>events,</w:t>
      </w:r>
      <w:r w:rsidR="00907D8C">
        <w:t xml:space="preserve"> </w:t>
      </w:r>
      <w:r w:rsidRPr="00036FAC">
        <w:t>such</w:t>
      </w:r>
      <w:r w:rsidR="00907D8C">
        <w:t xml:space="preserve"> </w:t>
      </w:r>
      <w:r w:rsidRPr="00036FAC">
        <w:t>as</w:t>
      </w:r>
      <w:r w:rsidR="00907D8C">
        <w:t xml:space="preserve"> </w:t>
      </w:r>
      <w:r w:rsidRPr="00036FAC">
        <w:t>Race</w:t>
      </w:r>
      <w:r w:rsidR="00907D8C">
        <w:t xml:space="preserve"> </w:t>
      </w:r>
      <w:r w:rsidRPr="00036FAC">
        <w:t>Relations</w:t>
      </w:r>
      <w:r w:rsidR="00907D8C">
        <w:t xml:space="preserve"> </w:t>
      </w:r>
      <w:r w:rsidRPr="00036FAC">
        <w:t>Day.</w:t>
      </w:r>
    </w:p>
    <w:p w:rsidR="00036FAC" w:rsidRPr="00036FAC" w:rsidRDefault="00036FAC" w:rsidP="006C436C">
      <w:pPr>
        <w:pStyle w:val="H23G"/>
      </w:pPr>
      <w:r w:rsidRPr="00036FAC">
        <w:tab/>
        <w:t>3.</w:t>
      </w:r>
      <w:r w:rsidRPr="00036FAC">
        <w:tab/>
        <w:t>Promotion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awareness</w:t>
      </w:r>
      <w:r w:rsidR="00907D8C">
        <w:t xml:space="preserve"> </w:t>
      </w:r>
      <w:r w:rsidRPr="00036FAC">
        <w:t>through</w:t>
      </w:r>
      <w:r w:rsidR="00907D8C">
        <w:t xml:space="preserve"> </w:t>
      </w:r>
      <w:r w:rsidRPr="00036FAC">
        <w:t>educational</w:t>
      </w:r>
      <w:r w:rsidR="00907D8C">
        <w:t xml:space="preserve"> </w:t>
      </w:r>
      <w:r w:rsidRPr="00036FAC">
        <w:t>programmes</w:t>
      </w:r>
      <w:r w:rsidR="00907D8C">
        <w:t xml:space="preserve"> </w:t>
      </w:r>
      <w:r w:rsidRPr="00036FAC">
        <w:t>and</w:t>
      </w:r>
      <w:r w:rsidR="00907D8C">
        <w:t xml:space="preserve"> </w:t>
      </w:r>
      <w:r w:rsidRPr="00036FAC">
        <w:t>government-sponsored</w:t>
      </w:r>
      <w:r w:rsidR="00907D8C">
        <w:t xml:space="preserve"> </w:t>
      </w:r>
      <w:r w:rsidRPr="00036FAC">
        <w:t>public</w:t>
      </w:r>
      <w:r w:rsidR="00907D8C">
        <w:t xml:space="preserve"> </w:t>
      </w:r>
      <w:r w:rsidRPr="00036FAC">
        <w:t>information</w:t>
      </w:r>
    </w:p>
    <w:p w:rsidR="00036FAC" w:rsidRPr="00036FAC" w:rsidRDefault="00036FAC" w:rsidP="002B6E7E">
      <w:pPr>
        <w:pStyle w:val="SingleTxtG"/>
      </w:pPr>
      <w:r w:rsidRPr="00036FAC">
        <w:t>228.</w:t>
      </w:r>
      <w:r w:rsidRPr="00036FAC">
        <w:tab/>
        <w:t>The</w:t>
      </w:r>
      <w:r w:rsidR="00907D8C">
        <w:t xml:space="preserve"> </w:t>
      </w:r>
      <w:r w:rsidRPr="00036FAC">
        <w:t>core</w:t>
      </w:r>
      <w:r w:rsidR="00907D8C">
        <w:t xml:space="preserve"> </w:t>
      </w:r>
      <w:r w:rsidRPr="00036FAC">
        <w:t>principles</w:t>
      </w:r>
      <w:r w:rsidR="00907D8C">
        <w:t xml:space="preserve"> </w:t>
      </w:r>
      <w:r w:rsidRPr="00036FAC">
        <w:t>of</w:t>
      </w:r>
      <w:r w:rsidR="00907D8C">
        <w:t xml:space="preserve"> </w:t>
      </w:r>
      <w:r w:rsidRPr="00036FAC">
        <w:t>the</w:t>
      </w:r>
      <w:r w:rsidR="00907D8C">
        <w:t xml:space="preserve"> </w:t>
      </w:r>
      <w:r w:rsidRPr="00036FAC">
        <w:t>new</w:t>
      </w:r>
      <w:r w:rsidR="00907D8C">
        <w:t xml:space="preserve"> </w:t>
      </w:r>
      <w:r w:rsidRPr="00036FAC">
        <w:t>national</w:t>
      </w:r>
      <w:r w:rsidR="00907D8C">
        <w:t xml:space="preserve"> </w:t>
      </w:r>
      <w:r w:rsidRPr="00036FAC">
        <w:t>education</w:t>
      </w:r>
      <w:r w:rsidR="00907D8C">
        <w:t xml:space="preserve"> </w:t>
      </w:r>
      <w:r w:rsidRPr="00036FAC">
        <w:t>curriculum</w:t>
      </w:r>
      <w:r w:rsidR="00907D8C">
        <w:t xml:space="preserve"> </w:t>
      </w:r>
      <w:r w:rsidRPr="00036FAC">
        <w:t>acknowledge</w:t>
      </w:r>
      <w:r w:rsidR="00907D8C">
        <w:t xml:space="preserve"> </w:t>
      </w:r>
      <w:r w:rsidRPr="00036FAC">
        <w:t>the</w:t>
      </w:r>
      <w:r w:rsidR="00907D8C">
        <w:t xml:space="preserve"> </w:t>
      </w:r>
      <w:r w:rsidRPr="00036FAC">
        <w:t>importance</w:t>
      </w:r>
      <w:r w:rsidR="00907D8C">
        <w:t xml:space="preserve"> </w:t>
      </w:r>
      <w:r w:rsidRPr="00036FAC">
        <w:t>of</w:t>
      </w:r>
      <w:r w:rsidR="00907D8C">
        <w:t xml:space="preserve"> </w:t>
      </w:r>
      <w:r w:rsidRPr="00036FAC">
        <w:t>the</w:t>
      </w:r>
      <w:r w:rsidR="00907D8C">
        <w:t xml:space="preserve"> </w:t>
      </w:r>
      <w:r w:rsidRPr="00036FAC">
        <w:t>Treaty</w:t>
      </w:r>
      <w:r w:rsidR="00907D8C">
        <w:t xml:space="preserve"> </w:t>
      </w:r>
      <w:r w:rsidRPr="00036FAC">
        <w:t>of</w:t>
      </w:r>
      <w:r w:rsidR="00907D8C">
        <w:t xml:space="preserve"> </w:t>
      </w:r>
      <w:r w:rsidRPr="00036FAC">
        <w:t>Waitangi,</w:t>
      </w:r>
      <w:r w:rsidR="00907D8C">
        <w:t xml:space="preserve"> </w:t>
      </w:r>
      <w:r w:rsidRPr="00036FAC">
        <w:t>cultural</w:t>
      </w:r>
      <w:r w:rsidR="00907D8C">
        <w:t xml:space="preserve"> </w:t>
      </w:r>
      <w:r w:rsidRPr="00036FAC">
        <w:t>diversity,</w:t>
      </w:r>
      <w:r w:rsidR="00907D8C">
        <w:t xml:space="preserve"> </w:t>
      </w:r>
      <w:r w:rsidRPr="00036FAC">
        <w:t>and</w:t>
      </w:r>
      <w:r w:rsidR="00907D8C">
        <w:t xml:space="preserve"> </w:t>
      </w:r>
      <w:r w:rsidRPr="00036FAC">
        <w:t>inclusion</w:t>
      </w:r>
      <w:r w:rsidR="00907D8C">
        <w:t xml:space="preserve"> </w:t>
      </w:r>
      <w:r w:rsidRPr="00036FAC">
        <w:t>(being</w:t>
      </w:r>
      <w:r w:rsidR="00907D8C">
        <w:t xml:space="preserve"> </w:t>
      </w:r>
      <w:r w:rsidRPr="00036FAC">
        <w:t>non-sexist,</w:t>
      </w:r>
      <w:r w:rsidR="00907D8C">
        <w:t xml:space="preserve"> </w:t>
      </w:r>
      <w:r w:rsidRPr="00036FAC">
        <w:t>non-racist,</w:t>
      </w:r>
      <w:r w:rsidR="00907D8C">
        <w:t xml:space="preserve"> </w:t>
      </w:r>
      <w:r w:rsidRPr="00036FAC">
        <w:t>and</w:t>
      </w:r>
      <w:r w:rsidR="00907D8C">
        <w:t xml:space="preserve"> </w:t>
      </w:r>
      <w:r w:rsidRPr="00036FAC">
        <w:t>non-discriminatory).</w:t>
      </w:r>
      <w:r w:rsidR="00907D8C">
        <w:t xml:space="preserve"> </w:t>
      </w:r>
      <w:r w:rsidRPr="00036FAC">
        <w:t>In</w:t>
      </w:r>
      <w:r w:rsidR="00907D8C">
        <w:t xml:space="preserve"> </w:t>
      </w:r>
      <w:r w:rsidRPr="00036FAC">
        <w:t>addition,</w:t>
      </w:r>
      <w:r w:rsidR="00907D8C">
        <w:t xml:space="preserve"> </w:t>
      </w:r>
      <w:r w:rsidRPr="00036FAC">
        <w:t>the</w:t>
      </w:r>
      <w:r w:rsidR="00907D8C">
        <w:t xml:space="preserve"> </w:t>
      </w:r>
      <w:r w:rsidRPr="00036FAC">
        <w:t>values</w:t>
      </w:r>
      <w:r w:rsidR="00907D8C">
        <w:t xml:space="preserve"> </w:t>
      </w:r>
      <w:r w:rsidRPr="00036FAC">
        <w:t>statement</w:t>
      </w:r>
      <w:r w:rsidR="00907D8C">
        <w:t xml:space="preserve"> </w:t>
      </w:r>
      <w:r w:rsidRPr="00036FAC">
        <w:t>encourages</w:t>
      </w:r>
      <w:r w:rsidR="00907D8C">
        <w:t xml:space="preserve"> </w:t>
      </w:r>
      <w:r w:rsidRPr="00036FAC">
        <w:t>students</w:t>
      </w:r>
      <w:r w:rsidR="00907D8C">
        <w:t xml:space="preserve"> </w:t>
      </w:r>
      <w:r w:rsidRPr="00036FAC">
        <w:t>to</w:t>
      </w:r>
      <w:r w:rsidR="00907D8C">
        <w:t xml:space="preserve"> </w:t>
      </w:r>
      <w:r w:rsidRPr="00036FAC">
        <w:t>respect</w:t>
      </w:r>
      <w:r w:rsidR="00907D8C">
        <w:t xml:space="preserve"> </w:t>
      </w:r>
      <w:r w:rsidRPr="00036FAC">
        <w:t>themselves,</w:t>
      </w:r>
      <w:r w:rsidR="00907D8C">
        <w:t xml:space="preserve"> </w:t>
      </w:r>
      <w:r w:rsidRPr="00036FAC">
        <w:t>others,</w:t>
      </w:r>
      <w:r w:rsidR="00907D8C">
        <w:t xml:space="preserve"> </w:t>
      </w:r>
      <w:r w:rsidRPr="00036FAC">
        <w:t>and</w:t>
      </w:r>
      <w:r w:rsidR="00907D8C">
        <w:t xml:space="preserve"> </w:t>
      </w:r>
      <w:r w:rsidRPr="00036FAC">
        <w:t>human</w:t>
      </w:r>
      <w:r w:rsidR="00907D8C">
        <w:t xml:space="preserve"> </w:t>
      </w:r>
      <w:r w:rsidRPr="00036FAC">
        <w:t>rights.</w:t>
      </w:r>
      <w:r w:rsidR="00907D8C">
        <w:t xml:space="preserve"> </w:t>
      </w:r>
      <w:r w:rsidRPr="00036FAC">
        <w:t>Human</w:t>
      </w:r>
      <w:r w:rsidR="00907D8C">
        <w:t xml:space="preserve"> </w:t>
      </w:r>
      <w:r w:rsidRPr="00036FAC">
        <w:t>rights</w:t>
      </w:r>
      <w:r w:rsidR="00907D8C">
        <w:t xml:space="preserve"> </w:t>
      </w:r>
      <w:r w:rsidRPr="00036FAC">
        <w:t>appear</w:t>
      </w:r>
      <w:r w:rsidR="00907D8C">
        <w:t xml:space="preserve"> </w:t>
      </w:r>
      <w:r w:rsidRPr="00036FAC">
        <w:t>under</w:t>
      </w:r>
      <w:r w:rsidR="00907D8C">
        <w:t xml:space="preserve"> </w:t>
      </w:r>
      <w:r w:rsidRPr="00036FAC">
        <w:t>two</w:t>
      </w:r>
      <w:r w:rsidR="00907D8C">
        <w:t xml:space="preserve"> </w:t>
      </w:r>
      <w:r w:rsidRPr="00036FAC">
        <w:t>optional</w:t>
      </w:r>
      <w:r w:rsidR="00907D8C">
        <w:t xml:space="preserve"> </w:t>
      </w:r>
      <w:r w:rsidRPr="00036FAC">
        <w:t>achievement</w:t>
      </w:r>
      <w:r w:rsidR="00907D8C">
        <w:t xml:space="preserve"> </w:t>
      </w:r>
      <w:r w:rsidRPr="00036FAC">
        <w:t>objectives</w:t>
      </w:r>
      <w:r w:rsidR="00907D8C">
        <w:t xml:space="preserve"> </w:t>
      </w:r>
      <w:r w:rsidRPr="00036FAC">
        <w:t>in</w:t>
      </w:r>
      <w:r w:rsidR="00907D8C">
        <w:t xml:space="preserve"> </w:t>
      </w:r>
      <w:r w:rsidRPr="00036FAC">
        <w:t>social</w:t>
      </w:r>
      <w:r w:rsidR="00907D8C">
        <w:t xml:space="preserve"> </w:t>
      </w:r>
      <w:r w:rsidRPr="00036FAC">
        <w:t>studies</w:t>
      </w:r>
      <w:r w:rsidR="00907D8C">
        <w:t xml:space="preserve"> </w:t>
      </w:r>
      <w:r w:rsidRPr="00036FAC">
        <w:t>for</w:t>
      </w:r>
      <w:r w:rsidR="00907D8C">
        <w:t xml:space="preserve"> </w:t>
      </w:r>
      <w:r w:rsidRPr="00036FAC">
        <w:t>13–16</w:t>
      </w:r>
      <w:r w:rsidR="002B6E7E">
        <w:t xml:space="preserve"> y</w:t>
      </w:r>
      <w:r w:rsidRPr="00036FAC">
        <w:t>ear</w:t>
      </w:r>
      <w:r w:rsidR="002B6E7E">
        <w:t xml:space="preserve"> </w:t>
      </w:r>
      <w:r w:rsidRPr="00036FAC">
        <w:t>old</w:t>
      </w:r>
      <w:r w:rsidR="00907D8C">
        <w:t xml:space="preserve"> </w:t>
      </w:r>
      <w:r w:rsidRPr="00036FAC">
        <w:t>students.</w:t>
      </w:r>
    </w:p>
    <w:p w:rsidR="00036FAC" w:rsidRPr="00036FAC" w:rsidRDefault="00036FAC" w:rsidP="002B6E7E">
      <w:pPr>
        <w:pStyle w:val="H4G"/>
      </w:pPr>
      <w:r w:rsidRPr="00036FAC">
        <w:tab/>
      </w:r>
      <w:r w:rsidRPr="00036FAC">
        <w:tab/>
        <w:t>Human</w:t>
      </w:r>
      <w:r w:rsidR="00907D8C">
        <w:t xml:space="preserve"> </w:t>
      </w:r>
      <w:r w:rsidRPr="00036FAC">
        <w:t>rights</w:t>
      </w:r>
      <w:r w:rsidR="00907D8C">
        <w:t xml:space="preserve"> </w:t>
      </w:r>
      <w:r w:rsidRPr="00036FAC">
        <w:t>education</w:t>
      </w:r>
      <w:r w:rsidR="00907D8C">
        <w:t xml:space="preserve"> </w:t>
      </w:r>
      <w:r w:rsidRPr="00036FAC">
        <w:t>in</w:t>
      </w:r>
      <w:r w:rsidR="00907D8C">
        <w:t xml:space="preserve"> </w:t>
      </w:r>
      <w:r w:rsidRPr="00036FAC">
        <w:t>tertiary</w:t>
      </w:r>
      <w:r w:rsidR="00907D8C">
        <w:t xml:space="preserve"> </w:t>
      </w:r>
      <w:r w:rsidRPr="00036FAC">
        <w:t>institutions</w:t>
      </w:r>
    </w:p>
    <w:p w:rsidR="00036FAC" w:rsidRPr="00036FAC" w:rsidRDefault="00036FAC" w:rsidP="002B6E7E">
      <w:pPr>
        <w:pStyle w:val="SingleTxtG"/>
      </w:pPr>
      <w:r w:rsidRPr="00036FAC">
        <w:t>229.</w:t>
      </w:r>
      <w:r w:rsidRPr="00036FAC">
        <w:tab/>
        <w:t>The</w:t>
      </w:r>
      <w:r w:rsidR="00907D8C">
        <w:t xml:space="preserve"> </w:t>
      </w:r>
      <w:r w:rsidRPr="00036FAC">
        <w:t>New</w:t>
      </w:r>
      <w:r w:rsidR="00907D8C">
        <w:t xml:space="preserve"> </w:t>
      </w:r>
      <w:r w:rsidRPr="00036FAC">
        <w:t>Zealand</w:t>
      </w:r>
      <w:r w:rsidR="00907D8C">
        <w:t xml:space="preserve"> </w:t>
      </w:r>
      <w:r w:rsidRPr="00036FAC">
        <w:t>Qualifications</w:t>
      </w:r>
      <w:r w:rsidR="00907D8C">
        <w:t xml:space="preserve"> </w:t>
      </w:r>
      <w:r w:rsidRPr="00036FAC">
        <w:t>Framework</w:t>
      </w:r>
      <w:r w:rsidR="00907D8C">
        <w:t xml:space="preserve"> </w:t>
      </w:r>
      <w:r w:rsidRPr="00036FAC">
        <w:t>offers</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unit</w:t>
      </w:r>
      <w:r w:rsidR="00907D8C">
        <w:t xml:space="preserve"> </w:t>
      </w:r>
      <w:r w:rsidRPr="00036FAC">
        <w:t>standards</w:t>
      </w:r>
      <w:r w:rsidR="00907D8C">
        <w:t xml:space="preserve"> </w:t>
      </w:r>
      <w:r w:rsidRPr="00036FAC">
        <w:t>linked</w:t>
      </w:r>
      <w:r w:rsidR="00907D8C">
        <w:t xml:space="preserve"> </w:t>
      </w:r>
      <w:r w:rsidRPr="00036FAC">
        <w:t>to</w:t>
      </w:r>
      <w:r w:rsidR="00907D8C">
        <w:t xml:space="preserve"> </w:t>
      </w:r>
      <w:r w:rsidRPr="00036FAC">
        <w:t>human</w:t>
      </w:r>
      <w:r w:rsidR="00907D8C">
        <w:t xml:space="preserve"> </w:t>
      </w:r>
      <w:r w:rsidRPr="00036FAC">
        <w:t>rights.</w:t>
      </w:r>
      <w:r w:rsidR="00907D8C">
        <w:t xml:space="preserve"> </w:t>
      </w:r>
      <w:r w:rsidRPr="00036FAC">
        <w:t>Accredited</w:t>
      </w:r>
      <w:r w:rsidR="00907D8C">
        <w:t xml:space="preserve"> </w:t>
      </w:r>
      <w:r w:rsidRPr="00036FAC">
        <w:t>providers</w:t>
      </w:r>
      <w:r w:rsidR="00907D8C">
        <w:t xml:space="preserve"> </w:t>
      </w:r>
      <w:r w:rsidRPr="00036FAC">
        <w:t>include</w:t>
      </w:r>
      <w:r w:rsidR="00907D8C">
        <w:t xml:space="preserve"> </w:t>
      </w:r>
      <w:r w:rsidRPr="00036FAC">
        <w:t>institutes</w:t>
      </w:r>
      <w:r w:rsidR="00907D8C">
        <w:t xml:space="preserve"> </w:t>
      </w:r>
      <w:r w:rsidRPr="00036FAC">
        <w:t>of</w:t>
      </w:r>
      <w:r w:rsidR="00907D8C">
        <w:t xml:space="preserve"> </w:t>
      </w:r>
      <w:r w:rsidRPr="00036FAC">
        <w:t>technology,</w:t>
      </w:r>
      <w:r w:rsidR="00907D8C">
        <w:t xml:space="preserve"> </w:t>
      </w:r>
      <w:r w:rsidRPr="00036FAC">
        <w:t>wānanga</w:t>
      </w:r>
      <w:r w:rsidR="00907D8C">
        <w:t xml:space="preserve"> </w:t>
      </w:r>
      <w:r w:rsidRPr="00036FAC">
        <w:t>(centre</w:t>
      </w:r>
      <w:r w:rsidR="00907D8C">
        <w:t xml:space="preserve"> </w:t>
      </w:r>
      <w:r w:rsidRPr="00036FAC">
        <w:t>of</w:t>
      </w:r>
      <w:r w:rsidR="00907D8C">
        <w:t xml:space="preserve"> </w:t>
      </w:r>
      <w:r w:rsidRPr="00036FAC">
        <w:t>Māori</w:t>
      </w:r>
      <w:r w:rsidR="00907D8C">
        <w:t xml:space="preserve"> </w:t>
      </w:r>
      <w:r w:rsidRPr="00036FAC">
        <w:t>learning</w:t>
      </w:r>
      <w:r w:rsidR="00907D8C">
        <w:t xml:space="preserve"> </w:t>
      </w:r>
      <w:r w:rsidRPr="00036FAC">
        <w:t>and</w:t>
      </w:r>
      <w:r w:rsidR="00907D8C">
        <w:t xml:space="preserve"> </w:t>
      </w:r>
      <w:r w:rsidRPr="00036FAC">
        <w:t>research),</w:t>
      </w:r>
      <w:r w:rsidR="00907D8C">
        <w:t xml:space="preserve"> </w:t>
      </w:r>
      <w:r w:rsidRPr="00036FAC">
        <w:t>industry</w:t>
      </w:r>
      <w:r w:rsidR="00907D8C">
        <w:t xml:space="preserve"> </w:t>
      </w:r>
      <w:r w:rsidRPr="00036FAC">
        <w:t>training</w:t>
      </w:r>
      <w:r w:rsidR="00907D8C">
        <w:t xml:space="preserve"> </w:t>
      </w:r>
      <w:r w:rsidRPr="00036FAC">
        <w:t>organisations,</w:t>
      </w:r>
      <w:r w:rsidR="00907D8C">
        <w:t xml:space="preserve"> </w:t>
      </w:r>
      <w:r w:rsidRPr="00036FAC">
        <w:t>private</w:t>
      </w:r>
      <w:r w:rsidR="00907D8C">
        <w:t xml:space="preserve"> </w:t>
      </w:r>
      <w:r w:rsidRPr="00036FAC">
        <w:t>training</w:t>
      </w:r>
      <w:r w:rsidR="00907D8C">
        <w:t xml:space="preserve"> </w:t>
      </w:r>
      <w:r w:rsidRPr="00036FAC">
        <w:t>establishments,</w:t>
      </w:r>
      <w:r w:rsidR="00907D8C">
        <w:t xml:space="preserve"> </w:t>
      </w:r>
      <w:r w:rsidRPr="00036FAC">
        <w:t>NGOs,</w:t>
      </w:r>
      <w:r w:rsidR="00907D8C">
        <w:t xml:space="preserve"> </w:t>
      </w:r>
      <w:r w:rsidRPr="00036FAC">
        <w:t>and</w:t>
      </w:r>
      <w:r w:rsidR="00907D8C">
        <w:t xml:space="preserve"> </w:t>
      </w:r>
      <w:r w:rsidRPr="00036FAC">
        <w:t>some</w:t>
      </w:r>
      <w:r w:rsidR="00907D8C">
        <w:t xml:space="preserve"> </w:t>
      </w:r>
      <w:r w:rsidRPr="00036FAC">
        <w:t>community</w:t>
      </w:r>
      <w:r w:rsidR="00907D8C">
        <w:t xml:space="preserve"> </w:t>
      </w:r>
      <w:r w:rsidRPr="00036FAC">
        <w:t>groups.</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university</w:t>
      </w:r>
      <w:r w:rsidR="00907D8C">
        <w:t xml:space="preserve"> </w:t>
      </w:r>
      <w:r w:rsidRPr="00036FAC">
        <w:t>courses</w:t>
      </w:r>
      <w:r w:rsidR="00907D8C">
        <w:t xml:space="preserve"> </w:t>
      </w:r>
      <w:r w:rsidRPr="00036FAC">
        <w:t>include</w:t>
      </w:r>
      <w:r w:rsidR="00907D8C">
        <w:t xml:space="preserve"> </w:t>
      </w:r>
      <w:r w:rsidRPr="00036FAC">
        <w:t>human</w:t>
      </w:r>
      <w:r w:rsidR="00907D8C">
        <w:t xml:space="preserve"> </w:t>
      </w:r>
      <w:r w:rsidRPr="00036FAC">
        <w:t>rights</w:t>
      </w:r>
      <w:r w:rsidR="00907D8C">
        <w:t xml:space="preserve"> </w:t>
      </w:r>
      <w:r w:rsidRPr="00036FAC">
        <w:t>components,</w:t>
      </w:r>
      <w:r w:rsidR="00907D8C">
        <w:t xml:space="preserve"> </w:t>
      </w:r>
      <w:r w:rsidRPr="00036FAC">
        <w:t>particularly</w:t>
      </w:r>
      <w:r w:rsidR="00907D8C">
        <w:t xml:space="preserve"> </w:t>
      </w:r>
      <w:r w:rsidRPr="00036FAC">
        <w:t>within</w:t>
      </w:r>
      <w:r w:rsidR="00907D8C">
        <w:t xml:space="preserve"> </w:t>
      </w:r>
      <w:r w:rsidRPr="00036FAC">
        <w:t>law,</w:t>
      </w:r>
      <w:r w:rsidR="00907D8C">
        <w:t xml:space="preserve"> </w:t>
      </w:r>
      <w:r w:rsidRPr="00036FAC">
        <w:t>social</w:t>
      </w:r>
      <w:r w:rsidR="00907D8C">
        <w:t xml:space="preserve"> </w:t>
      </w:r>
      <w:r w:rsidRPr="00036FAC">
        <w:t>science,</w:t>
      </w:r>
      <w:r w:rsidR="00907D8C">
        <w:t xml:space="preserve"> </w:t>
      </w:r>
      <w:r w:rsidRPr="00036FAC">
        <w:t>and</w:t>
      </w:r>
      <w:r w:rsidR="00907D8C">
        <w:t xml:space="preserve"> </w:t>
      </w:r>
      <w:r w:rsidRPr="00036FAC">
        <w:t>business</w:t>
      </w:r>
      <w:r w:rsidR="00907D8C">
        <w:t xml:space="preserve"> </w:t>
      </w:r>
      <w:r w:rsidRPr="00036FAC">
        <w:t>studies</w:t>
      </w:r>
      <w:r w:rsidR="00907D8C">
        <w:t xml:space="preserve"> </w:t>
      </w:r>
      <w:r w:rsidRPr="00036FAC">
        <w:t>programmes.</w:t>
      </w:r>
    </w:p>
    <w:p w:rsidR="00036FAC" w:rsidRPr="00036FAC" w:rsidRDefault="00036FAC" w:rsidP="002B6E7E">
      <w:pPr>
        <w:pStyle w:val="SingleTxtG"/>
      </w:pPr>
      <w:r w:rsidRPr="00036FAC">
        <w:t>230.</w:t>
      </w:r>
      <w:r w:rsidRPr="00036FAC">
        <w:tab/>
        <w:t>The</w:t>
      </w:r>
      <w:r w:rsidR="00907D8C">
        <w:t xml:space="preserve"> </w:t>
      </w:r>
      <w:r w:rsidRPr="00036FAC">
        <w:t>Office</w:t>
      </w:r>
      <w:r w:rsidR="00907D8C">
        <w:t xml:space="preserve"> </w:t>
      </w:r>
      <w:r w:rsidRPr="00036FAC">
        <w:t>of</w:t>
      </w:r>
      <w:r w:rsidR="00907D8C">
        <w:t xml:space="preserve"> </w:t>
      </w:r>
      <w:r w:rsidRPr="00036FAC">
        <w:t>the</w:t>
      </w:r>
      <w:r w:rsidR="00907D8C">
        <w:t xml:space="preserve"> </w:t>
      </w:r>
      <w:r w:rsidRPr="00036FAC">
        <w:t>Children</w:t>
      </w:r>
      <w:r w:rsidR="003E4D94">
        <w:t>’</w:t>
      </w:r>
      <w:r w:rsidRPr="00036FAC">
        <w:t>s</w:t>
      </w:r>
      <w:r w:rsidR="00907D8C">
        <w:t xml:space="preserve"> </w:t>
      </w:r>
      <w:r w:rsidRPr="00036FAC">
        <w:t>Commissioner</w:t>
      </w:r>
      <w:r w:rsidR="00907D8C">
        <w:t xml:space="preserve"> </w:t>
      </w:r>
      <w:r w:rsidRPr="00036FAC">
        <w:t>provides</w:t>
      </w:r>
      <w:r w:rsidR="00907D8C">
        <w:t xml:space="preserve"> </w:t>
      </w:r>
      <w:r w:rsidRPr="00036FAC">
        <w:t>information</w:t>
      </w:r>
      <w:r w:rsidR="00907D8C">
        <w:t xml:space="preserve"> </w:t>
      </w:r>
      <w:r w:rsidRPr="00036FAC">
        <w:t>and</w:t>
      </w:r>
      <w:r w:rsidR="00907D8C">
        <w:t xml:space="preserve"> </w:t>
      </w:r>
      <w:r w:rsidRPr="00036FAC">
        <w:t>advice</w:t>
      </w:r>
      <w:r w:rsidR="00907D8C">
        <w:t xml:space="preserve"> </w:t>
      </w:r>
      <w:r w:rsidRPr="00036FAC">
        <w:t>on</w:t>
      </w:r>
      <w:r w:rsidR="00907D8C">
        <w:t xml:space="preserve"> </w:t>
      </w:r>
      <w:r w:rsidRPr="00036FAC">
        <w:t>the</w:t>
      </w:r>
      <w:r w:rsidR="00907D8C">
        <w:t xml:space="preserve"> </w:t>
      </w:r>
      <w:r w:rsidRPr="00036FAC">
        <w:t>application</w:t>
      </w:r>
      <w:r w:rsidR="00907D8C">
        <w:t xml:space="preserve"> </w:t>
      </w:r>
      <w:r w:rsidRPr="00036FAC">
        <w:t>of</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the</w:t>
      </w:r>
      <w:r w:rsidR="00907D8C">
        <w:t xml:space="preserve"> </w:t>
      </w:r>
      <w:r w:rsidRPr="00036FAC">
        <w:t>Child</w:t>
      </w:r>
      <w:r w:rsidR="00907D8C">
        <w:t xml:space="preserve"> </w:t>
      </w:r>
      <w:r w:rsidRPr="00036FAC">
        <w:t>as</w:t>
      </w:r>
      <w:r w:rsidR="00907D8C">
        <w:t xml:space="preserve"> </w:t>
      </w:r>
      <w:r w:rsidRPr="00036FAC">
        <w:t>part</w:t>
      </w:r>
      <w:r w:rsidR="00907D8C">
        <w:t xml:space="preserve"> </w:t>
      </w:r>
      <w:r w:rsidRPr="00036FAC">
        <w:t>of</w:t>
      </w:r>
      <w:r w:rsidR="00907D8C">
        <w:t xml:space="preserve"> </w:t>
      </w:r>
      <w:r w:rsidRPr="00036FAC">
        <w:t>its</w:t>
      </w:r>
      <w:r w:rsidR="00907D8C">
        <w:t xml:space="preserve"> </w:t>
      </w:r>
      <w:r w:rsidRPr="00036FAC">
        <w:t>advocacy</w:t>
      </w:r>
      <w:r w:rsidR="00907D8C">
        <w:t xml:space="preserve"> </w:t>
      </w:r>
      <w:r w:rsidRPr="00036FAC">
        <w:t>role.</w:t>
      </w:r>
      <w:r w:rsidR="00907D8C">
        <w:t xml:space="preserve"> </w:t>
      </w:r>
      <w:r w:rsidRPr="00036FAC">
        <w:t>In</w:t>
      </w:r>
      <w:r w:rsidR="00907D8C">
        <w:t xml:space="preserve"> </w:t>
      </w:r>
      <w:r w:rsidRPr="00036FAC">
        <w:t>particular,</w:t>
      </w:r>
      <w:r w:rsidR="00907D8C">
        <w:t xml:space="preserve"> </w:t>
      </w:r>
      <w:r w:rsidRPr="00036FAC">
        <w:t>training</w:t>
      </w:r>
      <w:r w:rsidR="00907D8C">
        <w:t xml:space="preserve"> </w:t>
      </w:r>
      <w:r w:rsidRPr="00036FAC">
        <w:t>on</w:t>
      </w:r>
      <w:r w:rsidR="00907D8C">
        <w:t xml:space="preserve"> </w:t>
      </w:r>
      <w:r w:rsidRPr="00036FAC">
        <w:t>children</w:t>
      </w:r>
      <w:r w:rsidR="003E4D94">
        <w:t>’</w:t>
      </w:r>
      <w:r w:rsidRPr="00036FAC">
        <w:t>s</w:t>
      </w:r>
      <w:r w:rsidR="00907D8C">
        <w:t xml:space="preserve"> </w:t>
      </w:r>
      <w:r w:rsidRPr="00036FAC">
        <w:t>rights</w:t>
      </w:r>
      <w:r w:rsidR="00907D8C">
        <w:t xml:space="preserve"> </w:t>
      </w:r>
      <w:r w:rsidRPr="00036FAC">
        <w:t>in</w:t>
      </w:r>
      <w:r w:rsidR="00907D8C">
        <w:t xml:space="preserve"> </w:t>
      </w:r>
      <w:r w:rsidRPr="00036FAC">
        <w:t>education</w:t>
      </w:r>
      <w:r w:rsidR="00907D8C">
        <w:t xml:space="preserve"> </w:t>
      </w:r>
      <w:r w:rsidRPr="00036FAC">
        <w:t>is</w:t>
      </w:r>
      <w:r w:rsidR="00907D8C">
        <w:t xml:space="preserve"> </w:t>
      </w:r>
      <w:r w:rsidRPr="00036FAC">
        <w:t>provided</w:t>
      </w:r>
      <w:r w:rsidR="00907D8C">
        <w:t xml:space="preserve"> </w:t>
      </w:r>
      <w:r w:rsidRPr="00036FAC">
        <w:t>through</w:t>
      </w:r>
      <w:r w:rsidR="00907D8C">
        <w:t xml:space="preserve"> </w:t>
      </w:r>
      <w:r w:rsidRPr="00036FAC">
        <w:t>workshops</w:t>
      </w:r>
      <w:r w:rsidR="00907D8C">
        <w:t xml:space="preserve"> </w:t>
      </w:r>
      <w:r w:rsidRPr="00036FAC">
        <w:t>run</w:t>
      </w:r>
      <w:r w:rsidR="00907D8C">
        <w:t xml:space="preserve"> </w:t>
      </w:r>
      <w:r w:rsidRPr="00036FAC">
        <w:t>by</w:t>
      </w:r>
      <w:r w:rsidR="00907D8C">
        <w:t xml:space="preserve"> </w:t>
      </w:r>
      <w:r w:rsidRPr="00036FAC">
        <w:t>the</w:t>
      </w:r>
      <w:r w:rsidR="00907D8C">
        <w:t xml:space="preserve"> </w:t>
      </w:r>
      <w:r w:rsidRPr="00036FAC">
        <w:t>Office</w:t>
      </w:r>
      <w:r w:rsidR="00907D8C">
        <w:t xml:space="preserve"> </w:t>
      </w:r>
      <w:r w:rsidRPr="00036FAC">
        <w:t>for</w:t>
      </w:r>
      <w:r w:rsidR="00907D8C">
        <w:t xml:space="preserve"> </w:t>
      </w:r>
      <w:r w:rsidRPr="00036FAC">
        <w:t>those</w:t>
      </w:r>
      <w:r w:rsidR="00907D8C">
        <w:t xml:space="preserve"> </w:t>
      </w:r>
      <w:r w:rsidRPr="00036FAC">
        <w:t>who</w:t>
      </w:r>
      <w:r w:rsidR="00907D8C">
        <w:t xml:space="preserve"> </w:t>
      </w:r>
      <w:r w:rsidRPr="00036FAC">
        <w:t>may</w:t>
      </w:r>
      <w:r w:rsidR="00907D8C">
        <w:t xml:space="preserve"> </w:t>
      </w:r>
      <w:r w:rsidRPr="00036FAC">
        <w:t>advocate</w:t>
      </w:r>
      <w:r w:rsidR="00907D8C">
        <w:t xml:space="preserve"> </w:t>
      </w:r>
      <w:r w:rsidRPr="00036FAC">
        <w:t>for</w:t>
      </w:r>
      <w:r w:rsidR="00907D8C">
        <w:t xml:space="preserve"> </w:t>
      </w:r>
      <w:r w:rsidRPr="00036FAC">
        <w:t>children</w:t>
      </w:r>
      <w:r w:rsidR="00907D8C">
        <w:t xml:space="preserve"> </w:t>
      </w:r>
      <w:r w:rsidRPr="00036FAC">
        <w:t>to</w:t>
      </w:r>
      <w:r w:rsidR="00907D8C">
        <w:t xml:space="preserve"> </w:t>
      </w:r>
      <w:r w:rsidRPr="00036FAC">
        <w:t>resolve</w:t>
      </w:r>
      <w:r w:rsidR="00907D8C">
        <w:t xml:space="preserve"> </w:t>
      </w:r>
      <w:r w:rsidRPr="00036FAC">
        <w:t>issues</w:t>
      </w:r>
      <w:r w:rsidR="00907D8C">
        <w:t xml:space="preserve"> </w:t>
      </w:r>
      <w:r w:rsidRPr="00036FAC">
        <w:t>such</w:t>
      </w:r>
      <w:r w:rsidR="00907D8C">
        <w:t xml:space="preserve"> </w:t>
      </w:r>
      <w:r w:rsidRPr="00036FAC">
        <w:t>as</w:t>
      </w:r>
      <w:r w:rsidR="00907D8C">
        <w:t xml:space="preserve"> </w:t>
      </w:r>
      <w:r w:rsidRPr="00036FAC">
        <w:t>exclusion</w:t>
      </w:r>
      <w:r w:rsidR="00907D8C">
        <w:t xml:space="preserve"> </w:t>
      </w:r>
      <w:r w:rsidRPr="00036FAC">
        <w:t>from</w:t>
      </w:r>
      <w:r w:rsidR="00907D8C">
        <w:t xml:space="preserve"> </w:t>
      </w:r>
      <w:r w:rsidRPr="00036FAC">
        <w:t>school</w:t>
      </w:r>
      <w:r w:rsidR="00907D8C">
        <w:t xml:space="preserve"> </w:t>
      </w:r>
      <w:r w:rsidRPr="00036FAC">
        <w:t>participation</w:t>
      </w:r>
      <w:r w:rsidR="00907D8C">
        <w:t xml:space="preserve"> </w:t>
      </w:r>
      <w:r w:rsidRPr="00036FAC">
        <w:t>through</w:t>
      </w:r>
      <w:r w:rsidR="00907D8C">
        <w:t xml:space="preserve"> </w:t>
      </w:r>
      <w:r w:rsidRPr="00036FAC">
        <w:t>disability</w:t>
      </w:r>
      <w:r w:rsidR="00907D8C">
        <w:t xml:space="preserve"> </w:t>
      </w:r>
      <w:r w:rsidRPr="00036FAC">
        <w:t>and</w:t>
      </w:r>
      <w:r w:rsidR="00907D8C">
        <w:t xml:space="preserve"> </w:t>
      </w:r>
      <w:r w:rsidRPr="00036FAC">
        <w:t>disciplinary</w:t>
      </w:r>
      <w:r w:rsidR="00907D8C">
        <w:t xml:space="preserve"> </w:t>
      </w:r>
      <w:r w:rsidRPr="00036FAC">
        <w:t>processes.</w:t>
      </w:r>
    </w:p>
    <w:p w:rsidR="00036FAC" w:rsidRPr="00036FAC" w:rsidRDefault="00036FAC" w:rsidP="006C436C">
      <w:pPr>
        <w:pStyle w:val="H23G"/>
      </w:pPr>
      <w:r w:rsidRPr="00036FAC">
        <w:tab/>
        <w:t>4.</w:t>
      </w:r>
      <w:r w:rsidRPr="00036FAC">
        <w:tab/>
        <w:t>Role</w:t>
      </w:r>
      <w:r w:rsidR="00907D8C">
        <w:t xml:space="preserve"> </w:t>
      </w:r>
      <w:r w:rsidRPr="00036FAC">
        <w:t>of</w:t>
      </w:r>
      <w:r w:rsidR="00907D8C">
        <w:t xml:space="preserve"> </w:t>
      </w:r>
      <w:r w:rsidRPr="00036FAC">
        <w:t>civil</w:t>
      </w:r>
      <w:r w:rsidR="00907D8C">
        <w:t xml:space="preserve"> </w:t>
      </w:r>
      <w:r w:rsidRPr="00036FAC">
        <w:t>society</w:t>
      </w:r>
      <w:r w:rsidR="00907D8C">
        <w:t xml:space="preserve"> </w:t>
      </w:r>
      <w:r w:rsidRPr="00036FAC">
        <w:t>including</w:t>
      </w:r>
      <w:r w:rsidR="00907D8C">
        <w:t xml:space="preserve"> </w:t>
      </w:r>
      <w:r w:rsidRPr="00036FAC">
        <w:t>non-governmental</w:t>
      </w:r>
      <w:r w:rsidR="00907D8C">
        <w:t xml:space="preserve"> </w:t>
      </w:r>
      <w:r w:rsidRPr="00036FAC">
        <w:t>organi</w:t>
      </w:r>
      <w:r w:rsidR="002B6E7E">
        <w:t>z</w:t>
      </w:r>
      <w:r w:rsidRPr="00036FAC">
        <w:t>ations</w:t>
      </w:r>
    </w:p>
    <w:p w:rsidR="00036FAC" w:rsidRPr="00036FAC" w:rsidRDefault="00036FAC" w:rsidP="002B6E7E">
      <w:pPr>
        <w:pStyle w:val="SingleTxtG"/>
      </w:pPr>
      <w:r w:rsidRPr="00036FAC">
        <w:t>231.</w:t>
      </w:r>
      <w:r w:rsidRPr="00036FAC">
        <w:tab/>
        <w:t>NGOs</w:t>
      </w:r>
      <w:r w:rsidR="00907D8C">
        <w:t xml:space="preserve"> </w:t>
      </w:r>
      <w:r w:rsidRPr="00036FAC">
        <w:t>play</w:t>
      </w:r>
      <w:r w:rsidR="00907D8C">
        <w:t xml:space="preserve"> </w:t>
      </w:r>
      <w:r w:rsidRPr="00036FAC">
        <w:t>an</w:t>
      </w:r>
      <w:r w:rsidR="00907D8C">
        <w:t xml:space="preserve"> </w:t>
      </w:r>
      <w:r w:rsidRPr="00036FAC">
        <w:t>active</w:t>
      </w:r>
      <w:r w:rsidR="00907D8C">
        <w:t xml:space="preserve"> </w:t>
      </w:r>
      <w:r w:rsidRPr="00036FAC">
        <w:t>and</w:t>
      </w:r>
      <w:r w:rsidR="00907D8C">
        <w:t xml:space="preserve"> </w:t>
      </w:r>
      <w:r w:rsidRPr="00036FAC">
        <w:t>important</w:t>
      </w:r>
      <w:r w:rsidR="00907D8C">
        <w:t xml:space="preserve"> </w:t>
      </w:r>
      <w:r w:rsidRPr="00036FAC">
        <w:t>role</w:t>
      </w:r>
      <w:r w:rsidR="00907D8C">
        <w:t xml:space="preserve"> </w:t>
      </w:r>
      <w:r w:rsidRPr="00036FAC">
        <w:t>in</w:t>
      </w:r>
      <w:r w:rsidR="00907D8C">
        <w:t xml:space="preserve"> </w:t>
      </w:r>
      <w:r w:rsidRPr="00036FAC">
        <w:t>the</w:t>
      </w:r>
      <w:r w:rsidR="00907D8C">
        <w:t xml:space="preserve"> </w:t>
      </w:r>
      <w:r w:rsidRPr="00036FAC">
        <w:t>promotion</w:t>
      </w:r>
      <w:r w:rsidR="00907D8C">
        <w:t xml:space="preserve"> </w:t>
      </w:r>
      <w:r w:rsidRPr="00036FAC">
        <w:t>and</w:t>
      </w:r>
      <w:r w:rsidR="00907D8C">
        <w:t xml:space="preserve"> </w:t>
      </w:r>
      <w:r w:rsidRPr="00036FAC">
        <w:t>protection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There</w:t>
      </w:r>
      <w:r w:rsidR="00907D8C">
        <w:t xml:space="preserve"> </w:t>
      </w:r>
      <w:r w:rsidRPr="00036FAC">
        <w:t>are</w:t>
      </w:r>
      <w:r w:rsidR="00907D8C">
        <w:t xml:space="preserve"> </w:t>
      </w:r>
      <w:r w:rsidRPr="00036FAC">
        <w:t>a</w:t>
      </w:r>
      <w:r w:rsidR="00907D8C">
        <w:t xml:space="preserve"> </w:t>
      </w:r>
      <w:r w:rsidRPr="00036FAC">
        <w:t>large</w:t>
      </w:r>
      <w:r w:rsidR="00907D8C">
        <w:t xml:space="preserve"> </w:t>
      </w:r>
      <w:r w:rsidRPr="00036FAC">
        <w:t>number</w:t>
      </w:r>
      <w:r w:rsidR="00907D8C">
        <w:t xml:space="preserve"> </w:t>
      </w:r>
      <w:r w:rsidRPr="00036FAC">
        <w:t>of</w:t>
      </w:r>
      <w:r w:rsidR="00907D8C">
        <w:t xml:space="preserve"> </w:t>
      </w:r>
      <w:r w:rsidRPr="00036FAC">
        <w:t>such</w:t>
      </w:r>
      <w:r w:rsidR="00907D8C">
        <w:t xml:space="preserve"> </w:t>
      </w:r>
      <w:r w:rsidRPr="00036FAC">
        <w:t>groups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and</w:t>
      </w:r>
      <w:r w:rsidR="00907D8C">
        <w:t xml:space="preserve"> </w:t>
      </w:r>
      <w:r w:rsidRPr="00036FAC">
        <w:t>many</w:t>
      </w:r>
      <w:r w:rsidR="00907D8C">
        <w:t xml:space="preserve"> </w:t>
      </w:r>
      <w:r w:rsidRPr="00036FAC">
        <w:t>operate</w:t>
      </w:r>
      <w:r w:rsidR="00907D8C">
        <w:t xml:space="preserve"> </w:t>
      </w:r>
      <w:r w:rsidRPr="00036FAC">
        <w:t>as</w:t>
      </w:r>
      <w:r w:rsidR="00907D8C">
        <w:t xml:space="preserve"> </w:t>
      </w:r>
      <w:r w:rsidRPr="00036FAC">
        <w:t>lobby</w:t>
      </w:r>
      <w:r w:rsidR="00907D8C">
        <w:t xml:space="preserve"> </w:t>
      </w:r>
      <w:r w:rsidRPr="00036FAC">
        <w:t>groups,</w:t>
      </w:r>
      <w:r w:rsidR="00907D8C">
        <w:t xml:space="preserve"> </w:t>
      </w:r>
      <w:r w:rsidRPr="00036FAC">
        <w:t>putting</w:t>
      </w:r>
      <w:r w:rsidR="00907D8C">
        <w:t xml:space="preserve"> </w:t>
      </w:r>
      <w:r w:rsidRPr="00036FAC">
        <w:t>forward</w:t>
      </w:r>
      <w:r w:rsidR="00907D8C">
        <w:t xml:space="preserve"> </w:t>
      </w:r>
      <w:r w:rsidRPr="00036FAC">
        <w:t>submissions</w:t>
      </w:r>
      <w:r w:rsidR="00907D8C">
        <w:t xml:space="preserve"> </w:t>
      </w:r>
      <w:r w:rsidRPr="00036FAC">
        <w:t>to</w:t>
      </w:r>
      <w:r w:rsidR="00907D8C">
        <w:t xml:space="preserve"> </w:t>
      </w:r>
      <w:r w:rsidRPr="00036FAC">
        <w:t>government</w:t>
      </w:r>
      <w:r w:rsidR="00907D8C">
        <w:t xml:space="preserve"> </w:t>
      </w:r>
      <w:r w:rsidRPr="00036FAC">
        <w:t>on</w:t>
      </w:r>
      <w:r w:rsidR="00907D8C">
        <w:t xml:space="preserve"> </w:t>
      </w:r>
      <w:r w:rsidRPr="00036FAC">
        <w:t>matters</w:t>
      </w:r>
      <w:r w:rsidR="00907D8C">
        <w:t xml:space="preserve"> </w:t>
      </w:r>
      <w:r w:rsidRPr="00036FAC">
        <w:t>of</w:t>
      </w:r>
      <w:r w:rsidR="00907D8C">
        <w:t xml:space="preserve"> </w:t>
      </w:r>
      <w:r w:rsidRPr="00036FAC">
        <w:t>particular</w:t>
      </w:r>
      <w:r w:rsidR="00907D8C">
        <w:t xml:space="preserve"> </w:t>
      </w:r>
      <w:r w:rsidRPr="00036FAC">
        <w:t>concern.</w:t>
      </w:r>
      <w:r w:rsidR="00907D8C">
        <w:t xml:space="preserve"> </w:t>
      </w:r>
      <w:r w:rsidRPr="00036FAC">
        <w:t>Some</w:t>
      </w:r>
      <w:r w:rsidR="00907D8C">
        <w:t xml:space="preserve"> </w:t>
      </w:r>
      <w:r w:rsidRPr="00036FAC">
        <w:t>of</w:t>
      </w:r>
      <w:r w:rsidR="00907D8C">
        <w:t xml:space="preserve"> </w:t>
      </w:r>
      <w:r w:rsidRPr="00036FAC">
        <w:t>these</w:t>
      </w:r>
      <w:r w:rsidR="00907D8C">
        <w:t xml:space="preserve"> </w:t>
      </w:r>
      <w:r w:rsidRPr="00036FAC">
        <w:t>agencies</w:t>
      </w:r>
      <w:r w:rsidR="00907D8C">
        <w:t xml:space="preserve"> </w:t>
      </w:r>
      <w:r w:rsidRPr="00036FAC">
        <w:t>have</w:t>
      </w:r>
      <w:r w:rsidR="00907D8C">
        <w:t xml:space="preserve"> </w:t>
      </w:r>
      <w:r w:rsidRPr="00036FAC">
        <w:t>received</w:t>
      </w:r>
      <w:r w:rsidR="00907D8C">
        <w:t xml:space="preserve"> </w:t>
      </w:r>
      <w:r w:rsidRPr="00036FAC">
        <w:t>funding</w:t>
      </w:r>
      <w:r w:rsidR="00907D8C">
        <w:t xml:space="preserve"> </w:t>
      </w:r>
      <w:r w:rsidRPr="00036FAC">
        <w:t>from</w:t>
      </w:r>
      <w:r w:rsidR="00907D8C">
        <w:t xml:space="preserve"> </w:t>
      </w:r>
      <w:r w:rsidRPr="00036FAC">
        <w:t>the</w:t>
      </w:r>
      <w:r w:rsidR="00907D8C">
        <w:t xml:space="preserve"> </w:t>
      </w:r>
      <w:r w:rsidRPr="00036FAC">
        <w:t>Government</w:t>
      </w:r>
      <w:r w:rsidR="00907D8C">
        <w:t xml:space="preserve"> </w:t>
      </w:r>
      <w:r w:rsidRPr="00036FAC">
        <w:t>to</w:t>
      </w:r>
      <w:r w:rsidR="00907D8C">
        <w:t xml:space="preserve"> </w:t>
      </w:r>
      <w:r w:rsidRPr="00036FAC">
        <w:t>assist</w:t>
      </w:r>
      <w:r w:rsidR="00907D8C">
        <w:t xml:space="preserve"> </w:t>
      </w:r>
      <w:r w:rsidRPr="00036FAC">
        <w:t>in</w:t>
      </w:r>
      <w:r w:rsidR="00907D8C">
        <w:t xml:space="preserve"> </w:t>
      </w:r>
      <w:r w:rsidRPr="00036FAC">
        <w:t>their</w:t>
      </w:r>
      <w:r w:rsidR="00907D8C">
        <w:t xml:space="preserve"> </w:t>
      </w:r>
      <w:r w:rsidRPr="00036FAC">
        <w:t>work.</w:t>
      </w:r>
    </w:p>
    <w:p w:rsidR="00036FAC" w:rsidRPr="00036FAC" w:rsidRDefault="00036FAC" w:rsidP="002B6E7E">
      <w:pPr>
        <w:pStyle w:val="SingleTxtG"/>
      </w:pPr>
      <w:r w:rsidRPr="00036FAC">
        <w:t>232.</w:t>
      </w:r>
      <w:r w:rsidRPr="00036FAC">
        <w:tab/>
        <w:t>Human</w:t>
      </w:r>
      <w:r w:rsidR="00907D8C">
        <w:t xml:space="preserve"> </w:t>
      </w:r>
      <w:r w:rsidRPr="00036FAC">
        <w:t>Rights</w:t>
      </w:r>
      <w:r w:rsidR="00907D8C">
        <w:t xml:space="preserve"> </w:t>
      </w:r>
      <w:r w:rsidRPr="00036FAC">
        <w:t>in</w:t>
      </w:r>
      <w:r w:rsidR="00907D8C">
        <w:t xml:space="preserve"> </w:t>
      </w:r>
      <w:r w:rsidRPr="00036FAC">
        <w:t>Education</w:t>
      </w:r>
      <w:r w:rsidR="00907D8C">
        <w:t xml:space="preserve"> </w:t>
      </w:r>
      <w:r w:rsidRPr="00036FAC">
        <w:t>or</w:t>
      </w:r>
      <w:r w:rsidR="00907D8C">
        <w:t xml:space="preserve"> </w:t>
      </w:r>
      <w:r w:rsidRPr="00036FAC">
        <w:t>Māori</w:t>
      </w:r>
      <w:r w:rsidR="00907D8C">
        <w:t xml:space="preserve"> </w:t>
      </w:r>
      <w:r w:rsidRPr="00036FAC">
        <w:t>Mana</w:t>
      </w:r>
      <w:r w:rsidR="00907D8C">
        <w:t xml:space="preserve"> </w:t>
      </w:r>
      <w:r w:rsidRPr="00036FAC">
        <w:t>Tika</w:t>
      </w:r>
      <w:r w:rsidR="00907D8C">
        <w:t xml:space="preserve"> </w:t>
      </w:r>
      <w:r w:rsidRPr="00036FAC">
        <w:t>Tangata</w:t>
      </w:r>
      <w:r w:rsidR="00907D8C">
        <w:t xml:space="preserve"> </w:t>
      </w:r>
      <w:r w:rsidRPr="00036FAC">
        <w:t>is</w:t>
      </w:r>
      <w:r w:rsidR="00907D8C">
        <w:t xml:space="preserve"> </w:t>
      </w:r>
      <w:r w:rsidRPr="00036FAC">
        <w:t>an</w:t>
      </w:r>
      <w:r w:rsidR="00907D8C">
        <w:t xml:space="preserve"> </w:t>
      </w:r>
      <w:r w:rsidRPr="00036FAC">
        <w:t>initiative</w:t>
      </w:r>
      <w:r w:rsidR="00907D8C">
        <w:t xml:space="preserve"> </w:t>
      </w:r>
      <w:r w:rsidRPr="00036FAC">
        <w:t>originally</w:t>
      </w:r>
      <w:r w:rsidR="00907D8C">
        <w:t xml:space="preserve"> </w:t>
      </w:r>
      <w:r w:rsidRPr="00036FAC">
        <w:t>launched</w:t>
      </w:r>
      <w:r w:rsidR="00907D8C">
        <w:t xml:space="preserve"> </w:t>
      </w:r>
      <w:r w:rsidRPr="00036FAC">
        <w:t>by</w:t>
      </w:r>
      <w:r w:rsidR="00907D8C">
        <w:t xml:space="preserve"> </w:t>
      </w:r>
      <w:r w:rsidRPr="00036FAC">
        <w:t>Amnesty</w:t>
      </w:r>
      <w:r w:rsidR="00907D8C">
        <w:t xml:space="preserve"> </w:t>
      </w:r>
      <w:r w:rsidRPr="00036FAC">
        <w:t>International,</w:t>
      </w:r>
      <w:r w:rsidR="00907D8C">
        <w:t xml:space="preserve"> </w:t>
      </w:r>
      <w:r w:rsidRPr="00036FAC">
        <w:t>the</w:t>
      </w:r>
      <w:r w:rsidR="00907D8C">
        <w:t xml:space="preserve"> </w:t>
      </w:r>
      <w:r w:rsidRPr="00036FAC">
        <w:t>Children</w:t>
      </w:r>
      <w:r w:rsidR="003E4D94">
        <w:t>’</w:t>
      </w:r>
      <w:r w:rsidRPr="00036FAC">
        <w:t>s</w:t>
      </w:r>
      <w:r w:rsidR="00907D8C">
        <w:t xml:space="preserve"> </w:t>
      </w:r>
      <w:r w:rsidRPr="00036FAC">
        <w:t>Commissioner,</w:t>
      </w:r>
      <w:r w:rsidR="00907D8C">
        <w:t xml:space="preserve"> </w:t>
      </w:r>
      <w:r w:rsidRPr="00036FAC">
        <w:t>Development</w:t>
      </w:r>
      <w:r w:rsidR="00907D8C">
        <w:t xml:space="preserve"> </w:t>
      </w:r>
      <w:r w:rsidRPr="00036FAC">
        <w:t>Resource</w:t>
      </w:r>
      <w:r w:rsidR="00907D8C">
        <w:t xml:space="preserve"> </w:t>
      </w:r>
      <w:r w:rsidRPr="00036FAC">
        <w:t>Centre,</w:t>
      </w:r>
      <w:r w:rsidR="00907D8C">
        <w:t xml:space="preserve"> </w:t>
      </w:r>
      <w:r w:rsidRPr="00036FAC">
        <w:t>NZHRC,</w:t>
      </w:r>
      <w:r w:rsidR="00907D8C">
        <w:t xml:space="preserve"> </w:t>
      </w:r>
      <w:r w:rsidRPr="00036FAC">
        <w:t>and</w:t>
      </w:r>
      <w:r w:rsidR="00907D8C">
        <w:t xml:space="preserve"> </w:t>
      </w:r>
      <w:r w:rsidRPr="00036FAC">
        <w:t>Peace</w:t>
      </w:r>
      <w:r w:rsidR="00907D8C">
        <w:t xml:space="preserve"> </w:t>
      </w:r>
      <w:r w:rsidRPr="00036FAC">
        <w:t>Foundation.</w:t>
      </w:r>
      <w:r w:rsidR="00907D8C">
        <w:t xml:space="preserve"> </w:t>
      </w:r>
      <w:r w:rsidRPr="00036FAC">
        <w:t>It</w:t>
      </w:r>
      <w:r w:rsidR="00907D8C">
        <w:t xml:space="preserve"> </w:t>
      </w:r>
      <w:r w:rsidRPr="00036FAC">
        <w:t>assists</w:t>
      </w:r>
      <w:r w:rsidR="00907D8C">
        <w:t xml:space="preserve"> </w:t>
      </w:r>
      <w:r w:rsidRPr="00036FAC">
        <w:t>schools</w:t>
      </w:r>
      <w:r w:rsidR="00907D8C">
        <w:t xml:space="preserve"> </w:t>
      </w:r>
      <w:r w:rsidRPr="00036FAC">
        <w:t>and</w:t>
      </w:r>
      <w:r w:rsidR="00907D8C">
        <w:t xml:space="preserve"> </w:t>
      </w:r>
      <w:r w:rsidRPr="00036FAC">
        <w:t>early</w:t>
      </w:r>
      <w:r w:rsidR="00907D8C">
        <w:t xml:space="preserve"> </w:t>
      </w:r>
      <w:r w:rsidRPr="00036FAC">
        <w:t>childhood</w:t>
      </w:r>
      <w:r w:rsidR="00907D8C">
        <w:t xml:space="preserve"> </w:t>
      </w:r>
      <w:r w:rsidRPr="00036FAC">
        <w:t>education</w:t>
      </w:r>
      <w:r w:rsidR="00907D8C">
        <w:t xml:space="preserve"> </w:t>
      </w:r>
      <w:r w:rsidRPr="00036FAC">
        <w:t>centres</w:t>
      </w:r>
      <w:r w:rsidR="00907D8C">
        <w:t xml:space="preserve"> </w:t>
      </w:r>
      <w:r w:rsidRPr="00036FAC">
        <w:t>to</w:t>
      </w:r>
      <w:r w:rsidR="00907D8C">
        <w:t xml:space="preserve"> </w:t>
      </w:r>
      <w:r w:rsidRPr="00036FAC">
        <w:t>develop</w:t>
      </w:r>
      <w:r w:rsidR="00907D8C">
        <w:t xml:space="preserve"> </w:t>
      </w:r>
      <w:r w:rsidRPr="00036FAC">
        <w:t>as</w:t>
      </w:r>
      <w:r w:rsidR="00907D8C">
        <w:t xml:space="preserve"> </w:t>
      </w:r>
      <w:r w:rsidRPr="00036FAC">
        <w:t>communities</w:t>
      </w:r>
      <w:r w:rsidR="00907D8C">
        <w:t xml:space="preserve"> </w:t>
      </w:r>
      <w:r w:rsidRPr="00036FAC">
        <w:t>that</w:t>
      </w:r>
      <w:r w:rsidR="00907D8C">
        <w:t xml:space="preserve"> </w:t>
      </w:r>
      <w:r w:rsidRPr="00036FAC">
        <w:t>understand,</w:t>
      </w:r>
      <w:r w:rsidR="00907D8C">
        <w:t xml:space="preserve"> </w:t>
      </w:r>
      <w:r w:rsidRPr="00036FAC">
        <w:t>promote,</w:t>
      </w:r>
      <w:r w:rsidR="00907D8C">
        <w:t xml:space="preserve"> </w:t>
      </w:r>
      <w:r w:rsidRPr="00036FAC">
        <w:t>and</w:t>
      </w:r>
      <w:r w:rsidR="00907D8C">
        <w:t xml:space="preserve"> </w:t>
      </w:r>
      <w:r w:rsidRPr="00036FAC">
        <w:t>practice</w:t>
      </w:r>
      <w:r w:rsidR="00907D8C">
        <w:t xml:space="preserve"> </w:t>
      </w:r>
      <w:r w:rsidRPr="00036FAC">
        <w:t>their</w:t>
      </w:r>
      <w:r w:rsidR="00907D8C">
        <w:t xml:space="preserve"> </w:t>
      </w:r>
      <w:r w:rsidRPr="00036FAC">
        <w:t>human</w:t>
      </w:r>
      <w:r w:rsidR="00907D8C">
        <w:t xml:space="preserve"> </w:t>
      </w:r>
      <w:r w:rsidRPr="00036FAC">
        <w:t>rights</w:t>
      </w:r>
      <w:r w:rsidR="00907D8C">
        <w:t xml:space="preserve"> </w:t>
      </w:r>
      <w:r w:rsidRPr="00036FAC">
        <w:t>responsibilities.</w:t>
      </w:r>
    </w:p>
    <w:p w:rsidR="00036FAC" w:rsidRPr="00036FAC" w:rsidRDefault="00036FAC" w:rsidP="002B6E7E">
      <w:pPr>
        <w:pStyle w:val="SingleTxtG"/>
      </w:pPr>
      <w:r w:rsidRPr="00036FAC">
        <w:t>233.</w:t>
      </w:r>
      <w:r w:rsidRPr="00036FAC">
        <w:tab/>
        <w:t>Other</w:t>
      </w:r>
      <w:r w:rsidR="00907D8C">
        <w:t xml:space="preserve"> </w:t>
      </w:r>
      <w:r w:rsidRPr="00036FAC">
        <w:t>NGOs</w:t>
      </w:r>
      <w:r w:rsidR="00907D8C">
        <w:t xml:space="preserve"> </w:t>
      </w:r>
      <w:r w:rsidRPr="00036FAC">
        <w:t>also</w:t>
      </w:r>
      <w:r w:rsidR="00907D8C">
        <w:t xml:space="preserve"> </w:t>
      </w:r>
      <w:r w:rsidRPr="00036FAC">
        <w:t>offer</w:t>
      </w:r>
      <w:r w:rsidR="00907D8C">
        <w:t xml:space="preserve"> </w:t>
      </w:r>
      <w:r w:rsidRPr="00036FAC">
        <w:t>specific</w:t>
      </w:r>
      <w:r w:rsidR="00907D8C">
        <w:t xml:space="preserve"> </w:t>
      </w:r>
      <w:r w:rsidRPr="00036FAC">
        <w:t>programmes</w:t>
      </w:r>
      <w:r w:rsidR="00907D8C">
        <w:t xml:space="preserve"> </w:t>
      </w:r>
      <w:r w:rsidRPr="00036FAC">
        <w:t>for</w:t>
      </w:r>
      <w:r w:rsidR="00907D8C">
        <w:t xml:space="preserve"> </w:t>
      </w:r>
      <w:r w:rsidRPr="00036FAC">
        <w:t>schools,</w:t>
      </w:r>
      <w:r w:rsidR="00907D8C">
        <w:t xml:space="preserve"> </w:t>
      </w:r>
      <w:r w:rsidRPr="00036FAC">
        <w:t>including</w:t>
      </w:r>
      <w:r w:rsidR="00907D8C">
        <w:t xml:space="preserve"> </w:t>
      </w:r>
      <w:r w:rsidRPr="00036FAC">
        <w:t>the</w:t>
      </w:r>
      <w:r w:rsidR="00907D8C">
        <w:t xml:space="preserve"> </w:t>
      </w:r>
      <w:r w:rsidRPr="00036FAC">
        <w:t>Culture</w:t>
      </w:r>
      <w:r w:rsidR="00907D8C">
        <w:t xml:space="preserve"> </w:t>
      </w:r>
      <w:r w:rsidRPr="00036FAC">
        <w:t>of</w:t>
      </w:r>
      <w:r w:rsidR="00907D8C">
        <w:t xml:space="preserve"> </w:t>
      </w:r>
      <w:r w:rsidRPr="00036FAC">
        <w:t>Peace</w:t>
      </w:r>
      <w:r w:rsidR="00907D8C">
        <w:t xml:space="preserve"> </w:t>
      </w:r>
      <w:r w:rsidRPr="00036FAC">
        <w:t>Outreach</w:t>
      </w:r>
      <w:r w:rsidR="00907D8C">
        <w:t xml:space="preserve"> </w:t>
      </w:r>
      <w:r w:rsidRPr="00036FAC">
        <w:t>Programme</w:t>
      </w:r>
      <w:r w:rsidR="00907D8C">
        <w:t xml:space="preserve"> </w:t>
      </w:r>
      <w:r w:rsidRPr="00036FAC">
        <w:t>and</w:t>
      </w:r>
      <w:r w:rsidR="00907D8C">
        <w:t xml:space="preserve"> </w:t>
      </w:r>
      <w:r w:rsidRPr="00036FAC">
        <w:t>Cool</w:t>
      </w:r>
      <w:r w:rsidR="00907D8C">
        <w:t xml:space="preserve"> </w:t>
      </w:r>
      <w:r w:rsidRPr="00036FAC">
        <w:t>Schools</w:t>
      </w:r>
      <w:r w:rsidR="00907D8C">
        <w:t xml:space="preserve"> </w:t>
      </w:r>
      <w:r w:rsidRPr="00036FAC">
        <w:t>Peer</w:t>
      </w:r>
      <w:r w:rsidR="00907D8C">
        <w:t xml:space="preserve"> </w:t>
      </w:r>
      <w:r w:rsidRPr="00036FAC">
        <w:t>Mediation</w:t>
      </w:r>
      <w:r w:rsidR="00907D8C">
        <w:t xml:space="preserve"> </w:t>
      </w:r>
      <w:r w:rsidRPr="00036FAC">
        <w:t>Programme</w:t>
      </w:r>
      <w:r w:rsidR="00907D8C">
        <w:t xml:space="preserve"> </w:t>
      </w:r>
      <w:r w:rsidRPr="00036FAC">
        <w:t>(UNESCO,</w:t>
      </w:r>
      <w:r w:rsidR="00907D8C">
        <w:t xml:space="preserve"> </w:t>
      </w:r>
      <w:r w:rsidRPr="00036FAC">
        <w:t>2000).</w:t>
      </w:r>
      <w:r w:rsidR="00907D8C">
        <w:t xml:space="preserve"> </w:t>
      </w:r>
      <w:r w:rsidRPr="00036FAC">
        <w:t>Some</w:t>
      </w:r>
      <w:r w:rsidR="00907D8C">
        <w:t xml:space="preserve"> </w:t>
      </w:r>
      <w:r w:rsidRPr="00036FAC">
        <w:t>have</w:t>
      </w:r>
      <w:r w:rsidR="00907D8C">
        <w:t xml:space="preserve"> </w:t>
      </w:r>
      <w:r w:rsidRPr="00036FAC">
        <w:t>focused</w:t>
      </w:r>
      <w:r w:rsidR="00907D8C">
        <w:t xml:space="preserve"> </w:t>
      </w:r>
      <w:r w:rsidRPr="00036FAC">
        <w:t>on</w:t>
      </w:r>
      <w:r w:rsidR="00907D8C">
        <w:t xml:space="preserve"> </w:t>
      </w:r>
      <w:r w:rsidRPr="00036FAC">
        <w:t>addressing</w:t>
      </w:r>
      <w:r w:rsidR="00907D8C">
        <w:t xml:space="preserve"> </w:t>
      </w:r>
      <w:r w:rsidRPr="00036FAC">
        <w:t>the</w:t>
      </w:r>
      <w:r w:rsidR="00907D8C">
        <w:t xml:space="preserve"> </w:t>
      </w:r>
      <w:r w:rsidRPr="00036FAC">
        <w:t>vulnerability</w:t>
      </w:r>
      <w:r w:rsidR="00907D8C">
        <w:t xml:space="preserve"> </w:t>
      </w:r>
      <w:r w:rsidRPr="00036FAC">
        <w:t>of</w:t>
      </w:r>
      <w:r w:rsidR="00907D8C">
        <w:t xml:space="preserve"> </w:t>
      </w:r>
      <w:r w:rsidRPr="00036FAC">
        <w:t>students</w:t>
      </w:r>
      <w:r w:rsidR="00907D8C">
        <w:t xml:space="preserve"> </w:t>
      </w:r>
      <w:r w:rsidRPr="00036FAC">
        <w:t>to</w:t>
      </w:r>
      <w:r w:rsidR="00907D8C">
        <w:t xml:space="preserve"> </w:t>
      </w:r>
      <w:r w:rsidRPr="00036FAC">
        <w:t>harassment</w:t>
      </w:r>
      <w:r w:rsidR="00907D8C">
        <w:t xml:space="preserve"> </w:t>
      </w:r>
      <w:r w:rsidRPr="00036FAC">
        <w:t>and</w:t>
      </w:r>
      <w:r w:rsidR="00907D8C">
        <w:t xml:space="preserve"> </w:t>
      </w:r>
      <w:r w:rsidRPr="00036FAC">
        <w:t>bullying.</w:t>
      </w:r>
      <w:r w:rsidR="00907D8C">
        <w:t xml:space="preserve"> </w:t>
      </w:r>
      <w:r w:rsidRPr="00036FAC">
        <w:t>This</w:t>
      </w:r>
      <w:r w:rsidR="00907D8C">
        <w:t xml:space="preserve"> </w:t>
      </w:r>
      <w:r w:rsidRPr="00036FAC">
        <w:t>includes</w:t>
      </w:r>
      <w:r w:rsidR="00907D8C">
        <w:t xml:space="preserve"> </w:t>
      </w:r>
      <w:r w:rsidRPr="00036FAC">
        <w:t>work</w:t>
      </w:r>
      <w:r w:rsidR="00907D8C">
        <w:t xml:space="preserve"> </w:t>
      </w:r>
      <w:r w:rsidRPr="00036FAC">
        <w:t>on</w:t>
      </w:r>
      <w:r w:rsidR="00907D8C">
        <w:t xml:space="preserve"> </w:t>
      </w:r>
      <w:r w:rsidRPr="00036FAC">
        <w:t>discrimination</w:t>
      </w:r>
      <w:r w:rsidR="00907D8C">
        <w:t xml:space="preserve"> </w:t>
      </w:r>
      <w:r w:rsidRPr="00036FAC">
        <w:t>faced</w:t>
      </w:r>
      <w:r w:rsidR="00907D8C">
        <w:t xml:space="preserve"> </w:t>
      </w:r>
      <w:r w:rsidRPr="00036FAC">
        <w:t>by</w:t>
      </w:r>
      <w:r w:rsidR="00907D8C">
        <w:t xml:space="preserve"> </w:t>
      </w:r>
      <w:r w:rsidRPr="00036FAC">
        <w:t>disabled</w:t>
      </w:r>
      <w:r w:rsidR="00907D8C">
        <w:t xml:space="preserve"> </w:t>
      </w:r>
      <w:r w:rsidRPr="00036FAC">
        <w:t>students</w:t>
      </w:r>
      <w:r w:rsidR="00907D8C">
        <w:t xml:space="preserve"> </w:t>
      </w:r>
      <w:r w:rsidRPr="00036FAC">
        <w:t>and</w:t>
      </w:r>
      <w:r w:rsidR="00907D8C">
        <w:t xml:space="preserve"> </w:t>
      </w:r>
      <w:r w:rsidRPr="00036FAC">
        <w:t>education</w:t>
      </w:r>
      <w:r w:rsidR="00907D8C">
        <w:t xml:space="preserve"> </w:t>
      </w:r>
      <w:r w:rsidRPr="00036FAC">
        <w:t>on</w:t>
      </w:r>
      <w:r w:rsidR="00907D8C">
        <w:t xml:space="preserve"> </w:t>
      </w:r>
      <w:r w:rsidRPr="00036FAC">
        <w:t>sexual</w:t>
      </w:r>
      <w:r w:rsidR="00907D8C">
        <w:t xml:space="preserve"> </w:t>
      </w:r>
      <w:r w:rsidRPr="00036FAC">
        <w:t>orientation</w:t>
      </w:r>
      <w:r w:rsidR="00907D8C">
        <w:t xml:space="preserve"> </w:t>
      </w:r>
      <w:r w:rsidRPr="00036FAC">
        <w:t>and</w:t>
      </w:r>
      <w:r w:rsidR="00907D8C">
        <w:t xml:space="preserve"> </w:t>
      </w:r>
      <w:r w:rsidRPr="00036FAC">
        <w:t>gender</w:t>
      </w:r>
      <w:r w:rsidR="00907D8C">
        <w:t xml:space="preserve"> </w:t>
      </w:r>
      <w:r w:rsidRPr="00036FAC">
        <w:t>identity</w:t>
      </w:r>
      <w:r w:rsidR="00907D8C">
        <w:t xml:space="preserve"> </w:t>
      </w:r>
      <w:r w:rsidRPr="00036FAC">
        <w:t>issues.</w:t>
      </w:r>
    </w:p>
    <w:p w:rsidR="00036FAC" w:rsidRPr="00036FAC" w:rsidRDefault="00036FAC" w:rsidP="006C436C">
      <w:pPr>
        <w:pStyle w:val="H23G"/>
      </w:pPr>
      <w:r w:rsidRPr="00036FAC">
        <w:tab/>
        <w:t>5.</w:t>
      </w:r>
      <w:r w:rsidRPr="00036FAC">
        <w:tab/>
        <w:t>Promotion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awareness</w:t>
      </w:r>
      <w:r w:rsidR="00907D8C">
        <w:t xml:space="preserve"> </w:t>
      </w:r>
      <w:r w:rsidRPr="00036FAC">
        <w:t>through</w:t>
      </w:r>
      <w:r w:rsidR="00907D8C">
        <w:t xml:space="preserve"> </w:t>
      </w:r>
      <w:r w:rsidRPr="00036FAC">
        <w:t>the</w:t>
      </w:r>
      <w:r w:rsidR="00907D8C">
        <w:t xml:space="preserve"> </w:t>
      </w:r>
      <w:r w:rsidRPr="00036FAC">
        <w:t>mass</w:t>
      </w:r>
      <w:r w:rsidR="00907D8C">
        <w:t xml:space="preserve"> </w:t>
      </w:r>
      <w:r w:rsidRPr="00036FAC">
        <w:t>media</w:t>
      </w:r>
    </w:p>
    <w:p w:rsidR="00036FAC" w:rsidRPr="00036FAC" w:rsidRDefault="00036FAC" w:rsidP="002B6E7E">
      <w:pPr>
        <w:pStyle w:val="SingleTxtG"/>
      </w:pPr>
      <w:r w:rsidRPr="00036FAC">
        <w:t>234.</w:t>
      </w:r>
      <w:r w:rsidRPr="00036FAC">
        <w:tab/>
        <w:t>The</w:t>
      </w:r>
      <w:r w:rsidR="00907D8C">
        <w:t xml:space="preserve"> </w:t>
      </w:r>
      <w:r w:rsidRPr="00036FAC">
        <w:t>media</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enjoys</w:t>
      </w:r>
      <w:r w:rsidR="00907D8C">
        <w:t xml:space="preserve"> </w:t>
      </w:r>
      <w:r w:rsidRPr="00036FAC">
        <w:t>a</w:t>
      </w:r>
      <w:r w:rsidR="00907D8C">
        <w:t xml:space="preserve"> </w:t>
      </w:r>
      <w:r w:rsidRPr="00036FAC">
        <w:t>high</w:t>
      </w:r>
      <w:r w:rsidR="00907D8C">
        <w:t xml:space="preserve"> </w:t>
      </w:r>
      <w:r w:rsidRPr="00036FAC">
        <w:t>degree</w:t>
      </w:r>
      <w:r w:rsidR="00907D8C">
        <w:t xml:space="preserve"> </w:t>
      </w:r>
      <w:r w:rsidRPr="00036FAC">
        <w:t>of</w:t>
      </w:r>
      <w:r w:rsidR="00907D8C">
        <w:t xml:space="preserve"> </w:t>
      </w:r>
      <w:r w:rsidRPr="00036FAC">
        <w:t>freedom,</w:t>
      </w:r>
      <w:r w:rsidR="00907D8C">
        <w:t xml:space="preserve"> </w:t>
      </w:r>
      <w:r w:rsidRPr="00036FAC">
        <w:t>which</w:t>
      </w:r>
      <w:r w:rsidR="00907D8C">
        <w:t xml:space="preserve"> </w:t>
      </w:r>
      <w:r w:rsidRPr="00036FAC">
        <w:t>allows</w:t>
      </w:r>
      <w:r w:rsidR="00907D8C">
        <w:t xml:space="preserve"> </w:t>
      </w:r>
      <w:r w:rsidRPr="00036FAC">
        <w:t>the</w:t>
      </w:r>
      <w:r w:rsidR="00907D8C">
        <w:t xml:space="preserve"> </w:t>
      </w:r>
      <w:r w:rsidRPr="00036FAC">
        <w:t>press,</w:t>
      </w:r>
      <w:r w:rsidR="00907D8C">
        <w:t xml:space="preserve"> </w:t>
      </w:r>
      <w:r w:rsidRPr="00036FAC">
        <w:t>radio,</w:t>
      </w:r>
      <w:r w:rsidR="00907D8C">
        <w:t xml:space="preserve"> </w:t>
      </w:r>
      <w:r w:rsidRPr="00036FAC">
        <w:t>television,</w:t>
      </w:r>
      <w:r w:rsidR="00907D8C">
        <w:t xml:space="preserve"> </w:t>
      </w:r>
      <w:r w:rsidRPr="00036FAC">
        <w:t>and</w:t>
      </w:r>
      <w:r w:rsidR="00907D8C">
        <w:t xml:space="preserve"> </w:t>
      </w:r>
      <w:r w:rsidRPr="00036FAC">
        <w:t>internet</w:t>
      </w:r>
      <w:r w:rsidR="00907D8C">
        <w:t xml:space="preserve"> </w:t>
      </w:r>
      <w:r w:rsidRPr="00036FAC">
        <w:t>to</w:t>
      </w:r>
      <w:r w:rsidR="00907D8C">
        <w:t xml:space="preserve"> </w:t>
      </w:r>
      <w:r w:rsidRPr="00036FAC">
        <w:t>play</w:t>
      </w:r>
      <w:r w:rsidR="00907D8C">
        <w:t xml:space="preserve"> </w:t>
      </w:r>
      <w:r w:rsidRPr="00036FAC">
        <w:t>a</w:t>
      </w:r>
      <w:r w:rsidR="00907D8C">
        <w:t xml:space="preserve"> </w:t>
      </w:r>
      <w:r w:rsidRPr="00036FAC">
        <w:t>significant</w:t>
      </w:r>
      <w:r w:rsidR="00907D8C">
        <w:t xml:space="preserve"> </w:t>
      </w:r>
      <w:r w:rsidRPr="00036FAC">
        <w:t>role</w:t>
      </w:r>
      <w:r w:rsidR="00907D8C">
        <w:t xml:space="preserve"> </w:t>
      </w:r>
      <w:r w:rsidRPr="00036FAC">
        <w:t>in</w:t>
      </w:r>
      <w:r w:rsidR="00907D8C">
        <w:t xml:space="preserve"> </w:t>
      </w:r>
      <w:r w:rsidRPr="00036FAC">
        <w:t>exposing</w:t>
      </w:r>
      <w:r w:rsidR="00907D8C">
        <w:t xml:space="preserve"> </w:t>
      </w:r>
      <w:r w:rsidRPr="00036FAC">
        <w:t>breaches</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exerting</w:t>
      </w:r>
      <w:r w:rsidR="00907D8C">
        <w:t xml:space="preserve"> </w:t>
      </w:r>
      <w:r w:rsidRPr="00036FAC">
        <w:t>pressure</w:t>
      </w:r>
      <w:r w:rsidR="00907D8C">
        <w:t xml:space="preserve"> </w:t>
      </w:r>
      <w:r w:rsidRPr="00036FAC">
        <w:t>for</w:t>
      </w:r>
      <w:r w:rsidR="00907D8C">
        <w:t xml:space="preserve"> </w:t>
      </w:r>
      <w:r w:rsidRPr="00036FAC">
        <w:t>remedial</w:t>
      </w:r>
      <w:r w:rsidR="00907D8C">
        <w:t xml:space="preserve"> </w:t>
      </w:r>
      <w:r w:rsidRPr="00036FAC">
        <w:t>action.</w:t>
      </w:r>
      <w:r w:rsidR="00907D8C">
        <w:t xml:space="preserve"> </w:t>
      </w:r>
      <w:r w:rsidRPr="00036FAC">
        <w:t>The</w:t>
      </w:r>
      <w:r w:rsidR="00907D8C">
        <w:t xml:space="preserve"> </w:t>
      </w:r>
      <w:r w:rsidRPr="00036FAC">
        <w:t>media</w:t>
      </w:r>
      <w:r w:rsidR="00907D8C">
        <w:t xml:space="preserve"> </w:t>
      </w:r>
      <w:r w:rsidRPr="00036FAC">
        <w:t>is</w:t>
      </w:r>
      <w:r w:rsidR="00907D8C">
        <w:t xml:space="preserve"> </w:t>
      </w:r>
      <w:r w:rsidRPr="00036FAC">
        <w:t>free</w:t>
      </w:r>
      <w:r w:rsidR="00907D8C">
        <w:t xml:space="preserve"> </w:t>
      </w:r>
      <w:r w:rsidRPr="00036FAC">
        <w:t>to</w:t>
      </w:r>
      <w:r w:rsidR="00907D8C">
        <w:t xml:space="preserve"> </w:t>
      </w:r>
      <w:r w:rsidRPr="00036FAC">
        <w:t>report</w:t>
      </w:r>
      <w:r w:rsidR="00907D8C">
        <w:t xml:space="preserve"> </w:t>
      </w:r>
      <w:r w:rsidRPr="00036FAC">
        <w:t>parliamentary</w:t>
      </w:r>
      <w:r w:rsidR="00907D8C">
        <w:t xml:space="preserve"> </w:t>
      </w:r>
      <w:r w:rsidRPr="00036FAC">
        <w:t>and</w:t>
      </w:r>
      <w:r w:rsidR="00907D8C">
        <w:t xml:space="preserve"> </w:t>
      </w:r>
      <w:r w:rsidRPr="00036FAC">
        <w:t>court</w:t>
      </w:r>
      <w:r w:rsidR="00907D8C">
        <w:t xml:space="preserve"> </w:t>
      </w:r>
      <w:r w:rsidRPr="00036FAC">
        <w:t>decisions</w:t>
      </w:r>
      <w:r w:rsidR="00907D8C">
        <w:t xml:space="preserve"> </w:t>
      </w:r>
      <w:r w:rsidRPr="00036FAC">
        <w:t>relating</w:t>
      </w:r>
      <w:r w:rsidR="00907D8C">
        <w:t xml:space="preserve"> </w:t>
      </w:r>
      <w:r w:rsidRPr="00036FAC">
        <w:t>to</w:t>
      </w:r>
      <w:r w:rsidR="00907D8C">
        <w:t xml:space="preserve"> </w:t>
      </w:r>
      <w:r w:rsidRPr="00036FAC">
        <w:t>human</w:t>
      </w:r>
      <w:r w:rsidR="00907D8C">
        <w:t xml:space="preserve"> </w:t>
      </w:r>
      <w:r w:rsidRPr="00036FAC">
        <w:t>rights</w:t>
      </w:r>
      <w:r w:rsidR="00907D8C">
        <w:t xml:space="preserve"> </w:t>
      </w:r>
      <w:r w:rsidRPr="00036FAC">
        <w:t>matters</w:t>
      </w:r>
      <w:r w:rsidR="00907D8C">
        <w:t xml:space="preserve"> </w:t>
      </w:r>
      <w:r w:rsidRPr="00036FAC">
        <w:t>and</w:t>
      </w:r>
      <w:r w:rsidR="00907D8C">
        <w:t xml:space="preserve"> </w:t>
      </w:r>
      <w:r w:rsidRPr="00036FAC">
        <w:t>parliamentary</w:t>
      </w:r>
      <w:r w:rsidR="00907D8C">
        <w:t xml:space="preserve"> </w:t>
      </w:r>
      <w:r w:rsidRPr="00036FAC">
        <w:t>questions</w:t>
      </w:r>
      <w:r w:rsidR="00907D8C">
        <w:t xml:space="preserve"> </w:t>
      </w:r>
      <w:r w:rsidRPr="00036FAC">
        <w:t>are</w:t>
      </w:r>
      <w:r w:rsidR="00907D8C">
        <w:t xml:space="preserve"> </w:t>
      </w:r>
      <w:r w:rsidRPr="00036FAC">
        <w:t>often</w:t>
      </w:r>
      <w:r w:rsidR="00907D8C">
        <w:t xml:space="preserve"> </w:t>
      </w:r>
      <w:r w:rsidRPr="00036FAC">
        <w:t>prompted</w:t>
      </w:r>
      <w:r w:rsidR="00907D8C">
        <w:t xml:space="preserve"> </w:t>
      </w:r>
      <w:r w:rsidRPr="00036FAC">
        <w:t>by</w:t>
      </w:r>
      <w:r w:rsidR="00907D8C">
        <w:t xml:space="preserve"> </w:t>
      </w:r>
      <w:r w:rsidRPr="00036FAC">
        <w:t>media</w:t>
      </w:r>
      <w:r w:rsidR="00907D8C">
        <w:t xml:space="preserve"> </w:t>
      </w:r>
      <w:r w:rsidRPr="00036FAC">
        <w:t>coverage</w:t>
      </w:r>
      <w:r w:rsidR="00907D8C">
        <w:t xml:space="preserve"> </w:t>
      </w:r>
      <w:r w:rsidRPr="00036FAC">
        <w:t>of</w:t>
      </w:r>
      <w:r w:rsidR="00907D8C">
        <w:t xml:space="preserve"> </w:t>
      </w:r>
      <w:r w:rsidRPr="00036FAC">
        <w:t>a</w:t>
      </w:r>
      <w:r w:rsidR="00907D8C">
        <w:t xml:space="preserve"> </w:t>
      </w:r>
      <w:r w:rsidRPr="00036FAC">
        <w:t>particular</w:t>
      </w:r>
      <w:r w:rsidR="00907D8C">
        <w:t xml:space="preserve"> </w:t>
      </w:r>
      <w:r w:rsidRPr="00036FAC">
        <w:t>matter.</w:t>
      </w:r>
    </w:p>
    <w:p w:rsidR="00036FAC" w:rsidRPr="00036FAC" w:rsidRDefault="00036FAC" w:rsidP="006C436C">
      <w:pPr>
        <w:pStyle w:val="H23G"/>
      </w:pPr>
      <w:r w:rsidRPr="00036FAC">
        <w:tab/>
        <w:t>6.</w:t>
      </w:r>
      <w:r w:rsidRPr="00036FAC">
        <w:tab/>
        <w:t>Development</w:t>
      </w:r>
      <w:r w:rsidR="00907D8C">
        <w:t xml:space="preserve"> </w:t>
      </w:r>
      <w:r w:rsidRPr="00036FAC">
        <w:t>cooperation</w:t>
      </w:r>
      <w:r w:rsidR="00907D8C">
        <w:t xml:space="preserve"> </w:t>
      </w:r>
      <w:r w:rsidRPr="00036FAC">
        <w:t>and</w:t>
      </w:r>
      <w:r w:rsidR="00907D8C">
        <w:t xml:space="preserve"> </w:t>
      </w:r>
      <w:r w:rsidRPr="00036FAC">
        <w:t>assistance</w:t>
      </w:r>
    </w:p>
    <w:p w:rsidR="00036FAC" w:rsidRPr="00036FAC" w:rsidRDefault="00036FAC" w:rsidP="002B6E7E">
      <w:pPr>
        <w:pStyle w:val="SingleTxtG"/>
      </w:pPr>
      <w:r w:rsidRPr="00036FAC">
        <w:t>235.</w:t>
      </w:r>
      <w:r w:rsidRPr="00036FAC">
        <w:tab/>
        <w:t>New</w:t>
      </w:r>
      <w:r w:rsidR="00907D8C">
        <w:t xml:space="preserve"> </w:t>
      </w:r>
      <w:r w:rsidRPr="00036FAC">
        <w:t>Zealand</w:t>
      </w:r>
      <w:r w:rsidR="00907D8C">
        <w:t xml:space="preserve"> </w:t>
      </w:r>
      <w:r w:rsidRPr="00036FAC">
        <w:t>is</w:t>
      </w:r>
      <w:r w:rsidR="00907D8C">
        <w:t xml:space="preserve"> </w:t>
      </w:r>
      <w:r w:rsidRPr="00036FAC">
        <w:t>strongly</w:t>
      </w:r>
      <w:r w:rsidR="00907D8C">
        <w:t xml:space="preserve"> </w:t>
      </w:r>
      <w:r w:rsidRPr="00036FAC">
        <w:t>committed</w:t>
      </w:r>
      <w:r w:rsidR="00907D8C">
        <w:t xml:space="preserve"> </w:t>
      </w:r>
      <w:r w:rsidRPr="00036FAC">
        <w:t>to</w:t>
      </w:r>
      <w:r w:rsidR="00907D8C">
        <w:t xml:space="preserve"> </w:t>
      </w:r>
      <w:r w:rsidRPr="00036FAC">
        <w:t>the</w:t>
      </w:r>
      <w:r w:rsidR="00907D8C">
        <w:t xml:space="preserve"> </w:t>
      </w:r>
      <w:r w:rsidRPr="00036FAC">
        <w:t>protection</w:t>
      </w:r>
      <w:r w:rsidR="00907D8C">
        <w:t xml:space="preserve"> </w:t>
      </w:r>
      <w:r w:rsidRPr="00036FAC">
        <w:t>and</w:t>
      </w:r>
      <w:r w:rsidR="00907D8C">
        <w:t xml:space="preserve"> </w:t>
      </w:r>
      <w:r w:rsidRPr="00036FAC">
        <w:t>promotion</w:t>
      </w:r>
      <w:r w:rsidR="00907D8C">
        <w:t xml:space="preserve"> </w:t>
      </w:r>
      <w:r w:rsidRPr="00036FAC">
        <w:t>of</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as</w:t>
      </w:r>
      <w:r w:rsidR="00907D8C">
        <w:t xml:space="preserve"> </w:t>
      </w:r>
      <w:r w:rsidRPr="00036FAC">
        <w:t>embodied</w:t>
      </w:r>
      <w:r w:rsidR="00907D8C">
        <w:t xml:space="preserve"> </w:t>
      </w:r>
      <w:r w:rsidRPr="00036FAC">
        <w:t>in</w:t>
      </w:r>
      <w:r w:rsidR="00907D8C">
        <w:t xml:space="preserve"> </w:t>
      </w:r>
      <w:r w:rsidRPr="00036FAC">
        <w:t>the</w:t>
      </w:r>
      <w:r w:rsidR="00907D8C">
        <w:t xml:space="preserve"> </w:t>
      </w:r>
      <w:r w:rsidRPr="00036FAC">
        <w:t>Universal</w:t>
      </w:r>
      <w:r w:rsidR="00907D8C">
        <w:t xml:space="preserve"> </w:t>
      </w:r>
      <w:r w:rsidRPr="00036FAC">
        <w:t>Declaration</w:t>
      </w:r>
      <w:r w:rsidR="00907D8C">
        <w:t xml:space="preserve"> </w:t>
      </w:r>
      <w:r w:rsidRPr="00036FAC">
        <w:t>on</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core</w:t>
      </w:r>
      <w:r w:rsidR="00907D8C">
        <w:t xml:space="preserve"> </w:t>
      </w:r>
      <w:r w:rsidRPr="00036FAC">
        <w:t>human</w:t>
      </w:r>
      <w:r w:rsidR="00907D8C">
        <w:t xml:space="preserve"> </w:t>
      </w:r>
      <w:r w:rsidRPr="00036FAC">
        <w:t>rights</w:t>
      </w:r>
      <w:r w:rsidR="00907D8C">
        <w:t xml:space="preserve"> </w:t>
      </w:r>
      <w:r w:rsidRPr="00036FAC">
        <w:t>treaties.</w:t>
      </w:r>
      <w:r w:rsidR="00907D8C">
        <w:t xml:space="preserve"> </w:t>
      </w:r>
      <w:r w:rsidRPr="00036FAC">
        <w:t>New</w:t>
      </w:r>
      <w:r w:rsidR="00907D8C">
        <w:t xml:space="preserve"> </w:t>
      </w:r>
      <w:r w:rsidRPr="00036FAC">
        <w:t>Zealand</w:t>
      </w:r>
      <w:r w:rsidR="00907D8C">
        <w:t xml:space="preserve"> </w:t>
      </w:r>
      <w:r w:rsidRPr="00036FAC">
        <w:t>seeks</w:t>
      </w:r>
      <w:r w:rsidR="00907D8C">
        <w:t xml:space="preserve"> </w:t>
      </w:r>
      <w:r w:rsidRPr="00036FAC">
        <w:t>to</w:t>
      </w:r>
      <w:r w:rsidR="00907D8C">
        <w:t xml:space="preserve"> </w:t>
      </w:r>
      <w:r w:rsidRPr="00036FAC">
        <w:t>defend</w:t>
      </w:r>
      <w:r w:rsidR="00907D8C">
        <w:t xml:space="preserve"> </w:t>
      </w:r>
      <w:r w:rsidRPr="00036FAC">
        <w:t>and</w:t>
      </w:r>
      <w:r w:rsidR="00907D8C">
        <w:t xml:space="preserve"> </w:t>
      </w:r>
      <w:r w:rsidRPr="00036FAC">
        <w:t>advance</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in</w:t>
      </w:r>
      <w:r w:rsidR="00907D8C">
        <w:t xml:space="preserve"> </w:t>
      </w:r>
      <w:r w:rsidRPr="00036FAC">
        <w:t>multilateral</w:t>
      </w:r>
      <w:r w:rsidR="00907D8C">
        <w:t xml:space="preserve"> </w:t>
      </w:r>
      <w:r w:rsidRPr="00036FAC">
        <w:t>human</w:t>
      </w:r>
      <w:r w:rsidR="00907D8C">
        <w:t xml:space="preserve"> </w:t>
      </w:r>
      <w:r w:rsidRPr="00036FAC">
        <w:t>rights</w:t>
      </w:r>
      <w:r w:rsidR="00907D8C">
        <w:t xml:space="preserve"> </w:t>
      </w:r>
      <w:r w:rsidRPr="00036FAC">
        <w:t>fora,</w:t>
      </w:r>
      <w:r w:rsidR="00907D8C">
        <w:t xml:space="preserve"> </w:t>
      </w:r>
      <w:r w:rsidRPr="00036FAC">
        <w:t>focusing</w:t>
      </w:r>
      <w:r w:rsidR="00907D8C">
        <w:t xml:space="preserve"> </w:t>
      </w:r>
      <w:r w:rsidRPr="00036FAC">
        <w:t>on</w:t>
      </w:r>
      <w:r w:rsidR="00907D8C">
        <w:t xml:space="preserve"> </w:t>
      </w:r>
      <w:r w:rsidRPr="00036FAC">
        <w:t>the</w:t>
      </w:r>
      <w:r w:rsidR="00907D8C">
        <w:t xml:space="preserve"> </w:t>
      </w:r>
      <w:r w:rsidRPr="00036FAC">
        <w:t>sessions</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Council</w:t>
      </w:r>
      <w:r w:rsidR="00907D8C">
        <w:t xml:space="preserve"> </w:t>
      </w:r>
      <w:r w:rsidRPr="00036FAC">
        <w:t>in</w:t>
      </w:r>
      <w:r w:rsidR="00907D8C">
        <w:t xml:space="preserve"> </w:t>
      </w:r>
      <w:r w:rsidRPr="00036FAC">
        <w:t>Geneva,</w:t>
      </w:r>
      <w:r w:rsidR="00907D8C">
        <w:t xml:space="preserve"> </w:t>
      </w:r>
      <w:r w:rsidRPr="00036FAC">
        <w:t>meetings</w:t>
      </w:r>
      <w:r w:rsidR="00907D8C">
        <w:t xml:space="preserve"> </w:t>
      </w:r>
      <w:r w:rsidRPr="00036FAC">
        <w:t>of</w:t>
      </w:r>
      <w:r w:rsidR="00907D8C">
        <w:t xml:space="preserve"> </w:t>
      </w:r>
      <w:r w:rsidRPr="00036FAC">
        <w:t>the</w:t>
      </w:r>
      <w:r w:rsidR="00907D8C">
        <w:t xml:space="preserve"> </w:t>
      </w:r>
      <w:r w:rsidRPr="00036FAC">
        <w:t>Third</w:t>
      </w:r>
      <w:r w:rsidR="00907D8C">
        <w:t xml:space="preserve"> </w:t>
      </w:r>
      <w:r w:rsidRPr="00036FAC">
        <w:t>Committee</w:t>
      </w:r>
      <w:r w:rsidR="00907D8C">
        <w:t xml:space="preserve"> </w:t>
      </w:r>
      <w:r w:rsidRPr="00036FAC">
        <w:t>of</w:t>
      </w:r>
      <w:r w:rsidR="00907D8C">
        <w:t xml:space="preserve"> </w:t>
      </w:r>
      <w:r w:rsidRPr="00036FAC">
        <w:t>the</w:t>
      </w:r>
      <w:r w:rsidR="00907D8C">
        <w:t xml:space="preserve"> </w:t>
      </w:r>
      <w:r w:rsidRPr="00036FAC">
        <w:t>General</w:t>
      </w:r>
      <w:r w:rsidR="00907D8C">
        <w:t xml:space="preserve"> </w:t>
      </w:r>
      <w:r w:rsidRPr="00036FAC">
        <w:t>Assembly</w:t>
      </w:r>
      <w:r w:rsidR="00907D8C">
        <w:t xml:space="preserve"> </w:t>
      </w:r>
      <w:r w:rsidRPr="00036FAC">
        <w:t>in</w:t>
      </w:r>
      <w:r w:rsidR="00907D8C">
        <w:t xml:space="preserve"> </w:t>
      </w:r>
      <w:r w:rsidRPr="00036FAC">
        <w:t>New</w:t>
      </w:r>
      <w:r w:rsidR="00907D8C">
        <w:t xml:space="preserve"> </w:t>
      </w:r>
      <w:r w:rsidRPr="00036FAC">
        <w:t>York,</w:t>
      </w:r>
      <w:r w:rsidR="00907D8C">
        <w:t xml:space="preserve"> </w:t>
      </w:r>
      <w:r w:rsidRPr="00036FAC">
        <w:t>and</w:t>
      </w:r>
      <w:r w:rsidR="00907D8C">
        <w:t xml:space="preserve"> </w:t>
      </w:r>
      <w:r w:rsidRPr="00036FAC">
        <w:t>negotiations</w:t>
      </w:r>
      <w:r w:rsidR="00907D8C">
        <w:t xml:space="preserve"> </w:t>
      </w:r>
      <w:r w:rsidRPr="00036FAC">
        <w:t>of</w:t>
      </w:r>
      <w:r w:rsidR="00907D8C">
        <w:t xml:space="preserve"> </w:t>
      </w:r>
      <w:r w:rsidRPr="00036FAC">
        <w:t>new</w:t>
      </w:r>
      <w:r w:rsidR="00907D8C">
        <w:t xml:space="preserve"> </w:t>
      </w:r>
      <w:r w:rsidRPr="00036FAC">
        <w:t>international</w:t>
      </w:r>
      <w:r w:rsidR="00907D8C">
        <w:t xml:space="preserve"> </w:t>
      </w:r>
      <w:r w:rsidRPr="00036FAC">
        <w:t>human</w:t>
      </w:r>
      <w:r w:rsidR="00907D8C">
        <w:t xml:space="preserve"> </w:t>
      </w:r>
      <w:r w:rsidRPr="00036FAC">
        <w:t>rights</w:t>
      </w:r>
      <w:r w:rsidR="00907D8C">
        <w:t xml:space="preserve"> </w:t>
      </w:r>
      <w:r w:rsidRPr="00036FAC">
        <w:t>instruments.</w:t>
      </w:r>
    </w:p>
    <w:p w:rsidR="00036FAC" w:rsidRPr="00036FAC" w:rsidRDefault="00036FAC" w:rsidP="002B6E7E">
      <w:pPr>
        <w:pStyle w:val="SingleTxtG"/>
      </w:pPr>
      <w:r w:rsidRPr="00036FAC">
        <w:t>236.</w:t>
      </w:r>
      <w:r w:rsidRPr="00036FAC">
        <w:tab/>
        <w:t>New</w:t>
      </w:r>
      <w:r w:rsidR="00907D8C">
        <w:t xml:space="preserve"> </w:t>
      </w:r>
      <w:r w:rsidRPr="00036FAC">
        <w:t>Zealand</w:t>
      </w:r>
      <w:r w:rsidR="00907D8C">
        <w:t xml:space="preserve"> </w:t>
      </w:r>
      <w:r w:rsidRPr="00036FAC">
        <w:t>also</w:t>
      </w:r>
      <w:r w:rsidR="00907D8C">
        <w:t xml:space="preserve"> </w:t>
      </w:r>
      <w:r w:rsidRPr="00036FAC">
        <w:t>focuses</w:t>
      </w:r>
      <w:r w:rsidR="00907D8C">
        <w:t xml:space="preserve"> </w:t>
      </w:r>
      <w:r w:rsidRPr="00036FAC">
        <w:t>on</w:t>
      </w:r>
      <w:r w:rsidR="00907D8C">
        <w:t xml:space="preserve"> </w:t>
      </w:r>
      <w:r w:rsidRPr="00036FAC">
        <w:t>the</w:t>
      </w:r>
      <w:r w:rsidR="00907D8C">
        <w:t xml:space="preserve"> </w:t>
      </w:r>
      <w:r w:rsidRPr="00036FAC">
        <w:t>promotion</w:t>
      </w:r>
      <w:r w:rsidR="00907D8C">
        <w:t xml:space="preserve"> </w:t>
      </w:r>
      <w:r w:rsidRPr="00036FAC">
        <w:t>of</w:t>
      </w:r>
      <w:r w:rsidR="00907D8C">
        <w:t xml:space="preserve"> </w:t>
      </w:r>
      <w:r w:rsidRPr="00036FAC">
        <w:t>human</w:t>
      </w:r>
      <w:r w:rsidR="00907D8C">
        <w:t xml:space="preserve"> </w:t>
      </w:r>
      <w:r w:rsidRPr="00036FAC">
        <w:t>rights</w:t>
      </w:r>
      <w:r w:rsidR="00907D8C">
        <w:t xml:space="preserve"> </w:t>
      </w:r>
      <w:r w:rsidRPr="00036FAC">
        <w:t>in</w:t>
      </w:r>
      <w:r w:rsidR="00907D8C">
        <w:t xml:space="preserve"> </w:t>
      </w:r>
      <w:r w:rsidRPr="00036FAC">
        <w:t>the</w:t>
      </w:r>
      <w:r w:rsidR="00907D8C">
        <w:t xml:space="preserve"> </w:t>
      </w:r>
      <w:r w:rsidRPr="00036FAC">
        <w:t>Asia</w:t>
      </w:r>
      <w:r w:rsidR="002B6E7E">
        <w:t>-</w:t>
      </w:r>
      <w:r w:rsidRPr="00036FAC">
        <w:t>Pacific</w:t>
      </w:r>
      <w:r w:rsidR="00907D8C">
        <w:t xml:space="preserve"> </w:t>
      </w:r>
      <w:r w:rsidRPr="00036FAC">
        <w:t>region</w:t>
      </w:r>
      <w:r w:rsidR="00907D8C">
        <w:t xml:space="preserve"> </w:t>
      </w:r>
      <w:r w:rsidRPr="00036FAC">
        <w:t>and</w:t>
      </w:r>
      <w:r w:rsidR="00907D8C">
        <w:t xml:space="preserve"> </w:t>
      </w:r>
      <w:r w:rsidRPr="00036FAC">
        <w:t>in</w:t>
      </w:r>
      <w:r w:rsidR="00907D8C">
        <w:t xml:space="preserve"> </w:t>
      </w:r>
      <w:r w:rsidRPr="00036FAC">
        <w:t>countries</w:t>
      </w:r>
      <w:r w:rsidR="00907D8C">
        <w:t xml:space="preserve"> </w:t>
      </w:r>
      <w:r w:rsidRPr="00036FAC">
        <w:t>with</w:t>
      </w:r>
      <w:r w:rsidR="00907D8C">
        <w:t xml:space="preserve"> </w:t>
      </w:r>
      <w:r w:rsidRPr="00036FAC">
        <w:t>which</w:t>
      </w:r>
      <w:r w:rsidR="00907D8C">
        <w:t xml:space="preserve"> </w:t>
      </w:r>
      <w:r w:rsidRPr="00036FAC">
        <w:t>it</w:t>
      </w:r>
      <w:r w:rsidR="00907D8C">
        <w:t xml:space="preserve"> </w:t>
      </w:r>
      <w:r w:rsidRPr="00036FAC">
        <w:t>has</w:t>
      </w:r>
      <w:r w:rsidR="00907D8C">
        <w:t xml:space="preserve"> </w:t>
      </w:r>
      <w:r w:rsidRPr="00036FAC">
        <w:t>bilateral</w:t>
      </w:r>
      <w:r w:rsidR="00907D8C">
        <w:t xml:space="preserve"> </w:t>
      </w:r>
      <w:r w:rsidRPr="00036FAC">
        <w:t>relationships,</w:t>
      </w:r>
      <w:r w:rsidR="00907D8C">
        <w:t xml:space="preserve"> </w:t>
      </w:r>
      <w:r w:rsidRPr="00036FAC">
        <w:t>through</w:t>
      </w:r>
      <w:r w:rsidR="00907D8C">
        <w:t xml:space="preserve"> </w:t>
      </w:r>
      <w:r w:rsidRPr="00036FAC">
        <w:t>exchanging</w:t>
      </w:r>
      <w:r w:rsidR="00907D8C">
        <w:t xml:space="preserve"> </w:t>
      </w:r>
      <w:r w:rsidRPr="00036FAC">
        <w:t>views</w:t>
      </w:r>
      <w:r w:rsidR="00907D8C">
        <w:t xml:space="preserve"> </w:t>
      </w:r>
      <w:r w:rsidRPr="00036FAC">
        <w:t>about</w:t>
      </w:r>
      <w:r w:rsidR="00907D8C">
        <w:t xml:space="preserve"> </w:t>
      </w:r>
      <w:r w:rsidRPr="00036FAC">
        <w:t>human</w:t>
      </w:r>
      <w:r w:rsidR="00907D8C">
        <w:t xml:space="preserve"> </w:t>
      </w:r>
      <w:r w:rsidRPr="00036FAC">
        <w:t>rights</w:t>
      </w:r>
      <w:r w:rsidR="00907D8C">
        <w:t xml:space="preserve"> </w:t>
      </w:r>
      <w:r w:rsidRPr="00036FAC">
        <w:t>and</w:t>
      </w:r>
      <w:r w:rsidR="00907D8C">
        <w:t xml:space="preserve"> </w:t>
      </w:r>
      <w:r w:rsidRPr="00036FAC">
        <w:t>providing</w:t>
      </w:r>
      <w:r w:rsidR="00907D8C">
        <w:t xml:space="preserve"> </w:t>
      </w:r>
      <w:r w:rsidRPr="00036FAC">
        <w:t>practical</w:t>
      </w:r>
      <w:r w:rsidR="00907D8C">
        <w:t xml:space="preserve"> </w:t>
      </w:r>
      <w:r w:rsidRPr="00036FAC">
        <w:t>assistance.</w:t>
      </w:r>
      <w:r w:rsidR="00907D8C">
        <w:t xml:space="preserve"> </w:t>
      </w:r>
      <w:r w:rsidRPr="00036FAC">
        <w:t>The</w:t>
      </w:r>
      <w:r w:rsidR="00907D8C">
        <w:t xml:space="preserve"> </w:t>
      </w:r>
      <w:r w:rsidRPr="00036FAC">
        <w:t>strategic</w:t>
      </w:r>
      <w:r w:rsidR="00907D8C">
        <w:t xml:space="preserve"> </w:t>
      </w:r>
      <w:r w:rsidRPr="00036FAC">
        <w:t>objective</w:t>
      </w:r>
      <w:r w:rsidR="00907D8C">
        <w:t xml:space="preserve"> </w:t>
      </w:r>
      <w:r w:rsidRPr="00036FAC">
        <w:t>for</w:t>
      </w:r>
      <w:r w:rsidR="00907D8C">
        <w:t xml:space="preserve"> </w:t>
      </w:r>
      <w:r w:rsidRPr="00036FAC">
        <w:t>the</w:t>
      </w:r>
      <w:r w:rsidR="00907D8C">
        <w:t xml:space="preserve"> </w:t>
      </w:r>
      <w:r w:rsidRPr="00036FAC">
        <w:t>Government</w:t>
      </w:r>
      <w:r w:rsidR="003E4D94">
        <w:t>’</w:t>
      </w:r>
      <w:r w:rsidRPr="00036FAC">
        <w:t>s</w:t>
      </w:r>
      <w:r w:rsidR="00907D8C">
        <w:t xml:space="preserve"> </w:t>
      </w:r>
      <w:r w:rsidRPr="00036FAC">
        <w:t>international</w:t>
      </w:r>
      <w:r w:rsidR="00907D8C">
        <w:t xml:space="preserve"> </w:t>
      </w:r>
      <w:r w:rsidRPr="00036FAC">
        <w:t>aid</w:t>
      </w:r>
      <w:r w:rsidR="00907D8C">
        <w:t xml:space="preserve"> </w:t>
      </w:r>
      <w:r w:rsidRPr="00036FAC">
        <w:t>and</w:t>
      </w:r>
      <w:r w:rsidR="00907D8C">
        <w:t xml:space="preserve"> </w:t>
      </w:r>
      <w:r w:rsidRPr="00036FAC">
        <w:t>development</w:t>
      </w:r>
      <w:r w:rsidR="00907D8C">
        <w:t xml:space="preserve"> </w:t>
      </w:r>
      <w:r w:rsidRPr="00036FAC">
        <w:t>programme</w:t>
      </w:r>
      <w:r w:rsidR="00907D8C">
        <w:t xml:space="preserve"> </w:t>
      </w:r>
      <w:r w:rsidRPr="00036FAC">
        <w:t>is</w:t>
      </w:r>
      <w:r w:rsidR="00907D8C">
        <w:t xml:space="preserve"> </w:t>
      </w:r>
      <w:r w:rsidRPr="00036FAC">
        <w:t>sustainable</w:t>
      </w:r>
      <w:r w:rsidR="00907D8C">
        <w:t xml:space="preserve"> </w:t>
      </w:r>
      <w:r w:rsidRPr="00036FAC">
        <w:t>development</w:t>
      </w:r>
      <w:r w:rsidR="00907D8C">
        <w:t xml:space="preserve"> </w:t>
      </w:r>
      <w:r w:rsidRPr="00036FAC">
        <w:t>in</w:t>
      </w:r>
      <w:r w:rsidR="00907D8C">
        <w:t xml:space="preserve"> </w:t>
      </w:r>
      <w:r w:rsidRPr="00036FAC">
        <w:t>developing</w:t>
      </w:r>
      <w:r w:rsidR="00907D8C">
        <w:t xml:space="preserve"> </w:t>
      </w:r>
      <w:r w:rsidRPr="00036FAC">
        <w:t>countries</w:t>
      </w:r>
      <w:r w:rsidR="00907D8C">
        <w:t xml:space="preserve"> </w:t>
      </w:r>
      <w:r w:rsidRPr="00036FAC">
        <w:t>in</w:t>
      </w:r>
      <w:r w:rsidR="00907D8C">
        <w:t xml:space="preserve"> </w:t>
      </w:r>
      <w:r w:rsidRPr="00036FAC">
        <w:t>order</w:t>
      </w:r>
      <w:r w:rsidR="00907D8C">
        <w:t xml:space="preserve"> </w:t>
      </w:r>
      <w:r w:rsidRPr="00036FAC">
        <w:t>to</w:t>
      </w:r>
      <w:r w:rsidR="00907D8C">
        <w:t xml:space="preserve"> </w:t>
      </w:r>
      <w:r w:rsidRPr="00036FAC">
        <w:t>reduce</w:t>
      </w:r>
      <w:r w:rsidR="00907D8C">
        <w:t xml:space="preserve"> </w:t>
      </w:r>
      <w:r w:rsidRPr="00036FAC">
        <w:t>poverty</w:t>
      </w:r>
      <w:r w:rsidR="00907D8C">
        <w:t xml:space="preserve"> </w:t>
      </w:r>
      <w:r w:rsidRPr="00036FAC">
        <w:t>and</w:t>
      </w:r>
      <w:r w:rsidR="00907D8C">
        <w:t xml:space="preserve"> </w:t>
      </w:r>
      <w:r w:rsidRPr="00036FAC">
        <w:t>contribute</w:t>
      </w:r>
      <w:r w:rsidR="00907D8C">
        <w:t xml:space="preserve"> </w:t>
      </w:r>
      <w:r w:rsidRPr="00036FAC">
        <w:t>to</w:t>
      </w:r>
      <w:r w:rsidR="00907D8C">
        <w:t xml:space="preserve"> </w:t>
      </w:r>
      <w:r w:rsidRPr="00036FAC">
        <w:t>a</w:t>
      </w:r>
      <w:r w:rsidR="00907D8C">
        <w:t xml:space="preserve"> </w:t>
      </w:r>
      <w:r w:rsidRPr="00036FAC">
        <w:t>more</w:t>
      </w:r>
      <w:r w:rsidR="00907D8C">
        <w:t xml:space="preserve"> </w:t>
      </w:r>
      <w:r w:rsidRPr="00036FAC">
        <w:t>secure,</w:t>
      </w:r>
      <w:r w:rsidR="00907D8C">
        <w:t xml:space="preserve"> </w:t>
      </w:r>
      <w:r w:rsidRPr="00036FAC">
        <w:t>equitable,</w:t>
      </w:r>
      <w:r w:rsidR="00907D8C">
        <w:t xml:space="preserve"> </w:t>
      </w:r>
      <w:r w:rsidRPr="00036FAC">
        <w:t>and</w:t>
      </w:r>
      <w:r w:rsidR="00907D8C">
        <w:t xml:space="preserve"> </w:t>
      </w:r>
      <w:r w:rsidRPr="00036FAC">
        <w:t>prosperous</w:t>
      </w:r>
      <w:r w:rsidR="00907D8C">
        <w:t xml:space="preserve"> </w:t>
      </w:r>
      <w:r w:rsidRPr="00036FAC">
        <w:t>world.</w:t>
      </w:r>
      <w:r w:rsidR="00907D8C">
        <w:t xml:space="preserve"> </w:t>
      </w:r>
      <w:r w:rsidRPr="00036FAC">
        <w:t>Human</w:t>
      </w:r>
      <w:r w:rsidR="00907D8C">
        <w:t xml:space="preserve"> </w:t>
      </w:r>
      <w:r w:rsidRPr="00036FAC">
        <w:t>rights</w:t>
      </w:r>
      <w:r w:rsidR="00907D8C">
        <w:t xml:space="preserve"> </w:t>
      </w:r>
      <w:r w:rsidRPr="00036FAC">
        <w:t>is</w:t>
      </w:r>
      <w:r w:rsidR="00907D8C">
        <w:t xml:space="preserve"> </w:t>
      </w:r>
      <w:r w:rsidRPr="00036FAC">
        <w:t>a</w:t>
      </w:r>
      <w:r w:rsidR="00907D8C">
        <w:t xml:space="preserve"> </w:t>
      </w:r>
      <w:r w:rsidRPr="00036FAC">
        <w:t>cross-cutting</w:t>
      </w:r>
      <w:r w:rsidR="00907D8C">
        <w:t xml:space="preserve"> </w:t>
      </w:r>
      <w:r w:rsidRPr="00036FAC">
        <w:t>theme</w:t>
      </w:r>
      <w:r w:rsidR="00907D8C">
        <w:t xml:space="preserve"> </w:t>
      </w:r>
      <w:r w:rsidRPr="00036FAC">
        <w:t>for</w:t>
      </w:r>
      <w:r w:rsidR="00907D8C">
        <w:t xml:space="preserve"> </w:t>
      </w:r>
      <w:r w:rsidRPr="00036FAC">
        <w:t>the</w:t>
      </w:r>
      <w:r w:rsidR="00907D8C">
        <w:t xml:space="preserve"> </w:t>
      </w:r>
      <w:r w:rsidRPr="00036FAC">
        <w:t>aid</w:t>
      </w:r>
      <w:r w:rsidR="00907D8C">
        <w:t xml:space="preserve"> </w:t>
      </w:r>
      <w:r w:rsidRPr="00036FAC">
        <w:t>programme,</w:t>
      </w:r>
      <w:r w:rsidR="00907D8C">
        <w:t xml:space="preserve"> </w:t>
      </w:r>
      <w:r w:rsidRPr="00036FAC">
        <w:t>as</w:t>
      </w:r>
      <w:r w:rsidR="00907D8C">
        <w:t xml:space="preserve"> </w:t>
      </w:r>
      <w:r w:rsidRPr="00036FAC">
        <w:t>this</w:t>
      </w:r>
      <w:r w:rsidR="00907D8C">
        <w:t xml:space="preserve"> </w:t>
      </w:r>
      <w:r w:rsidRPr="00036FAC">
        <w:t>supports</w:t>
      </w:r>
      <w:r w:rsidR="00907D8C">
        <w:t xml:space="preserve"> </w:t>
      </w:r>
      <w:r w:rsidRPr="00036FAC">
        <w:t>development</w:t>
      </w:r>
      <w:r w:rsidR="00907D8C">
        <w:t xml:space="preserve"> </w:t>
      </w:r>
      <w:r w:rsidRPr="00036FAC">
        <w:t>effectiveness.</w:t>
      </w:r>
      <w:r w:rsidR="00907D8C">
        <w:t xml:space="preserve"> </w:t>
      </w:r>
    </w:p>
    <w:p w:rsidR="00036FAC" w:rsidRPr="00036FAC" w:rsidRDefault="00036FAC" w:rsidP="002B6E7E">
      <w:pPr>
        <w:pStyle w:val="H1G"/>
      </w:pPr>
      <w:bookmarkStart w:id="265" w:name="_Toc114895003"/>
      <w:bookmarkStart w:id="266" w:name="_Toc114895895"/>
      <w:bookmarkStart w:id="267" w:name="_Toc115493440"/>
      <w:bookmarkStart w:id="268" w:name="_Toc115493784"/>
      <w:bookmarkStart w:id="269" w:name="_Toc115493859"/>
      <w:bookmarkStart w:id="270" w:name="_Toc118100643"/>
      <w:bookmarkStart w:id="271" w:name="_Toc125276411"/>
      <w:bookmarkStart w:id="272" w:name="_Toc125278810"/>
      <w:bookmarkStart w:id="273" w:name="_Toc125278929"/>
      <w:bookmarkStart w:id="274" w:name="_Toc265677526"/>
      <w:bookmarkStart w:id="275" w:name="_Toc275331899"/>
      <w:r w:rsidRPr="00036FAC">
        <w:tab/>
        <w:t>D.</w:t>
      </w:r>
      <w:r w:rsidRPr="00036FAC">
        <w:tab/>
        <w:t>R</w:t>
      </w:r>
      <w:r w:rsidRPr="00036FAC">
        <w:t>ole</w:t>
      </w:r>
      <w:r w:rsidR="00907D8C">
        <w:t xml:space="preserve"> </w:t>
      </w:r>
      <w:r w:rsidRPr="00036FAC">
        <w:t>of</w:t>
      </w:r>
      <w:r w:rsidR="00907D8C">
        <w:t xml:space="preserve"> </w:t>
      </w:r>
      <w:r w:rsidRPr="00036FAC">
        <w:t>reporting</w:t>
      </w:r>
      <w:r w:rsidR="00907D8C">
        <w:t xml:space="preserve"> </w:t>
      </w:r>
      <w:r w:rsidRPr="00036FAC">
        <w:t>in</w:t>
      </w:r>
      <w:r w:rsidR="00907D8C">
        <w:t xml:space="preserve"> </w:t>
      </w:r>
      <w:r w:rsidRPr="00036FAC">
        <w:t>promoting</w:t>
      </w:r>
      <w:r w:rsidR="00907D8C">
        <w:t xml:space="preserve"> </w:t>
      </w:r>
      <w:r w:rsidRPr="00036FAC">
        <w:t>human</w:t>
      </w:r>
      <w:r w:rsidR="00907D8C">
        <w:t xml:space="preserve"> </w:t>
      </w:r>
      <w:r w:rsidRPr="00036FAC">
        <w:t>rights</w:t>
      </w:r>
      <w:r w:rsidR="00907D8C">
        <w:t xml:space="preserve"> </w:t>
      </w:r>
      <w:r w:rsidRPr="00036FAC">
        <w:t>at</w:t>
      </w:r>
      <w:r w:rsidR="00907D8C">
        <w:t xml:space="preserve"> </w:t>
      </w:r>
      <w:r w:rsidRPr="00036FAC">
        <w:t>the</w:t>
      </w:r>
      <w:r w:rsidR="00907D8C">
        <w:t xml:space="preserve"> </w:t>
      </w:r>
      <w:r w:rsidRPr="00036FAC">
        <w:t>national</w:t>
      </w:r>
      <w:r w:rsidR="00907D8C">
        <w:t xml:space="preserve"> </w:t>
      </w:r>
      <w:r w:rsidRPr="00036FAC">
        <w:t>level</w:t>
      </w:r>
      <w:bookmarkEnd w:id="265"/>
      <w:bookmarkEnd w:id="266"/>
      <w:bookmarkEnd w:id="267"/>
      <w:bookmarkEnd w:id="268"/>
      <w:bookmarkEnd w:id="269"/>
      <w:bookmarkEnd w:id="270"/>
      <w:bookmarkEnd w:id="271"/>
      <w:bookmarkEnd w:id="272"/>
      <w:bookmarkEnd w:id="273"/>
      <w:bookmarkEnd w:id="274"/>
      <w:bookmarkEnd w:id="275"/>
    </w:p>
    <w:p w:rsidR="00036FAC" w:rsidRPr="00036FAC" w:rsidRDefault="00036FAC" w:rsidP="006C436C">
      <w:pPr>
        <w:pStyle w:val="H23G"/>
      </w:pPr>
      <w:r w:rsidRPr="00036FAC">
        <w:tab/>
      </w:r>
      <w:r w:rsidRPr="00036FAC">
        <w:tab/>
        <w:t>National</w:t>
      </w:r>
      <w:r w:rsidR="00907D8C">
        <w:t xml:space="preserve"> </w:t>
      </w:r>
      <w:r w:rsidRPr="00036FAC">
        <w:t>coordinating</w:t>
      </w:r>
      <w:r w:rsidR="00907D8C">
        <w:t xml:space="preserve"> </w:t>
      </w:r>
      <w:r w:rsidRPr="00036FAC">
        <w:t>structure</w:t>
      </w:r>
      <w:r w:rsidR="00907D8C">
        <w:t xml:space="preserve"> </w:t>
      </w:r>
      <w:r w:rsidRPr="00036FAC">
        <w:t>for</w:t>
      </w:r>
      <w:r w:rsidR="00907D8C">
        <w:t xml:space="preserve"> </w:t>
      </w:r>
      <w:r w:rsidRPr="00036FAC">
        <w:t>reporting</w:t>
      </w:r>
      <w:r w:rsidR="00907D8C">
        <w:t xml:space="preserve"> </w:t>
      </w:r>
      <w:r w:rsidRPr="00036FAC">
        <w:t>under</w:t>
      </w:r>
      <w:r w:rsidR="00907D8C">
        <w:t xml:space="preserve"> </w:t>
      </w:r>
      <w:r w:rsidRPr="00036FAC">
        <w:t>treaties</w:t>
      </w:r>
    </w:p>
    <w:p w:rsidR="00036FAC" w:rsidRPr="00036FAC" w:rsidRDefault="00036FAC" w:rsidP="002B6E7E">
      <w:pPr>
        <w:pStyle w:val="SingleTxtG"/>
      </w:pPr>
      <w:r w:rsidRPr="00036FAC">
        <w:t>237.</w:t>
      </w:r>
      <w:r w:rsidRPr="00036FAC">
        <w:tab/>
        <w:t>The</w:t>
      </w:r>
      <w:r w:rsidR="00907D8C">
        <w:t xml:space="preserve"> </w:t>
      </w:r>
      <w:r w:rsidRPr="00036FAC">
        <w:t>Ministry</w:t>
      </w:r>
      <w:r w:rsidR="00907D8C">
        <w:t xml:space="preserve"> </w:t>
      </w:r>
      <w:r w:rsidRPr="00036FAC">
        <w:t>of</w:t>
      </w:r>
      <w:r w:rsidR="00907D8C">
        <w:t xml:space="preserve"> </w:t>
      </w:r>
      <w:r w:rsidRPr="00036FAC">
        <w:t>Foreign</w:t>
      </w:r>
      <w:r w:rsidR="00907D8C">
        <w:t xml:space="preserve"> </w:t>
      </w:r>
      <w:r w:rsidRPr="00036FAC">
        <w:t>Affairs</w:t>
      </w:r>
      <w:r w:rsidR="00907D8C">
        <w:t xml:space="preserve"> </w:t>
      </w:r>
      <w:r w:rsidRPr="00036FAC">
        <w:t>and</w:t>
      </w:r>
      <w:r w:rsidR="00907D8C">
        <w:t xml:space="preserve"> </w:t>
      </w:r>
      <w:r w:rsidRPr="00036FAC">
        <w:t>Trade</w:t>
      </w:r>
      <w:r w:rsidR="00907D8C">
        <w:t xml:space="preserve"> </w:t>
      </w:r>
      <w:r w:rsidRPr="00036FAC">
        <w:t>is</w:t>
      </w:r>
      <w:r w:rsidR="00907D8C">
        <w:t xml:space="preserve"> </w:t>
      </w:r>
      <w:r w:rsidRPr="00036FAC">
        <w:t>responsible</w:t>
      </w:r>
      <w:r w:rsidR="00907D8C">
        <w:t xml:space="preserve"> </w:t>
      </w:r>
      <w:r w:rsidRPr="00036FAC">
        <w:t>for</w:t>
      </w:r>
      <w:r w:rsidR="00907D8C">
        <w:t xml:space="preserve"> </w:t>
      </w:r>
      <w:r w:rsidRPr="00036FAC">
        <w:t>the</w:t>
      </w:r>
      <w:r w:rsidR="00907D8C">
        <w:t xml:space="preserve"> </w:t>
      </w:r>
      <w:r w:rsidRPr="00036FAC">
        <w:t>overall</w:t>
      </w:r>
      <w:r w:rsidR="00907D8C">
        <w:t xml:space="preserve"> </w:t>
      </w:r>
      <w:r w:rsidRPr="00036FAC">
        <w:t>coordination</w:t>
      </w:r>
      <w:r w:rsidR="00907D8C">
        <w:t xml:space="preserve"> </w:t>
      </w:r>
      <w:r w:rsidRPr="00036FAC">
        <w:t>of</w:t>
      </w:r>
      <w:r w:rsidR="00907D8C">
        <w:t xml:space="preserve"> </w:t>
      </w:r>
      <w:r w:rsidRPr="00036FAC">
        <w:t>the</w:t>
      </w:r>
      <w:r w:rsidR="00907D8C">
        <w:t xml:space="preserve"> </w:t>
      </w:r>
      <w:r w:rsidRPr="00036FAC">
        <w:t>preparation</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periodic</w:t>
      </w:r>
      <w:r w:rsidR="00907D8C">
        <w:t xml:space="preserve"> </w:t>
      </w:r>
      <w:r w:rsidRPr="00036FAC">
        <w:t>reports</w:t>
      </w:r>
      <w:r w:rsidR="00907D8C">
        <w:t xml:space="preserve"> </w:t>
      </w:r>
      <w:r w:rsidRPr="00036FAC">
        <w:t>to</w:t>
      </w:r>
      <w:r w:rsidR="00907D8C">
        <w:t xml:space="preserve"> </w:t>
      </w:r>
      <w:r w:rsidRPr="00036FAC">
        <w:t>the</w:t>
      </w:r>
      <w:r w:rsidR="00907D8C">
        <w:t xml:space="preserve"> </w:t>
      </w:r>
      <w:r w:rsidRPr="00036FAC">
        <w:t>United</w:t>
      </w:r>
      <w:r w:rsidR="00907D8C">
        <w:t xml:space="preserve"> </w:t>
      </w:r>
      <w:r w:rsidRPr="00036FAC">
        <w:t>Nations</w:t>
      </w:r>
      <w:r w:rsidR="00907D8C">
        <w:t xml:space="preserve"> </w:t>
      </w:r>
      <w:r w:rsidRPr="00036FAC">
        <w:t>human</w:t>
      </w:r>
      <w:r w:rsidR="00907D8C">
        <w:t xml:space="preserve"> </w:t>
      </w:r>
      <w:r w:rsidRPr="00036FAC">
        <w:t>rights</w:t>
      </w:r>
      <w:r w:rsidR="00907D8C">
        <w:t xml:space="preserve"> </w:t>
      </w:r>
      <w:r w:rsidRPr="00036FAC">
        <w:t>treaty</w:t>
      </w:r>
      <w:r w:rsidR="00907D8C">
        <w:t xml:space="preserve"> </w:t>
      </w:r>
      <w:r w:rsidRPr="00036FAC">
        <w:t>bodies.</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Women</w:t>
      </w:r>
      <w:r w:rsidR="003E4D94">
        <w:t>’</w:t>
      </w:r>
      <w:r w:rsidRPr="00036FAC">
        <w:t>s</w:t>
      </w:r>
      <w:r w:rsidR="00907D8C">
        <w:t xml:space="preserve"> </w:t>
      </w:r>
      <w:r w:rsidRPr="00036FAC">
        <w:t>Affairs</w:t>
      </w:r>
      <w:r w:rsidR="00907D8C">
        <w:t xml:space="preserve"> </w:t>
      </w:r>
      <w:r w:rsidRPr="00036FAC">
        <w:t>and</w:t>
      </w:r>
      <w:r w:rsidR="00907D8C">
        <w:t xml:space="preserve"> </w:t>
      </w:r>
      <w:r w:rsidRPr="00036FAC">
        <w:t>Ministry</w:t>
      </w:r>
      <w:r w:rsidR="00907D8C">
        <w:t xml:space="preserve"> </w:t>
      </w:r>
      <w:r w:rsidRPr="00036FAC">
        <w:t>of</w:t>
      </w:r>
      <w:r w:rsidR="00907D8C">
        <w:t xml:space="preserve"> </w:t>
      </w:r>
      <w:r w:rsidRPr="00036FAC">
        <w:t>Social</w:t>
      </w:r>
      <w:r w:rsidR="00907D8C">
        <w:t xml:space="preserve"> </w:t>
      </w:r>
      <w:r w:rsidRPr="00036FAC">
        <w:t>Development</w:t>
      </w:r>
      <w:r w:rsidR="00907D8C">
        <w:t xml:space="preserve"> </w:t>
      </w:r>
      <w:r w:rsidRPr="00036FAC">
        <w:t>prepare</w:t>
      </w:r>
      <w:r w:rsidR="00907D8C">
        <w:t xml:space="preserve"> </w:t>
      </w:r>
      <w:r w:rsidRPr="00036FAC">
        <w:t>the</w:t>
      </w:r>
      <w:r w:rsidR="00907D8C">
        <w:t xml:space="preserve"> </w:t>
      </w:r>
      <w:r w:rsidRPr="00036FAC">
        <w:t>reports</w:t>
      </w:r>
      <w:r w:rsidR="00907D8C">
        <w:t xml:space="preserve"> </w:t>
      </w:r>
      <w:r w:rsidRPr="00036FAC">
        <w:t>under</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All</w:t>
      </w:r>
      <w:r w:rsidR="00907D8C">
        <w:t xml:space="preserve"> </w:t>
      </w:r>
      <w:r w:rsidRPr="00036FAC">
        <w:t>Forms</w:t>
      </w:r>
      <w:r w:rsidR="00907D8C">
        <w:t xml:space="preserve"> </w:t>
      </w:r>
      <w:r w:rsidRPr="00036FAC">
        <w:t>of</w:t>
      </w:r>
      <w:r w:rsidR="00907D8C">
        <w:t xml:space="preserve"> </w:t>
      </w:r>
      <w:r w:rsidRPr="00036FAC">
        <w:t>Discrimination</w:t>
      </w:r>
      <w:r w:rsidR="00907D8C">
        <w:t xml:space="preserve"> </w:t>
      </w:r>
      <w:r w:rsidRPr="00036FAC">
        <w:t>against</w:t>
      </w:r>
      <w:r w:rsidR="00907D8C">
        <w:t xml:space="preserve"> </w:t>
      </w:r>
      <w:r w:rsidRPr="00036FAC">
        <w:t>Women</w:t>
      </w:r>
      <w:r w:rsidR="00907D8C">
        <w:t xml:space="preserve"> </w:t>
      </w:r>
      <w:r w:rsidRPr="00036FAC">
        <w:t>and</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the</w:t>
      </w:r>
      <w:r w:rsidR="00907D8C">
        <w:t xml:space="preserve"> </w:t>
      </w:r>
      <w:r w:rsidRPr="00036FAC">
        <w:t>Child</w:t>
      </w:r>
      <w:r w:rsidR="00907D8C">
        <w:t xml:space="preserve"> </w:t>
      </w:r>
      <w:r w:rsidRPr="00036FAC">
        <w:t>respectively.</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Justice</w:t>
      </w:r>
      <w:r w:rsidR="00907D8C">
        <w:t xml:space="preserve"> </w:t>
      </w:r>
      <w:r w:rsidRPr="00036FAC">
        <w:t>prepares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reports</w:t>
      </w:r>
      <w:r w:rsidR="00907D8C">
        <w:t xml:space="preserve"> </w:t>
      </w:r>
      <w:r w:rsidRPr="00036FAC">
        <w:t>under</w:t>
      </w:r>
      <w:r w:rsidR="00907D8C">
        <w:t xml:space="preserve"> </w:t>
      </w:r>
      <w:r w:rsidRPr="00036FAC">
        <w:t>the</w:t>
      </w:r>
      <w:r w:rsidR="00907D8C">
        <w:t xml:space="preserve"> </w:t>
      </w:r>
      <w:r w:rsidRPr="00036FAC">
        <w:t>International</w:t>
      </w:r>
      <w:r w:rsidR="00907D8C">
        <w:t xml:space="preserve"> </w:t>
      </w:r>
      <w:r w:rsidRPr="00036FAC">
        <w:t>Covenant</w:t>
      </w:r>
      <w:r w:rsidR="00907D8C">
        <w:t xml:space="preserve"> </w:t>
      </w:r>
      <w:r w:rsidRPr="00036FAC">
        <w:t>on</w:t>
      </w:r>
      <w:r w:rsidR="00907D8C">
        <w:t xml:space="preserve"> </w:t>
      </w:r>
      <w:r w:rsidRPr="00036FAC">
        <w:t>Civil</w:t>
      </w:r>
      <w:r w:rsidR="00907D8C">
        <w:t xml:space="preserve"> </w:t>
      </w:r>
      <w:r w:rsidRPr="00036FAC">
        <w:t>and</w:t>
      </w:r>
      <w:r w:rsidR="00907D8C">
        <w:t xml:space="preserve"> </w:t>
      </w:r>
      <w:r w:rsidRPr="00036FAC">
        <w:t>Political</w:t>
      </w:r>
      <w:r w:rsidR="00907D8C">
        <w:t xml:space="preserve"> </w:t>
      </w:r>
      <w:r w:rsidRPr="00036FAC">
        <w:t>Rights,</w:t>
      </w:r>
      <w:r w:rsidR="00907D8C">
        <w:t xml:space="preserve"> </w:t>
      </w:r>
      <w:r w:rsidRPr="00036FAC">
        <w:t>International</w:t>
      </w:r>
      <w:r w:rsidR="00907D8C">
        <w:t xml:space="preserve"> </w:t>
      </w:r>
      <w:r w:rsidRPr="00036FAC">
        <w:t>Covenant</w:t>
      </w:r>
      <w:r w:rsidR="00907D8C">
        <w:t xml:space="preserve"> </w:t>
      </w:r>
      <w:r w:rsidRPr="00036FAC">
        <w:t>on</w:t>
      </w:r>
      <w:r w:rsidR="00907D8C">
        <w:t xml:space="preserve"> </w:t>
      </w:r>
      <w:r w:rsidRPr="00036FAC">
        <w:t>Economic</w:t>
      </w:r>
      <w:r w:rsidR="00907D8C">
        <w:t xml:space="preserve"> </w:t>
      </w:r>
      <w:r w:rsidRPr="00036FAC">
        <w:t>Social</w:t>
      </w:r>
      <w:r w:rsidR="00907D8C">
        <w:t xml:space="preserve"> </w:t>
      </w:r>
      <w:r w:rsidRPr="00036FAC">
        <w:t>and</w:t>
      </w:r>
      <w:r w:rsidR="00907D8C">
        <w:t xml:space="preserve"> </w:t>
      </w:r>
      <w:r w:rsidRPr="00036FAC">
        <w:t>Cultural</w:t>
      </w:r>
      <w:r w:rsidR="00907D8C">
        <w:t xml:space="preserve"> </w:t>
      </w:r>
      <w:r w:rsidRPr="00036FAC">
        <w:t>Rights,</w:t>
      </w:r>
      <w:r w:rsidR="00907D8C">
        <w:t xml:space="preserve"> </w:t>
      </w:r>
      <w:r w:rsidRPr="00036FAC">
        <w:t>International</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All</w:t>
      </w:r>
      <w:r w:rsidR="00907D8C">
        <w:t xml:space="preserve"> </w:t>
      </w:r>
      <w:r w:rsidRPr="00036FAC">
        <w:t>Forms</w:t>
      </w:r>
      <w:r w:rsidR="00907D8C">
        <w:t xml:space="preserve"> </w:t>
      </w:r>
      <w:r w:rsidRPr="00036FAC">
        <w:t>of</w:t>
      </w:r>
      <w:r w:rsidR="00907D8C">
        <w:t xml:space="preserve"> </w:t>
      </w:r>
      <w:r w:rsidRPr="00036FAC">
        <w:t>Racial</w:t>
      </w:r>
      <w:r w:rsidR="00907D8C">
        <w:t xml:space="preserve"> </w:t>
      </w:r>
      <w:r w:rsidRPr="00036FAC">
        <w:t>Discrimination,</w:t>
      </w:r>
      <w:r w:rsidR="00907D8C">
        <w:t xml:space="preserve"> </w:t>
      </w:r>
      <w:r w:rsidRPr="00036FAC">
        <w:t>and</w:t>
      </w:r>
      <w:r w:rsidR="00907D8C">
        <w:t xml:space="preserve"> </w:t>
      </w:r>
      <w:r w:rsidRPr="00036FAC">
        <w:t>Convention</w:t>
      </w:r>
      <w:r w:rsidR="00907D8C">
        <w:t xml:space="preserve"> </w:t>
      </w:r>
      <w:r w:rsidRPr="00036FAC">
        <w:t>against</w:t>
      </w:r>
      <w:r w:rsidR="00907D8C">
        <w:t xml:space="preserve"> </w:t>
      </w:r>
      <w:r w:rsidRPr="00036FAC">
        <w:t>Torture</w:t>
      </w:r>
      <w:r w:rsidR="00907D8C">
        <w:t xml:space="preserve"> </w:t>
      </w:r>
      <w:r w:rsidRPr="00036FAC">
        <w:t>and</w:t>
      </w:r>
      <w:r w:rsidR="00907D8C">
        <w:t xml:space="preserve"> </w:t>
      </w:r>
      <w:r w:rsidRPr="00036FAC">
        <w:t>Other</w:t>
      </w:r>
      <w:r w:rsidR="00907D8C">
        <w:t xml:space="preserve"> </w:t>
      </w:r>
      <w:r w:rsidRPr="00036FAC">
        <w:t>Cruel,</w:t>
      </w:r>
      <w:r w:rsidR="00907D8C">
        <w:t xml:space="preserve"> </w:t>
      </w:r>
      <w:r w:rsidRPr="00036FAC">
        <w:t>Inhuman</w:t>
      </w:r>
      <w:r w:rsidR="00907D8C">
        <w:t xml:space="preserve"> </w:t>
      </w:r>
      <w:r w:rsidRPr="00036FAC">
        <w:t>or</w:t>
      </w:r>
      <w:r w:rsidR="00907D8C">
        <w:t xml:space="preserve"> </w:t>
      </w:r>
      <w:r w:rsidRPr="00036FAC">
        <w:t>Degrading</w:t>
      </w:r>
      <w:r w:rsidR="00907D8C">
        <w:t xml:space="preserve"> </w:t>
      </w:r>
      <w:r w:rsidRPr="00036FAC">
        <w:t>Treatment</w:t>
      </w:r>
      <w:r w:rsidR="00907D8C">
        <w:t xml:space="preserve"> </w:t>
      </w:r>
      <w:r w:rsidRPr="00036FAC">
        <w:t>or</w:t>
      </w:r>
      <w:r w:rsidR="00907D8C">
        <w:t xml:space="preserve"> </w:t>
      </w:r>
      <w:r w:rsidRPr="00036FAC">
        <w:t>Punishment.</w:t>
      </w:r>
      <w:r w:rsidR="00907D8C">
        <w:t xml:space="preserve"> </w:t>
      </w:r>
      <w:r w:rsidRPr="00036FAC">
        <w:t>The</w:t>
      </w:r>
      <w:r w:rsidR="00907D8C">
        <w:t xml:space="preserve"> </w:t>
      </w:r>
      <w:r w:rsidRPr="00036FAC">
        <w:t>Office</w:t>
      </w:r>
      <w:r w:rsidR="00907D8C">
        <w:t xml:space="preserve"> </w:t>
      </w:r>
      <w:r w:rsidRPr="00036FAC">
        <w:t>for</w:t>
      </w:r>
      <w:r w:rsidR="00907D8C">
        <w:t xml:space="preserve"> </w:t>
      </w:r>
      <w:r w:rsidRPr="00036FAC">
        <w:t>Disability</w:t>
      </w:r>
      <w:r w:rsidR="00907D8C">
        <w:t xml:space="preserve"> </w:t>
      </w:r>
      <w:r w:rsidRPr="00036FAC">
        <w:t>Issues</w:t>
      </w:r>
      <w:r w:rsidR="00907D8C">
        <w:t xml:space="preserve"> </w:t>
      </w:r>
      <w:r w:rsidRPr="00036FAC">
        <w:t>prepares</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reports</w:t>
      </w:r>
      <w:r w:rsidR="00907D8C">
        <w:t xml:space="preserve"> </w:t>
      </w:r>
      <w:r w:rsidRPr="00036FAC">
        <w:t>under</w:t>
      </w:r>
      <w:r w:rsidR="00907D8C">
        <w:t xml:space="preserve"> </w:t>
      </w:r>
      <w:r w:rsidRPr="00036FAC">
        <w:t>the</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Persons</w:t>
      </w:r>
      <w:r w:rsidR="00907D8C">
        <w:t xml:space="preserve"> </w:t>
      </w:r>
      <w:r w:rsidRPr="00036FAC">
        <w:t>with</w:t>
      </w:r>
      <w:r w:rsidR="00907D8C">
        <w:t xml:space="preserve"> </w:t>
      </w:r>
      <w:r w:rsidRPr="00036FAC">
        <w:t>Disabilities.</w:t>
      </w:r>
    </w:p>
    <w:p w:rsidR="00036FAC" w:rsidRPr="00036FAC" w:rsidRDefault="00036FAC" w:rsidP="006C436C">
      <w:pPr>
        <w:pStyle w:val="H23G"/>
      </w:pPr>
      <w:r w:rsidRPr="00036FAC">
        <w:tab/>
        <w:t>(a)</w:t>
      </w:r>
      <w:r w:rsidRPr="00036FAC">
        <w:tab/>
        <w:t>Participation</w:t>
      </w:r>
      <w:r w:rsidR="00907D8C">
        <w:t xml:space="preserve"> </w:t>
      </w:r>
      <w:r w:rsidRPr="00036FAC">
        <w:t>of</w:t>
      </w:r>
      <w:r w:rsidR="00907D8C">
        <w:t xml:space="preserve"> </w:t>
      </w:r>
      <w:r w:rsidRPr="00036FAC">
        <w:t>departments,</w:t>
      </w:r>
      <w:r w:rsidR="00907D8C">
        <w:t xml:space="preserve"> </w:t>
      </w:r>
      <w:r w:rsidRPr="00036FAC">
        <w:t>institutions</w:t>
      </w:r>
      <w:r w:rsidR="00907D8C">
        <w:t xml:space="preserve"> </w:t>
      </w:r>
      <w:r w:rsidRPr="00036FAC">
        <w:t>and</w:t>
      </w:r>
      <w:r w:rsidR="00907D8C">
        <w:t xml:space="preserve"> </w:t>
      </w:r>
      <w:r w:rsidRPr="00036FAC">
        <w:t>officials</w:t>
      </w:r>
      <w:r w:rsidR="00907D8C">
        <w:t xml:space="preserve"> </w:t>
      </w:r>
      <w:r w:rsidRPr="00036FAC">
        <w:t>at</w:t>
      </w:r>
      <w:r w:rsidR="00907D8C">
        <w:t xml:space="preserve"> </w:t>
      </w:r>
      <w:r w:rsidRPr="00036FAC">
        <w:t>national</w:t>
      </w:r>
      <w:r w:rsidR="00907D8C">
        <w:t xml:space="preserve"> </w:t>
      </w:r>
      <w:r w:rsidRPr="00036FAC">
        <w:t>levels</w:t>
      </w:r>
      <w:r w:rsidR="00907D8C">
        <w:t xml:space="preserve"> </w:t>
      </w:r>
      <w:r w:rsidRPr="00036FAC">
        <w:t>of</w:t>
      </w:r>
      <w:r w:rsidR="00907D8C">
        <w:t xml:space="preserve"> </w:t>
      </w:r>
      <w:r w:rsidRPr="00036FAC">
        <w:t>government</w:t>
      </w:r>
      <w:r w:rsidR="00907D8C">
        <w:t xml:space="preserve"> </w:t>
      </w:r>
      <w:r w:rsidRPr="00036FAC">
        <w:t>and</w:t>
      </w:r>
      <w:r w:rsidR="00907D8C">
        <w:t xml:space="preserve"> </w:t>
      </w:r>
      <w:r w:rsidRPr="00036FAC">
        <w:t>participation</w:t>
      </w:r>
      <w:r w:rsidR="00907D8C">
        <w:t xml:space="preserve"> </w:t>
      </w:r>
      <w:r w:rsidRPr="00036FAC">
        <w:t>of</w:t>
      </w:r>
      <w:r w:rsidR="00907D8C">
        <w:t xml:space="preserve"> </w:t>
      </w:r>
      <w:r w:rsidRPr="00036FAC">
        <w:t>entities</w:t>
      </w:r>
      <w:r w:rsidR="00907D8C">
        <w:t xml:space="preserve"> </w:t>
      </w:r>
      <w:r w:rsidRPr="00036FAC">
        <w:t>outside</w:t>
      </w:r>
      <w:r w:rsidR="00907D8C">
        <w:t xml:space="preserve"> </w:t>
      </w:r>
      <w:r w:rsidRPr="00036FAC">
        <w:t>of</w:t>
      </w:r>
      <w:r w:rsidR="00907D8C">
        <w:t xml:space="preserve"> </w:t>
      </w:r>
      <w:r w:rsidRPr="00036FAC">
        <w:t>government</w:t>
      </w:r>
    </w:p>
    <w:p w:rsidR="00036FAC" w:rsidRPr="00036FAC" w:rsidRDefault="00036FAC" w:rsidP="002B6E7E">
      <w:pPr>
        <w:pStyle w:val="SingleTxtG"/>
      </w:pPr>
      <w:r w:rsidRPr="00036FAC">
        <w:t>238.</w:t>
      </w:r>
      <w:r w:rsidRPr="00036FAC">
        <w:tab/>
        <w:t>The</w:t>
      </w:r>
      <w:r w:rsidR="00907D8C">
        <w:t xml:space="preserve"> </w:t>
      </w:r>
      <w:r w:rsidRPr="00036FAC">
        <w:t>reports</w:t>
      </w:r>
      <w:r w:rsidR="00907D8C">
        <w:t xml:space="preserve"> </w:t>
      </w:r>
      <w:r w:rsidRPr="00036FAC">
        <w:t>(including</w:t>
      </w:r>
      <w:r w:rsidR="00907D8C">
        <w:t xml:space="preserve"> </w:t>
      </w:r>
      <w:r w:rsidRPr="00036FAC">
        <w:t>the</w:t>
      </w:r>
      <w:r w:rsidR="00907D8C">
        <w:t xml:space="preserve"> </w:t>
      </w:r>
      <w:r w:rsidRPr="00036FAC">
        <w:t>common</w:t>
      </w:r>
      <w:r w:rsidR="00907D8C">
        <w:t xml:space="preserve"> </w:t>
      </w:r>
      <w:r w:rsidRPr="00036FAC">
        <w:t>core</w:t>
      </w:r>
      <w:r w:rsidR="00907D8C">
        <w:t xml:space="preserve"> </w:t>
      </w:r>
      <w:r w:rsidRPr="00036FAC">
        <w:t>document)</w:t>
      </w:r>
      <w:r w:rsidR="00907D8C">
        <w:t xml:space="preserve"> </w:t>
      </w:r>
      <w:r w:rsidRPr="00036FAC">
        <w:t>are</w:t>
      </w:r>
      <w:r w:rsidR="00907D8C">
        <w:t xml:space="preserve"> </w:t>
      </w:r>
      <w:r w:rsidRPr="00036FAC">
        <w:t>prepared</w:t>
      </w:r>
      <w:r w:rsidR="00907D8C">
        <w:t xml:space="preserve"> </w:t>
      </w:r>
      <w:r w:rsidRPr="00036FAC">
        <w:t>on</w:t>
      </w:r>
      <w:r w:rsidR="00907D8C">
        <w:t xml:space="preserve"> </w:t>
      </w:r>
      <w:r w:rsidRPr="00036FAC">
        <w:t>the</w:t>
      </w:r>
      <w:r w:rsidR="00907D8C">
        <w:t xml:space="preserve"> </w:t>
      </w:r>
      <w:r w:rsidRPr="00036FAC">
        <w:t>basis</w:t>
      </w:r>
      <w:r w:rsidR="00907D8C">
        <w:t xml:space="preserve"> </w:t>
      </w:r>
      <w:r w:rsidRPr="00036FAC">
        <w:t>of</w:t>
      </w:r>
      <w:r w:rsidR="00907D8C">
        <w:t xml:space="preserve"> </w:t>
      </w:r>
      <w:r w:rsidRPr="00036FAC">
        <w:t>information</w:t>
      </w:r>
      <w:r w:rsidR="00907D8C">
        <w:t xml:space="preserve"> </w:t>
      </w:r>
      <w:r w:rsidRPr="00036FAC">
        <w:t>received</w:t>
      </w:r>
      <w:r w:rsidR="00907D8C">
        <w:t xml:space="preserve"> </w:t>
      </w:r>
      <w:r w:rsidRPr="00036FAC">
        <w:t>from</w:t>
      </w:r>
      <w:r w:rsidR="00907D8C">
        <w:t xml:space="preserve"> </w:t>
      </w:r>
      <w:r w:rsidRPr="00036FAC">
        <w:t>a</w:t>
      </w:r>
      <w:r w:rsidR="00907D8C">
        <w:t xml:space="preserve"> </w:t>
      </w:r>
      <w:r w:rsidRPr="00036FAC">
        <w:t>wide</w:t>
      </w:r>
      <w:r w:rsidR="00907D8C">
        <w:t xml:space="preserve"> </w:t>
      </w:r>
      <w:r w:rsidRPr="00036FAC">
        <w:t>range</w:t>
      </w:r>
      <w:r w:rsidR="00907D8C">
        <w:t xml:space="preserve"> </w:t>
      </w:r>
      <w:r w:rsidRPr="00036FAC">
        <w:t>of</w:t>
      </w:r>
      <w:r w:rsidR="00907D8C">
        <w:t xml:space="preserve"> </w:t>
      </w:r>
      <w:r w:rsidRPr="00036FAC">
        <w:t>government</w:t>
      </w:r>
      <w:r w:rsidR="00907D8C">
        <w:t xml:space="preserve"> </w:t>
      </w:r>
      <w:r w:rsidRPr="00036FAC">
        <w:t>departments</w:t>
      </w:r>
      <w:r w:rsidR="00907D8C">
        <w:t xml:space="preserve"> </w:t>
      </w:r>
      <w:r w:rsidRPr="00036FAC">
        <w:t>and</w:t>
      </w:r>
      <w:r w:rsidR="00907D8C">
        <w:t xml:space="preserve"> </w:t>
      </w:r>
      <w:r w:rsidRPr="00036FAC">
        <w:t>agencies.</w:t>
      </w:r>
      <w:r w:rsidR="00907D8C">
        <w:t xml:space="preserve"> </w:t>
      </w:r>
      <w:r w:rsidRPr="00036FAC">
        <w:t>The</w:t>
      </w:r>
      <w:r w:rsidR="00907D8C">
        <w:t xml:space="preserve"> </w:t>
      </w:r>
      <w:r w:rsidRPr="00036FAC">
        <w:t>reports</w:t>
      </w:r>
      <w:r w:rsidR="00907D8C">
        <w:t xml:space="preserve"> </w:t>
      </w:r>
      <w:r w:rsidRPr="00036FAC">
        <w:t>are</w:t>
      </w:r>
      <w:r w:rsidR="00907D8C">
        <w:t xml:space="preserve"> </w:t>
      </w:r>
      <w:r w:rsidRPr="00036FAC">
        <w:t>also</w:t>
      </w:r>
      <w:r w:rsidR="00907D8C">
        <w:t xml:space="preserve"> </w:t>
      </w:r>
      <w:r w:rsidRPr="00036FAC">
        <w:t>made</w:t>
      </w:r>
      <w:r w:rsidR="00907D8C">
        <w:t xml:space="preserve"> </w:t>
      </w:r>
      <w:r w:rsidRPr="00036FAC">
        <w:t>available</w:t>
      </w:r>
      <w:r w:rsidR="00907D8C">
        <w:t xml:space="preserve"> </w:t>
      </w:r>
      <w:r w:rsidRPr="00036FAC">
        <w:t>for</w:t>
      </w:r>
      <w:r w:rsidR="00907D8C">
        <w:t xml:space="preserve"> </w:t>
      </w:r>
      <w:r w:rsidRPr="00036FAC">
        <w:t>comment</w:t>
      </w:r>
      <w:r w:rsidR="00907D8C">
        <w:t xml:space="preserve"> </w:t>
      </w:r>
      <w:r w:rsidRPr="00036FAC">
        <w:t>by</w:t>
      </w:r>
      <w:r w:rsidR="00907D8C">
        <w:t xml:space="preserve"> </w:t>
      </w:r>
      <w:r w:rsidRPr="00036FAC">
        <w:t>the</w:t>
      </w:r>
      <w:r w:rsidR="00907D8C">
        <w:t xml:space="preserve"> </w:t>
      </w:r>
      <w:r w:rsidRPr="00036FAC">
        <w:t>NZHRC</w:t>
      </w:r>
      <w:r w:rsidR="00907D8C">
        <w:t xml:space="preserve"> </w:t>
      </w:r>
      <w:r w:rsidRPr="00036FAC">
        <w:t>and</w:t>
      </w:r>
      <w:r w:rsidR="00907D8C">
        <w:t xml:space="preserve"> </w:t>
      </w:r>
      <w:r w:rsidRPr="00036FAC">
        <w:t>civil</w:t>
      </w:r>
      <w:r w:rsidR="00907D8C">
        <w:t xml:space="preserve"> </w:t>
      </w:r>
      <w:r w:rsidRPr="00036FAC">
        <w:t>society</w:t>
      </w:r>
      <w:r w:rsidR="00907D8C">
        <w:t xml:space="preserve"> </w:t>
      </w:r>
      <w:r w:rsidRPr="00036FAC">
        <w:t>organisations.</w:t>
      </w:r>
      <w:r w:rsidR="00907D8C">
        <w:t xml:space="preserve"> </w:t>
      </w:r>
      <w:r w:rsidRPr="00036FAC">
        <w:t>They</w:t>
      </w:r>
      <w:r w:rsidR="00907D8C">
        <w:t xml:space="preserve"> </w:t>
      </w:r>
      <w:r w:rsidRPr="00036FAC">
        <w:t>can</w:t>
      </w:r>
      <w:r w:rsidR="00907D8C">
        <w:t xml:space="preserve"> </w:t>
      </w:r>
      <w:r w:rsidRPr="00036FAC">
        <w:t>be</w:t>
      </w:r>
      <w:r w:rsidR="00907D8C">
        <w:t xml:space="preserve"> </w:t>
      </w:r>
      <w:r w:rsidRPr="00036FAC">
        <w:t>obtained</w:t>
      </w:r>
      <w:r w:rsidR="00907D8C">
        <w:t xml:space="preserve"> </w:t>
      </w:r>
      <w:r w:rsidRPr="00036FAC">
        <w:t>from</w:t>
      </w:r>
      <w:r w:rsidR="00907D8C">
        <w:t xml:space="preserve"> </w:t>
      </w:r>
      <w:r w:rsidRPr="00036FAC">
        <w:t>the</w:t>
      </w:r>
      <w:r w:rsidR="00907D8C">
        <w:t xml:space="preserve"> </w:t>
      </w:r>
      <w:r w:rsidRPr="00036FAC">
        <w:t>relevant</w:t>
      </w:r>
      <w:r w:rsidR="00907D8C">
        <w:t xml:space="preserve"> </w:t>
      </w:r>
      <w:r w:rsidRPr="00036FAC">
        <w:t>Ministry</w:t>
      </w:r>
      <w:r w:rsidR="003E4D94">
        <w:t>’</w:t>
      </w:r>
      <w:r w:rsidRPr="00036FAC">
        <w:t>s</w:t>
      </w:r>
      <w:r w:rsidR="00907D8C">
        <w:t xml:space="preserve"> </w:t>
      </w:r>
      <w:r w:rsidRPr="00036FAC">
        <w:t>website.</w:t>
      </w:r>
      <w:r w:rsidR="00907D8C">
        <w:t xml:space="preserve"> </w:t>
      </w:r>
      <w:r w:rsidRPr="00036FAC">
        <w:t>The</w:t>
      </w:r>
      <w:r w:rsidR="00907D8C">
        <w:t xml:space="preserve"> </w:t>
      </w:r>
      <w:r w:rsidRPr="00036FAC">
        <w:t>International</w:t>
      </w:r>
      <w:r w:rsidR="00907D8C">
        <w:t xml:space="preserve"> </w:t>
      </w:r>
      <w:r w:rsidRPr="00036FAC">
        <w:t>Covenant</w:t>
      </w:r>
      <w:r w:rsidR="00907D8C">
        <w:t xml:space="preserve"> </w:t>
      </w:r>
      <w:r w:rsidRPr="00036FAC">
        <w:t>on</w:t>
      </w:r>
      <w:r w:rsidR="00907D8C">
        <w:t xml:space="preserve"> </w:t>
      </w:r>
      <w:r w:rsidRPr="00036FAC">
        <w:t>Civil</w:t>
      </w:r>
      <w:r w:rsidR="00907D8C">
        <w:t xml:space="preserve"> </w:t>
      </w:r>
      <w:r w:rsidRPr="00036FAC">
        <w:t>and</w:t>
      </w:r>
      <w:r w:rsidR="00907D8C">
        <w:t xml:space="preserve"> </w:t>
      </w:r>
      <w:r w:rsidRPr="00036FAC">
        <w:t>Political</w:t>
      </w:r>
      <w:r w:rsidR="00907D8C">
        <w:t xml:space="preserve"> </w:t>
      </w:r>
      <w:r w:rsidRPr="00036FAC">
        <w:t>Rights</w:t>
      </w:r>
      <w:r w:rsidR="00907D8C">
        <w:t xml:space="preserve"> </w:t>
      </w:r>
      <w:r w:rsidRPr="00036FAC">
        <w:t>(and</w:t>
      </w:r>
      <w:r w:rsidR="00907D8C">
        <w:t xml:space="preserve"> </w:t>
      </w:r>
      <w:r w:rsidRPr="00036FAC">
        <w:t>its</w:t>
      </w:r>
      <w:r w:rsidR="00907D8C">
        <w:t xml:space="preserve"> </w:t>
      </w:r>
      <w:r w:rsidRPr="00036FAC">
        <w:t>first</w:t>
      </w:r>
      <w:r w:rsidR="00907D8C">
        <w:t xml:space="preserve"> </w:t>
      </w:r>
      <w:r w:rsidRPr="00036FAC">
        <w:t>Optional</w:t>
      </w:r>
      <w:r w:rsidR="00907D8C">
        <w:t xml:space="preserve"> </w:t>
      </w:r>
      <w:r w:rsidRPr="00036FAC">
        <w:t>Protocol),</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Elimination</w:t>
      </w:r>
      <w:r w:rsidR="00907D8C">
        <w:t xml:space="preserve"> </w:t>
      </w:r>
      <w:r w:rsidRPr="00036FAC">
        <w:t>of</w:t>
      </w:r>
      <w:r w:rsidR="00907D8C">
        <w:t xml:space="preserve"> </w:t>
      </w:r>
      <w:r w:rsidRPr="00036FAC">
        <w:t>All</w:t>
      </w:r>
      <w:r w:rsidR="00907D8C">
        <w:t xml:space="preserve"> </w:t>
      </w:r>
      <w:r w:rsidRPr="00036FAC">
        <w:t>Forms</w:t>
      </w:r>
      <w:r w:rsidR="00907D8C">
        <w:t xml:space="preserve"> </w:t>
      </w:r>
      <w:r w:rsidRPr="00036FAC">
        <w:t>of</w:t>
      </w:r>
      <w:r w:rsidR="00907D8C">
        <w:t xml:space="preserve"> </w:t>
      </w:r>
      <w:r w:rsidRPr="00036FAC">
        <w:t>Discrimination</w:t>
      </w:r>
      <w:r w:rsidR="00907D8C">
        <w:t xml:space="preserve"> </w:t>
      </w:r>
      <w:r w:rsidRPr="00036FAC">
        <w:t>against</w:t>
      </w:r>
      <w:r w:rsidR="00907D8C">
        <w:t xml:space="preserve"> </w:t>
      </w:r>
      <w:r w:rsidRPr="00036FAC">
        <w:t>Women</w:t>
      </w:r>
      <w:r w:rsidR="00907D8C">
        <w:t xml:space="preserve"> </w:t>
      </w:r>
      <w:r w:rsidRPr="00036FAC">
        <w:t>(and</w:t>
      </w:r>
      <w:r w:rsidR="00907D8C">
        <w:t xml:space="preserve"> </w:t>
      </w:r>
      <w:r w:rsidRPr="00036FAC">
        <w:t>its</w:t>
      </w:r>
      <w:r w:rsidR="00907D8C">
        <w:t xml:space="preserve"> </w:t>
      </w:r>
      <w:r w:rsidRPr="00036FAC">
        <w:t>Optional</w:t>
      </w:r>
      <w:r w:rsidR="00907D8C">
        <w:t xml:space="preserve"> </w:t>
      </w:r>
      <w:r w:rsidRPr="00036FAC">
        <w:t>Protocol),</w:t>
      </w:r>
      <w:r w:rsidR="00907D8C">
        <w:t xml:space="preserve"> </w:t>
      </w:r>
      <w:r w:rsidRPr="00036FAC">
        <w:t>and</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the</w:t>
      </w:r>
      <w:r w:rsidR="00907D8C">
        <w:t xml:space="preserve"> </w:t>
      </w:r>
      <w:r w:rsidRPr="00036FAC">
        <w:t>Child</w:t>
      </w:r>
      <w:r w:rsidR="00907D8C">
        <w:t xml:space="preserve"> </w:t>
      </w:r>
      <w:r w:rsidRPr="00036FAC">
        <w:t>have</w:t>
      </w:r>
      <w:r w:rsidR="00907D8C">
        <w:t xml:space="preserve"> </w:t>
      </w:r>
      <w:r w:rsidRPr="00036FAC">
        <w:t>been</w:t>
      </w:r>
      <w:r w:rsidR="00907D8C">
        <w:t xml:space="preserve"> </w:t>
      </w:r>
      <w:r w:rsidRPr="00036FAC">
        <w:t>translated</w:t>
      </w:r>
      <w:r w:rsidR="00907D8C">
        <w:t xml:space="preserve"> </w:t>
      </w:r>
      <w:r w:rsidRPr="00036FAC">
        <w:t>into</w:t>
      </w:r>
      <w:r w:rsidR="00907D8C">
        <w:t xml:space="preserve"> </w:t>
      </w:r>
      <w:r w:rsidRPr="00036FAC">
        <w:t>Māori.</w:t>
      </w:r>
    </w:p>
    <w:p w:rsidR="00036FAC" w:rsidRPr="00036FAC" w:rsidRDefault="00036FAC" w:rsidP="006C436C">
      <w:pPr>
        <w:pStyle w:val="H23G"/>
      </w:pPr>
      <w:r w:rsidRPr="00036FAC">
        <w:tab/>
        <w:t>(b)</w:t>
      </w:r>
      <w:r w:rsidRPr="00036FAC">
        <w:tab/>
        <w:t>Role</w:t>
      </w:r>
      <w:r w:rsidR="00907D8C">
        <w:t xml:space="preserve"> </w:t>
      </w:r>
      <w:r w:rsidRPr="00036FAC">
        <w:t>of</w:t>
      </w:r>
      <w:r w:rsidR="00907D8C">
        <w:t xml:space="preserve"> </w:t>
      </w:r>
      <w:r w:rsidRPr="00036FAC">
        <w:t>the</w:t>
      </w:r>
      <w:r w:rsidR="00907D8C">
        <w:t xml:space="preserve"> </w:t>
      </w:r>
      <w:r w:rsidRPr="00036FAC">
        <w:t>legislature</w:t>
      </w:r>
    </w:p>
    <w:p w:rsidR="00036FAC" w:rsidRPr="00036FAC" w:rsidRDefault="00036FAC" w:rsidP="002B6E7E">
      <w:pPr>
        <w:pStyle w:val="SingleTxtG"/>
      </w:pPr>
      <w:r w:rsidRPr="00036FAC">
        <w:t>239.</w:t>
      </w:r>
      <w:r w:rsidRPr="00036FAC">
        <w:tab/>
        <w:t>New</w:t>
      </w:r>
      <w:r w:rsidR="00907D8C">
        <w:t xml:space="preserve"> </w:t>
      </w:r>
      <w:r w:rsidRPr="00036FAC">
        <w:t>Zealand</w:t>
      </w:r>
      <w:r w:rsidR="003E4D94">
        <w:t>’</w:t>
      </w:r>
      <w:r w:rsidRPr="00036FAC">
        <w:t>s</w:t>
      </w:r>
      <w:r w:rsidR="00907D8C">
        <w:t xml:space="preserve"> </w:t>
      </w:r>
      <w:r w:rsidRPr="00036FAC">
        <w:t>reports</w:t>
      </w:r>
      <w:r w:rsidR="00907D8C">
        <w:t xml:space="preserve"> </w:t>
      </w:r>
      <w:r w:rsidRPr="00036FAC">
        <w:t>are</w:t>
      </w:r>
      <w:r w:rsidR="00907D8C">
        <w:t xml:space="preserve"> </w:t>
      </w:r>
      <w:r w:rsidRPr="00036FAC">
        <w:t>submitted</w:t>
      </w:r>
      <w:r w:rsidR="00907D8C">
        <w:t xml:space="preserve"> </w:t>
      </w:r>
      <w:r w:rsidRPr="00036FAC">
        <w:t>to</w:t>
      </w:r>
      <w:r w:rsidR="00907D8C">
        <w:t xml:space="preserve"> </w:t>
      </w:r>
      <w:r w:rsidRPr="00036FAC">
        <w:t>Cabinet</w:t>
      </w:r>
      <w:r w:rsidR="00907D8C">
        <w:t xml:space="preserve"> </w:t>
      </w:r>
      <w:r w:rsidRPr="00036FAC">
        <w:t>for</w:t>
      </w:r>
      <w:r w:rsidR="00907D8C">
        <w:t xml:space="preserve"> </w:t>
      </w:r>
      <w:r w:rsidRPr="00036FAC">
        <w:t>approval</w:t>
      </w:r>
      <w:r w:rsidR="00907D8C">
        <w:t xml:space="preserve"> </w:t>
      </w:r>
      <w:r w:rsidRPr="00036FAC">
        <w:t>before</w:t>
      </w:r>
      <w:r w:rsidR="00907D8C">
        <w:t xml:space="preserve"> </w:t>
      </w:r>
      <w:r w:rsidRPr="00036FAC">
        <w:t>being</w:t>
      </w:r>
      <w:r w:rsidR="00907D8C">
        <w:t xml:space="preserve"> </w:t>
      </w:r>
      <w:r w:rsidRPr="00036FAC">
        <w:t>submitted</w:t>
      </w:r>
      <w:r w:rsidR="00907D8C">
        <w:t xml:space="preserve"> </w:t>
      </w:r>
      <w:r w:rsidRPr="00036FAC">
        <w:t>to</w:t>
      </w:r>
      <w:r w:rsidR="00907D8C">
        <w:t xml:space="preserve"> </w:t>
      </w:r>
      <w:r w:rsidRPr="00036FAC">
        <w:t>the</w:t>
      </w:r>
      <w:r w:rsidR="00907D8C">
        <w:t xml:space="preserve"> </w:t>
      </w:r>
      <w:r w:rsidRPr="00036FAC">
        <w:t>United</w:t>
      </w:r>
      <w:r w:rsidR="00907D8C">
        <w:t xml:space="preserve"> </w:t>
      </w:r>
      <w:r w:rsidRPr="00036FAC">
        <w:t>Nations</w:t>
      </w:r>
      <w:r w:rsidR="00907D8C">
        <w:t xml:space="preserve"> </w:t>
      </w:r>
      <w:r w:rsidRPr="00036FAC">
        <w:t>Secretariat.</w:t>
      </w:r>
    </w:p>
    <w:p w:rsidR="00036FAC" w:rsidRPr="00036FAC" w:rsidRDefault="00036FAC" w:rsidP="006C436C">
      <w:pPr>
        <w:pStyle w:val="H23G"/>
      </w:pPr>
      <w:r w:rsidRPr="00036FAC">
        <w:tab/>
        <w:t>(c)</w:t>
      </w:r>
      <w:r w:rsidRPr="00036FAC">
        <w:tab/>
        <w:t>Publication</w:t>
      </w:r>
      <w:r w:rsidR="00907D8C">
        <w:t xml:space="preserve"> </w:t>
      </w:r>
      <w:r w:rsidRPr="00036FAC">
        <w:t>of</w:t>
      </w:r>
      <w:r w:rsidR="00907D8C">
        <w:t xml:space="preserve"> </w:t>
      </w:r>
      <w:r w:rsidRPr="00036FAC">
        <w:t>reports</w:t>
      </w:r>
    </w:p>
    <w:p w:rsidR="00036FAC" w:rsidRPr="00036FAC" w:rsidRDefault="00036FAC" w:rsidP="002B6E7E">
      <w:pPr>
        <w:pStyle w:val="SingleTxtG"/>
      </w:pPr>
      <w:r w:rsidRPr="00036FAC">
        <w:t>240.</w:t>
      </w:r>
      <w:r w:rsidRPr="00036FAC">
        <w:tab/>
        <w:t>A</w:t>
      </w:r>
      <w:r w:rsidR="00907D8C">
        <w:t xml:space="preserve"> </w:t>
      </w:r>
      <w:r w:rsidRPr="00036FAC">
        <w:t>summary</w:t>
      </w:r>
      <w:r w:rsidR="00907D8C">
        <w:t xml:space="preserve"> </w:t>
      </w:r>
      <w:r w:rsidRPr="00036FAC">
        <w:t>of</w:t>
      </w:r>
      <w:r w:rsidR="00907D8C">
        <w:t xml:space="preserve"> </w:t>
      </w:r>
      <w:r w:rsidRPr="00036FAC">
        <w:t>the</w:t>
      </w:r>
      <w:r w:rsidR="00907D8C">
        <w:t xml:space="preserve"> </w:t>
      </w:r>
      <w:r w:rsidRPr="00036FAC">
        <w:t>relevant</w:t>
      </w:r>
      <w:r w:rsidR="00907D8C">
        <w:t xml:space="preserve"> </w:t>
      </w:r>
      <w:r w:rsidRPr="00036FAC">
        <w:t>United</w:t>
      </w:r>
      <w:r w:rsidR="00907D8C">
        <w:t xml:space="preserve"> </w:t>
      </w:r>
      <w:r w:rsidRPr="00036FAC">
        <w:t>Nations</w:t>
      </w:r>
      <w:r w:rsidR="00907D8C">
        <w:t xml:space="preserve"> </w:t>
      </w:r>
      <w:r w:rsidRPr="00036FAC">
        <w:t>human</w:t>
      </w:r>
      <w:r w:rsidR="00907D8C">
        <w:t xml:space="preserve"> </w:t>
      </w:r>
      <w:r w:rsidRPr="00036FAC">
        <w:t>rights</w:t>
      </w:r>
      <w:r w:rsidR="00907D8C">
        <w:t xml:space="preserve"> </w:t>
      </w:r>
      <w:r w:rsidRPr="00036FAC">
        <w:t>treaty</w:t>
      </w:r>
      <w:r w:rsidR="00907D8C">
        <w:t xml:space="preserve"> </w:t>
      </w:r>
      <w:r w:rsidRPr="00036FAC">
        <w:t>bodies</w:t>
      </w:r>
      <w:r w:rsidR="003E4D94">
        <w:t>’</w:t>
      </w:r>
      <w:r w:rsidR="00907D8C">
        <w:t xml:space="preserve"> </w:t>
      </w:r>
      <w:r w:rsidRPr="00036FAC">
        <w:t>consideration</w:t>
      </w:r>
      <w:r w:rsidR="00907D8C">
        <w:t xml:space="preserve"> </w:t>
      </w:r>
      <w:r w:rsidRPr="00036FAC">
        <w:t>of</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periodic</w:t>
      </w:r>
      <w:r w:rsidR="00907D8C">
        <w:t xml:space="preserve"> </w:t>
      </w:r>
      <w:r w:rsidRPr="00036FAC">
        <w:t>reports,</w:t>
      </w:r>
      <w:r w:rsidR="00907D8C">
        <w:t xml:space="preserve"> </w:t>
      </w:r>
      <w:r w:rsidRPr="00036FAC">
        <w:t>including</w:t>
      </w:r>
      <w:r w:rsidR="00907D8C">
        <w:t xml:space="preserve"> </w:t>
      </w:r>
      <w:r w:rsidRPr="00036FAC">
        <w:t>the</w:t>
      </w:r>
      <w:r w:rsidR="00907D8C">
        <w:t xml:space="preserve"> </w:t>
      </w:r>
      <w:r w:rsidRPr="00036FAC">
        <w:t>specific</w:t>
      </w:r>
      <w:r w:rsidR="00907D8C">
        <w:t xml:space="preserve"> </w:t>
      </w:r>
      <w:r w:rsidRPr="00036FAC">
        <w:t>questions</w:t>
      </w:r>
      <w:r w:rsidR="00907D8C">
        <w:t xml:space="preserve"> </w:t>
      </w:r>
      <w:r w:rsidRPr="00036FAC">
        <w:t>of</w:t>
      </w:r>
      <w:r w:rsidR="00907D8C">
        <w:t xml:space="preserve"> </w:t>
      </w:r>
      <w:r w:rsidRPr="00036FAC">
        <w:t>the</w:t>
      </w:r>
      <w:r w:rsidR="00907D8C">
        <w:t xml:space="preserve"> </w:t>
      </w:r>
      <w:r w:rsidRPr="00036FAC">
        <w:t>committees,</w:t>
      </w:r>
      <w:r w:rsidR="00907D8C">
        <w:t xml:space="preserve"> </w:t>
      </w:r>
      <w:r w:rsidRPr="00036FAC">
        <w:t>is</w:t>
      </w:r>
      <w:r w:rsidR="00907D8C">
        <w:t xml:space="preserve"> </w:t>
      </w:r>
      <w:r w:rsidRPr="00036FAC">
        <w:t>available</w:t>
      </w:r>
      <w:r w:rsidR="00907D8C">
        <w:t xml:space="preserve"> </w:t>
      </w:r>
      <w:r w:rsidRPr="00036FAC">
        <w:t>free</w:t>
      </w:r>
      <w:r w:rsidR="00907D8C">
        <w:t xml:space="preserve"> </w:t>
      </w:r>
      <w:r w:rsidRPr="00036FAC">
        <w:t>of</w:t>
      </w:r>
      <w:r w:rsidR="00907D8C">
        <w:t xml:space="preserve"> </w:t>
      </w:r>
      <w:r w:rsidRPr="00036FAC">
        <w:t>charge</w:t>
      </w:r>
      <w:r w:rsidR="00907D8C">
        <w:t xml:space="preserve"> </w:t>
      </w:r>
      <w:r w:rsidRPr="00036FAC">
        <w:t>to</w:t>
      </w:r>
      <w:r w:rsidR="00907D8C">
        <w:t xml:space="preserve"> </w:t>
      </w:r>
      <w:r w:rsidRPr="00036FAC">
        <w:t>members</w:t>
      </w:r>
      <w:r w:rsidR="00907D8C">
        <w:t xml:space="preserve"> </w:t>
      </w:r>
      <w:r w:rsidRPr="00036FAC">
        <w:t>of</w:t>
      </w:r>
      <w:r w:rsidR="00907D8C">
        <w:t xml:space="preserve"> </w:t>
      </w:r>
      <w:r w:rsidRPr="00036FAC">
        <w:t>the</w:t>
      </w:r>
      <w:r w:rsidR="00907D8C">
        <w:t xml:space="preserve"> </w:t>
      </w:r>
      <w:r w:rsidRPr="00036FAC">
        <w:t>public</w:t>
      </w:r>
      <w:r w:rsidR="00907D8C">
        <w:t xml:space="preserve"> </w:t>
      </w:r>
      <w:r w:rsidRPr="00036FAC">
        <w:t>on</w:t>
      </w:r>
      <w:r w:rsidR="00907D8C">
        <w:t xml:space="preserve"> </w:t>
      </w:r>
      <w:r w:rsidRPr="00036FAC">
        <w:t>the</w:t>
      </w:r>
      <w:r w:rsidR="00907D8C">
        <w:t xml:space="preserve"> </w:t>
      </w:r>
      <w:r w:rsidRPr="00036FAC">
        <w:t>Ministry</w:t>
      </w:r>
      <w:r w:rsidR="00907D8C">
        <w:t xml:space="preserve"> </w:t>
      </w:r>
      <w:r w:rsidRPr="00036FAC">
        <w:t>of</w:t>
      </w:r>
      <w:r w:rsidR="00907D8C">
        <w:t xml:space="preserve"> </w:t>
      </w:r>
      <w:r w:rsidRPr="00036FAC">
        <w:t>Foreign</w:t>
      </w:r>
      <w:r w:rsidR="00907D8C">
        <w:t xml:space="preserve"> </w:t>
      </w:r>
      <w:r w:rsidRPr="00036FAC">
        <w:t>Affairs</w:t>
      </w:r>
      <w:r w:rsidR="00907D8C">
        <w:t xml:space="preserve"> </w:t>
      </w:r>
      <w:r w:rsidRPr="00036FAC">
        <w:t>and</w:t>
      </w:r>
      <w:r w:rsidR="00907D8C">
        <w:t xml:space="preserve"> </w:t>
      </w:r>
      <w:r w:rsidRPr="00036FAC">
        <w:t>Trade</w:t>
      </w:r>
      <w:r w:rsidR="003E4D94">
        <w:t>’</w:t>
      </w:r>
      <w:r w:rsidRPr="00036FAC">
        <w:t>s</w:t>
      </w:r>
      <w:r w:rsidR="00907D8C">
        <w:t xml:space="preserve"> </w:t>
      </w:r>
      <w:r w:rsidRPr="00036FAC">
        <w:t>website.</w:t>
      </w:r>
      <w:bookmarkStart w:id="276" w:name="_Toc265677527"/>
    </w:p>
    <w:p w:rsidR="00036FAC" w:rsidRPr="00036FAC" w:rsidRDefault="00036FAC" w:rsidP="002B6E7E">
      <w:pPr>
        <w:pStyle w:val="HChG"/>
      </w:pPr>
      <w:bookmarkStart w:id="277" w:name="_Toc275331900"/>
      <w:r w:rsidRPr="00036FAC">
        <w:tab/>
        <w:t>III.</w:t>
      </w:r>
      <w:r w:rsidRPr="00036FAC">
        <w:tab/>
        <w:t>Information</w:t>
      </w:r>
      <w:r w:rsidR="00907D8C">
        <w:t xml:space="preserve"> </w:t>
      </w:r>
      <w:r w:rsidRPr="00036FAC">
        <w:t>on</w:t>
      </w:r>
      <w:r w:rsidR="00907D8C">
        <w:t xml:space="preserve"> </w:t>
      </w:r>
      <w:r w:rsidRPr="00036FAC">
        <w:t>non-discrimination,</w:t>
      </w:r>
      <w:r w:rsidR="00907D8C">
        <w:t xml:space="preserve"> </w:t>
      </w:r>
      <w:r w:rsidRPr="00036FAC">
        <w:t>equality,</w:t>
      </w:r>
      <w:r w:rsidR="00907D8C">
        <w:t xml:space="preserve"> </w:t>
      </w:r>
      <w:r w:rsidRPr="00036FAC">
        <w:t>and</w:t>
      </w:r>
      <w:r w:rsidR="00907D8C">
        <w:t xml:space="preserve"> </w:t>
      </w:r>
      <w:r w:rsidRPr="00036FAC">
        <w:t>effective</w:t>
      </w:r>
      <w:r w:rsidR="00907D8C">
        <w:t xml:space="preserve"> </w:t>
      </w:r>
      <w:r w:rsidRPr="00036FAC">
        <w:t>remedies</w:t>
      </w:r>
      <w:bookmarkEnd w:id="276"/>
      <w:bookmarkEnd w:id="277"/>
    </w:p>
    <w:p w:rsidR="00036FAC" w:rsidRPr="00036FAC" w:rsidRDefault="00036FAC" w:rsidP="002B6E7E">
      <w:pPr>
        <w:pStyle w:val="H1G"/>
      </w:pPr>
      <w:bookmarkStart w:id="278" w:name="_Toc72567233"/>
      <w:bookmarkStart w:id="279" w:name="_Toc72567493"/>
      <w:bookmarkStart w:id="280" w:name="_Toc73328519"/>
      <w:bookmarkStart w:id="281" w:name="_Toc73946169"/>
      <w:bookmarkStart w:id="282" w:name="_Toc133268788"/>
      <w:r w:rsidRPr="00036FAC">
        <w:tab/>
        <w:t>A.</w:t>
      </w:r>
      <w:r w:rsidRPr="00036FAC">
        <w:tab/>
        <w:t>Non-discrimination</w:t>
      </w:r>
      <w:r w:rsidR="00907D8C">
        <w:t xml:space="preserve"> </w:t>
      </w:r>
      <w:r w:rsidRPr="00036FAC">
        <w:t>and</w:t>
      </w:r>
      <w:r w:rsidR="00907D8C">
        <w:t xml:space="preserve"> </w:t>
      </w:r>
      <w:r w:rsidRPr="00036FAC">
        <w:t>equalit</w:t>
      </w:r>
      <w:bookmarkEnd w:id="278"/>
      <w:bookmarkEnd w:id="279"/>
      <w:bookmarkEnd w:id="280"/>
      <w:bookmarkEnd w:id="281"/>
      <w:bookmarkEnd w:id="282"/>
      <w:r w:rsidRPr="00036FAC">
        <w:t>y</w:t>
      </w:r>
    </w:p>
    <w:p w:rsidR="00036FAC" w:rsidRPr="00036FAC" w:rsidRDefault="00036FAC" w:rsidP="002B6E7E">
      <w:pPr>
        <w:pStyle w:val="SingleTxtG"/>
      </w:pPr>
      <w:r w:rsidRPr="00036FAC">
        <w:t>241.</w:t>
      </w:r>
      <w:r w:rsidRPr="00036FAC">
        <w:tab/>
        <w:t>The</w:t>
      </w:r>
      <w:r w:rsidR="00907D8C">
        <w:t xml:space="preserve"> </w:t>
      </w:r>
      <w:r w:rsidRPr="00036FAC">
        <w:t>principle</w:t>
      </w:r>
      <w:r w:rsidR="00907D8C">
        <w:t xml:space="preserve"> </w:t>
      </w:r>
      <w:r w:rsidRPr="00036FAC">
        <w:t>of</w:t>
      </w:r>
      <w:r w:rsidR="00907D8C">
        <w:t xml:space="preserve"> </w:t>
      </w:r>
      <w:r w:rsidRPr="00036FAC">
        <w:t>non-discrimination</w:t>
      </w:r>
      <w:r w:rsidR="00907D8C">
        <w:t xml:space="preserve"> </w:t>
      </w:r>
      <w:r w:rsidRPr="00036FAC">
        <w:t>is</w:t>
      </w:r>
      <w:r w:rsidR="00907D8C">
        <w:t xml:space="preserve"> </w:t>
      </w:r>
      <w:r w:rsidRPr="00036FAC">
        <w:t>enshrined</w:t>
      </w:r>
      <w:r w:rsidR="00907D8C">
        <w:t xml:space="preserve"> </w:t>
      </w:r>
      <w:r w:rsidRPr="00036FAC">
        <w:t>in</w:t>
      </w:r>
      <w:r w:rsidR="00907D8C">
        <w:t xml:space="preserve"> </w:t>
      </w:r>
      <w:r w:rsidRPr="00036FAC">
        <w:t>section</w:t>
      </w:r>
      <w:r w:rsidR="00907D8C">
        <w:t xml:space="preserve"> </w:t>
      </w:r>
      <w:r w:rsidRPr="00036FAC">
        <w:t>19</w:t>
      </w:r>
      <w:r w:rsidR="00907D8C">
        <w:t xml:space="preserve"> </w:t>
      </w:r>
      <w:r w:rsidRPr="00036FAC">
        <w:t>of</w:t>
      </w:r>
      <w:r w:rsidR="00907D8C">
        <w:t xml:space="preserve"> </w:t>
      </w:r>
      <w:r w:rsidRPr="00036FAC">
        <w:t>the</w:t>
      </w:r>
      <w:r w:rsidR="00907D8C">
        <w:t xml:space="preserve"> </w:t>
      </w:r>
      <w:r w:rsidRPr="00036FAC">
        <w:t>Bill</w:t>
      </w:r>
      <w:r w:rsidR="00907D8C">
        <w:t xml:space="preserve"> </w:t>
      </w:r>
      <w:r w:rsidRPr="00036FAC">
        <w:t>of</w:t>
      </w:r>
      <w:r w:rsidR="00907D8C">
        <w:t xml:space="preserve"> </w:t>
      </w:r>
      <w:r w:rsidRPr="00036FAC">
        <w:t>Rights</w:t>
      </w:r>
      <w:r w:rsidR="00907D8C">
        <w:t xml:space="preserve"> </w:t>
      </w:r>
      <w:r w:rsidRPr="00036FAC">
        <w:t>Act</w:t>
      </w:r>
      <w:r w:rsidR="00907D8C">
        <w:t xml:space="preserve"> </w:t>
      </w:r>
      <w:r w:rsidRPr="00036FAC">
        <w:t>and</w:t>
      </w:r>
      <w:r w:rsidR="00907D8C">
        <w:t xml:space="preserve"> </w:t>
      </w:r>
      <w:r w:rsidRPr="00036FAC">
        <w:t>in</w:t>
      </w:r>
      <w:r w:rsidR="00907D8C">
        <w:t xml:space="preserve"> </w:t>
      </w:r>
      <w:r w:rsidRPr="00036FAC">
        <w:t>Parts</w:t>
      </w:r>
      <w:r w:rsidR="00907D8C">
        <w:t xml:space="preserve"> </w:t>
      </w:r>
      <w:r w:rsidRPr="00036FAC">
        <w:t>1A</w:t>
      </w:r>
      <w:r w:rsidR="00907D8C">
        <w:t xml:space="preserve"> </w:t>
      </w:r>
      <w:r w:rsidRPr="00036FAC">
        <w:t>and</w:t>
      </w:r>
      <w:r w:rsidR="00907D8C">
        <w:t xml:space="preserve"> </w:t>
      </w:r>
      <w:r w:rsidRPr="00036FAC">
        <w:t>2</w:t>
      </w:r>
      <w:r w:rsidR="00907D8C">
        <w:t xml:space="preserve"> </w:t>
      </w:r>
      <w:r w:rsidRPr="00036FAC">
        <w:t>of</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p>
    <w:p w:rsidR="00036FAC" w:rsidRPr="00036FAC" w:rsidRDefault="00036FAC" w:rsidP="002B6E7E">
      <w:pPr>
        <w:pStyle w:val="SingleTxtG"/>
      </w:pPr>
      <w:r w:rsidRPr="00036FAC">
        <w:t>242.</w:t>
      </w:r>
      <w:r w:rsidRPr="00036FAC">
        <w:tab/>
        <w:t>The</w:t>
      </w:r>
      <w:r w:rsidR="00907D8C">
        <w:t xml:space="preserve"> </w:t>
      </w:r>
      <w:r w:rsidRPr="00036FAC">
        <w:t>Employment</w:t>
      </w:r>
      <w:r w:rsidR="00907D8C">
        <w:t xml:space="preserve"> </w:t>
      </w:r>
      <w:r w:rsidRPr="00036FAC">
        <w:t>Relations</w:t>
      </w:r>
      <w:r w:rsidR="00907D8C">
        <w:t xml:space="preserve"> </w:t>
      </w:r>
      <w:r w:rsidRPr="00036FAC">
        <w:t>Act</w:t>
      </w:r>
      <w:r w:rsidR="00907D8C">
        <w:t xml:space="preserve"> </w:t>
      </w:r>
      <w:r w:rsidRPr="00036FAC">
        <w:t>2000</w:t>
      </w:r>
      <w:r w:rsidR="00907D8C">
        <w:t xml:space="preserve"> </w:t>
      </w:r>
      <w:r w:rsidRPr="00036FAC">
        <w:t>and</w:t>
      </w:r>
      <w:r w:rsidR="00907D8C">
        <w:t xml:space="preserve"> </w:t>
      </w:r>
      <w:r w:rsidRPr="00036FAC">
        <w:t>Equal</w:t>
      </w:r>
      <w:r w:rsidR="00907D8C">
        <w:t xml:space="preserve"> </w:t>
      </w:r>
      <w:r w:rsidRPr="00036FAC">
        <w:t>Pay</w:t>
      </w:r>
      <w:r w:rsidR="00907D8C">
        <w:t xml:space="preserve"> </w:t>
      </w:r>
      <w:r w:rsidRPr="00036FAC">
        <w:t>Act</w:t>
      </w:r>
      <w:r w:rsidR="00907D8C">
        <w:t xml:space="preserve"> </w:t>
      </w:r>
      <w:r w:rsidRPr="00036FAC">
        <w:t>1972</w:t>
      </w:r>
      <w:r w:rsidR="00907D8C">
        <w:t xml:space="preserve"> </w:t>
      </w:r>
      <w:r w:rsidRPr="00036FAC">
        <w:t>provide</w:t>
      </w:r>
      <w:r w:rsidR="00907D8C">
        <w:t xml:space="preserve"> </w:t>
      </w:r>
      <w:r w:rsidRPr="00036FAC">
        <w:t>protections</w:t>
      </w:r>
      <w:r w:rsidR="00907D8C">
        <w:t xml:space="preserve"> </w:t>
      </w:r>
      <w:r w:rsidRPr="00036FAC">
        <w:t>against</w:t>
      </w:r>
      <w:r w:rsidR="00907D8C">
        <w:t xml:space="preserve"> </w:t>
      </w:r>
      <w:r w:rsidRPr="00036FAC">
        <w:t>discrimination</w:t>
      </w:r>
      <w:r w:rsidR="00907D8C">
        <w:t xml:space="preserve"> </w:t>
      </w:r>
      <w:r w:rsidRPr="00036FAC">
        <w:t>in</w:t>
      </w:r>
      <w:r w:rsidR="00907D8C">
        <w:t xml:space="preserve"> </w:t>
      </w:r>
      <w:r w:rsidRPr="00036FAC">
        <w:t>employment</w:t>
      </w:r>
      <w:r w:rsidR="00907D8C">
        <w:t xml:space="preserve"> </w:t>
      </w:r>
      <w:r w:rsidRPr="00036FAC">
        <w:t>on</w:t>
      </w:r>
      <w:r w:rsidR="00907D8C">
        <w:t xml:space="preserve"> </w:t>
      </w:r>
      <w:r w:rsidRPr="00036FAC">
        <w:t>the</w:t>
      </w:r>
      <w:r w:rsidR="00907D8C">
        <w:t xml:space="preserve"> </w:t>
      </w:r>
      <w:r w:rsidRPr="00036FAC">
        <w:t>basis</w:t>
      </w:r>
      <w:r w:rsidR="00907D8C">
        <w:t xml:space="preserve"> </w:t>
      </w:r>
      <w:r w:rsidRPr="00036FAC">
        <w:t>of</w:t>
      </w:r>
      <w:r w:rsidR="00907D8C">
        <w:t xml:space="preserve"> </w:t>
      </w:r>
      <w:r w:rsidRPr="00036FAC">
        <w:t>gender.</w:t>
      </w:r>
      <w:r w:rsidR="00907D8C">
        <w:t xml:space="preserve"> </w:t>
      </w:r>
      <w:r w:rsidRPr="00036FAC">
        <w:t>Employees</w:t>
      </w:r>
      <w:r w:rsidR="00907D8C">
        <w:t xml:space="preserve"> </w:t>
      </w:r>
      <w:r w:rsidRPr="00036FAC">
        <w:t>who</w:t>
      </w:r>
      <w:r w:rsidR="00907D8C">
        <w:t xml:space="preserve"> </w:t>
      </w:r>
      <w:r w:rsidRPr="00036FAC">
        <w:t>believe</w:t>
      </w:r>
      <w:r w:rsidR="00907D8C">
        <w:t xml:space="preserve"> </w:t>
      </w:r>
      <w:r w:rsidRPr="00036FAC">
        <w:t>that</w:t>
      </w:r>
      <w:r w:rsidR="00907D8C">
        <w:t xml:space="preserve"> </w:t>
      </w:r>
      <w:r w:rsidRPr="00036FAC">
        <w:t>they</w:t>
      </w:r>
      <w:r w:rsidR="00907D8C">
        <w:t xml:space="preserve"> </w:t>
      </w:r>
      <w:r w:rsidRPr="00036FAC">
        <w:t>have</w:t>
      </w:r>
      <w:r w:rsidR="00907D8C">
        <w:t xml:space="preserve"> </w:t>
      </w:r>
      <w:r w:rsidRPr="00036FAC">
        <w:t>been</w:t>
      </w:r>
      <w:r w:rsidR="00907D8C">
        <w:t xml:space="preserve"> </w:t>
      </w:r>
      <w:r w:rsidRPr="00036FAC">
        <w:t>discriminated</w:t>
      </w:r>
      <w:r w:rsidR="00907D8C">
        <w:t xml:space="preserve"> </w:t>
      </w:r>
      <w:r w:rsidRPr="00036FAC">
        <w:t>against</w:t>
      </w:r>
      <w:r w:rsidR="00907D8C">
        <w:t xml:space="preserve"> </w:t>
      </w:r>
      <w:r w:rsidRPr="00036FAC">
        <w:t>by</w:t>
      </w:r>
      <w:r w:rsidR="00907D8C">
        <w:t xml:space="preserve"> </w:t>
      </w:r>
      <w:r w:rsidRPr="00036FAC">
        <w:t>reason</w:t>
      </w:r>
      <w:r w:rsidR="00907D8C">
        <w:t xml:space="preserve"> </w:t>
      </w:r>
      <w:r w:rsidRPr="00036FAC">
        <w:t>of</w:t>
      </w:r>
      <w:r w:rsidR="00907D8C">
        <w:t xml:space="preserve"> </w:t>
      </w:r>
      <w:r w:rsidRPr="00036FAC">
        <w:t>their</w:t>
      </w:r>
      <w:r w:rsidR="00907D8C">
        <w:t xml:space="preserve"> </w:t>
      </w:r>
      <w:r w:rsidRPr="00036FAC">
        <w:t>gender</w:t>
      </w:r>
      <w:r w:rsidR="00907D8C">
        <w:t xml:space="preserve"> </w:t>
      </w:r>
      <w:r w:rsidRPr="00036FAC">
        <w:t>can</w:t>
      </w:r>
      <w:r w:rsidR="00907D8C">
        <w:t xml:space="preserve"> </w:t>
      </w:r>
      <w:r w:rsidRPr="00036FAC">
        <w:t>take</w:t>
      </w:r>
      <w:r w:rsidR="00907D8C">
        <w:t xml:space="preserve"> </w:t>
      </w:r>
      <w:r w:rsidRPr="00036FAC">
        <w:t>a</w:t>
      </w:r>
      <w:r w:rsidR="00907D8C">
        <w:t xml:space="preserve"> </w:t>
      </w:r>
      <w:r w:rsidRPr="00036FAC">
        <w:t>personal</w:t>
      </w:r>
      <w:r w:rsidR="00907D8C">
        <w:t xml:space="preserve"> </w:t>
      </w:r>
      <w:r w:rsidRPr="00036FAC">
        <w:t>grievance</w:t>
      </w:r>
      <w:r w:rsidR="00907D8C">
        <w:t xml:space="preserve"> </w:t>
      </w:r>
      <w:r w:rsidRPr="00036FAC">
        <w:t>against</w:t>
      </w:r>
      <w:r w:rsidR="00907D8C">
        <w:t xml:space="preserve"> </w:t>
      </w:r>
      <w:r w:rsidRPr="00036FAC">
        <w:t>their</w:t>
      </w:r>
      <w:r w:rsidR="00907D8C">
        <w:t xml:space="preserve"> </w:t>
      </w:r>
      <w:r w:rsidRPr="00036FAC">
        <w:t>employer</w:t>
      </w:r>
      <w:r w:rsidR="00907D8C">
        <w:t xml:space="preserve"> </w:t>
      </w:r>
      <w:r w:rsidRPr="00036FAC">
        <w:t>under</w:t>
      </w:r>
      <w:r w:rsidR="00907D8C">
        <w:t xml:space="preserve"> </w:t>
      </w:r>
      <w:r w:rsidRPr="00036FAC">
        <w:t>the</w:t>
      </w:r>
      <w:r w:rsidR="00907D8C">
        <w:t xml:space="preserve"> </w:t>
      </w:r>
      <w:r w:rsidRPr="00036FAC">
        <w:t>Employment</w:t>
      </w:r>
      <w:r w:rsidR="00907D8C">
        <w:t xml:space="preserve"> </w:t>
      </w:r>
      <w:r w:rsidRPr="00036FAC">
        <w:t>Relations</w:t>
      </w:r>
      <w:r w:rsidR="00907D8C">
        <w:t xml:space="preserve"> </w:t>
      </w:r>
      <w:r w:rsidRPr="00036FAC">
        <w:t>Act;</w:t>
      </w:r>
      <w:r w:rsidR="00907D8C">
        <w:t xml:space="preserve"> </w:t>
      </w:r>
      <w:r w:rsidRPr="00036FAC">
        <w:t>they</w:t>
      </w:r>
      <w:r w:rsidR="00907D8C">
        <w:t xml:space="preserve"> </w:t>
      </w:r>
      <w:r w:rsidRPr="00036FAC">
        <w:t>can</w:t>
      </w:r>
      <w:r w:rsidR="00907D8C">
        <w:t xml:space="preserve"> </w:t>
      </w:r>
      <w:r w:rsidRPr="00036FAC">
        <w:t>make</w:t>
      </w:r>
      <w:r w:rsidR="00907D8C">
        <w:t xml:space="preserve"> </w:t>
      </w:r>
      <w:r w:rsidRPr="00036FAC">
        <w:t>a</w:t>
      </w:r>
      <w:r w:rsidR="00907D8C">
        <w:t xml:space="preserve"> </w:t>
      </w:r>
      <w:r w:rsidRPr="00036FAC">
        <w:t>complaint</w:t>
      </w:r>
      <w:r w:rsidR="00907D8C">
        <w:t xml:space="preserve"> </w:t>
      </w:r>
      <w:r w:rsidRPr="00036FAC">
        <w:t>to</w:t>
      </w:r>
      <w:r w:rsidR="00907D8C">
        <w:t xml:space="preserve"> </w:t>
      </w:r>
      <w:r w:rsidRPr="00036FAC">
        <w:t>the</w:t>
      </w:r>
      <w:r w:rsidR="00907D8C">
        <w:t xml:space="preserve"> </w:t>
      </w:r>
      <w:r w:rsidRPr="00036FAC">
        <w:t>Labour</w:t>
      </w:r>
      <w:r w:rsidR="00907D8C">
        <w:t xml:space="preserve"> </w:t>
      </w:r>
      <w:r w:rsidRPr="00036FAC">
        <w:t>Inspectorate</w:t>
      </w:r>
      <w:r w:rsidR="00907D8C">
        <w:t xml:space="preserve"> </w:t>
      </w:r>
      <w:r w:rsidRPr="00036FAC">
        <w:t>of</w:t>
      </w:r>
      <w:r w:rsidR="00907D8C">
        <w:t xml:space="preserve"> </w:t>
      </w:r>
      <w:r w:rsidRPr="00036FAC">
        <w:t>the</w:t>
      </w:r>
      <w:r w:rsidR="00907D8C">
        <w:t xml:space="preserve"> </w:t>
      </w:r>
      <w:r w:rsidRPr="00036FAC">
        <w:t>Department</w:t>
      </w:r>
      <w:r w:rsidR="00907D8C">
        <w:t xml:space="preserve"> </w:t>
      </w:r>
      <w:r w:rsidRPr="00036FAC">
        <w:t>of</w:t>
      </w:r>
      <w:r w:rsidR="00907D8C">
        <w:t xml:space="preserve"> </w:t>
      </w:r>
      <w:r w:rsidRPr="00036FAC">
        <w:t>Labour</w:t>
      </w:r>
      <w:r w:rsidR="00907D8C">
        <w:t xml:space="preserve"> </w:t>
      </w:r>
      <w:r w:rsidRPr="00036FAC">
        <w:t>under</w:t>
      </w:r>
      <w:r w:rsidR="00907D8C">
        <w:t xml:space="preserve"> </w:t>
      </w:r>
      <w:r w:rsidRPr="00036FAC">
        <w:t>the</w:t>
      </w:r>
      <w:r w:rsidR="00907D8C">
        <w:t xml:space="preserve"> </w:t>
      </w:r>
      <w:r w:rsidRPr="00036FAC">
        <w:t>Equal</w:t>
      </w:r>
      <w:r w:rsidR="00907D8C">
        <w:t xml:space="preserve"> </w:t>
      </w:r>
      <w:r w:rsidRPr="00036FAC">
        <w:t>Pay</w:t>
      </w:r>
      <w:r w:rsidR="00907D8C">
        <w:t xml:space="preserve"> </w:t>
      </w:r>
      <w:r w:rsidRPr="00036FAC">
        <w:t>Act;</w:t>
      </w:r>
      <w:r w:rsidR="00907D8C">
        <w:t xml:space="preserve"> </w:t>
      </w:r>
      <w:r w:rsidRPr="00036FAC">
        <w:t>or</w:t>
      </w:r>
      <w:r w:rsidR="00907D8C">
        <w:t xml:space="preserve"> </w:t>
      </w:r>
      <w:r w:rsidRPr="00036FAC">
        <w:t>they</w:t>
      </w:r>
      <w:r w:rsidR="00907D8C">
        <w:t xml:space="preserve"> </w:t>
      </w:r>
      <w:r w:rsidRPr="00036FAC">
        <w:t>can</w:t>
      </w:r>
      <w:r w:rsidR="00907D8C">
        <w:t xml:space="preserve"> </w:t>
      </w:r>
      <w:r w:rsidRPr="00036FAC">
        <w:t>make</w:t>
      </w:r>
      <w:r w:rsidR="00907D8C">
        <w:t xml:space="preserve"> </w:t>
      </w:r>
      <w:r w:rsidRPr="00036FAC">
        <w:t>a</w:t>
      </w:r>
      <w:r w:rsidR="00907D8C">
        <w:t xml:space="preserve"> </w:t>
      </w:r>
      <w:r w:rsidRPr="00036FAC">
        <w:t>complaint</w:t>
      </w:r>
      <w:r w:rsidR="00907D8C">
        <w:t xml:space="preserve"> </w:t>
      </w:r>
      <w:r w:rsidRPr="00036FAC">
        <w:t>to</w:t>
      </w:r>
      <w:r w:rsidR="00907D8C">
        <w:t xml:space="preserve"> </w:t>
      </w:r>
      <w:r w:rsidRPr="00036FAC">
        <w:t>the</w:t>
      </w:r>
      <w:r w:rsidR="00907D8C">
        <w:t xml:space="preserve"> </w:t>
      </w:r>
      <w:r w:rsidRPr="00036FAC">
        <w:t>NZHRC</w:t>
      </w:r>
      <w:r w:rsidR="00907D8C">
        <w:t xml:space="preserve"> </w:t>
      </w:r>
      <w:r w:rsidRPr="00036FAC">
        <w:t>under</w:t>
      </w:r>
      <w:r w:rsidR="00907D8C">
        <w:t xml:space="preserve"> </w:t>
      </w:r>
      <w:r w:rsidRPr="00036FAC">
        <w:t>the</w:t>
      </w:r>
      <w:r w:rsidR="00907D8C">
        <w:t xml:space="preserve"> </w:t>
      </w:r>
      <w:r w:rsidRPr="00036FAC">
        <w:t>Human</w:t>
      </w:r>
      <w:r w:rsidR="00907D8C">
        <w:t xml:space="preserve"> </w:t>
      </w:r>
      <w:r w:rsidRPr="00036FAC">
        <w:t>Rights</w:t>
      </w:r>
      <w:r w:rsidR="00907D8C">
        <w:t xml:space="preserve"> </w:t>
      </w:r>
      <w:r w:rsidRPr="00036FAC">
        <w:t>Act.</w:t>
      </w:r>
      <w:r w:rsidR="00907D8C">
        <w:t xml:space="preserve"> </w:t>
      </w:r>
      <w:r w:rsidRPr="00036FAC">
        <w:t>A</w:t>
      </w:r>
      <w:r w:rsidR="00907D8C">
        <w:t xml:space="preserve"> </w:t>
      </w:r>
      <w:r w:rsidRPr="00036FAC">
        <w:t>variety</w:t>
      </w:r>
      <w:r w:rsidR="00907D8C">
        <w:t xml:space="preserve"> </w:t>
      </w:r>
      <w:r w:rsidRPr="00036FAC">
        <w:t>of</w:t>
      </w:r>
      <w:r w:rsidR="00907D8C">
        <w:t xml:space="preserve"> </w:t>
      </w:r>
      <w:r w:rsidRPr="00036FAC">
        <w:t>material</w:t>
      </w:r>
      <w:r w:rsidR="00907D8C">
        <w:t xml:space="preserve"> </w:t>
      </w:r>
      <w:r w:rsidRPr="00036FAC">
        <w:t>is</w:t>
      </w:r>
      <w:r w:rsidR="00907D8C">
        <w:t xml:space="preserve"> </w:t>
      </w:r>
      <w:r w:rsidRPr="00036FAC">
        <w:t>available</w:t>
      </w:r>
      <w:r w:rsidR="00907D8C">
        <w:t xml:space="preserve"> </w:t>
      </w:r>
      <w:r w:rsidRPr="00036FAC">
        <w:t>that</w:t>
      </w:r>
      <w:r w:rsidR="00907D8C">
        <w:t xml:space="preserve"> </w:t>
      </w:r>
      <w:r w:rsidRPr="00036FAC">
        <w:t>explains</w:t>
      </w:r>
      <w:r w:rsidR="00907D8C">
        <w:t xml:space="preserve"> </w:t>
      </w:r>
      <w:r w:rsidRPr="00036FAC">
        <w:t>the</w:t>
      </w:r>
      <w:r w:rsidR="00907D8C">
        <w:t xml:space="preserve"> </w:t>
      </w:r>
      <w:r w:rsidRPr="00036FAC">
        <w:t>procedures</w:t>
      </w:r>
      <w:r w:rsidR="00907D8C">
        <w:t xml:space="preserve"> </w:t>
      </w:r>
      <w:r w:rsidRPr="00036FAC">
        <w:t>and</w:t>
      </w:r>
      <w:r w:rsidR="00907D8C">
        <w:t xml:space="preserve"> </w:t>
      </w:r>
      <w:r w:rsidRPr="00036FAC">
        <w:t>remedies</w:t>
      </w:r>
      <w:r w:rsidR="00907D8C">
        <w:t xml:space="preserve"> </w:t>
      </w:r>
      <w:r w:rsidRPr="00036FAC">
        <w:t>provided</w:t>
      </w:r>
      <w:r w:rsidR="00907D8C">
        <w:t xml:space="preserve"> </w:t>
      </w:r>
      <w:r w:rsidRPr="00036FAC">
        <w:t>under</w:t>
      </w:r>
      <w:r w:rsidR="00907D8C">
        <w:t xml:space="preserve"> </w:t>
      </w:r>
      <w:r w:rsidRPr="00036FAC">
        <w:t>the</w:t>
      </w:r>
      <w:r w:rsidR="00907D8C">
        <w:t xml:space="preserve"> </w:t>
      </w:r>
      <w:r w:rsidRPr="00036FAC">
        <w:t>Acts.</w:t>
      </w:r>
    </w:p>
    <w:p w:rsidR="00036FAC" w:rsidRPr="00036FAC" w:rsidRDefault="00036FAC" w:rsidP="002B6E7E">
      <w:pPr>
        <w:pStyle w:val="SingleTxtG"/>
      </w:pPr>
      <w:r w:rsidRPr="00036FAC">
        <w:t>243.</w:t>
      </w:r>
      <w:r w:rsidRPr="00036FAC">
        <w:tab/>
        <w:t>The</w:t>
      </w:r>
      <w:r w:rsidR="00907D8C">
        <w:t xml:space="preserve"> </w:t>
      </w:r>
      <w:r w:rsidRPr="00036FAC">
        <w:t>NZHRC</w:t>
      </w:r>
      <w:r w:rsidR="00907D8C">
        <w:t xml:space="preserve"> </w:t>
      </w:r>
      <w:r w:rsidRPr="00036FAC">
        <w:t>monitors</w:t>
      </w:r>
      <w:r w:rsidR="00907D8C">
        <w:t xml:space="preserve"> </w:t>
      </w:r>
      <w:r w:rsidRPr="00036FAC">
        <w:t>human</w:t>
      </w:r>
      <w:r w:rsidR="00907D8C">
        <w:t xml:space="preserve"> </w:t>
      </w:r>
      <w:r w:rsidRPr="00036FAC">
        <w:t>rights</w:t>
      </w:r>
      <w:r w:rsidR="00907D8C">
        <w:t xml:space="preserve"> </w:t>
      </w:r>
      <w:r w:rsidRPr="00036FAC">
        <w:t>performance</w:t>
      </w:r>
      <w:r w:rsidR="00907D8C">
        <w:t xml:space="preserve"> </w:t>
      </w:r>
      <w:r w:rsidRPr="00036FAC">
        <w:t>including</w:t>
      </w:r>
      <w:r w:rsidR="00907D8C">
        <w:t xml:space="preserve"> </w:t>
      </w:r>
      <w:r w:rsidRPr="00036FAC">
        <w:t>through</w:t>
      </w:r>
      <w:r w:rsidR="00907D8C">
        <w:t xml:space="preserve"> </w:t>
      </w:r>
      <w:r w:rsidRPr="00036FAC">
        <w:t>its</w:t>
      </w:r>
      <w:r w:rsidR="00907D8C">
        <w:t xml:space="preserve"> </w:t>
      </w:r>
      <w:r w:rsidRPr="00036FAC">
        <w:t>five-yearly</w:t>
      </w:r>
      <w:r w:rsidR="00907D8C">
        <w:t xml:space="preserve"> </w:t>
      </w:r>
      <w:r w:rsidRPr="00036FAC">
        <w:t>review</w:t>
      </w:r>
      <w:r w:rsidR="00907D8C">
        <w:t xml:space="preserve"> </w:t>
      </w:r>
      <w:r w:rsidR="003E4D94">
        <w:t>“</w:t>
      </w:r>
      <w:r w:rsidRPr="00036FAC">
        <w:t>Human</w:t>
      </w:r>
      <w:r w:rsidR="00907D8C">
        <w:t xml:space="preserve"> </w:t>
      </w:r>
      <w:r w:rsidRPr="00036FAC">
        <w:t>Rights</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Today</w:t>
      </w:r>
      <w:r w:rsidR="003E4D94">
        <w:t>”</w:t>
      </w:r>
      <w:r w:rsidRPr="00036FAC">
        <w:t>.</w:t>
      </w:r>
      <w:r w:rsidR="00907D8C">
        <w:t xml:space="preserve"> </w:t>
      </w:r>
      <w:r w:rsidRPr="00036FAC">
        <w:t>The</w:t>
      </w:r>
      <w:r w:rsidR="00907D8C">
        <w:t xml:space="preserve"> </w:t>
      </w:r>
      <w:r w:rsidRPr="00036FAC">
        <w:t>NZHRC</w:t>
      </w:r>
      <w:r w:rsidR="00907D8C">
        <w:t xml:space="preserve"> </w:t>
      </w:r>
      <w:r w:rsidRPr="00036FAC">
        <w:t>also</w:t>
      </w:r>
      <w:r w:rsidR="00907D8C">
        <w:t xml:space="preserve"> </w:t>
      </w:r>
      <w:r w:rsidRPr="00036FAC">
        <w:t>publishes</w:t>
      </w:r>
      <w:r w:rsidR="00907D8C">
        <w:t xml:space="preserve"> </w:t>
      </w:r>
      <w:r w:rsidRPr="00036FAC">
        <w:t>a</w:t>
      </w:r>
      <w:r w:rsidR="00907D8C">
        <w:t xml:space="preserve"> </w:t>
      </w:r>
      <w:r w:rsidRPr="00036FAC">
        <w:t>biennial</w:t>
      </w:r>
      <w:r w:rsidR="00907D8C">
        <w:t xml:space="preserve"> </w:t>
      </w:r>
      <w:r w:rsidRPr="00036FAC">
        <w:t>Census</w:t>
      </w:r>
      <w:r w:rsidR="00907D8C">
        <w:t xml:space="preserve"> </w:t>
      </w:r>
      <w:r w:rsidRPr="00036FAC">
        <w:t>of</w:t>
      </w:r>
      <w:r w:rsidR="00907D8C">
        <w:t xml:space="preserve"> </w:t>
      </w:r>
      <w:r w:rsidRPr="00036FAC">
        <w:t>Women</w:t>
      </w:r>
      <w:r w:rsidR="00907D8C">
        <w:t xml:space="preserve"> </w:t>
      </w:r>
      <w:r w:rsidRPr="00036FAC">
        <w:t>in</w:t>
      </w:r>
      <w:r w:rsidR="00907D8C">
        <w:t xml:space="preserve"> </w:t>
      </w:r>
      <w:r w:rsidRPr="00036FAC">
        <w:t>Leadership,</w:t>
      </w:r>
      <w:r w:rsidR="00907D8C">
        <w:t xml:space="preserve"> </w:t>
      </w:r>
      <w:r w:rsidRPr="00036FAC">
        <w:t>undertakes</w:t>
      </w:r>
      <w:r w:rsidR="00907D8C">
        <w:t xml:space="preserve"> </w:t>
      </w:r>
      <w:r w:rsidRPr="00036FAC">
        <w:t>an</w:t>
      </w:r>
      <w:r w:rsidR="00907D8C">
        <w:t xml:space="preserve"> </w:t>
      </w:r>
      <w:r w:rsidRPr="00036FAC">
        <w:t>annual</w:t>
      </w:r>
      <w:r w:rsidR="00907D8C">
        <w:t xml:space="preserve"> </w:t>
      </w:r>
      <w:r w:rsidRPr="00036FAC">
        <w:t>survey</w:t>
      </w:r>
      <w:r w:rsidR="00907D8C">
        <w:t xml:space="preserve"> </w:t>
      </w:r>
      <w:r w:rsidRPr="00036FAC">
        <w:t>on</w:t>
      </w:r>
      <w:r w:rsidR="00907D8C">
        <w:t xml:space="preserve"> </w:t>
      </w:r>
      <w:r w:rsidRPr="00036FAC">
        <w:t>public</w:t>
      </w:r>
      <w:r w:rsidR="00907D8C">
        <w:t xml:space="preserve"> </w:t>
      </w:r>
      <w:r w:rsidRPr="00036FAC">
        <w:t>perceptions</w:t>
      </w:r>
      <w:r w:rsidR="00907D8C">
        <w:t xml:space="preserve"> </w:t>
      </w:r>
      <w:r w:rsidRPr="00036FAC">
        <w:t>of</w:t>
      </w:r>
      <w:r w:rsidR="00907D8C">
        <w:t xml:space="preserve"> </w:t>
      </w:r>
      <w:r w:rsidRPr="00036FAC">
        <w:t>discrimination,</w:t>
      </w:r>
      <w:r w:rsidR="00907D8C">
        <w:t xml:space="preserve"> </w:t>
      </w:r>
      <w:r w:rsidRPr="00036FAC">
        <w:t>and</w:t>
      </w:r>
      <w:r w:rsidR="00907D8C">
        <w:t xml:space="preserve"> </w:t>
      </w:r>
      <w:r w:rsidRPr="00036FAC">
        <w:t>publishes</w:t>
      </w:r>
      <w:r w:rsidR="00907D8C">
        <w:t xml:space="preserve"> </w:t>
      </w:r>
      <w:r w:rsidRPr="00036FAC">
        <w:t>an</w:t>
      </w:r>
      <w:r w:rsidR="00907D8C">
        <w:t xml:space="preserve"> </w:t>
      </w:r>
      <w:r w:rsidRPr="00036FAC">
        <w:t>annual</w:t>
      </w:r>
      <w:r w:rsidR="00907D8C">
        <w:t xml:space="preserve"> </w:t>
      </w:r>
      <w:r w:rsidRPr="00036FAC">
        <w:t>report</w:t>
      </w:r>
      <w:r w:rsidR="00907D8C">
        <w:t xml:space="preserve"> </w:t>
      </w:r>
      <w:r w:rsidRPr="00036FAC">
        <w:t>on</w:t>
      </w:r>
      <w:r w:rsidR="00907D8C">
        <w:t xml:space="preserve"> </w:t>
      </w:r>
      <w:r w:rsidRPr="00036FAC">
        <w:t>the</w:t>
      </w:r>
      <w:r w:rsidR="00907D8C">
        <w:t xml:space="preserve"> </w:t>
      </w:r>
      <w:r w:rsidRPr="00036FAC">
        <w:t>compliance</w:t>
      </w:r>
      <w:r w:rsidR="00907D8C">
        <w:t xml:space="preserve"> </w:t>
      </w:r>
      <w:r w:rsidRPr="00036FAC">
        <w:t>of</w:t>
      </w:r>
      <w:r w:rsidR="00907D8C">
        <w:t xml:space="preserve"> </w:t>
      </w:r>
      <w:r w:rsidRPr="00036FAC">
        <w:t>Crown</w:t>
      </w:r>
      <w:r w:rsidR="00907D8C">
        <w:t xml:space="preserve"> </w:t>
      </w:r>
      <w:r w:rsidRPr="00036FAC">
        <w:t>entities</w:t>
      </w:r>
      <w:r w:rsidR="00907D8C">
        <w:t xml:space="preserve"> </w:t>
      </w:r>
      <w:r w:rsidRPr="00036FAC">
        <w:t>with</w:t>
      </w:r>
      <w:r w:rsidR="00907D8C">
        <w:t xml:space="preserve"> </w:t>
      </w:r>
      <w:r w:rsidRPr="00036FAC">
        <w:t>the</w:t>
      </w:r>
      <w:r w:rsidR="00907D8C">
        <w:t xml:space="preserve"> </w:t>
      </w:r>
      <w:r w:rsidR="003E4D94">
        <w:t>“</w:t>
      </w:r>
      <w:r w:rsidRPr="00036FAC">
        <w:t>Good</w:t>
      </w:r>
      <w:r w:rsidR="00907D8C">
        <w:t xml:space="preserve"> </w:t>
      </w:r>
      <w:r w:rsidRPr="00036FAC">
        <w:t>Employer</w:t>
      </w:r>
      <w:r w:rsidR="003E4D94">
        <w:t>”</w:t>
      </w:r>
      <w:r w:rsidR="00907D8C">
        <w:t xml:space="preserve"> </w:t>
      </w:r>
      <w:r w:rsidRPr="00036FAC">
        <w:t>and</w:t>
      </w:r>
      <w:r w:rsidR="00907D8C">
        <w:t xml:space="preserve"> </w:t>
      </w:r>
      <w:r w:rsidR="003E4D94">
        <w:t>“</w:t>
      </w:r>
      <w:r w:rsidRPr="00036FAC">
        <w:t>Equal</w:t>
      </w:r>
      <w:r w:rsidR="00907D8C">
        <w:t xml:space="preserve"> </w:t>
      </w:r>
      <w:r w:rsidRPr="00036FAC">
        <w:t>Employment</w:t>
      </w:r>
      <w:r w:rsidR="00907D8C">
        <w:t xml:space="preserve"> </w:t>
      </w:r>
      <w:r w:rsidRPr="00036FAC">
        <w:t>Opportunities</w:t>
      </w:r>
      <w:r w:rsidR="003E4D94">
        <w:t>”</w:t>
      </w:r>
      <w:r w:rsidR="00907D8C">
        <w:t xml:space="preserve"> </w:t>
      </w:r>
      <w:r w:rsidRPr="00036FAC">
        <w:t>provisions</w:t>
      </w:r>
      <w:r w:rsidR="00907D8C">
        <w:t xml:space="preserve"> </w:t>
      </w:r>
      <w:r w:rsidRPr="00036FAC">
        <w:t>of</w:t>
      </w:r>
      <w:r w:rsidR="00907D8C">
        <w:t xml:space="preserve"> </w:t>
      </w:r>
      <w:r w:rsidRPr="00036FAC">
        <w:t>the</w:t>
      </w:r>
      <w:r w:rsidR="00907D8C">
        <w:t xml:space="preserve"> </w:t>
      </w:r>
      <w:r w:rsidRPr="00036FAC">
        <w:t>State</w:t>
      </w:r>
      <w:r w:rsidR="00907D8C">
        <w:t xml:space="preserve"> </w:t>
      </w:r>
      <w:r w:rsidRPr="00036FAC">
        <w:t>Sector</w:t>
      </w:r>
      <w:r w:rsidR="00907D8C">
        <w:t xml:space="preserve"> </w:t>
      </w:r>
      <w:r w:rsidRPr="00036FAC">
        <w:t>Act.</w:t>
      </w:r>
    </w:p>
    <w:p w:rsidR="00036FAC" w:rsidRPr="00036FAC" w:rsidRDefault="00036FAC" w:rsidP="002B6E7E">
      <w:pPr>
        <w:pStyle w:val="SingleTxtG"/>
      </w:pPr>
      <w:r w:rsidRPr="00036FAC">
        <w:t>244.</w:t>
      </w:r>
      <w:r w:rsidRPr="00036FAC">
        <w:tab/>
        <w:t>Under</w:t>
      </w:r>
      <w:r w:rsidR="00907D8C">
        <w:t xml:space="preserve"> </w:t>
      </w:r>
      <w:r w:rsidRPr="00036FAC">
        <w:t>the</w:t>
      </w:r>
      <w:r w:rsidR="00907D8C">
        <w:t xml:space="preserve"> </w:t>
      </w:r>
      <w:r w:rsidR="003E4D94">
        <w:t>“</w:t>
      </w:r>
      <w:r w:rsidRPr="00036FAC">
        <w:t>Good</w:t>
      </w:r>
      <w:r w:rsidR="00907D8C">
        <w:t xml:space="preserve"> </w:t>
      </w:r>
      <w:r w:rsidRPr="00036FAC">
        <w:t>Employer</w:t>
      </w:r>
      <w:r w:rsidR="003E4D94">
        <w:t>”</w:t>
      </w:r>
      <w:r w:rsidR="00907D8C">
        <w:t xml:space="preserve"> </w:t>
      </w:r>
      <w:r w:rsidRPr="00036FAC">
        <w:t>requirement,</w:t>
      </w:r>
      <w:r w:rsidR="00907D8C">
        <w:t xml:space="preserve"> </w:t>
      </w:r>
      <w:r w:rsidRPr="00036FAC">
        <w:t>chief</w:t>
      </w:r>
      <w:r w:rsidR="00907D8C">
        <w:t xml:space="preserve"> </w:t>
      </w:r>
      <w:r w:rsidRPr="00036FAC">
        <w:t>executive</w:t>
      </w:r>
      <w:r w:rsidR="00907D8C">
        <w:t xml:space="preserve"> </w:t>
      </w:r>
      <w:r w:rsidRPr="00036FAC">
        <w:t>officers</w:t>
      </w:r>
      <w:r w:rsidR="00907D8C">
        <w:t xml:space="preserve"> </w:t>
      </w:r>
      <w:r w:rsidRPr="00036FAC">
        <w:t>of</w:t>
      </w:r>
      <w:r w:rsidR="00907D8C">
        <w:t xml:space="preserve"> </w:t>
      </w:r>
      <w:r w:rsidRPr="00036FAC">
        <w:t>New</w:t>
      </w:r>
      <w:r w:rsidR="00907D8C">
        <w:t xml:space="preserve"> </w:t>
      </w:r>
      <w:r w:rsidRPr="00036FAC">
        <w:t>Zealand</w:t>
      </w:r>
      <w:r w:rsidR="00907D8C">
        <w:t xml:space="preserve"> </w:t>
      </w:r>
      <w:r w:rsidRPr="00036FAC">
        <w:t>Government</w:t>
      </w:r>
      <w:r w:rsidR="00907D8C">
        <w:t xml:space="preserve"> </w:t>
      </w:r>
      <w:r w:rsidRPr="00036FAC">
        <w:t>agencies</w:t>
      </w:r>
      <w:r w:rsidR="00907D8C">
        <w:t xml:space="preserve"> </w:t>
      </w:r>
      <w:r w:rsidRPr="00036FAC">
        <w:t>must</w:t>
      </w:r>
      <w:r w:rsidR="00907D8C">
        <w:t xml:space="preserve"> </w:t>
      </w:r>
      <w:r w:rsidRPr="00036FAC">
        <w:t>operate</w:t>
      </w:r>
      <w:r w:rsidR="00907D8C">
        <w:t xml:space="preserve"> </w:t>
      </w:r>
      <w:r w:rsidRPr="00036FAC">
        <w:t>a</w:t>
      </w:r>
      <w:r w:rsidR="00907D8C">
        <w:t xml:space="preserve"> </w:t>
      </w:r>
      <w:r w:rsidRPr="00036FAC">
        <w:t>personnel</w:t>
      </w:r>
      <w:r w:rsidR="00907D8C">
        <w:t xml:space="preserve"> </w:t>
      </w:r>
      <w:r w:rsidRPr="00036FAC">
        <w:t>policy</w:t>
      </w:r>
      <w:r w:rsidR="00907D8C">
        <w:t xml:space="preserve"> </w:t>
      </w:r>
      <w:r w:rsidRPr="00036FAC">
        <w:t>containing</w:t>
      </w:r>
      <w:r w:rsidR="00907D8C">
        <w:t xml:space="preserve"> </w:t>
      </w:r>
      <w:r w:rsidRPr="00036FAC">
        <w:t>provisions</w:t>
      </w:r>
      <w:r w:rsidR="00907D8C">
        <w:t xml:space="preserve"> </w:t>
      </w:r>
      <w:r w:rsidRPr="00036FAC">
        <w:t>including:</w:t>
      </w:r>
      <w:r w:rsidR="00907D8C">
        <w:t xml:space="preserve"> </w:t>
      </w:r>
      <w:r w:rsidRPr="00036FAC">
        <w:t>an</w:t>
      </w:r>
      <w:r w:rsidR="00907D8C">
        <w:t xml:space="preserve"> </w:t>
      </w:r>
      <w:r w:rsidRPr="00036FAC">
        <w:t>equal</w:t>
      </w:r>
      <w:r w:rsidR="00907D8C">
        <w:t xml:space="preserve"> </w:t>
      </w:r>
      <w:r w:rsidRPr="00036FAC">
        <w:t>employment</w:t>
      </w:r>
      <w:r w:rsidR="00907D8C">
        <w:t xml:space="preserve"> </w:t>
      </w:r>
      <w:r w:rsidRPr="00036FAC">
        <w:t>opportunities</w:t>
      </w:r>
      <w:r w:rsidR="00907D8C">
        <w:t xml:space="preserve"> </w:t>
      </w:r>
      <w:r w:rsidRPr="00036FAC">
        <w:t>programme;</w:t>
      </w:r>
      <w:r w:rsidR="00907D8C">
        <w:t xml:space="preserve"> </w:t>
      </w:r>
      <w:r w:rsidRPr="00036FAC">
        <w:t>recognition</w:t>
      </w:r>
      <w:r w:rsidR="00907D8C">
        <w:t xml:space="preserve"> </w:t>
      </w:r>
      <w:r w:rsidRPr="00036FAC">
        <w:t>of</w:t>
      </w:r>
      <w:r w:rsidR="00907D8C">
        <w:t xml:space="preserve"> </w:t>
      </w:r>
      <w:r w:rsidRPr="00036FAC">
        <w:t>the</w:t>
      </w:r>
      <w:r w:rsidR="00907D8C">
        <w:t xml:space="preserve"> </w:t>
      </w:r>
      <w:r w:rsidRPr="00036FAC">
        <w:t>need</w:t>
      </w:r>
      <w:r w:rsidR="00907D8C">
        <w:t xml:space="preserve"> </w:t>
      </w:r>
      <w:r w:rsidRPr="00036FAC">
        <w:t>for</w:t>
      </w:r>
      <w:r w:rsidR="00907D8C">
        <w:t xml:space="preserve"> </w:t>
      </w:r>
      <w:r w:rsidRPr="00036FAC">
        <w:t>greater</w:t>
      </w:r>
      <w:r w:rsidR="00907D8C">
        <w:t xml:space="preserve"> </w:t>
      </w:r>
      <w:r w:rsidRPr="00036FAC">
        <w:t>involvement</w:t>
      </w:r>
      <w:r w:rsidR="00907D8C">
        <w:t xml:space="preserve"> </w:t>
      </w:r>
      <w:r w:rsidRPr="00036FAC">
        <w:t>of</w:t>
      </w:r>
      <w:r w:rsidR="00907D8C">
        <w:t xml:space="preserve"> </w:t>
      </w:r>
      <w:r w:rsidRPr="00036FAC">
        <w:t>Māori</w:t>
      </w:r>
      <w:r w:rsidR="00907D8C">
        <w:t xml:space="preserve"> </w:t>
      </w:r>
      <w:r w:rsidRPr="00036FAC">
        <w:t>in</w:t>
      </w:r>
      <w:r w:rsidR="00907D8C">
        <w:t xml:space="preserve"> </w:t>
      </w:r>
      <w:r w:rsidRPr="00036FAC">
        <w:t>the</w:t>
      </w:r>
      <w:r w:rsidR="00907D8C">
        <w:t xml:space="preserve"> </w:t>
      </w:r>
      <w:r w:rsidRPr="00036FAC">
        <w:t>public</w:t>
      </w:r>
      <w:r w:rsidR="00907D8C">
        <w:t xml:space="preserve"> </w:t>
      </w:r>
      <w:r w:rsidRPr="00036FAC">
        <w:t>service;</w:t>
      </w:r>
      <w:r w:rsidR="00907D8C">
        <w:t xml:space="preserve"> </w:t>
      </w:r>
      <w:r w:rsidRPr="00036FAC">
        <w:t>recognition</w:t>
      </w:r>
      <w:r w:rsidR="00907D8C">
        <w:t xml:space="preserve"> </w:t>
      </w:r>
      <w:r w:rsidRPr="00036FAC">
        <w:t>of</w:t>
      </w:r>
      <w:r w:rsidR="00907D8C">
        <w:t xml:space="preserve"> </w:t>
      </w:r>
      <w:r w:rsidRPr="00036FAC">
        <w:t>the</w:t>
      </w:r>
      <w:r w:rsidR="00907D8C">
        <w:t xml:space="preserve"> </w:t>
      </w:r>
      <w:r w:rsidRPr="00036FAC">
        <w:t>employment</w:t>
      </w:r>
      <w:r w:rsidR="00907D8C">
        <w:t xml:space="preserve"> </w:t>
      </w:r>
      <w:r w:rsidRPr="00036FAC">
        <w:t>requirements</w:t>
      </w:r>
      <w:r w:rsidR="00907D8C">
        <w:t xml:space="preserve"> </w:t>
      </w:r>
      <w:r w:rsidRPr="00036FAC">
        <w:t>and</w:t>
      </w:r>
      <w:r w:rsidR="00907D8C">
        <w:t xml:space="preserve"> </w:t>
      </w:r>
      <w:r w:rsidRPr="00036FAC">
        <w:t>cultural</w:t>
      </w:r>
      <w:r w:rsidR="00907D8C">
        <w:t xml:space="preserve"> </w:t>
      </w:r>
      <w:r w:rsidRPr="00036FAC">
        <w:t>differences</w:t>
      </w:r>
      <w:r w:rsidR="00907D8C">
        <w:t xml:space="preserve"> </w:t>
      </w:r>
      <w:r w:rsidRPr="00036FAC">
        <w:t>of</w:t>
      </w:r>
      <w:r w:rsidR="00907D8C">
        <w:t xml:space="preserve"> </w:t>
      </w:r>
      <w:r w:rsidRPr="00036FAC">
        <w:t>ethnic</w:t>
      </w:r>
      <w:r w:rsidR="00907D8C">
        <w:t xml:space="preserve"> </w:t>
      </w:r>
      <w:r w:rsidRPr="00036FAC">
        <w:t>or</w:t>
      </w:r>
      <w:r w:rsidR="00907D8C">
        <w:t xml:space="preserve"> </w:t>
      </w:r>
      <w:r w:rsidRPr="00036FAC">
        <w:t>minority</w:t>
      </w:r>
      <w:r w:rsidR="00907D8C">
        <w:t xml:space="preserve"> </w:t>
      </w:r>
      <w:r w:rsidRPr="00036FAC">
        <w:t>groups;</w:t>
      </w:r>
      <w:r w:rsidR="00907D8C">
        <w:t xml:space="preserve"> </w:t>
      </w:r>
      <w:r w:rsidRPr="00036FAC">
        <w:t>recognition</w:t>
      </w:r>
      <w:r w:rsidR="00907D8C">
        <w:t xml:space="preserve"> </w:t>
      </w:r>
      <w:r w:rsidRPr="00036FAC">
        <w:t>of</w:t>
      </w:r>
      <w:r w:rsidR="00907D8C">
        <w:t xml:space="preserve"> </w:t>
      </w:r>
      <w:r w:rsidRPr="00036FAC">
        <w:t>the</w:t>
      </w:r>
      <w:r w:rsidR="00907D8C">
        <w:t xml:space="preserve"> </w:t>
      </w:r>
      <w:r w:rsidRPr="00036FAC">
        <w:t>employment</w:t>
      </w:r>
      <w:r w:rsidR="00907D8C">
        <w:t xml:space="preserve"> </w:t>
      </w:r>
      <w:r w:rsidRPr="00036FAC">
        <w:t>requirements</w:t>
      </w:r>
      <w:r w:rsidR="00907D8C">
        <w:t xml:space="preserve"> </w:t>
      </w:r>
      <w:r w:rsidRPr="00036FAC">
        <w:t>of</w:t>
      </w:r>
      <w:r w:rsidR="00907D8C">
        <w:t xml:space="preserve"> </w:t>
      </w:r>
      <w:r w:rsidRPr="00036FAC">
        <w:t>women;</w:t>
      </w:r>
      <w:r w:rsidR="00907D8C">
        <w:t xml:space="preserve"> </w:t>
      </w:r>
      <w:r w:rsidRPr="00036FAC">
        <w:t>and</w:t>
      </w:r>
      <w:r w:rsidR="00907D8C">
        <w:t xml:space="preserve"> </w:t>
      </w:r>
      <w:r w:rsidRPr="00036FAC">
        <w:t>recognition</w:t>
      </w:r>
      <w:r w:rsidR="00907D8C">
        <w:t xml:space="preserve"> </w:t>
      </w:r>
      <w:r w:rsidRPr="00036FAC">
        <w:t>of</w:t>
      </w:r>
      <w:r w:rsidR="00907D8C">
        <w:t xml:space="preserve"> </w:t>
      </w:r>
      <w:r w:rsidRPr="00036FAC">
        <w:t>the</w:t>
      </w:r>
      <w:r w:rsidR="00907D8C">
        <w:t xml:space="preserve"> </w:t>
      </w:r>
      <w:r w:rsidRPr="00036FAC">
        <w:t>employment</w:t>
      </w:r>
      <w:r w:rsidR="00907D8C">
        <w:t xml:space="preserve"> </w:t>
      </w:r>
      <w:r w:rsidRPr="00036FAC">
        <w:t>requirements</w:t>
      </w:r>
      <w:r w:rsidR="00907D8C">
        <w:t xml:space="preserve"> </w:t>
      </w:r>
      <w:r w:rsidRPr="00036FAC">
        <w:t>of</w:t>
      </w:r>
      <w:r w:rsidR="00907D8C">
        <w:t xml:space="preserve"> </w:t>
      </w:r>
      <w:r w:rsidRPr="00036FAC">
        <w:t>persons</w:t>
      </w:r>
      <w:r w:rsidR="00907D8C">
        <w:t xml:space="preserve"> </w:t>
      </w:r>
      <w:r w:rsidRPr="00036FAC">
        <w:t>with</w:t>
      </w:r>
      <w:r w:rsidR="00907D8C">
        <w:t xml:space="preserve"> </w:t>
      </w:r>
      <w:r w:rsidRPr="00036FAC">
        <w:t>disabilities.</w:t>
      </w:r>
    </w:p>
    <w:p w:rsidR="00036FAC" w:rsidRPr="00036FAC" w:rsidRDefault="00036FAC" w:rsidP="00CB1E9A">
      <w:pPr>
        <w:pStyle w:val="H1G"/>
      </w:pPr>
      <w:r w:rsidRPr="00036FAC">
        <w:tab/>
        <w:t>B.</w:t>
      </w:r>
      <w:r w:rsidRPr="00036FAC">
        <w:tab/>
        <w:t>Social</w:t>
      </w:r>
      <w:r w:rsidR="00907D8C">
        <w:t xml:space="preserve"> </w:t>
      </w:r>
      <w:r w:rsidRPr="00036FAC">
        <w:t>protection</w:t>
      </w:r>
      <w:r w:rsidR="00907D8C">
        <w:t xml:space="preserve"> </w:t>
      </w:r>
      <w:r w:rsidRPr="00036FAC">
        <w:t>and</w:t>
      </w:r>
      <w:r w:rsidR="00907D8C">
        <w:t xml:space="preserve"> </w:t>
      </w:r>
      <w:r w:rsidRPr="00036FAC">
        <w:t>education</w:t>
      </w:r>
    </w:p>
    <w:p w:rsidR="00036FAC" w:rsidRPr="00036FAC" w:rsidRDefault="00036FAC" w:rsidP="00CB1E9A">
      <w:pPr>
        <w:pStyle w:val="SingleTxtG"/>
      </w:pPr>
      <w:r w:rsidRPr="00036FAC">
        <w:t>245.</w:t>
      </w:r>
      <w:r w:rsidRPr="00036FAC">
        <w:tab/>
        <w:t>New</w:t>
      </w:r>
      <w:r w:rsidR="00907D8C">
        <w:t xml:space="preserve"> </w:t>
      </w:r>
      <w:r w:rsidRPr="00036FAC">
        <w:t>Zealand</w:t>
      </w:r>
      <w:r w:rsidR="00907D8C">
        <w:t xml:space="preserve"> </w:t>
      </w:r>
      <w:r w:rsidRPr="00036FAC">
        <w:t>has</w:t>
      </w:r>
      <w:r w:rsidR="00907D8C">
        <w:t xml:space="preserve"> </w:t>
      </w:r>
      <w:r w:rsidRPr="00036FAC">
        <w:t>a</w:t>
      </w:r>
      <w:r w:rsidR="00907D8C">
        <w:t xml:space="preserve"> </w:t>
      </w:r>
      <w:r w:rsidRPr="00036FAC">
        <w:t>core</w:t>
      </w:r>
      <w:r w:rsidR="00907D8C">
        <w:t xml:space="preserve"> </w:t>
      </w:r>
      <w:r w:rsidRPr="00036FAC">
        <w:t>social</w:t>
      </w:r>
      <w:r w:rsidR="00907D8C">
        <w:t xml:space="preserve"> </w:t>
      </w:r>
      <w:r w:rsidRPr="00036FAC">
        <w:t>security</w:t>
      </w:r>
      <w:r w:rsidR="00907D8C">
        <w:t xml:space="preserve"> </w:t>
      </w:r>
      <w:r w:rsidRPr="00036FAC">
        <w:t>system</w:t>
      </w:r>
      <w:r w:rsidR="00907D8C">
        <w:t xml:space="preserve"> </w:t>
      </w:r>
      <w:r w:rsidRPr="00036FAC">
        <w:t>and</w:t>
      </w:r>
      <w:r w:rsidR="00907D8C">
        <w:t xml:space="preserve"> </w:t>
      </w:r>
      <w:r w:rsidRPr="00036FAC">
        <w:t>various</w:t>
      </w:r>
      <w:r w:rsidR="00907D8C">
        <w:t xml:space="preserve"> </w:t>
      </w:r>
      <w:r w:rsidRPr="00036FAC">
        <w:t>policies,</w:t>
      </w:r>
      <w:r w:rsidR="00907D8C">
        <w:t xml:space="preserve"> </w:t>
      </w:r>
      <w:r w:rsidRPr="00036FAC">
        <w:t>which</w:t>
      </w:r>
      <w:r w:rsidR="00907D8C">
        <w:t xml:space="preserve"> </w:t>
      </w:r>
      <w:r w:rsidRPr="00036FAC">
        <w:t>vary</w:t>
      </w:r>
      <w:r w:rsidR="00907D8C">
        <w:t xml:space="preserve"> </w:t>
      </w:r>
      <w:r w:rsidRPr="00036FAC">
        <w:t>according</w:t>
      </w:r>
      <w:r w:rsidR="00907D8C">
        <w:t xml:space="preserve"> </w:t>
      </w:r>
      <w:r w:rsidRPr="00036FAC">
        <w:t>to</w:t>
      </w:r>
      <w:r w:rsidR="00907D8C">
        <w:t xml:space="preserve"> </w:t>
      </w:r>
      <w:r w:rsidRPr="00036FAC">
        <w:t>the</w:t>
      </w:r>
      <w:r w:rsidR="00907D8C">
        <w:t xml:space="preserve"> </w:t>
      </w:r>
      <w:r w:rsidRPr="00036FAC">
        <w:t>changing</w:t>
      </w:r>
      <w:r w:rsidR="00907D8C">
        <w:t xml:space="preserve"> </w:t>
      </w:r>
      <w:r w:rsidRPr="00036FAC">
        <w:t>needs</w:t>
      </w:r>
      <w:r w:rsidR="00907D8C">
        <w:t xml:space="preserve"> </w:t>
      </w:r>
      <w:r w:rsidRPr="00036FAC">
        <w:t>of</w:t>
      </w:r>
      <w:r w:rsidR="00907D8C">
        <w:t xml:space="preserve"> </w:t>
      </w:r>
      <w:r w:rsidRPr="00036FAC">
        <w:t>society.</w:t>
      </w:r>
      <w:r w:rsidR="00907D8C">
        <w:t xml:space="preserve"> </w:t>
      </w:r>
      <w:r w:rsidRPr="00036FAC">
        <w:t>The</w:t>
      </w:r>
      <w:r w:rsidR="00907D8C">
        <w:t xml:space="preserve"> </w:t>
      </w:r>
      <w:r w:rsidRPr="00036FAC">
        <w:t>system</w:t>
      </w:r>
      <w:r w:rsidR="00907D8C">
        <w:t xml:space="preserve"> </w:t>
      </w:r>
      <w:r w:rsidRPr="00036FAC">
        <w:t>aims</w:t>
      </w:r>
      <w:r w:rsidR="00907D8C">
        <w:t xml:space="preserve"> </w:t>
      </w:r>
      <w:r w:rsidRPr="00036FAC">
        <w:t>to</w:t>
      </w:r>
      <w:r w:rsidR="00907D8C">
        <w:t xml:space="preserve"> </w:t>
      </w:r>
      <w:r w:rsidRPr="00036FAC">
        <w:t>ensure</w:t>
      </w:r>
      <w:r w:rsidR="00907D8C">
        <w:t xml:space="preserve"> </w:t>
      </w:r>
      <w:r w:rsidRPr="00036FAC">
        <w:t>an</w:t>
      </w:r>
      <w:r w:rsidR="00907D8C">
        <w:t xml:space="preserve"> </w:t>
      </w:r>
      <w:r w:rsidRPr="00036FAC">
        <w:t>adequate</w:t>
      </w:r>
      <w:r w:rsidR="00907D8C">
        <w:t xml:space="preserve"> </w:t>
      </w:r>
      <w:r w:rsidRPr="00036FAC">
        <w:t>standard</w:t>
      </w:r>
      <w:r w:rsidR="00907D8C">
        <w:t xml:space="preserve"> </w:t>
      </w:r>
      <w:r w:rsidRPr="00036FAC">
        <w:t>of</w:t>
      </w:r>
      <w:r w:rsidR="00907D8C">
        <w:t xml:space="preserve"> </w:t>
      </w:r>
      <w:r w:rsidRPr="00036FAC">
        <w:t>living,</w:t>
      </w:r>
      <w:r w:rsidR="00907D8C">
        <w:t xml:space="preserve"> </w:t>
      </w:r>
      <w:r w:rsidRPr="00036FAC">
        <w:t>and</w:t>
      </w:r>
      <w:r w:rsidR="00907D8C">
        <w:t xml:space="preserve"> </w:t>
      </w:r>
      <w:r w:rsidRPr="00036FAC">
        <w:t>provide</w:t>
      </w:r>
      <w:r w:rsidR="00907D8C">
        <w:t xml:space="preserve"> </w:t>
      </w:r>
      <w:r w:rsidRPr="00036FAC">
        <w:t>opportunities</w:t>
      </w:r>
      <w:r w:rsidR="00907D8C">
        <w:t xml:space="preserve"> </w:t>
      </w:r>
      <w:r w:rsidRPr="00036FAC">
        <w:t>for</w:t>
      </w:r>
      <w:r w:rsidR="00907D8C">
        <w:t xml:space="preserve"> </w:t>
      </w:r>
      <w:r w:rsidRPr="00036FAC">
        <w:t>people</w:t>
      </w:r>
      <w:r w:rsidR="00907D8C">
        <w:t xml:space="preserve"> </w:t>
      </w:r>
      <w:r w:rsidRPr="00036FAC">
        <w:t>to</w:t>
      </w:r>
      <w:r w:rsidR="00907D8C">
        <w:t xml:space="preserve"> </w:t>
      </w:r>
      <w:r w:rsidRPr="00036FAC">
        <w:t>participate</w:t>
      </w:r>
      <w:r w:rsidR="00907D8C">
        <w:t xml:space="preserve"> </w:t>
      </w:r>
      <w:r w:rsidRPr="00036FAC">
        <w:t>fully</w:t>
      </w:r>
      <w:r w:rsidR="00907D8C">
        <w:t xml:space="preserve"> </w:t>
      </w:r>
      <w:r w:rsidRPr="00036FAC">
        <w:t>in</w:t>
      </w:r>
      <w:r w:rsidR="00907D8C">
        <w:t xml:space="preserve"> </w:t>
      </w:r>
      <w:r w:rsidRPr="00036FAC">
        <w:t>society.</w:t>
      </w:r>
      <w:r w:rsidR="00907D8C">
        <w:t xml:space="preserve"> </w:t>
      </w:r>
      <w:r w:rsidRPr="00036FAC">
        <w:t>This</w:t>
      </w:r>
      <w:r w:rsidR="00907D8C">
        <w:t xml:space="preserve"> </w:t>
      </w:r>
      <w:r w:rsidRPr="00036FAC">
        <w:t>section</w:t>
      </w:r>
      <w:r w:rsidR="00907D8C">
        <w:t xml:space="preserve"> </w:t>
      </w:r>
      <w:r w:rsidRPr="00036FAC">
        <w:t>provides</w:t>
      </w:r>
      <w:r w:rsidR="00907D8C">
        <w:t xml:space="preserve"> </w:t>
      </w:r>
      <w:r w:rsidRPr="00036FAC">
        <w:t>a</w:t>
      </w:r>
      <w:r w:rsidR="00907D8C">
        <w:t xml:space="preserve"> </w:t>
      </w:r>
      <w:r w:rsidRPr="00036FAC">
        <w:t>description</w:t>
      </w:r>
      <w:r w:rsidR="00907D8C">
        <w:t xml:space="preserve"> </w:t>
      </w:r>
      <w:r w:rsidRPr="00036FAC">
        <w:t>of</w:t>
      </w:r>
      <w:r w:rsidR="00907D8C">
        <w:t xml:space="preserve"> </w:t>
      </w:r>
      <w:r w:rsidRPr="00036FAC">
        <w:t>the</w:t>
      </w:r>
      <w:r w:rsidR="00907D8C">
        <w:t xml:space="preserve"> </w:t>
      </w:r>
      <w:r w:rsidRPr="00036FAC">
        <w:t>core</w:t>
      </w:r>
      <w:r w:rsidR="00907D8C">
        <w:t xml:space="preserve"> </w:t>
      </w:r>
      <w:r w:rsidRPr="00036FAC">
        <w:t>social</w:t>
      </w:r>
      <w:r w:rsidR="00907D8C">
        <w:t xml:space="preserve"> </w:t>
      </w:r>
      <w:r w:rsidRPr="00036FAC">
        <w:t>security</w:t>
      </w:r>
      <w:r w:rsidR="00907D8C">
        <w:t xml:space="preserve"> </w:t>
      </w:r>
      <w:r w:rsidRPr="00036FAC">
        <w:t>system</w:t>
      </w:r>
      <w:r w:rsidR="00907D8C">
        <w:t xml:space="preserve"> </w:t>
      </w:r>
      <w:r w:rsidRPr="00036FAC">
        <w:t>and</w:t>
      </w:r>
      <w:r w:rsidR="00907D8C">
        <w:t xml:space="preserve"> </w:t>
      </w:r>
      <w:r w:rsidRPr="00036FAC">
        <w:t>examples</w:t>
      </w:r>
      <w:r w:rsidR="00907D8C">
        <w:t xml:space="preserve"> </w:t>
      </w:r>
      <w:r w:rsidRPr="00036FAC">
        <w:t>of</w:t>
      </w:r>
      <w:r w:rsidR="00907D8C">
        <w:t xml:space="preserve"> </w:t>
      </w:r>
      <w:r w:rsidRPr="00036FAC">
        <w:t>policies</w:t>
      </w:r>
      <w:r w:rsidR="00907D8C">
        <w:t xml:space="preserve"> </w:t>
      </w:r>
      <w:r w:rsidRPr="00036FAC">
        <w:t>relevant</w:t>
      </w:r>
      <w:r w:rsidR="00907D8C">
        <w:t xml:space="preserve"> </w:t>
      </w:r>
      <w:r w:rsidRPr="00036FAC">
        <w:t>to</w:t>
      </w:r>
      <w:r w:rsidR="00907D8C">
        <w:t xml:space="preserve"> </w:t>
      </w:r>
      <w:r w:rsidRPr="00036FAC">
        <w:t>specific</w:t>
      </w:r>
      <w:r w:rsidR="00907D8C">
        <w:t xml:space="preserve"> </w:t>
      </w:r>
      <w:r w:rsidRPr="00036FAC">
        <w:t>United</w:t>
      </w:r>
      <w:r w:rsidR="00907D8C">
        <w:t xml:space="preserve"> </w:t>
      </w:r>
      <w:r w:rsidRPr="00036FAC">
        <w:t>Nations</w:t>
      </w:r>
      <w:r w:rsidR="00907D8C">
        <w:t xml:space="preserve"> </w:t>
      </w:r>
      <w:r w:rsidRPr="00036FAC">
        <w:t>conventions</w:t>
      </w:r>
      <w:r w:rsidR="00907D8C">
        <w:t xml:space="preserve"> </w:t>
      </w:r>
      <w:r w:rsidRPr="00036FAC">
        <w:t>New</w:t>
      </w:r>
      <w:r w:rsidR="00907D8C">
        <w:t xml:space="preserve"> </w:t>
      </w:r>
      <w:r w:rsidRPr="00036FAC">
        <w:t>Zealand</w:t>
      </w:r>
      <w:r w:rsidR="00907D8C">
        <w:t xml:space="preserve"> </w:t>
      </w:r>
      <w:r w:rsidRPr="00036FAC">
        <w:t>is</w:t>
      </w:r>
      <w:r w:rsidR="00907D8C">
        <w:t xml:space="preserve"> </w:t>
      </w:r>
      <w:r w:rsidRPr="00036FAC">
        <w:t>a</w:t>
      </w:r>
      <w:r w:rsidR="00907D8C">
        <w:t xml:space="preserve"> </w:t>
      </w:r>
      <w:r w:rsidRPr="00036FAC">
        <w:t>party</w:t>
      </w:r>
      <w:r w:rsidR="00907D8C">
        <w:t xml:space="preserve"> </w:t>
      </w:r>
      <w:r w:rsidRPr="00036FAC">
        <w:t>to.</w:t>
      </w:r>
    </w:p>
    <w:p w:rsidR="00036FAC" w:rsidRPr="00036FAC" w:rsidRDefault="00036FAC" w:rsidP="00CB1E9A">
      <w:pPr>
        <w:pStyle w:val="SingleTxtG"/>
      </w:pPr>
      <w:r w:rsidRPr="00036FAC">
        <w:t>246.</w:t>
      </w:r>
      <w:r w:rsidRPr="00036FAC">
        <w:tab/>
        <w:t>The</w:t>
      </w:r>
      <w:r w:rsidR="00907D8C">
        <w:t xml:space="preserve"> </w:t>
      </w:r>
      <w:r w:rsidRPr="00036FAC">
        <w:t>social</w:t>
      </w:r>
      <w:r w:rsidR="00907D8C">
        <w:t xml:space="preserve"> </w:t>
      </w:r>
      <w:r w:rsidRPr="00036FAC">
        <w:t>security</w:t>
      </w:r>
      <w:r w:rsidR="00907D8C">
        <w:t xml:space="preserve"> </w:t>
      </w:r>
      <w:r w:rsidRPr="00036FAC">
        <w:t>system</w:t>
      </w:r>
      <w:r w:rsidR="00907D8C">
        <w:t xml:space="preserve"> </w:t>
      </w:r>
      <w:r w:rsidRPr="00036FAC">
        <w:t>provides</w:t>
      </w:r>
      <w:r w:rsidR="00907D8C">
        <w:t xml:space="preserve"> </w:t>
      </w:r>
      <w:r w:rsidRPr="00036FAC">
        <w:t>a</w:t>
      </w:r>
      <w:r w:rsidR="00907D8C">
        <w:t xml:space="preserve"> </w:t>
      </w:r>
      <w:r w:rsidRPr="00036FAC">
        <w:t>safety</w:t>
      </w:r>
      <w:r w:rsidR="00907D8C">
        <w:t xml:space="preserve"> </w:t>
      </w:r>
      <w:r w:rsidRPr="00036FAC">
        <w:t>net</w:t>
      </w:r>
      <w:r w:rsidR="00907D8C">
        <w:t xml:space="preserve"> </w:t>
      </w:r>
      <w:r w:rsidRPr="00036FAC">
        <w:t>for</w:t>
      </w:r>
      <w:r w:rsidR="00907D8C">
        <w:t xml:space="preserve"> </w:t>
      </w:r>
      <w:r w:rsidRPr="00036FAC">
        <w:t>people</w:t>
      </w:r>
      <w:r w:rsidR="00907D8C">
        <w:t xml:space="preserve"> </w:t>
      </w:r>
      <w:r w:rsidRPr="00036FAC">
        <w:t>who</w:t>
      </w:r>
      <w:r w:rsidR="00907D8C">
        <w:t xml:space="preserve"> </w:t>
      </w:r>
      <w:r w:rsidRPr="00036FAC">
        <w:t>are</w:t>
      </w:r>
      <w:r w:rsidR="00907D8C">
        <w:t xml:space="preserve"> </w:t>
      </w:r>
      <w:r w:rsidRPr="00036FAC">
        <w:t>unable</w:t>
      </w:r>
      <w:r w:rsidR="00907D8C">
        <w:t xml:space="preserve"> </w:t>
      </w:r>
      <w:r w:rsidRPr="00036FAC">
        <w:t>to</w:t>
      </w:r>
      <w:r w:rsidR="00907D8C">
        <w:t xml:space="preserve"> </w:t>
      </w:r>
      <w:r w:rsidRPr="00036FAC">
        <w:t>provide</w:t>
      </w:r>
      <w:r w:rsidR="00907D8C">
        <w:t xml:space="preserve"> </w:t>
      </w:r>
      <w:r w:rsidRPr="00036FAC">
        <w:t>for</w:t>
      </w:r>
      <w:r w:rsidR="00907D8C">
        <w:t xml:space="preserve"> </w:t>
      </w:r>
      <w:r w:rsidRPr="00036FAC">
        <w:t>themselves</w:t>
      </w:r>
      <w:r w:rsidR="00907D8C">
        <w:t xml:space="preserve"> </w:t>
      </w:r>
      <w:r w:rsidRPr="00036FAC">
        <w:t>or</w:t>
      </w:r>
      <w:r w:rsidR="00907D8C">
        <w:t xml:space="preserve"> </w:t>
      </w:r>
      <w:r w:rsidRPr="00036FAC">
        <w:t>their</w:t>
      </w:r>
      <w:r w:rsidR="00907D8C">
        <w:t xml:space="preserve"> </w:t>
      </w:r>
      <w:r w:rsidRPr="00036FAC">
        <w:t>families.</w:t>
      </w:r>
      <w:r w:rsidR="00907D8C">
        <w:t xml:space="preserve"> </w:t>
      </w:r>
      <w:r w:rsidRPr="00036FAC">
        <w:t>This</w:t>
      </w:r>
      <w:r w:rsidR="00907D8C">
        <w:t xml:space="preserve"> </w:t>
      </w:r>
      <w:r w:rsidRPr="00036FAC">
        <w:t>system</w:t>
      </w:r>
      <w:r w:rsidR="00907D8C">
        <w:t xml:space="preserve"> </w:t>
      </w:r>
      <w:r w:rsidRPr="00036FAC">
        <w:t>has</w:t>
      </w:r>
      <w:r w:rsidR="00907D8C">
        <w:t xml:space="preserve"> </w:t>
      </w:r>
      <w:r w:rsidRPr="00036FAC">
        <w:t>four</w:t>
      </w:r>
      <w:r w:rsidR="00907D8C">
        <w:t xml:space="preserve"> </w:t>
      </w:r>
      <w:r w:rsidRPr="00036FAC">
        <w:t>main</w:t>
      </w:r>
      <w:r w:rsidR="00907D8C">
        <w:t xml:space="preserve"> </w:t>
      </w:r>
      <w:r w:rsidRPr="00036FAC">
        <w:t>components:</w:t>
      </w:r>
    </w:p>
    <w:p w:rsidR="00036FAC" w:rsidRPr="00036FAC" w:rsidRDefault="00CB1E9A" w:rsidP="00CB1E9A">
      <w:pPr>
        <w:pStyle w:val="SingleTxtG"/>
      </w:pPr>
      <w:r>
        <w:tab/>
      </w:r>
      <w:r w:rsidR="00036FAC" w:rsidRPr="00036FAC">
        <w:t>(a)</w:t>
      </w:r>
      <w:r w:rsidR="00036FAC" w:rsidRPr="00036FAC">
        <w:tab/>
        <w:t>A</w:t>
      </w:r>
      <w:r w:rsidR="00907D8C">
        <w:t xml:space="preserve"> </w:t>
      </w:r>
      <w:r w:rsidR="00036FAC" w:rsidRPr="00036FAC">
        <w:t>universal</w:t>
      </w:r>
      <w:r w:rsidR="00907D8C">
        <w:t xml:space="preserve"> </w:t>
      </w:r>
      <w:r w:rsidR="00036FAC" w:rsidRPr="00036FAC">
        <w:t>social</w:t>
      </w:r>
      <w:r w:rsidR="00907D8C">
        <w:t xml:space="preserve"> </w:t>
      </w:r>
      <w:r w:rsidR="00036FAC" w:rsidRPr="00036FAC">
        <w:t>security</w:t>
      </w:r>
      <w:r w:rsidR="00907D8C">
        <w:t xml:space="preserve"> </w:t>
      </w:r>
      <w:r w:rsidR="00036FAC" w:rsidRPr="00036FAC">
        <w:t>benefit</w:t>
      </w:r>
      <w:r w:rsidR="00907D8C">
        <w:t xml:space="preserve"> </w:t>
      </w:r>
      <w:r w:rsidR="00036FAC" w:rsidRPr="00036FAC">
        <w:t>system</w:t>
      </w:r>
      <w:r w:rsidR="00907D8C">
        <w:t xml:space="preserve"> </w:t>
      </w:r>
      <w:r w:rsidR="00036FAC" w:rsidRPr="00036FAC">
        <w:t>funded</w:t>
      </w:r>
      <w:r w:rsidR="00907D8C">
        <w:t xml:space="preserve"> </w:t>
      </w:r>
      <w:r w:rsidR="00036FAC" w:rsidRPr="00036FAC">
        <w:t>through</w:t>
      </w:r>
      <w:r w:rsidR="00907D8C">
        <w:t xml:space="preserve"> </w:t>
      </w:r>
      <w:r w:rsidR="00036FAC" w:rsidRPr="00036FAC">
        <w:t>general</w:t>
      </w:r>
      <w:r w:rsidR="00907D8C">
        <w:t xml:space="preserve"> </w:t>
      </w:r>
      <w:r w:rsidR="00036FAC" w:rsidRPr="00036FAC">
        <w:t>taxation.</w:t>
      </w:r>
      <w:r w:rsidR="00907D8C">
        <w:t xml:space="preserve"> </w:t>
      </w:r>
      <w:r w:rsidR="00036FAC" w:rsidRPr="00036FAC">
        <w:t>Social</w:t>
      </w:r>
      <w:r w:rsidR="00907D8C">
        <w:t xml:space="preserve"> </w:t>
      </w:r>
      <w:r w:rsidR="00036FAC" w:rsidRPr="00036FAC">
        <w:t>security</w:t>
      </w:r>
      <w:r w:rsidR="00907D8C">
        <w:t xml:space="preserve"> </w:t>
      </w:r>
      <w:r w:rsidR="00036FAC" w:rsidRPr="00036FAC">
        <w:t>benefits</w:t>
      </w:r>
      <w:r w:rsidR="00907D8C">
        <w:t xml:space="preserve"> </w:t>
      </w:r>
      <w:r w:rsidR="00036FAC" w:rsidRPr="00036FAC">
        <w:t>are</w:t>
      </w:r>
      <w:r w:rsidR="00907D8C">
        <w:t xml:space="preserve"> </w:t>
      </w:r>
      <w:r w:rsidR="00036FAC" w:rsidRPr="00036FAC">
        <w:t>paid</w:t>
      </w:r>
      <w:r w:rsidR="00907D8C">
        <w:t xml:space="preserve"> </w:t>
      </w:r>
      <w:r w:rsidR="00036FAC" w:rsidRPr="00036FAC">
        <w:t>to</w:t>
      </w:r>
      <w:r w:rsidR="00907D8C">
        <w:t xml:space="preserve"> </w:t>
      </w:r>
      <w:r w:rsidR="00036FAC" w:rsidRPr="00036FAC">
        <w:t>all</w:t>
      </w:r>
      <w:r w:rsidR="00907D8C">
        <w:t xml:space="preserve"> </w:t>
      </w:r>
      <w:r w:rsidR="00036FAC" w:rsidRPr="00036FAC">
        <w:t>residents</w:t>
      </w:r>
      <w:r w:rsidR="00907D8C">
        <w:t xml:space="preserve"> </w:t>
      </w:r>
      <w:r w:rsidR="00036FAC" w:rsidRPr="00036FAC">
        <w:t>who</w:t>
      </w:r>
      <w:r w:rsidR="00907D8C">
        <w:t xml:space="preserve"> </w:t>
      </w:r>
      <w:r w:rsidR="00036FAC" w:rsidRPr="00036FAC">
        <w:t>meet</w:t>
      </w:r>
      <w:r w:rsidR="00907D8C">
        <w:t xml:space="preserve"> </w:t>
      </w:r>
      <w:r w:rsidR="00036FAC" w:rsidRPr="00036FAC">
        <w:t>the</w:t>
      </w:r>
      <w:r w:rsidR="00907D8C">
        <w:t xml:space="preserve"> </w:t>
      </w:r>
      <w:r w:rsidR="00036FAC" w:rsidRPr="00036FAC">
        <w:t>eligibility</w:t>
      </w:r>
      <w:r w:rsidR="00907D8C">
        <w:t xml:space="preserve"> </w:t>
      </w:r>
      <w:r w:rsidR="00036FAC" w:rsidRPr="00036FAC">
        <w:t>criteria,</w:t>
      </w:r>
      <w:r w:rsidR="00907D8C">
        <w:t xml:space="preserve"> </w:t>
      </w:r>
      <w:r w:rsidR="00036FAC" w:rsidRPr="00036FAC">
        <w:t>regardless</w:t>
      </w:r>
      <w:r w:rsidR="00907D8C">
        <w:t xml:space="preserve"> </w:t>
      </w:r>
      <w:r w:rsidR="00036FAC" w:rsidRPr="00036FAC">
        <w:t>of</w:t>
      </w:r>
      <w:r w:rsidR="00907D8C">
        <w:t xml:space="preserve"> </w:t>
      </w:r>
      <w:r w:rsidR="00036FAC" w:rsidRPr="00036FAC">
        <w:t>their</w:t>
      </w:r>
      <w:r w:rsidR="00907D8C">
        <w:t xml:space="preserve"> </w:t>
      </w:r>
      <w:r w:rsidR="00036FAC" w:rsidRPr="00036FAC">
        <w:t>current,</w:t>
      </w:r>
      <w:r w:rsidR="00907D8C">
        <w:t xml:space="preserve"> </w:t>
      </w:r>
      <w:r w:rsidR="00036FAC" w:rsidRPr="00036FAC">
        <w:t>or</w:t>
      </w:r>
      <w:r w:rsidR="00907D8C">
        <w:t xml:space="preserve"> </w:t>
      </w:r>
      <w:r w:rsidR="00036FAC" w:rsidRPr="00036FAC">
        <w:t>previous,</w:t>
      </w:r>
      <w:r w:rsidR="00907D8C">
        <w:t xml:space="preserve"> </w:t>
      </w:r>
      <w:r w:rsidR="00036FAC" w:rsidRPr="00036FAC">
        <w:t>employment</w:t>
      </w:r>
      <w:r w:rsidR="00907D8C">
        <w:t xml:space="preserve"> </w:t>
      </w:r>
      <w:r w:rsidR="00036FAC" w:rsidRPr="00036FAC">
        <w:t>status,</w:t>
      </w:r>
      <w:r w:rsidR="00907D8C">
        <w:t xml:space="preserve"> </w:t>
      </w:r>
      <w:r w:rsidR="00036FAC" w:rsidRPr="00036FAC">
        <w:t>including</w:t>
      </w:r>
      <w:r w:rsidR="00907D8C">
        <w:t xml:space="preserve"> </w:t>
      </w:r>
      <w:r w:rsidR="00036FAC" w:rsidRPr="00036FAC">
        <w:t>a</w:t>
      </w:r>
      <w:r w:rsidR="00907D8C">
        <w:t xml:space="preserve"> </w:t>
      </w:r>
      <w:r w:rsidR="00036FAC" w:rsidRPr="00036FAC">
        <w:t>universal</w:t>
      </w:r>
      <w:r w:rsidR="00907D8C">
        <w:t xml:space="preserve"> </w:t>
      </w:r>
      <w:r w:rsidR="00036FAC" w:rsidRPr="00036FAC">
        <w:t>superannuation</w:t>
      </w:r>
      <w:r w:rsidR="00907D8C">
        <w:t xml:space="preserve"> </w:t>
      </w:r>
      <w:r w:rsidR="00036FAC" w:rsidRPr="00036FAC">
        <w:t>scheme</w:t>
      </w:r>
      <w:r w:rsidR="00907D8C">
        <w:t xml:space="preserve"> </w:t>
      </w:r>
      <w:r w:rsidR="00036FAC" w:rsidRPr="00036FAC">
        <w:t>for</w:t>
      </w:r>
      <w:r w:rsidR="00907D8C">
        <w:t xml:space="preserve"> </w:t>
      </w:r>
      <w:r w:rsidR="00036FAC" w:rsidRPr="00036FAC">
        <w:t>people</w:t>
      </w:r>
      <w:r w:rsidR="00907D8C">
        <w:t xml:space="preserve"> </w:t>
      </w:r>
      <w:r w:rsidR="00036FAC" w:rsidRPr="00036FAC">
        <w:t>aged</w:t>
      </w:r>
      <w:r w:rsidR="00907D8C">
        <w:t xml:space="preserve"> </w:t>
      </w:r>
      <w:r w:rsidR="00036FAC" w:rsidRPr="00036FAC">
        <w:t>65</w:t>
      </w:r>
      <w:r w:rsidR="00907D8C">
        <w:t xml:space="preserve"> </w:t>
      </w:r>
      <w:r w:rsidR="00036FAC" w:rsidRPr="00036FAC">
        <w:t>and</w:t>
      </w:r>
      <w:r w:rsidR="00907D8C">
        <w:t xml:space="preserve"> </w:t>
      </w:r>
      <w:r w:rsidR="00036FAC" w:rsidRPr="00036FAC">
        <w:t>over;</w:t>
      </w:r>
    </w:p>
    <w:p w:rsidR="00036FAC" w:rsidRPr="00036FAC" w:rsidRDefault="00CB1E9A" w:rsidP="00CB1E9A">
      <w:pPr>
        <w:pStyle w:val="SingleTxtG"/>
      </w:pPr>
      <w:r>
        <w:tab/>
      </w:r>
      <w:r w:rsidR="00036FAC" w:rsidRPr="00036FAC">
        <w:t>(b)</w:t>
      </w:r>
      <w:r w:rsidR="00036FAC" w:rsidRPr="00036FAC">
        <w:tab/>
        <w:t>A</w:t>
      </w:r>
      <w:r w:rsidR="00907D8C">
        <w:t xml:space="preserve"> </w:t>
      </w:r>
      <w:r w:rsidR="00036FAC" w:rsidRPr="00036FAC">
        <w:t>comprehensive,</w:t>
      </w:r>
      <w:r w:rsidR="00907D8C">
        <w:t xml:space="preserve"> </w:t>
      </w:r>
      <w:r w:rsidR="00036FAC" w:rsidRPr="00036FAC">
        <w:t>no-fault</w:t>
      </w:r>
      <w:r w:rsidR="00907D8C">
        <w:t xml:space="preserve"> </w:t>
      </w:r>
      <w:r w:rsidR="00036FAC" w:rsidRPr="00036FAC">
        <w:t>personal</w:t>
      </w:r>
      <w:r w:rsidR="00907D8C">
        <w:t xml:space="preserve"> </w:t>
      </w:r>
      <w:r w:rsidR="00036FAC" w:rsidRPr="00036FAC">
        <w:t>injury-by-accident</w:t>
      </w:r>
      <w:r w:rsidR="00907D8C">
        <w:t xml:space="preserve"> </w:t>
      </w:r>
      <w:r w:rsidR="00036FAC" w:rsidRPr="00036FAC">
        <w:t>cover</w:t>
      </w:r>
      <w:r w:rsidR="00907D8C">
        <w:t xml:space="preserve"> </w:t>
      </w:r>
      <w:r w:rsidR="00036FAC" w:rsidRPr="00036FAC">
        <w:t>for</w:t>
      </w:r>
      <w:r w:rsidR="00907D8C">
        <w:t xml:space="preserve"> </w:t>
      </w:r>
      <w:r w:rsidR="00036FAC" w:rsidRPr="00036FAC">
        <w:t>all</w:t>
      </w:r>
      <w:r w:rsidR="00907D8C">
        <w:t xml:space="preserve"> </w:t>
      </w:r>
      <w:r w:rsidR="00036FAC" w:rsidRPr="00036FAC">
        <w:t>New</w:t>
      </w:r>
      <w:r w:rsidR="00907D8C">
        <w:t xml:space="preserve"> </w:t>
      </w:r>
      <w:r w:rsidR="00036FAC" w:rsidRPr="00036FAC">
        <w:t>Zealand</w:t>
      </w:r>
      <w:r w:rsidR="00907D8C">
        <w:t xml:space="preserve"> </w:t>
      </w:r>
      <w:r w:rsidR="00036FAC" w:rsidRPr="00036FAC">
        <w:t>residents,</w:t>
      </w:r>
      <w:r w:rsidR="00907D8C">
        <w:t xml:space="preserve"> </w:t>
      </w:r>
      <w:r w:rsidR="00036FAC" w:rsidRPr="00036FAC">
        <w:t>and</w:t>
      </w:r>
      <w:r w:rsidR="00907D8C">
        <w:t xml:space="preserve"> </w:t>
      </w:r>
      <w:r w:rsidR="00036FAC" w:rsidRPr="00036FAC">
        <w:t>for</w:t>
      </w:r>
      <w:r w:rsidR="00907D8C">
        <w:t xml:space="preserve"> </w:t>
      </w:r>
      <w:r w:rsidR="00036FAC" w:rsidRPr="00036FAC">
        <w:t>visitors</w:t>
      </w:r>
      <w:r w:rsidR="00907D8C">
        <w:t xml:space="preserve"> </w:t>
      </w:r>
      <w:r w:rsidR="00036FAC" w:rsidRPr="00036FAC">
        <w:t>to</w:t>
      </w:r>
      <w:r w:rsidR="00907D8C">
        <w:t xml:space="preserve"> </w:t>
      </w:r>
      <w:r w:rsidR="00036FAC" w:rsidRPr="00036FAC">
        <w:t>New</w:t>
      </w:r>
      <w:r w:rsidR="00907D8C">
        <w:t xml:space="preserve"> </w:t>
      </w:r>
      <w:r w:rsidR="00036FAC" w:rsidRPr="00036FAC">
        <w:t>Zealand</w:t>
      </w:r>
      <w:r w:rsidR="00907D8C">
        <w:t xml:space="preserve"> </w:t>
      </w:r>
      <w:r w:rsidR="00036FAC" w:rsidRPr="00036FAC">
        <w:t>while</w:t>
      </w:r>
      <w:r w:rsidR="00907D8C">
        <w:t xml:space="preserve"> </w:t>
      </w:r>
      <w:r w:rsidR="00036FAC" w:rsidRPr="00036FAC">
        <w:t>in</w:t>
      </w:r>
      <w:r w:rsidR="00907D8C">
        <w:t xml:space="preserve"> </w:t>
      </w:r>
      <w:r w:rsidR="00036FAC" w:rsidRPr="00036FAC">
        <w:t>New</w:t>
      </w:r>
      <w:r w:rsidR="00907D8C">
        <w:t xml:space="preserve"> </w:t>
      </w:r>
      <w:r w:rsidR="00036FAC" w:rsidRPr="00036FAC">
        <w:t>Zealand,</w:t>
      </w:r>
      <w:r w:rsidR="00907D8C">
        <w:t xml:space="preserve"> </w:t>
      </w:r>
      <w:r w:rsidR="00036FAC" w:rsidRPr="00036FAC">
        <w:t>funded</w:t>
      </w:r>
      <w:r w:rsidR="00907D8C">
        <w:t xml:space="preserve"> </w:t>
      </w:r>
      <w:r w:rsidR="00036FAC" w:rsidRPr="00036FAC">
        <w:t>through</w:t>
      </w:r>
      <w:r w:rsidR="00907D8C">
        <w:t xml:space="preserve"> </w:t>
      </w:r>
      <w:r w:rsidR="00036FAC" w:rsidRPr="00036FAC">
        <w:t>a</w:t>
      </w:r>
      <w:r w:rsidR="00907D8C">
        <w:t xml:space="preserve"> </w:t>
      </w:r>
      <w:r w:rsidR="00036FAC" w:rsidRPr="00036FAC">
        <w:t>mix</w:t>
      </w:r>
      <w:r w:rsidR="00907D8C">
        <w:t xml:space="preserve"> </w:t>
      </w:r>
      <w:r w:rsidR="00036FAC" w:rsidRPr="00036FAC">
        <w:t>of</w:t>
      </w:r>
      <w:r w:rsidR="00907D8C">
        <w:t xml:space="preserve"> </w:t>
      </w:r>
      <w:r w:rsidR="00036FAC" w:rsidRPr="00036FAC">
        <w:t>levies</w:t>
      </w:r>
      <w:r w:rsidR="00907D8C">
        <w:t xml:space="preserve"> </w:t>
      </w:r>
      <w:r w:rsidR="00036FAC" w:rsidRPr="00036FAC">
        <w:t>and</w:t>
      </w:r>
      <w:r w:rsidR="00907D8C">
        <w:t xml:space="preserve"> </w:t>
      </w:r>
      <w:r w:rsidR="00036FAC" w:rsidRPr="00036FAC">
        <w:t>general</w:t>
      </w:r>
      <w:r w:rsidR="00907D8C">
        <w:t xml:space="preserve"> </w:t>
      </w:r>
      <w:r w:rsidR="00036FAC" w:rsidRPr="00036FAC">
        <w:t>taxation;</w:t>
      </w:r>
    </w:p>
    <w:p w:rsidR="00036FAC" w:rsidRPr="00036FAC" w:rsidRDefault="00CB1E9A" w:rsidP="00CB1E9A">
      <w:pPr>
        <w:pStyle w:val="SingleTxtG"/>
      </w:pPr>
      <w:r>
        <w:tab/>
      </w:r>
      <w:r w:rsidR="00036FAC" w:rsidRPr="00036FAC">
        <w:t>(c)</w:t>
      </w:r>
      <w:r w:rsidR="00036FAC" w:rsidRPr="00036FAC">
        <w:tab/>
        <w:t>A</w:t>
      </w:r>
      <w:r w:rsidR="00907D8C">
        <w:t xml:space="preserve"> </w:t>
      </w:r>
      <w:r w:rsidR="00036FAC" w:rsidRPr="00036FAC">
        <w:t>publicly</w:t>
      </w:r>
      <w:r w:rsidR="00907D8C">
        <w:t xml:space="preserve"> </w:t>
      </w:r>
      <w:r w:rsidR="00036FAC" w:rsidRPr="00036FAC">
        <w:t>funded</w:t>
      </w:r>
      <w:r w:rsidR="00907D8C">
        <w:t xml:space="preserve"> </w:t>
      </w:r>
      <w:r w:rsidR="00036FAC" w:rsidRPr="00036FAC">
        <w:t>health</w:t>
      </w:r>
      <w:r w:rsidR="00907D8C">
        <w:t xml:space="preserve"> </w:t>
      </w:r>
      <w:r w:rsidR="00036FAC" w:rsidRPr="00036FAC">
        <w:t>care</w:t>
      </w:r>
      <w:r w:rsidR="00907D8C">
        <w:t xml:space="preserve"> </w:t>
      </w:r>
      <w:r w:rsidR="00036FAC" w:rsidRPr="00036FAC">
        <w:t>system,</w:t>
      </w:r>
      <w:r w:rsidR="00907D8C">
        <w:t xml:space="preserve"> </w:t>
      </w:r>
      <w:r w:rsidR="00036FAC" w:rsidRPr="00036FAC">
        <w:t>with</w:t>
      </w:r>
      <w:r w:rsidR="00907D8C">
        <w:t xml:space="preserve"> </w:t>
      </w:r>
      <w:r w:rsidR="00036FAC" w:rsidRPr="00036FAC">
        <w:t>78</w:t>
      </w:r>
      <w:r w:rsidR="00907D8C">
        <w:t xml:space="preserve"> </w:t>
      </w:r>
      <w:r w:rsidR="001B201B">
        <w:t>per</w:t>
      </w:r>
      <w:r w:rsidR="00907D8C">
        <w:t xml:space="preserve"> </w:t>
      </w:r>
      <w:r w:rsidR="001B201B">
        <w:t>cent</w:t>
      </w:r>
      <w:r w:rsidR="00907D8C">
        <w:t xml:space="preserve"> </w:t>
      </w:r>
      <w:r w:rsidR="00036FAC" w:rsidRPr="00036FAC">
        <w:t>of</w:t>
      </w:r>
      <w:r w:rsidR="00907D8C">
        <w:t xml:space="preserve"> </w:t>
      </w:r>
      <w:r w:rsidR="00036FAC" w:rsidRPr="00036FAC">
        <w:t>health</w:t>
      </w:r>
      <w:r w:rsidR="00907D8C">
        <w:t xml:space="preserve"> </w:t>
      </w:r>
      <w:r w:rsidR="00036FAC" w:rsidRPr="00036FAC">
        <w:t>care</w:t>
      </w:r>
      <w:r w:rsidR="00907D8C">
        <w:t xml:space="preserve"> </w:t>
      </w:r>
      <w:r w:rsidR="00036FAC" w:rsidRPr="00036FAC">
        <w:t>funded</w:t>
      </w:r>
      <w:r w:rsidR="00907D8C">
        <w:t xml:space="preserve"> </w:t>
      </w:r>
      <w:r w:rsidR="00036FAC" w:rsidRPr="00036FAC">
        <w:t>through</w:t>
      </w:r>
      <w:r w:rsidR="00907D8C">
        <w:t xml:space="preserve"> </w:t>
      </w:r>
      <w:r w:rsidR="00036FAC" w:rsidRPr="00036FAC">
        <w:t>general</w:t>
      </w:r>
      <w:r w:rsidR="00907D8C">
        <w:t xml:space="preserve"> </w:t>
      </w:r>
      <w:r w:rsidR="00036FAC" w:rsidRPr="00036FAC">
        <w:t>taxation,</w:t>
      </w:r>
      <w:r w:rsidR="00907D8C">
        <w:t xml:space="preserve"> </w:t>
      </w:r>
      <w:r w:rsidR="00036FAC" w:rsidRPr="00036FAC">
        <w:t>that</w:t>
      </w:r>
      <w:r w:rsidR="00907D8C">
        <w:t xml:space="preserve"> </w:t>
      </w:r>
      <w:r w:rsidR="00036FAC" w:rsidRPr="00036FAC">
        <w:t>covers:</w:t>
      </w:r>
      <w:r w:rsidR="00907D8C">
        <w:t xml:space="preserve"> </w:t>
      </w:r>
      <w:r w:rsidR="00036FAC" w:rsidRPr="00036FAC">
        <w:t>public</w:t>
      </w:r>
      <w:r w:rsidR="00907D8C">
        <w:t xml:space="preserve"> </w:t>
      </w:r>
      <w:r w:rsidR="00036FAC" w:rsidRPr="00036FAC">
        <w:t>health</w:t>
      </w:r>
      <w:r w:rsidR="00907D8C">
        <w:t xml:space="preserve"> </w:t>
      </w:r>
      <w:r w:rsidR="00036FAC" w:rsidRPr="00036FAC">
        <w:t>preventive</w:t>
      </w:r>
      <w:r w:rsidR="00907D8C">
        <w:t xml:space="preserve"> </w:t>
      </w:r>
      <w:r w:rsidR="00036FAC" w:rsidRPr="00036FAC">
        <w:t>and</w:t>
      </w:r>
      <w:r w:rsidR="00907D8C">
        <w:t xml:space="preserve"> </w:t>
      </w:r>
      <w:r w:rsidR="00036FAC" w:rsidRPr="00036FAC">
        <w:t>promotional</w:t>
      </w:r>
      <w:r w:rsidR="00907D8C">
        <w:t xml:space="preserve"> </w:t>
      </w:r>
      <w:r w:rsidR="00036FAC" w:rsidRPr="00036FAC">
        <w:t>services;</w:t>
      </w:r>
      <w:r w:rsidR="00907D8C">
        <w:t xml:space="preserve"> </w:t>
      </w:r>
      <w:r w:rsidR="00036FAC" w:rsidRPr="00036FAC">
        <w:t>inpatient</w:t>
      </w:r>
      <w:r w:rsidR="00907D8C">
        <w:t xml:space="preserve"> </w:t>
      </w:r>
      <w:r w:rsidR="00036FAC" w:rsidRPr="00036FAC">
        <w:t>and</w:t>
      </w:r>
      <w:r w:rsidR="00907D8C">
        <w:t xml:space="preserve"> </w:t>
      </w:r>
      <w:r w:rsidR="00036FAC" w:rsidRPr="00036FAC">
        <w:t>outpatient</w:t>
      </w:r>
      <w:r w:rsidR="00907D8C">
        <w:t xml:space="preserve"> </w:t>
      </w:r>
      <w:r w:rsidR="00036FAC" w:rsidRPr="00036FAC">
        <w:t>hospital</w:t>
      </w:r>
      <w:r w:rsidR="00907D8C">
        <w:t xml:space="preserve"> </w:t>
      </w:r>
      <w:r w:rsidR="00036FAC" w:rsidRPr="00036FAC">
        <w:t>care;</w:t>
      </w:r>
      <w:r w:rsidR="00907D8C">
        <w:t xml:space="preserve"> </w:t>
      </w:r>
      <w:r w:rsidR="00036FAC" w:rsidRPr="00036FAC">
        <w:t>primary</w:t>
      </w:r>
      <w:r w:rsidR="00907D8C">
        <w:t xml:space="preserve"> </w:t>
      </w:r>
      <w:r w:rsidR="00036FAC" w:rsidRPr="00036FAC">
        <w:t>health</w:t>
      </w:r>
      <w:r w:rsidR="00907D8C">
        <w:t xml:space="preserve"> </w:t>
      </w:r>
      <w:r w:rsidR="00036FAC" w:rsidRPr="00036FAC">
        <w:t>care</w:t>
      </w:r>
      <w:r w:rsidR="00907D8C">
        <w:t xml:space="preserve"> </w:t>
      </w:r>
      <w:r w:rsidR="00036FAC" w:rsidRPr="00036FAC">
        <w:t>services;</w:t>
      </w:r>
      <w:r w:rsidR="00907D8C">
        <w:t xml:space="preserve"> </w:t>
      </w:r>
      <w:r w:rsidR="00036FAC" w:rsidRPr="00036FAC">
        <w:t>inpatient</w:t>
      </w:r>
      <w:r w:rsidR="00907D8C">
        <w:t xml:space="preserve"> </w:t>
      </w:r>
      <w:r w:rsidR="00036FAC" w:rsidRPr="00036FAC">
        <w:t>and</w:t>
      </w:r>
      <w:r w:rsidR="00907D8C">
        <w:t xml:space="preserve"> </w:t>
      </w:r>
      <w:r w:rsidR="00036FAC" w:rsidRPr="00036FAC">
        <w:t>outpatient</w:t>
      </w:r>
      <w:r w:rsidR="00907D8C">
        <w:t xml:space="preserve"> </w:t>
      </w:r>
      <w:r w:rsidR="00036FAC" w:rsidRPr="00036FAC">
        <w:t>prescription</w:t>
      </w:r>
      <w:r w:rsidR="00907D8C">
        <w:t xml:space="preserve"> </w:t>
      </w:r>
      <w:r w:rsidR="00036FAC" w:rsidRPr="00036FAC">
        <w:t>drugs;</w:t>
      </w:r>
      <w:r w:rsidR="00907D8C">
        <w:t xml:space="preserve"> </w:t>
      </w:r>
      <w:r w:rsidR="00036FAC" w:rsidRPr="00036FAC">
        <w:t>mental</w:t>
      </w:r>
      <w:r w:rsidR="00907D8C">
        <w:t xml:space="preserve"> </w:t>
      </w:r>
      <w:r w:rsidR="00036FAC" w:rsidRPr="00036FAC">
        <w:t>health</w:t>
      </w:r>
      <w:r w:rsidR="00907D8C">
        <w:t xml:space="preserve"> </w:t>
      </w:r>
      <w:r w:rsidR="00036FAC" w:rsidRPr="00036FAC">
        <w:t>care;</w:t>
      </w:r>
      <w:r w:rsidR="00907D8C">
        <w:t xml:space="preserve"> </w:t>
      </w:r>
      <w:r w:rsidR="00036FAC" w:rsidRPr="00036FAC">
        <w:t>maternity</w:t>
      </w:r>
      <w:r w:rsidR="00907D8C">
        <w:t xml:space="preserve"> </w:t>
      </w:r>
      <w:r w:rsidR="00036FAC" w:rsidRPr="00036FAC">
        <w:t>care;</w:t>
      </w:r>
      <w:r w:rsidR="00907D8C">
        <w:t xml:space="preserve"> </w:t>
      </w:r>
      <w:r w:rsidR="00036FAC" w:rsidRPr="00036FAC">
        <w:t>dental</w:t>
      </w:r>
      <w:r w:rsidR="00907D8C">
        <w:t xml:space="preserve"> </w:t>
      </w:r>
      <w:r w:rsidR="00036FAC" w:rsidRPr="00036FAC">
        <w:t>care</w:t>
      </w:r>
      <w:r w:rsidR="00907D8C">
        <w:t xml:space="preserve"> </w:t>
      </w:r>
      <w:r w:rsidR="00036FAC" w:rsidRPr="00036FAC">
        <w:t>for</w:t>
      </w:r>
      <w:r w:rsidR="00907D8C">
        <w:t xml:space="preserve"> </w:t>
      </w:r>
      <w:r w:rsidR="00036FAC" w:rsidRPr="00036FAC">
        <w:t>school</w:t>
      </w:r>
      <w:r w:rsidR="00907D8C">
        <w:t xml:space="preserve"> </w:t>
      </w:r>
      <w:r w:rsidR="00036FAC" w:rsidRPr="00036FAC">
        <w:t>children;</w:t>
      </w:r>
      <w:r w:rsidR="00907D8C">
        <w:t xml:space="preserve"> </w:t>
      </w:r>
      <w:r w:rsidR="00036FAC" w:rsidRPr="00036FAC">
        <w:t>limited</w:t>
      </w:r>
      <w:r w:rsidR="00907D8C">
        <w:t xml:space="preserve"> </w:t>
      </w:r>
      <w:r w:rsidR="00036FAC" w:rsidRPr="00036FAC">
        <w:t>emergency</w:t>
      </w:r>
      <w:r w:rsidR="00907D8C">
        <w:t xml:space="preserve"> </w:t>
      </w:r>
      <w:r w:rsidR="00036FAC" w:rsidRPr="00036FAC">
        <w:t>dental</w:t>
      </w:r>
      <w:r w:rsidR="00907D8C">
        <w:t xml:space="preserve"> </w:t>
      </w:r>
      <w:r w:rsidR="00036FAC" w:rsidRPr="00036FAC">
        <w:t>care</w:t>
      </w:r>
      <w:r w:rsidR="00907D8C">
        <w:t xml:space="preserve"> </w:t>
      </w:r>
      <w:r w:rsidR="00036FAC" w:rsidRPr="00036FAC">
        <w:t>for</w:t>
      </w:r>
      <w:r w:rsidR="00907D8C">
        <w:t xml:space="preserve"> </w:t>
      </w:r>
      <w:r w:rsidR="00036FAC" w:rsidRPr="00036FAC">
        <w:t>vulnerable</w:t>
      </w:r>
      <w:r w:rsidR="00907D8C">
        <w:t xml:space="preserve"> </w:t>
      </w:r>
      <w:r w:rsidR="00036FAC" w:rsidRPr="00036FAC">
        <w:t>adults;</w:t>
      </w:r>
      <w:r w:rsidR="00907D8C">
        <w:t xml:space="preserve"> </w:t>
      </w:r>
      <w:r w:rsidR="00036FAC" w:rsidRPr="00036FAC">
        <w:t>and</w:t>
      </w:r>
      <w:r w:rsidR="00907D8C">
        <w:t xml:space="preserve"> </w:t>
      </w:r>
      <w:r w:rsidR="00036FAC" w:rsidRPr="00036FAC">
        <w:t>disability</w:t>
      </w:r>
      <w:r w:rsidR="00907D8C">
        <w:t xml:space="preserve"> </w:t>
      </w:r>
      <w:r w:rsidR="00036FAC" w:rsidRPr="00036FAC">
        <w:t>support</w:t>
      </w:r>
      <w:r w:rsidR="00907D8C">
        <w:t xml:space="preserve"> </w:t>
      </w:r>
      <w:r w:rsidR="00036FAC" w:rsidRPr="00036FAC">
        <w:t>services;</w:t>
      </w:r>
    </w:p>
    <w:p w:rsidR="00036FAC" w:rsidRPr="00036FAC" w:rsidRDefault="00CB1E9A" w:rsidP="00CB1E9A">
      <w:pPr>
        <w:pStyle w:val="SingleTxtG"/>
      </w:pPr>
      <w:r>
        <w:tab/>
      </w:r>
      <w:r w:rsidR="00036FAC" w:rsidRPr="00036FAC">
        <w:t>(d)</w:t>
      </w:r>
      <w:r w:rsidR="00036FAC" w:rsidRPr="00036FAC">
        <w:tab/>
        <w:t>Publicly</w:t>
      </w:r>
      <w:r w:rsidR="00907D8C">
        <w:t xml:space="preserve"> </w:t>
      </w:r>
      <w:r w:rsidR="00036FAC" w:rsidRPr="00036FAC">
        <w:t>funded</w:t>
      </w:r>
      <w:r w:rsidR="00907D8C">
        <w:t xml:space="preserve"> </w:t>
      </w:r>
      <w:r w:rsidR="00036FAC" w:rsidRPr="00036FAC">
        <w:t>rental</w:t>
      </w:r>
      <w:r w:rsidR="00907D8C">
        <w:t xml:space="preserve"> </w:t>
      </w:r>
      <w:r w:rsidR="00036FAC" w:rsidRPr="00036FAC">
        <w:t>homes</w:t>
      </w:r>
      <w:r w:rsidR="00907D8C">
        <w:t xml:space="preserve"> </w:t>
      </w:r>
      <w:r w:rsidR="00036FAC" w:rsidRPr="00036FAC">
        <w:t>for</w:t>
      </w:r>
      <w:r w:rsidR="00907D8C">
        <w:t xml:space="preserve"> </w:t>
      </w:r>
      <w:r w:rsidR="00036FAC" w:rsidRPr="00036FAC">
        <w:t>people</w:t>
      </w:r>
      <w:r w:rsidR="00907D8C">
        <w:t xml:space="preserve"> </w:t>
      </w:r>
      <w:r w:rsidR="00036FAC" w:rsidRPr="00036FAC">
        <w:t>on</w:t>
      </w:r>
      <w:r w:rsidR="00907D8C">
        <w:t xml:space="preserve"> </w:t>
      </w:r>
      <w:r w:rsidR="00036FAC" w:rsidRPr="00036FAC">
        <w:t>low</w:t>
      </w:r>
      <w:r w:rsidR="00907D8C">
        <w:t xml:space="preserve"> </w:t>
      </w:r>
      <w:r w:rsidR="00036FAC" w:rsidRPr="00036FAC">
        <w:t>incomes</w:t>
      </w:r>
      <w:r w:rsidR="00907D8C">
        <w:t xml:space="preserve"> </w:t>
      </w:r>
      <w:r w:rsidR="00036FAC" w:rsidRPr="00036FAC">
        <w:t>or</w:t>
      </w:r>
      <w:r w:rsidR="00907D8C">
        <w:t xml:space="preserve"> </w:t>
      </w:r>
      <w:r w:rsidR="00036FAC" w:rsidRPr="00036FAC">
        <w:t>with</w:t>
      </w:r>
      <w:r w:rsidR="00907D8C">
        <w:t xml:space="preserve"> </w:t>
      </w:r>
      <w:r w:rsidR="00036FAC" w:rsidRPr="00036FAC">
        <w:t>special</w:t>
      </w:r>
      <w:r w:rsidR="00907D8C">
        <w:t xml:space="preserve"> </w:t>
      </w:r>
      <w:r w:rsidR="00036FAC" w:rsidRPr="00036FAC">
        <w:t>housing</w:t>
      </w:r>
      <w:r w:rsidR="00907D8C">
        <w:t xml:space="preserve"> </w:t>
      </w:r>
      <w:r w:rsidR="00036FAC" w:rsidRPr="00036FAC">
        <w:t>needs.</w:t>
      </w:r>
      <w:r w:rsidR="00907D8C">
        <w:t xml:space="preserve"> </w:t>
      </w:r>
      <w:r w:rsidR="00036FAC" w:rsidRPr="00036FAC">
        <w:t>The</w:t>
      </w:r>
      <w:r w:rsidR="00907D8C">
        <w:t xml:space="preserve"> </w:t>
      </w:r>
      <w:r w:rsidR="00036FAC" w:rsidRPr="00036FAC">
        <w:t>Government</w:t>
      </w:r>
      <w:r w:rsidR="00907D8C">
        <w:t xml:space="preserve"> </w:t>
      </w:r>
      <w:r w:rsidR="00036FAC" w:rsidRPr="00036FAC">
        <w:t>owns</w:t>
      </w:r>
      <w:r w:rsidR="00907D8C">
        <w:t xml:space="preserve"> </w:t>
      </w:r>
      <w:r w:rsidR="00036FAC" w:rsidRPr="00036FAC">
        <w:t>or</w:t>
      </w:r>
      <w:r w:rsidR="00907D8C">
        <w:t xml:space="preserve"> </w:t>
      </w:r>
      <w:r w:rsidR="00036FAC" w:rsidRPr="00036FAC">
        <w:t>manages</w:t>
      </w:r>
      <w:r w:rsidR="00907D8C">
        <w:t xml:space="preserve"> </w:t>
      </w:r>
      <w:r w:rsidR="00036FAC" w:rsidRPr="00036FAC">
        <w:t>more</w:t>
      </w:r>
      <w:r w:rsidR="00907D8C">
        <w:t xml:space="preserve"> </w:t>
      </w:r>
      <w:r w:rsidR="00036FAC" w:rsidRPr="00036FAC">
        <w:t>than</w:t>
      </w:r>
      <w:r w:rsidR="00907D8C">
        <w:t xml:space="preserve"> </w:t>
      </w:r>
      <w:r w:rsidR="00036FAC" w:rsidRPr="00036FAC">
        <w:t>66,000</w:t>
      </w:r>
      <w:r w:rsidR="00907D8C">
        <w:t xml:space="preserve"> </w:t>
      </w:r>
      <w:r w:rsidR="00036FAC" w:rsidRPr="00036FAC">
        <w:t>rental</w:t>
      </w:r>
      <w:r w:rsidR="00907D8C">
        <w:t xml:space="preserve"> </w:t>
      </w:r>
      <w:r w:rsidR="00036FAC" w:rsidRPr="00036FAC">
        <w:t>properties</w:t>
      </w:r>
      <w:r w:rsidR="00907D8C">
        <w:t xml:space="preserve"> </w:t>
      </w:r>
      <w:r w:rsidR="00036FAC" w:rsidRPr="00036FAC">
        <w:t>nationwide,</w:t>
      </w:r>
      <w:r w:rsidR="00907D8C">
        <w:t xml:space="preserve"> </w:t>
      </w:r>
      <w:r w:rsidR="00036FAC" w:rsidRPr="00036FAC">
        <w:t>including</w:t>
      </w:r>
      <w:r w:rsidR="00907D8C">
        <w:t xml:space="preserve"> </w:t>
      </w:r>
      <w:r w:rsidR="00036FAC" w:rsidRPr="00036FAC">
        <w:t>approximately</w:t>
      </w:r>
      <w:r w:rsidR="00907D8C">
        <w:t xml:space="preserve"> </w:t>
      </w:r>
      <w:r w:rsidR="00036FAC" w:rsidRPr="00036FAC">
        <w:t>1,500</w:t>
      </w:r>
      <w:r w:rsidR="00907D8C">
        <w:t xml:space="preserve"> </w:t>
      </w:r>
      <w:r w:rsidR="00036FAC" w:rsidRPr="00036FAC">
        <w:t>homes</w:t>
      </w:r>
      <w:r w:rsidR="00907D8C">
        <w:t xml:space="preserve"> </w:t>
      </w:r>
      <w:r w:rsidR="00036FAC" w:rsidRPr="00036FAC">
        <w:t>for</w:t>
      </w:r>
      <w:r w:rsidR="00907D8C">
        <w:t xml:space="preserve"> </w:t>
      </w:r>
      <w:r w:rsidR="00036FAC" w:rsidRPr="00036FAC">
        <w:t>community</w:t>
      </w:r>
      <w:r w:rsidR="00907D8C">
        <w:t xml:space="preserve"> </w:t>
      </w:r>
      <w:r w:rsidR="00036FAC" w:rsidRPr="00036FAC">
        <w:t>groups</w:t>
      </w:r>
      <w:r w:rsidR="00907D8C">
        <w:t xml:space="preserve"> </w:t>
      </w:r>
      <w:r w:rsidR="00036FAC" w:rsidRPr="00036FAC">
        <w:t>providing</w:t>
      </w:r>
      <w:r w:rsidR="00907D8C">
        <w:t xml:space="preserve"> </w:t>
      </w:r>
      <w:r w:rsidR="00036FAC" w:rsidRPr="00036FAC">
        <w:t>residential</w:t>
      </w:r>
      <w:r w:rsidR="00907D8C">
        <w:t xml:space="preserve"> </w:t>
      </w:r>
      <w:r w:rsidR="00036FAC" w:rsidRPr="00036FAC">
        <w:t>services</w:t>
      </w:r>
      <w:r w:rsidR="00907D8C">
        <w:t xml:space="preserve"> </w:t>
      </w:r>
      <w:r w:rsidR="00036FAC" w:rsidRPr="00036FAC">
        <w:t>and</w:t>
      </w:r>
      <w:r w:rsidR="00907D8C">
        <w:t xml:space="preserve"> </w:t>
      </w:r>
      <w:r w:rsidR="00036FAC" w:rsidRPr="00036FAC">
        <w:t>provides</w:t>
      </w:r>
      <w:r w:rsidR="00907D8C">
        <w:t xml:space="preserve"> </w:t>
      </w:r>
      <w:r w:rsidR="00036FAC" w:rsidRPr="00036FAC">
        <w:t>home</w:t>
      </w:r>
      <w:r w:rsidR="00907D8C">
        <w:t xml:space="preserve"> </w:t>
      </w:r>
      <w:r w:rsidR="00036FAC" w:rsidRPr="00036FAC">
        <w:t>ownership</w:t>
      </w:r>
      <w:r w:rsidR="00907D8C">
        <w:t xml:space="preserve"> </w:t>
      </w:r>
      <w:r w:rsidR="00036FAC" w:rsidRPr="00036FAC">
        <w:t>loans</w:t>
      </w:r>
      <w:r w:rsidR="00907D8C">
        <w:t xml:space="preserve"> </w:t>
      </w:r>
      <w:r w:rsidR="00036FAC" w:rsidRPr="00036FAC">
        <w:t>for</w:t>
      </w:r>
      <w:r w:rsidR="00907D8C">
        <w:t xml:space="preserve"> </w:t>
      </w:r>
      <w:r w:rsidR="00036FAC" w:rsidRPr="00036FAC">
        <w:t>people</w:t>
      </w:r>
      <w:r w:rsidR="00907D8C">
        <w:t xml:space="preserve"> </w:t>
      </w:r>
      <w:r w:rsidR="00036FAC" w:rsidRPr="00036FAC">
        <w:t>on</w:t>
      </w:r>
      <w:r w:rsidR="00907D8C">
        <w:t xml:space="preserve"> </w:t>
      </w:r>
      <w:r w:rsidR="00036FAC" w:rsidRPr="00036FAC">
        <w:t>low-to-medium</w:t>
      </w:r>
      <w:r w:rsidR="00907D8C">
        <w:t xml:space="preserve"> </w:t>
      </w:r>
      <w:r w:rsidR="00036FAC" w:rsidRPr="00036FAC">
        <w:t>incomes.</w:t>
      </w:r>
    </w:p>
    <w:p w:rsidR="00036FAC" w:rsidRPr="00036FAC" w:rsidRDefault="00036FAC" w:rsidP="00CB1E9A">
      <w:pPr>
        <w:pStyle w:val="SingleTxtG"/>
      </w:pPr>
      <w:r w:rsidRPr="00036FAC">
        <w:t>247.</w:t>
      </w:r>
      <w:r w:rsidRPr="00036FAC">
        <w:tab/>
        <w:t>The</w:t>
      </w:r>
      <w:r w:rsidR="00907D8C">
        <w:t xml:space="preserve"> </w:t>
      </w:r>
      <w:r w:rsidRPr="00036FAC">
        <w:t>Government</w:t>
      </w:r>
      <w:r w:rsidR="00907D8C">
        <w:t xml:space="preserve"> </w:t>
      </w:r>
      <w:r w:rsidRPr="00036FAC">
        <w:t>provides</w:t>
      </w:r>
      <w:r w:rsidR="00907D8C">
        <w:t xml:space="preserve"> </w:t>
      </w:r>
      <w:r w:rsidRPr="00036FAC">
        <w:t>over</w:t>
      </w:r>
      <w:r w:rsidR="00907D8C">
        <w:t xml:space="preserve"> </w:t>
      </w:r>
      <w:r w:rsidRPr="00036FAC">
        <w:t>70</w:t>
      </w:r>
      <w:r w:rsidR="00907D8C">
        <w:t xml:space="preserve"> </w:t>
      </w:r>
      <w:r w:rsidRPr="00036FAC">
        <w:t>different</w:t>
      </w:r>
      <w:r w:rsidR="00907D8C">
        <w:t xml:space="preserve"> </w:t>
      </w:r>
      <w:r w:rsidRPr="00036FAC">
        <w:t>grants,</w:t>
      </w:r>
      <w:r w:rsidR="00907D8C">
        <w:t xml:space="preserve"> </w:t>
      </w:r>
      <w:r w:rsidRPr="00036FAC">
        <w:t>benefits,</w:t>
      </w:r>
      <w:r w:rsidR="00907D8C">
        <w:t xml:space="preserve"> </w:t>
      </w:r>
      <w:r w:rsidRPr="00036FAC">
        <w:t>and</w:t>
      </w:r>
      <w:r w:rsidR="00907D8C">
        <w:t xml:space="preserve"> </w:t>
      </w:r>
      <w:r w:rsidRPr="00036FAC">
        <w:t>allowances</w:t>
      </w:r>
      <w:r w:rsidR="00907D8C">
        <w:t xml:space="preserve"> </w:t>
      </w:r>
      <w:r w:rsidRPr="00036FAC">
        <w:t>that</w:t>
      </w:r>
      <w:r w:rsidR="00907D8C">
        <w:t xml:space="preserve"> </w:t>
      </w:r>
      <w:r w:rsidRPr="00036FAC">
        <w:t>assist</w:t>
      </w:r>
      <w:r w:rsidR="00907D8C">
        <w:t xml:space="preserve"> </w:t>
      </w:r>
      <w:r w:rsidRPr="00036FAC">
        <w:t>families</w:t>
      </w:r>
      <w:r w:rsidR="00907D8C">
        <w:t xml:space="preserve"> </w:t>
      </w:r>
      <w:r w:rsidRPr="00036FAC">
        <w:t>and</w:t>
      </w:r>
      <w:r w:rsidR="00907D8C">
        <w:t xml:space="preserve"> </w:t>
      </w:r>
      <w:r w:rsidRPr="00036FAC">
        <w:t>individuals</w:t>
      </w:r>
      <w:r w:rsidR="00907D8C">
        <w:t xml:space="preserve"> </w:t>
      </w:r>
      <w:r w:rsidRPr="00036FAC">
        <w:t>to</w:t>
      </w:r>
      <w:r w:rsidR="00907D8C">
        <w:t xml:space="preserve"> </w:t>
      </w:r>
      <w:r w:rsidRPr="00036FAC">
        <w:t>provide</w:t>
      </w:r>
      <w:r w:rsidR="00907D8C">
        <w:t xml:space="preserve"> </w:t>
      </w:r>
      <w:r w:rsidRPr="00036FAC">
        <w:t>for</w:t>
      </w:r>
      <w:r w:rsidR="00907D8C">
        <w:t xml:space="preserve"> </w:t>
      </w:r>
      <w:r w:rsidRPr="00036FAC">
        <w:t>themselves.</w:t>
      </w:r>
      <w:r w:rsidR="00907D8C">
        <w:t xml:space="preserve"> </w:t>
      </w:r>
      <w:r w:rsidRPr="00036FAC">
        <w:t>These</w:t>
      </w:r>
      <w:r w:rsidR="00907D8C">
        <w:t xml:space="preserve"> </w:t>
      </w:r>
      <w:r w:rsidRPr="00036FAC">
        <w:t>include</w:t>
      </w:r>
      <w:r w:rsidR="00907D8C">
        <w:t xml:space="preserve"> </w:t>
      </w:r>
      <w:r w:rsidRPr="00036FAC">
        <w:t>a</w:t>
      </w:r>
      <w:r w:rsidR="00907D8C">
        <w:t xml:space="preserve"> </w:t>
      </w:r>
      <w:r w:rsidRPr="00036FAC">
        <w:t>study</w:t>
      </w:r>
      <w:r w:rsidR="00907D8C">
        <w:t xml:space="preserve"> </w:t>
      </w:r>
      <w:r w:rsidRPr="00036FAC">
        <w:t>assistance</w:t>
      </w:r>
      <w:r w:rsidR="00907D8C">
        <w:t xml:space="preserve"> </w:t>
      </w:r>
      <w:r w:rsidRPr="00036FAC">
        <w:t>grant</w:t>
      </w:r>
      <w:r w:rsidR="00907D8C">
        <w:t xml:space="preserve"> </w:t>
      </w:r>
      <w:r w:rsidRPr="00036FAC">
        <w:t>that</w:t>
      </w:r>
      <w:r w:rsidR="00907D8C">
        <w:t xml:space="preserve"> </w:t>
      </w:r>
      <w:r w:rsidRPr="00036FAC">
        <w:t>helps</w:t>
      </w:r>
      <w:r w:rsidR="00907D8C">
        <w:t xml:space="preserve"> </w:t>
      </w:r>
      <w:r w:rsidRPr="00036FAC">
        <w:t>people</w:t>
      </w:r>
      <w:r w:rsidR="00907D8C">
        <w:t xml:space="preserve"> </w:t>
      </w:r>
      <w:r w:rsidRPr="00036FAC">
        <w:t>who</w:t>
      </w:r>
      <w:r w:rsidR="00907D8C">
        <w:t xml:space="preserve"> </w:t>
      </w:r>
      <w:r w:rsidRPr="00036FAC">
        <w:t>wish</w:t>
      </w:r>
      <w:r w:rsidR="00907D8C">
        <w:t xml:space="preserve"> </w:t>
      </w:r>
      <w:r w:rsidRPr="00036FAC">
        <w:t>to</w:t>
      </w:r>
      <w:r w:rsidR="00907D8C">
        <w:t xml:space="preserve"> </w:t>
      </w:r>
      <w:r w:rsidRPr="00036FAC">
        <w:t>start</w:t>
      </w:r>
      <w:r w:rsidR="00907D8C">
        <w:t xml:space="preserve"> </w:t>
      </w:r>
      <w:r w:rsidRPr="00036FAC">
        <w:t>up</w:t>
      </w:r>
      <w:r w:rsidR="00907D8C">
        <w:t xml:space="preserve"> </w:t>
      </w:r>
      <w:r w:rsidRPr="00036FAC">
        <w:t>their</w:t>
      </w:r>
      <w:r w:rsidR="00907D8C">
        <w:t xml:space="preserve"> </w:t>
      </w:r>
      <w:r w:rsidRPr="00036FAC">
        <w:t>own</w:t>
      </w:r>
      <w:r w:rsidR="00907D8C">
        <w:t xml:space="preserve"> </w:t>
      </w:r>
      <w:r w:rsidRPr="00036FAC">
        <w:t>business,</w:t>
      </w:r>
      <w:r w:rsidR="00907D8C">
        <w:t xml:space="preserve"> </w:t>
      </w:r>
      <w:r w:rsidRPr="00036FAC">
        <w:t>funding</w:t>
      </w:r>
      <w:r w:rsidR="00907D8C">
        <w:t xml:space="preserve"> </w:t>
      </w:r>
      <w:r w:rsidRPr="00036FAC">
        <w:t>for</w:t>
      </w:r>
      <w:r w:rsidR="00907D8C">
        <w:t xml:space="preserve"> </w:t>
      </w:r>
      <w:r w:rsidRPr="00036FAC">
        <w:t>attendance</w:t>
      </w:r>
      <w:r w:rsidR="00907D8C">
        <w:t xml:space="preserve"> </w:t>
      </w:r>
      <w:r w:rsidRPr="00036FAC">
        <w:t>at</w:t>
      </w:r>
      <w:r w:rsidR="00907D8C">
        <w:t xml:space="preserve"> </w:t>
      </w:r>
      <w:r w:rsidRPr="00036FAC">
        <w:t>short-term</w:t>
      </w:r>
      <w:r w:rsidR="00907D8C">
        <w:t xml:space="preserve"> </w:t>
      </w:r>
      <w:r w:rsidRPr="00036FAC">
        <w:t>employment-related</w:t>
      </w:r>
      <w:r w:rsidR="00907D8C">
        <w:t xml:space="preserve"> </w:t>
      </w:r>
      <w:r w:rsidRPr="00036FAC">
        <w:t>training</w:t>
      </w:r>
      <w:r w:rsidR="00907D8C">
        <w:t xml:space="preserve"> </w:t>
      </w:r>
      <w:r w:rsidRPr="00036FAC">
        <w:t>courses,</w:t>
      </w:r>
      <w:r w:rsidR="00907D8C">
        <w:t xml:space="preserve"> </w:t>
      </w:r>
      <w:r w:rsidRPr="00036FAC">
        <w:t>and</w:t>
      </w:r>
      <w:r w:rsidR="00907D8C">
        <w:t xml:space="preserve"> </w:t>
      </w:r>
      <w:r w:rsidRPr="00036FAC">
        <w:t>a</w:t>
      </w:r>
      <w:r w:rsidR="00907D8C">
        <w:t xml:space="preserve"> </w:t>
      </w:r>
      <w:r w:rsidRPr="00036FAC">
        <w:t>wide</w:t>
      </w:r>
      <w:r w:rsidR="00907D8C">
        <w:t xml:space="preserve"> </w:t>
      </w:r>
      <w:r w:rsidRPr="00036FAC">
        <w:t>range</w:t>
      </w:r>
      <w:r w:rsidR="00907D8C">
        <w:t xml:space="preserve"> </w:t>
      </w:r>
      <w:r w:rsidRPr="00036FAC">
        <w:t>of</w:t>
      </w:r>
      <w:r w:rsidR="00907D8C">
        <w:t xml:space="preserve"> </w:t>
      </w:r>
      <w:r w:rsidRPr="00036FAC">
        <w:t>special</w:t>
      </w:r>
      <w:r w:rsidR="00907D8C">
        <w:t xml:space="preserve"> </w:t>
      </w:r>
      <w:r w:rsidRPr="00036FAC">
        <w:t>needs</w:t>
      </w:r>
      <w:r w:rsidR="00907D8C">
        <w:t xml:space="preserve"> </w:t>
      </w:r>
      <w:r w:rsidRPr="00036FAC">
        <w:t>grants.</w:t>
      </w:r>
    </w:p>
    <w:p w:rsidR="00036FAC" w:rsidRPr="00036FAC" w:rsidRDefault="00036FAC" w:rsidP="00CB1E9A">
      <w:pPr>
        <w:pStyle w:val="SingleTxtG"/>
      </w:pPr>
      <w:r w:rsidRPr="00036FAC">
        <w:t>248.</w:t>
      </w:r>
      <w:r w:rsidRPr="00036FAC">
        <w:tab/>
        <w:t>New</w:t>
      </w:r>
      <w:r w:rsidR="00907D8C">
        <w:t xml:space="preserve"> </w:t>
      </w:r>
      <w:r w:rsidRPr="00036FAC">
        <w:t>Zealand</w:t>
      </w:r>
      <w:r w:rsidR="00907D8C">
        <w:t xml:space="preserve"> </w:t>
      </w:r>
      <w:r w:rsidRPr="00036FAC">
        <w:t>benefits</w:t>
      </w:r>
      <w:r w:rsidR="00907D8C">
        <w:t xml:space="preserve"> </w:t>
      </w:r>
      <w:r w:rsidRPr="00036FAC">
        <w:t>and</w:t>
      </w:r>
      <w:r w:rsidR="00907D8C">
        <w:t xml:space="preserve"> </w:t>
      </w:r>
      <w:r w:rsidRPr="00036FAC">
        <w:t>assistance</w:t>
      </w:r>
      <w:r w:rsidR="00907D8C">
        <w:t xml:space="preserve"> </w:t>
      </w:r>
      <w:r w:rsidRPr="00036FAC">
        <w:t>are</w:t>
      </w:r>
      <w:r w:rsidR="00907D8C">
        <w:t xml:space="preserve"> </w:t>
      </w:r>
      <w:r w:rsidRPr="00036FAC">
        <w:t>annually</w:t>
      </w:r>
      <w:r w:rsidR="00907D8C">
        <w:t xml:space="preserve"> </w:t>
      </w:r>
      <w:r w:rsidRPr="00036FAC">
        <w:t>adjusted</w:t>
      </w:r>
      <w:r w:rsidR="00907D8C">
        <w:t xml:space="preserve"> </w:t>
      </w:r>
      <w:r w:rsidRPr="00036FAC">
        <w:t>with</w:t>
      </w:r>
      <w:r w:rsidR="00907D8C">
        <w:t xml:space="preserve"> </w:t>
      </w:r>
      <w:r w:rsidRPr="00036FAC">
        <w:t>the</w:t>
      </w:r>
      <w:r w:rsidR="00907D8C">
        <w:t xml:space="preserve"> </w:t>
      </w:r>
      <w:r w:rsidRPr="00036FAC">
        <w:t>Consumers</w:t>
      </w:r>
      <w:r w:rsidR="00907D8C">
        <w:t xml:space="preserve"> </w:t>
      </w:r>
      <w:r w:rsidRPr="00036FAC">
        <w:t>Price</w:t>
      </w:r>
      <w:r w:rsidR="00907D8C">
        <w:t xml:space="preserve"> </w:t>
      </w:r>
      <w:r w:rsidRPr="00036FAC">
        <w:t>Index.</w:t>
      </w:r>
      <w:r w:rsidR="00907D8C">
        <w:t xml:space="preserve"> </w:t>
      </w:r>
      <w:r w:rsidRPr="00036FAC">
        <w:t>Old-age</w:t>
      </w:r>
      <w:r w:rsidR="00907D8C">
        <w:t xml:space="preserve"> </w:t>
      </w:r>
      <w:r w:rsidRPr="00036FAC">
        <w:t>pensions</w:t>
      </w:r>
      <w:r w:rsidR="00907D8C">
        <w:t xml:space="preserve"> </w:t>
      </w:r>
      <w:r w:rsidRPr="00036FAC">
        <w:t>are</w:t>
      </w:r>
      <w:r w:rsidR="00907D8C">
        <w:t xml:space="preserve"> </w:t>
      </w:r>
      <w:r w:rsidRPr="00036FAC">
        <w:t>further</w:t>
      </w:r>
      <w:r w:rsidR="00907D8C">
        <w:t xml:space="preserve"> </w:t>
      </w:r>
      <w:r w:rsidRPr="00036FAC">
        <w:t>adjusted</w:t>
      </w:r>
      <w:r w:rsidR="00907D8C">
        <w:t xml:space="preserve"> </w:t>
      </w:r>
      <w:r w:rsidRPr="00036FAC">
        <w:t>to</w:t>
      </w:r>
      <w:r w:rsidR="00907D8C">
        <w:t xml:space="preserve"> </w:t>
      </w:r>
      <w:r w:rsidRPr="00036FAC">
        <w:t>meet</w:t>
      </w:r>
      <w:r w:rsidR="00907D8C">
        <w:t xml:space="preserve"> </w:t>
      </w:r>
      <w:r w:rsidRPr="00036FAC">
        <w:t>66</w:t>
      </w:r>
      <w:r w:rsidR="00907D8C">
        <w:t xml:space="preserve"> </w:t>
      </w:r>
      <w:r w:rsidR="001B201B">
        <w:t>per</w:t>
      </w:r>
      <w:r w:rsidR="00907D8C">
        <w:t xml:space="preserve"> </w:t>
      </w:r>
      <w:r w:rsidR="001B201B">
        <w:t>cent</w:t>
      </w:r>
      <w:r w:rsidR="00907D8C">
        <w:t xml:space="preserve"> </w:t>
      </w:r>
      <w:r w:rsidRPr="00036FAC">
        <w:t>of</w:t>
      </w:r>
      <w:r w:rsidR="00907D8C">
        <w:t xml:space="preserve"> </w:t>
      </w:r>
      <w:r w:rsidRPr="00036FAC">
        <w:t>the</w:t>
      </w:r>
      <w:r w:rsidR="00907D8C">
        <w:t xml:space="preserve"> </w:t>
      </w:r>
      <w:r w:rsidRPr="00036FAC">
        <w:t>average</w:t>
      </w:r>
      <w:r w:rsidR="00907D8C">
        <w:t xml:space="preserve"> </w:t>
      </w:r>
      <w:r w:rsidRPr="00036FAC">
        <w:t>general</w:t>
      </w:r>
      <w:r w:rsidR="00907D8C">
        <w:t xml:space="preserve"> </w:t>
      </w:r>
      <w:r w:rsidRPr="00036FAC">
        <w:t>wage,</w:t>
      </w:r>
      <w:r w:rsidR="00907D8C">
        <w:t xml:space="preserve"> </w:t>
      </w:r>
      <w:r w:rsidRPr="00036FAC">
        <w:t>as</w:t>
      </w:r>
      <w:r w:rsidR="00907D8C">
        <w:t xml:space="preserve"> </w:t>
      </w:r>
      <w:r w:rsidRPr="00036FAC">
        <w:t>per</w:t>
      </w:r>
      <w:r w:rsidR="00907D8C">
        <w:t xml:space="preserve"> </w:t>
      </w:r>
      <w:r w:rsidRPr="00036FAC">
        <w:t>legislation.</w:t>
      </w:r>
    </w:p>
    <w:p w:rsidR="00036FAC" w:rsidRPr="00036FAC" w:rsidRDefault="00036FAC" w:rsidP="00CB1E9A">
      <w:pPr>
        <w:pStyle w:val="SingleTxtG"/>
      </w:pPr>
      <w:r w:rsidRPr="00036FAC">
        <w:t>249.</w:t>
      </w:r>
      <w:r w:rsidRPr="00036FAC">
        <w:tab/>
        <w:t>Vulnerable</w:t>
      </w:r>
      <w:r w:rsidR="00907D8C">
        <w:t xml:space="preserve"> </w:t>
      </w:r>
      <w:r w:rsidRPr="00036FAC">
        <w:t>children</w:t>
      </w:r>
      <w:r w:rsidR="00907D8C">
        <w:t xml:space="preserve"> </w:t>
      </w:r>
      <w:r w:rsidRPr="00036FAC">
        <w:t>are</w:t>
      </w:r>
      <w:r w:rsidR="00907D8C">
        <w:t xml:space="preserve"> </w:t>
      </w:r>
      <w:r w:rsidRPr="00036FAC">
        <w:t>a</w:t>
      </w:r>
      <w:r w:rsidR="00907D8C">
        <w:t xml:space="preserve"> </w:t>
      </w:r>
      <w:r w:rsidRPr="00036FAC">
        <w:t>key</w:t>
      </w:r>
      <w:r w:rsidR="00907D8C">
        <w:t xml:space="preserve"> </w:t>
      </w:r>
      <w:r w:rsidRPr="00036FAC">
        <w:t>focus</w:t>
      </w:r>
      <w:r w:rsidR="00907D8C">
        <w:t xml:space="preserve"> </w:t>
      </w:r>
      <w:r w:rsidRPr="00036FAC">
        <w:t>of</w:t>
      </w:r>
      <w:r w:rsidR="00907D8C">
        <w:t xml:space="preserve"> </w:t>
      </w:r>
      <w:r w:rsidRPr="00036FAC">
        <w:t>social</w:t>
      </w:r>
      <w:r w:rsidR="00907D8C">
        <w:t xml:space="preserve"> </w:t>
      </w:r>
      <w:r w:rsidRPr="00036FAC">
        <w:t>policy</w:t>
      </w:r>
      <w:r w:rsidR="00907D8C">
        <w:t xml:space="preserve"> </w:t>
      </w:r>
      <w:r w:rsidRPr="00036FAC">
        <w:t>in</w:t>
      </w:r>
      <w:r w:rsidR="00907D8C">
        <w:t xml:space="preserve"> </w:t>
      </w:r>
      <w:r w:rsidRPr="00036FAC">
        <w:t>New</w:t>
      </w:r>
      <w:r w:rsidR="00907D8C">
        <w:t xml:space="preserve"> </w:t>
      </w:r>
      <w:r w:rsidRPr="00036FAC">
        <w:t>Zealand.</w:t>
      </w:r>
      <w:r w:rsidR="00907D8C">
        <w:t xml:space="preserve"> </w:t>
      </w:r>
      <w:r w:rsidRPr="00036FAC">
        <w:t>General</w:t>
      </w:r>
      <w:r w:rsidR="00907D8C">
        <w:t xml:space="preserve"> </w:t>
      </w:r>
      <w:r w:rsidRPr="00036FAC">
        <w:t>benefits</w:t>
      </w:r>
      <w:r w:rsidR="00907D8C">
        <w:t xml:space="preserve"> </w:t>
      </w:r>
      <w:r w:rsidRPr="00036FAC">
        <w:t>exist</w:t>
      </w:r>
      <w:r w:rsidR="00907D8C">
        <w:t xml:space="preserve"> </w:t>
      </w:r>
      <w:r w:rsidRPr="00036FAC">
        <w:t>to</w:t>
      </w:r>
      <w:r w:rsidR="00907D8C">
        <w:t xml:space="preserve"> </w:t>
      </w:r>
      <w:r w:rsidRPr="00036FAC">
        <w:t>assist</w:t>
      </w:r>
      <w:r w:rsidR="00907D8C">
        <w:t xml:space="preserve"> </w:t>
      </w:r>
      <w:r w:rsidRPr="00036FAC">
        <w:t>families</w:t>
      </w:r>
      <w:r w:rsidR="00907D8C">
        <w:t xml:space="preserve"> </w:t>
      </w:r>
      <w:r w:rsidRPr="00036FAC">
        <w:t>with</w:t>
      </w:r>
      <w:r w:rsidR="00907D8C">
        <w:t xml:space="preserve"> </w:t>
      </w:r>
      <w:r w:rsidRPr="00036FAC">
        <w:t>children.</w:t>
      </w:r>
      <w:r w:rsidR="00907D8C">
        <w:t xml:space="preserve"> </w:t>
      </w:r>
      <w:r w:rsidRPr="00036FAC">
        <w:t>For</w:t>
      </w:r>
      <w:r w:rsidR="00907D8C">
        <w:t xml:space="preserve"> </w:t>
      </w:r>
      <w:r w:rsidRPr="00036FAC">
        <w:t>example,</w:t>
      </w:r>
      <w:r w:rsidR="00907D8C">
        <w:t xml:space="preserve"> </w:t>
      </w:r>
      <w:r w:rsidRPr="00036FAC">
        <w:t>childcare</w:t>
      </w:r>
      <w:r w:rsidR="00907D8C">
        <w:t xml:space="preserve"> </w:t>
      </w:r>
      <w:r w:rsidRPr="00036FAC">
        <w:t>subsidies</w:t>
      </w:r>
      <w:r w:rsidR="00907D8C">
        <w:t xml:space="preserve"> </w:t>
      </w:r>
      <w:r w:rsidRPr="00036FAC">
        <w:t>are</w:t>
      </w:r>
      <w:r w:rsidR="00907D8C">
        <w:t xml:space="preserve"> </w:t>
      </w:r>
      <w:r w:rsidRPr="00036FAC">
        <w:t>provided</w:t>
      </w:r>
      <w:r w:rsidR="00907D8C">
        <w:t xml:space="preserve"> </w:t>
      </w:r>
      <w:r w:rsidRPr="00036FAC">
        <w:t>to</w:t>
      </w:r>
      <w:r w:rsidR="00907D8C">
        <w:t xml:space="preserve"> </w:t>
      </w:r>
      <w:r w:rsidRPr="00036FAC">
        <w:t>help</w:t>
      </w:r>
      <w:r w:rsidR="00907D8C">
        <w:t xml:space="preserve"> </w:t>
      </w:r>
      <w:r w:rsidRPr="00036FAC">
        <w:t>families</w:t>
      </w:r>
      <w:r w:rsidR="00907D8C">
        <w:t xml:space="preserve"> </w:t>
      </w:r>
      <w:r w:rsidRPr="00036FAC">
        <w:t>with</w:t>
      </w:r>
      <w:r w:rsidR="00907D8C">
        <w:t xml:space="preserve"> </w:t>
      </w:r>
      <w:r w:rsidRPr="00036FAC">
        <w:t>the</w:t>
      </w:r>
      <w:r w:rsidR="00907D8C">
        <w:t xml:space="preserve"> </w:t>
      </w:r>
      <w:r w:rsidRPr="00036FAC">
        <w:t>cost</w:t>
      </w:r>
      <w:r w:rsidR="00907D8C">
        <w:t xml:space="preserve"> </w:t>
      </w:r>
      <w:r w:rsidRPr="00036FAC">
        <w:t>of</w:t>
      </w:r>
      <w:r w:rsidR="00907D8C">
        <w:t xml:space="preserve"> </w:t>
      </w:r>
      <w:r w:rsidR="00CB1E9A">
        <w:t>pre</w:t>
      </w:r>
      <w:r w:rsidRPr="00036FAC">
        <w:t>school</w:t>
      </w:r>
      <w:r w:rsidR="00907D8C">
        <w:t xml:space="preserve"> </w:t>
      </w:r>
      <w:r w:rsidRPr="00036FAC">
        <w:t>child</w:t>
      </w:r>
      <w:r w:rsidR="00907D8C">
        <w:t xml:space="preserve"> </w:t>
      </w:r>
      <w:r w:rsidRPr="00036FAC">
        <w:t>care</w:t>
      </w:r>
      <w:r w:rsidR="00907D8C">
        <w:t xml:space="preserve"> </w:t>
      </w:r>
      <w:r w:rsidRPr="00036FAC">
        <w:t>and</w:t>
      </w:r>
      <w:r w:rsidR="00907D8C">
        <w:t xml:space="preserve"> </w:t>
      </w:r>
      <w:r w:rsidRPr="00036FAC">
        <w:t>an</w:t>
      </w:r>
      <w:r w:rsidR="00907D8C">
        <w:t xml:space="preserve"> </w:t>
      </w:r>
      <w:r w:rsidRPr="00036FAC">
        <w:t>allowance</w:t>
      </w:r>
      <w:r w:rsidR="00907D8C">
        <w:t xml:space="preserve"> </w:t>
      </w:r>
      <w:r w:rsidRPr="00036FAC">
        <w:t>is</w:t>
      </w:r>
      <w:r w:rsidR="00907D8C">
        <w:t xml:space="preserve"> </w:t>
      </w:r>
      <w:r w:rsidRPr="00036FAC">
        <w:t>paid</w:t>
      </w:r>
      <w:r w:rsidR="00907D8C">
        <w:t xml:space="preserve"> </w:t>
      </w:r>
      <w:r w:rsidRPr="00036FAC">
        <w:t>to</w:t>
      </w:r>
      <w:r w:rsidR="00907D8C">
        <w:t xml:space="preserve"> </w:t>
      </w:r>
      <w:r w:rsidRPr="00036FAC">
        <w:t>the</w:t>
      </w:r>
      <w:r w:rsidR="00907D8C">
        <w:t xml:space="preserve"> </w:t>
      </w:r>
      <w:r w:rsidRPr="00036FAC">
        <w:t>main</w:t>
      </w:r>
      <w:r w:rsidR="00907D8C">
        <w:t xml:space="preserve"> </w:t>
      </w:r>
      <w:r w:rsidRPr="00036FAC">
        <w:t>carer</w:t>
      </w:r>
      <w:r w:rsidR="00907D8C">
        <w:t xml:space="preserve"> </w:t>
      </w:r>
      <w:r w:rsidRPr="00036FAC">
        <w:t>of</w:t>
      </w:r>
      <w:r w:rsidR="00907D8C">
        <w:t xml:space="preserve"> </w:t>
      </w:r>
      <w:r w:rsidRPr="00036FAC">
        <w:t>a</w:t>
      </w:r>
      <w:r w:rsidR="00907D8C">
        <w:t xml:space="preserve"> </w:t>
      </w:r>
      <w:r w:rsidRPr="00036FAC">
        <w:t>child</w:t>
      </w:r>
      <w:r w:rsidR="00907D8C">
        <w:t xml:space="preserve"> </w:t>
      </w:r>
      <w:r w:rsidRPr="00036FAC">
        <w:t>or</w:t>
      </w:r>
      <w:r w:rsidR="00907D8C">
        <w:t xml:space="preserve"> </w:t>
      </w:r>
      <w:r w:rsidRPr="00036FAC">
        <w:t>young</w:t>
      </w:r>
      <w:r w:rsidR="00907D8C">
        <w:t xml:space="preserve"> </w:t>
      </w:r>
      <w:r w:rsidRPr="00036FAC">
        <w:t>person</w:t>
      </w:r>
      <w:r w:rsidR="00907D8C">
        <w:t xml:space="preserve"> </w:t>
      </w:r>
      <w:r w:rsidRPr="00036FAC">
        <w:t>with</w:t>
      </w:r>
      <w:r w:rsidR="00907D8C">
        <w:t xml:space="preserve"> </w:t>
      </w:r>
      <w:r w:rsidRPr="00036FAC">
        <w:t>a</w:t>
      </w:r>
      <w:r w:rsidR="00907D8C">
        <w:t xml:space="preserve"> </w:t>
      </w:r>
      <w:r w:rsidRPr="00036FAC">
        <w:t>serious</w:t>
      </w:r>
      <w:r w:rsidR="00907D8C">
        <w:t xml:space="preserve"> </w:t>
      </w:r>
      <w:r w:rsidRPr="00036FAC">
        <w:t>disability.</w:t>
      </w:r>
      <w:r w:rsidR="00907D8C">
        <w:t xml:space="preserve"> </w:t>
      </w:r>
      <w:r w:rsidRPr="00036FAC">
        <w:t>Some</w:t>
      </w:r>
      <w:r w:rsidR="00907D8C">
        <w:t xml:space="preserve"> </w:t>
      </w:r>
      <w:r w:rsidRPr="00036FAC">
        <w:t>benefits</w:t>
      </w:r>
      <w:r w:rsidR="00907D8C">
        <w:t xml:space="preserve"> </w:t>
      </w:r>
      <w:r w:rsidRPr="00036FAC">
        <w:t>are</w:t>
      </w:r>
      <w:r w:rsidR="00907D8C">
        <w:t xml:space="preserve"> </w:t>
      </w:r>
      <w:r w:rsidRPr="00036FAC">
        <w:t>paid</w:t>
      </w:r>
      <w:r w:rsidR="00907D8C">
        <w:t xml:space="preserve"> </w:t>
      </w:r>
      <w:r w:rsidRPr="00036FAC">
        <w:t>to</w:t>
      </w:r>
      <w:r w:rsidR="00907D8C">
        <w:t xml:space="preserve"> </w:t>
      </w:r>
      <w:r w:rsidRPr="00036FAC">
        <w:t>families</w:t>
      </w:r>
      <w:r w:rsidR="00907D8C">
        <w:t xml:space="preserve"> </w:t>
      </w:r>
      <w:r w:rsidRPr="00036FAC">
        <w:t>who</w:t>
      </w:r>
      <w:r w:rsidR="00907D8C">
        <w:t xml:space="preserve"> </w:t>
      </w:r>
      <w:r w:rsidRPr="00036FAC">
        <w:t>are</w:t>
      </w:r>
      <w:r w:rsidR="00907D8C">
        <w:t xml:space="preserve"> </w:t>
      </w:r>
      <w:r w:rsidRPr="00036FAC">
        <w:t>enrolled</w:t>
      </w:r>
      <w:r w:rsidR="00907D8C">
        <w:t xml:space="preserve"> </w:t>
      </w:r>
      <w:r w:rsidRPr="00036FAC">
        <w:t>in</w:t>
      </w:r>
      <w:r w:rsidR="00907D8C">
        <w:t xml:space="preserve"> </w:t>
      </w:r>
      <w:r w:rsidRPr="00036FAC">
        <w:t>selected</w:t>
      </w:r>
      <w:r w:rsidR="00907D8C">
        <w:t xml:space="preserve"> </w:t>
      </w:r>
      <w:r w:rsidRPr="00036FAC">
        <w:t>child</w:t>
      </w:r>
      <w:r w:rsidR="00907D8C">
        <w:t xml:space="preserve"> </w:t>
      </w:r>
      <w:r w:rsidRPr="00036FAC">
        <w:t>maltreatment</w:t>
      </w:r>
      <w:r w:rsidR="00907D8C">
        <w:t xml:space="preserve"> </w:t>
      </w:r>
      <w:r w:rsidRPr="00036FAC">
        <w:t>prevention</w:t>
      </w:r>
      <w:r w:rsidR="00907D8C">
        <w:t xml:space="preserve"> </w:t>
      </w:r>
      <w:r w:rsidRPr="00036FAC">
        <w:t>programmes</w:t>
      </w:r>
      <w:r w:rsidR="00907D8C">
        <w:t xml:space="preserve"> </w:t>
      </w:r>
      <w:r w:rsidRPr="00036FAC">
        <w:t>to</w:t>
      </w:r>
      <w:r w:rsidR="00907D8C">
        <w:t xml:space="preserve"> </w:t>
      </w:r>
      <w:r w:rsidRPr="00036FAC">
        <w:t>help</w:t>
      </w:r>
      <w:r w:rsidR="00907D8C">
        <w:t xml:space="preserve"> </w:t>
      </w:r>
      <w:r w:rsidRPr="00036FAC">
        <w:t>with</w:t>
      </w:r>
      <w:r w:rsidR="00907D8C">
        <w:t xml:space="preserve"> </w:t>
      </w:r>
      <w:r w:rsidRPr="00036FAC">
        <w:t>the</w:t>
      </w:r>
      <w:r w:rsidR="00907D8C">
        <w:t xml:space="preserve"> </w:t>
      </w:r>
      <w:r w:rsidRPr="00036FAC">
        <w:t>cost</w:t>
      </w:r>
      <w:r w:rsidR="00907D8C">
        <w:t xml:space="preserve"> </w:t>
      </w:r>
      <w:r w:rsidRPr="00036FAC">
        <w:t>of</w:t>
      </w:r>
      <w:r w:rsidR="00907D8C">
        <w:t xml:space="preserve"> </w:t>
      </w:r>
      <w:r w:rsidRPr="00036FAC">
        <w:t>early</w:t>
      </w:r>
      <w:r w:rsidR="00907D8C">
        <w:t xml:space="preserve"> </w:t>
      </w:r>
      <w:r w:rsidRPr="00036FAC">
        <w:t>childhood</w:t>
      </w:r>
      <w:r w:rsidR="00907D8C">
        <w:t xml:space="preserve"> </w:t>
      </w:r>
      <w:r w:rsidRPr="00036FAC">
        <w:t>education</w:t>
      </w:r>
      <w:r w:rsidR="00907D8C">
        <w:t xml:space="preserve"> </w:t>
      </w:r>
      <w:r w:rsidRPr="00036FAC">
        <w:t>for</w:t>
      </w:r>
      <w:r w:rsidR="00907D8C">
        <w:t xml:space="preserve"> </w:t>
      </w:r>
      <w:r w:rsidRPr="00036FAC">
        <w:t>children</w:t>
      </w:r>
      <w:r w:rsidR="00907D8C">
        <w:t xml:space="preserve"> </w:t>
      </w:r>
      <w:r w:rsidRPr="00036FAC">
        <w:t>aged</w:t>
      </w:r>
      <w:r w:rsidR="00907D8C">
        <w:t xml:space="preserve"> </w:t>
      </w:r>
      <w:r w:rsidRPr="00036FAC">
        <w:t>18</w:t>
      </w:r>
      <w:r w:rsidR="00907D8C">
        <w:t xml:space="preserve"> </w:t>
      </w:r>
      <w:r w:rsidRPr="00036FAC">
        <w:t>months</w:t>
      </w:r>
      <w:r w:rsidR="00907D8C">
        <w:t xml:space="preserve"> </w:t>
      </w:r>
      <w:r w:rsidRPr="00036FAC">
        <w:t>to</w:t>
      </w:r>
      <w:r w:rsidR="00907D8C">
        <w:t xml:space="preserve"> </w:t>
      </w:r>
      <w:r w:rsidRPr="00036FAC">
        <w:t>3</w:t>
      </w:r>
      <w:r w:rsidR="00907D8C">
        <w:t xml:space="preserve"> </w:t>
      </w:r>
      <w:r w:rsidRPr="00036FAC">
        <w:t>years.</w:t>
      </w:r>
    </w:p>
    <w:p w:rsidR="00036FAC" w:rsidRPr="00036FAC" w:rsidRDefault="00036FAC" w:rsidP="00CB1E9A">
      <w:pPr>
        <w:pStyle w:val="SingleTxtG"/>
      </w:pPr>
      <w:r w:rsidRPr="00036FAC">
        <w:t>250.</w:t>
      </w:r>
      <w:r w:rsidRPr="00036FAC">
        <w:tab/>
        <w:t>Tax</w:t>
      </w:r>
      <w:r w:rsidR="00907D8C">
        <w:t xml:space="preserve"> </w:t>
      </w:r>
      <w:r w:rsidRPr="00036FAC">
        <w:t>credits</w:t>
      </w:r>
      <w:r w:rsidR="00907D8C">
        <w:t xml:space="preserve"> </w:t>
      </w:r>
      <w:r w:rsidRPr="00036FAC">
        <w:t>are</w:t>
      </w:r>
      <w:r w:rsidR="00907D8C">
        <w:t xml:space="preserve"> </w:t>
      </w:r>
      <w:r w:rsidRPr="00036FAC">
        <w:t>paid</w:t>
      </w:r>
      <w:r w:rsidR="00907D8C">
        <w:t xml:space="preserve"> </w:t>
      </w:r>
      <w:r w:rsidRPr="00036FAC">
        <w:t>to</w:t>
      </w:r>
      <w:r w:rsidR="00907D8C">
        <w:t xml:space="preserve"> </w:t>
      </w:r>
      <w:r w:rsidRPr="00036FAC">
        <w:t>some</w:t>
      </w:r>
      <w:r w:rsidR="00907D8C">
        <w:t xml:space="preserve"> </w:t>
      </w:r>
      <w:r w:rsidRPr="00036FAC">
        <w:t>families</w:t>
      </w:r>
      <w:r w:rsidR="00907D8C">
        <w:t xml:space="preserve"> </w:t>
      </w:r>
      <w:r w:rsidRPr="00036FAC">
        <w:t>with</w:t>
      </w:r>
      <w:r w:rsidR="00907D8C">
        <w:t xml:space="preserve"> </w:t>
      </w:r>
      <w:r w:rsidRPr="00036FAC">
        <w:t>dependent</w:t>
      </w:r>
      <w:r w:rsidR="00907D8C">
        <w:t xml:space="preserve"> </w:t>
      </w:r>
      <w:r w:rsidRPr="00036FAC">
        <w:t>children</w:t>
      </w:r>
      <w:r w:rsidR="00907D8C">
        <w:t xml:space="preserve"> </w:t>
      </w:r>
      <w:r w:rsidRPr="00036FAC">
        <w:t>aged</w:t>
      </w:r>
      <w:r w:rsidR="00907D8C">
        <w:t xml:space="preserve"> </w:t>
      </w:r>
      <w:r w:rsidRPr="00036FAC">
        <w:t>17</w:t>
      </w:r>
      <w:r w:rsidR="00907D8C">
        <w:t xml:space="preserve"> </w:t>
      </w:r>
      <w:r w:rsidRPr="00036FAC">
        <w:t>years</w:t>
      </w:r>
      <w:r w:rsidR="00907D8C">
        <w:t xml:space="preserve"> </w:t>
      </w:r>
      <w:r w:rsidRPr="00036FAC">
        <w:t>or</w:t>
      </w:r>
      <w:r w:rsidR="00907D8C">
        <w:t xml:space="preserve"> </w:t>
      </w:r>
      <w:r w:rsidRPr="00036FAC">
        <w:t>younger</w:t>
      </w:r>
      <w:r w:rsidR="00907D8C">
        <w:t xml:space="preserve"> </w:t>
      </w:r>
      <w:r w:rsidRPr="00036FAC">
        <w:t>(18</w:t>
      </w:r>
      <w:r w:rsidR="00907D8C">
        <w:t xml:space="preserve"> </w:t>
      </w:r>
      <w:r w:rsidRPr="00036FAC">
        <w:t>years</w:t>
      </w:r>
      <w:r w:rsidR="00907D8C">
        <w:t xml:space="preserve"> </w:t>
      </w:r>
      <w:r w:rsidRPr="00036FAC">
        <w:t>if</w:t>
      </w:r>
      <w:r w:rsidR="00907D8C">
        <w:t xml:space="preserve"> </w:t>
      </w:r>
      <w:r w:rsidRPr="00036FAC">
        <w:t>the</w:t>
      </w:r>
      <w:r w:rsidR="00907D8C">
        <w:t xml:space="preserve"> </w:t>
      </w:r>
      <w:r w:rsidRPr="00036FAC">
        <w:t>child</w:t>
      </w:r>
      <w:r w:rsidR="00907D8C">
        <w:t xml:space="preserve"> </w:t>
      </w:r>
      <w:r w:rsidRPr="00036FAC">
        <w:t>is</w:t>
      </w:r>
      <w:r w:rsidR="00907D8C">
        <w:t xml:space="preserve"> </w:t>
      </w:r>
      <w:r w:rsidRPr="00036FAC">
        <w:t>still</w:t>
      </w:r>
      <w:r w:rsidR="00907D8C">
        <w:t xml:space="preserve"> </w:t>
      </w:r>
      <w:r w:rsidRPr="00036FAC">
        <w:t>a</w:t>
      </w:r>
      <w:r w:rsidR="00907D8C">
        <w:t xml:space="preserve"> </w:t>
      </w:r>
      <w:r w:rsidRPr="00036FAC">
        <w:t>student).</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a</w:t>
      </w:r>
      <w:r w:rsidR="00907D8C">
        <w:t xml:space="preserve"> </w:t>
      </w:r>
      <w:r w:rsidRPr="00036FAC">
        <w:t>three-tier</w:t>
      </w:r>
      <w:r w:rsidR="00907D8C">
        <w:t xml:space="preserve"> </w:t>
      </w:r>
      <w:r w:rsidRPr="00036FAC">
        <w:t>family</w:t>
      </w:r>
      <w:r w:rsidR="00907D8C">
        <w:t xml:space="preserve"> </w:t>
      </w:r>
      <w:r w:rsidRPr="00036FAC">
        <w:t>tax</w:t>
      </w:r>
      <w:r w:rsidR="00907D8C">
        <w:t xml:space="preserve"> </w:t>
      </w:r>
      <w:r w:rsidRPr="00036FAC">
        <w:t>credit</w:t>
      </w:r>
      <w:r w:rsidR="00907D8C">
        <w:t xml:space="preserve"> </w:t>
      </w:r>
      <w:r w:rsidRPr="00036FAC">
        <w:t>system.</w:t>
      </w:r>
      <w:r w:rsidR="00907D8C">
        <w:t xml:space="preserve"> </w:t>
      </w:r>
      <w:r w:rsidRPr="00036FAC">
        <w:t>Family</w:t>
      </w:r>
      <w:r w:rsidR="00907D8C">
        <w:t xml:space="preserve"> </w:t>
      </w:r>
      <w:r w:rsidRPr="00036FAC">
        <w:t>income</w:t>
      </w:r>
      <w:r w:rsidR="00907D8C">
        <w:t xml:space="preserve"> </w:t>
      </w:r>
      <w:r w:rsidRPr="00036FAC">
        <w:t>forms</w:t>
      </w:r>
      <w:r w:rsidR="00907D8C">
        <w:t xml:space="preserve"> </w:t>
      </w:r>
      <w:r w:rsidRPr="00036FAC">
        <w:t>the</w:t>
      </w:r>
      <w:r w:rsidR="00907D8C">
        <w:t xml:space="preserve"> </w:t>
      </w:r>
      <w:r w:rsidRPr="00036FAC">
        <w:t>threshold</w:t>
      </w:r>
      <w:r w:rsidR="00907D8C">
        <w:t xml:space="preserve"> </w:t>
      </w:r>
      <w:r w:rsidRPr="00036FAC">
        <w:t>between</w:t>
      </w:r>
      <w:r w:rsidR="00907D8C">
        <w:t xml:space="preserve"> </w:t>
      </w:r>
      <w:r w:rsidRPr="00036FAC">
        <w:t>each</w:t>
      </w:r>
      <w:r w:rsidR="00907D8C">
        <w:t xml:space="preserve"> </w:t>
      </w:r>
      <w:r w:rsidRPr="00036FAC">
        <w:t>tier.</w:t>
      </w:r>
      <w:r w:rsidR="00907D8C">
        <w:t xml:space="preserve"> </w:t>
      </w:r>
      <w:r w:rsidRPr="00036FAC">
        <w:t>Families</w:t>
      </w:r>
      <w:r w:rsidR="00907D8C">
        <w:t xml:space="preserve"> </w:t>
      </w:r>
      <w:r w:rsidRPr="00036FAC">
        <w:t>with</w:t>
      </w:r>
      <w:r w:rsidR="00907D8C">
        <w:t xml:space="preserve"> </w:t>
      </w:r>
      <w:r w:rsidRPr="00036FAC">
        <w:t>dependent</w:t>
      </w:r>
      <w:r w:rsidR="00907D8C">
        <w:t xml:space="preserve"> </w:t>
      </w:r>
      <w:r w:rsidRPr="00036FAC">
        <w:t>children</w:t>
      </w:r>
      <w:r w:rsidR="00907D8C">
        <w:t xml:space="preserve"> </w:t>
      </w:r>
      <w:r w:rsidRPr="00036FAC">
        <w:t>may</w:t>
      </w:r>
      <w:r w:rsidR="00907D8C">
        <w:t xml:space="preserve"> </w:t>
      </w:r>
      <w:r w:rsidRPr="00036FAC">
        <w:t>be</w:t>
      </w:r>
      <w:r w:rsidR="00907D8C">
        <w:t xml:space="preserve"> </w:t>
      </w:r>
      <w:r w:rsidRPr="00036FAC">
        <w:t>eligible</w:t>
      </w:r>
      <w:r w:rsidR="00907D8C">
        <w:t xml:space="preserve"> </w:t>
      </w:r>
      <w:r w:rsidRPr="00036FAC">
        <w:t>for</w:t>
      </w:r>
      <w:r w:rsidR="00907D8C">
        <w:t xml:space="preserve"> </w:t>
      </w:r>
      <w:r w:rsidRPr="00036FAC">
        <w:t>one</w:t>
      </w:r>
      <w:r w:rsidR="00907D8C">
        <w:t xml:space="preserve"> </w:t>
      </w:r>
      <w:r w:rsidRPr="00036FAC">
        <w:t>or</w:t>
      </w:r>
      <w:r w:rsidR="00907D8C">
        <w:t xml:space="preserve"> </w:t>
      </w:r>
      <w:r w:rsidRPr="00036FAC">
        <w:t>more</w:t>
      </w:r>
      <w:r w:rsidR="00907D8C">
        <w:t xml:space="preserve"> </w:t>
      </w:r>
      <w:r w:rsidRPr="00036FAC">
        <w:t>of</w:t>
      </w:r>
      <w:r w:rsidR="00907D8C">
        <w:t xml:space="preserve"> </w:t>
      </w:r>
      <w:r w:rsidRPr="00036FAC">
        <w:t>these</w:t>
      </w:r>
      <w:r w:rsidR="00907D8C">
        <w:t xml:space="preserve"> </w:t>
      </w:r>
      <w:r w:rsidRPr="00036FAC">
        <w:t>tax</w:t>
      </w:r>
      <w:r w:rsidR="00907D8C">
        <w:t xml:space="preserve"> </w:t>
      </w:r>
      <w:r w:rsidRPr="00036FAC">
        <w:t>credits</w:t>
      </w:r>
      <w:r w:rsidR="00907D8C">
        <w:t xml:space="preserve"> </w:t>
      </w:r>
      <w:r w:rsidRPr="00036FAC">
        <w:t>at</w:t>
      </w:r>
      <w:r w:rsidR="00907D8C">
        <w:t xml:space="preserve"> </w:t>
      </w:r>
      <w:r w:rsidRPr="00036FAC">
        <w:t>the</w:t>
      </w:r>
      <w:r w:rsidR="00907D8C">
        <w:t xml:space="preserve"> </w:t>
      </w:r>
      <w:r w:rsidRPr="00036FAC">
        <w:t>same</w:t>
      </w:r>
      <w:r w:rsidR="00907D8C">
        <w:t xml:space="preserve"> </w:t>
      </w:r>
      <w:r w:rsidRPr="00036FAC">
        <w:t>time.</w:t>
      </w:r>
      <w:r w:rsidR="00907D8C">
        <w:t xml:space="preserve"> </w:t>
      </w:r>
      <w:r w:rsidRPr="00036FAC">
        <w:t>The</w:t>
      </w:r>
      <w:r w:rsidR="00907D8C">
        <w:t xml:space="preserve"> </w:t>
      </w:r>
      <w:r w:rsidRPr="00036FAC">
        <w:t>amount</w:t>
      </w:r>
      <w:r w:rsidR="00907D8C">
        <w:t xml:space="preserve"> </w:t>
      </w:r>
      <w:r w:rsidRPr="00036FAC">
        <w:t>of</w:t>
      </w:r>
      <w:r w:rsidR="00907D8C">
        <w:t xml:space="preserve"> </w:t>
      </w:r>
      <w:r w:rsidRPr="00036FAC">
        <w:t>family</w:t>
      </w:r>
      <w:r w:rsidR="00907D8C">
        <w:t xml:space="preserve"> </w:t>
      </w:r>
      <w:r w:rsidRPr="00036FAC">
        <w:t>or</w:t>
      </w:r>
      <w:r w:rsidR="00907D8C">
        <w:t xml:space="preserve"> </w:t>
      </w:r>
      <w:r w:rsidRPr="00036FAC">
        <w:t>child</w:t>
      </w:r>
      <w:r w:rsidR="00907D8C">
        <w:t xml:space="preserve"> </w:t>
      </w:r>
      <w:r w:rsidRPr="00036FAC">
        <w:t>tax</w:t>
      </w:r>
      <w:r w:rsidR="00907D8C">
        <w:t xml:space="preserve"> </w:t>
      </w:r>
      <w:r w:rsidRPr="00036FAC">
        <w:t>credit</w:t>
      </w:r>
      <w:r w:rsidR="00907D8C">
        <w:t xml:space="preserve"> </w:t>
      </w:r>
      <w:r w:rsidRPr="00036FAC">
        <w:t>each</w:t>
      </w:r>
      <w:r w:rsidR="00907D8C">
        <w:t xml:space="preserve"> </w:t>
      </w:r>
      <w:r w:rsidRPr="00036FAC">
        <w:t>family</w:t>
      </w:r>
      <w:r w:rsidR="00907D8C">
        <w:t xml:space="preserve"> </w:t>
      </w:r>
      <w:r w:rsidRPr="00036FAC">
        <w:t>receives</w:t>
      </w:r>
      <w:r w:rsidR="00907D8C">
        <w:t xml:space="preserve"> </w:t>
      </w:r>
      <w:r w:rsidRPr="00036FAC">
        <w:t>depends</w:t>
      </w:r>
      <w:r w:rsidR="00907D8C">
        <w:t xml:space="preserve"> </w:t>
      </w:r>
      <w:r w:rsidRPr="00036FAC">
        <w:t>on</w:t>
      </w:r>
      <w:r w:rsidR="00907D8C">
        <w:t xml:space="preserve"> </w:t>
      </w:r>
      <w:r w:rsidRPr="00036FAC">
        <w:t>joint</w:t>
      </w:r>
      <w:r w:rsidR="00907D8C">
        <w:t xml:space="preserve"> </w:t>
      </w:r>
      <w:r w:rsidRPr="00036FAC">
        <w:t>family</w:t>
      </w:r>
      <w:r w:rsidR="00907D8C">
        <w:t xml:space="preserve"> </w:t>
      </w:r>
      <w:r w:rsidRPr="00036FAC">
        <w:t>income</w:t>
      </w:r>
      <w:r w:rsidR="00907D8C">
        <w:t xml:space="preserve"> </w:t>
      </w:r>
      <w:r w:rsidRPr="00036FAC">
        <w:t>and</w:t>
      </w:r>
      <w:r w:rsidR="00907D8C">
        <w:t xml:space="preserve"> </w:t>
      </w:r>
      <w:r w:rsidRPr="00036FAC">
        <w:t>the</w:t>
      </w:r>
      <w:r w:rsidR="00907D8C">
        <w:t xml:space="preserve"> </w:t>
      </w:r>
      <w:r w:rsidRPr="00036FAC">
        <w:t>number</w:t>
      </w:r>
      <w:r w:rsidR="00907D8C">
        <w:t xml:space="preserve"> </w:t>
      </w:r>
      <w:r w:rsidRPr="00036FAC">
        <w:t>of</w:t>
      </w:r>
      <w:r w:rsidR="00907D8C">
        <w:t xml:space="preserve"> </w:t>
      </w:r>
      <w:r w:rsidRPr="00036FAC">
        <w:t>children</w:t>
      </w:r>
      <w:r w:rsidR="00907D8C">
        <w:t xml:space="preserve"> </w:t>
      </w:r>
      <w:r w:rsidRPr="00036FAC">
        <w:t>the</w:t>
      </w:r>
      <w:r w:rsidR="00907D8C">
        <w:t xml:space="preserve"> </w:t>
      </w:r>
      <w:r w:rsidRPr="00036FAC">
        <w:t>family</w:t>
      </w:r>
      <w:r w:rsidR="00907D8C">
        <w:t xml:space="preserve"> </w:t>
      </w:r>
      <w:r w:rsidRPr="00036FAC">
        <w:t>is</w:t>
      </w:r>
      <w:r w:rsidR="00907D8C">
        <w:t xml:space="preserve"> </w:t>
      </w:r>
      <w:r w:rsidRPr="00036FAC">
        <w:t>supporting.</w:t>
      </w:r>
      <w:r w:rsidR="00907D8C">
        <w:t xml:space="preserve"> </w:t>
      </w:r>
      <w:r w:rsidRPr="00036FAC">
        <w:t>New</w:t>
      </w:r>
      <w:r w:rsidR="00907D8C">
        <w:t xml:space="preserve"> </w:t>
      </w:r>
      <w:r w:rsidRPr="00036FAC">
        <w:t>Zealand</w:t>
      </w:r>
      <w:r w:rsidR="003E4D94">
        <w:t>’</w:t>
      </w:r>
      <w:r w:rsidRPr="00036FAC">
        <w:t>s</w:t>
      </w:r>
      <w:r w:rsidR="00907D8C">
        <w:t xml:space="preserve"> </w:t>
      </w:r>
      <w:r w:rsidRPr="00036FAC">
        <w:t>main</w:t>
      </w:r>
      <w:r w:rsidR="00907D8C">
        <w:t xml:space="preserve"> </w:t>
      </w:r>
      <w:r w:rsidRPr="00036FAC">
        <w:t>family</w:t>
      </w:r>
      <w:r w:rsidR="00907D8C">
        <w:t xml:space="preserve"> </w:t>
      </w:r>
      <w:r w:rsidRPr="00036FAC">
        <w:t>tax</w:t>
      </w:r>
      <w:r w:rsidR="00907D8C">
        <w:t xml:space="preserve"> </w:t>
      </w:r>
      <w:r w:rsidRPr="00036FAC">
        <w:t>credit</w:t>
      </w:r>
      <w:r w:rsidR="00907D8C">
        <w:t xml:space="preserve"> </w:t>
      </w:r>
      <w:r w:rsidRPr="00036FAC">
        <w:t>system</w:t>
      </w:r>
      <w:r w:rsidR="00907D8C">
        <w:t xml:space="preserve"> </w:t>
      </w:r>
      <w:r w:rsidRPr="00036FAC">
        <w:t>comprises:</w:t>
      </w:r>
    </w:p>
    <w:p w:rsidR="00036FAC" w:rsidRPr="00036FAC" w:rsidRDefault="00CB1E9A" w:rsidP="00CB1E9A">
      <w:pPr>
        <w:pStyle w:val="SingleTxtG"/>
      </w:pPr>
      <w:r>
        <w:tab/>
      </w:r>
      <w:r w:rsidR="00036FAC" w:rsidRPr="00036FAC">
        <w:t>(a)</w:t>
      </w:r>
      <w:r w:rsidR="00036FAC" w:rsidRPr="00036FAC">
        <w:tab/>
        <w:t>The</w:t>
      </w:r>
      <w:r w:rsidR="00907D8C">
        <w:t xml:space="preserve"> </w:t>
      </w:r>
      <w:r w:rsidR="00036FAC" w:rsidRPr="00036FAC">
        <w:t>Minimum</w:t>
      </w:r>
      <w:r w:rsidR="00907D8C">
        <w:t xml:space="preserve"> </w:t>
      </w:r>
      <w:r w:rsidR="00036FAC" w:rsidRPr="00036FAC">
        <w:t>Family</w:t>
      </w:r>
      <w:r w:rsidR="00907D8C">
        <w:t xml:space="preserve"> </w:t>
      </w:r>
      <w:r w:rsidR="00036FAC" w:rsidRPr="00036FAC">
        <w:t>Tax</w:t>
      </w:r>
      <w:r w:rsidR="00907D8C">
        <w:t xml:space="preserve"> </w:t>
      </w:r>
      <w:r w:rsidR="00036FAC" w:rsidRPr="00036FAC">
        <w:t>Credit,</w:t>
      </w:r>
      <w:r w:rsidR="00907D8C">
        <w:t xml:space="preserve"> </w:t>
      </w:r>
      <w:r w:rsidR="00036FAC" w:rsidRPr="00036FAC">
        <w:t>which</w:t>
      </w:r>
      <w:r w:rsidR="00907D8C">
        <w:t xml:space="preserve"> </w:t>
      </w:r>
      <w:r w:rsidR="00036FAC" w:rsidRPr="00036FAC">
        <w:t>acts</w:t>
      </w:r>
      <w:r w:rsidR="00907D8C">
        <w:t xml:space="preserve"> </w:t>
      </w:r>
      <w:r w:rsidR="00036FAC" w:rsidRPr="00036FAC">
        <w:t>as</w:t>
      </w:r>
      <w:r w:rsidR="00907D8C">
        <w:t xml:space="preserve"> </w:t>
      </w:r>
      <w:r w:rsidR="00036FAC" w:rsidRPr="00036FAC">
        <w:t>a</w:t>
      </w:r>
      <w:r w:rsidR="00907D8C">
        <w:t xml:space="preserve"> </w:t>
      </w:r>
      <w:r w:rsidR="00036FAC" w:rsidRPr="00036FAC">
        <w:t>top</w:t>
      </w:r>
      <w:r w:rsidR="00907D8C">
        <w:t xml:space="preserve"> </w:t>
      </w:r>
      <w:r w:rsidR="00036FAC" w:rsidRPr="00036FAC">
        <w:t>up</w:t>
      </w:r>
      <w:r w:rsidR="00907D8C">
        <w:t xml:space="preserve"> </w:t>
      </w:r>
      <w:r w:rsidR="00036FAC" w:rsidRPr="00036FAC">
        <w:t>to</w:t>
      </w:r>
      <w:r w:rsidR="00907D8C">
        <w:t xml:space="preserve"> </w:t>
      </w:r>
      <w:r w:rsidR="00036FAC" w:rsidRPr="00036FAC">
        <w:t>guarantee</w:t>
      </w:r>
      <w:r w:rsidR="00907D8C">
        <w:t xml:space="preserve"> </w:t>
      </w:r>
      <w:r w:rsidR="00036FAC" w:rsidRPr="00036FAC">
        <w:t>a</w:t>
      </w:r>
      <w:r w:rsidR="00907D8C">
        <w:t xml:space="preserve"> </w:t>
      </w:r>
      <w:r w:rsidR="00036FAC" w:rsidRPr="00036FAC">
        <w:t>minimum</w:t>
      </w:r>
      <w:r w:rsidR="00907D8C">
        <w:t xml:space="preserve"> </w:t>
      </w:r>
      <w:r w:rsidR="00036FAC" w:rsidRPr="00036FAC">
        <w:t>family</w:t>
      </w:r>
      <w:r w:rsidR="00907D8C">
        <w:t xml:space="preserve"> </w:t>
      </w:r>
      <w:r w:rsidR="00036FAC" w:rsidRPr="00036FAC">
        <w:t>income</w:t>
      </w:r>
      <w:r w:rsidR="00907D8C">
        <w:t xml:space="preserve"> </w:t>
      </w:r>
      <w:r w:rsidR="00036FAC" w:rsidRPr="00036FAC">
        <w:t>to</w:t>
      </w:r>
      <w:r w:rsidR="00907D8C">
        <w:t xml:space="preserve"> </w:t>
      </w:r>
      <w:r w:rsidR="00036FAC" w:rsidRPr="00036FAC">
        <w:t>low-income</w:t>
      </w:r>
      <w:r w:rsidR="00907D8C">
        <w:t xml:space="preserve"> </w:t>
      </w:r>
      <w:r w:rsidR="00036FAC" w:rsidRPr="00036FAC">
        <w:t>working</w:t>
      </w:r>
      <w:r w:rsidR="00907D8C">
        <w:t xml:space="preserve"> </w:t>
      </w:r>
      <w:r w:rsidR="00036FAC" w:rsidRPr="00036FAC">
        <w:t>families;</w:t>
      </w:r>
    </w:p>
    <w:p w:rsidR="00036FAC" w:rsidRPr="00036FAC" w:rsidRDefault="00CB1E9A" w:rsidP="00CB1E9A">
      <w:pPr>
        <w:pStyle w:val="SingleTxtG"/>
      </w:pPr>
      <w:r>
        <w:tab/>
      </w:r>
      <w:r w:rsidR="00036FAC" w:rsidRPr="00036FAC">
        <w:t>(b)</w:t>
      </w:r>
      <w:r w:rsidR="00036FAC" w:rsidRPr="00036FAC">
        <w:tab/>
        <w:t>The</w:t>
      </w:r>
      <w:r w:rsidR="00907D8C">
        <w:t xml:space="preserve"> </w:t>
      </w:r>
      <w:r w:rsidR="00036FAC" w:rsidRPr="00036FAC">
        <w:t>Family</w:t>
      </w:r>
      <w:r w:rsidR="00907D8C">
        <w:t xml:space="preserve"> </w:t>
      </w:r>
      <w:r w:rsidR="00036FAC" w:rsidRPr="00036FAC">
        <w:t>Tax</w:t>
      </w:r>
      <w:r w:rsidR="00907D8C">
        <w:t xml:space="preserve"> </w:t>
      </w:r>
      <w:r w:rsidR="00036FAC" w:rsidRPr="00036FAC">
        <w:t>Credit,</w:t>
      </w:r>
      <w:r w:rsidR="00907D8C">
        <w:t xml:space="preserve"> </w:t>
      </w:r>
      <w:r w:rsidR="00036FAC" w:rsidRPr="00036FAC">
        <w:t>which</w:t>
      </w:r>
      <w:r w:rsidR="00907D8C">
        <w:t xml:space="preserve"> </w:t>
      </w:r>
      <w:r w:rsidR="00036FAC" w:rsidRPr="00036FAC">
        <w:t>is</w:t>
      </w:r>
      <w:r w:rsidR="00907D8C">
        <w:t xml:space="preserve"> </w:t>
      </w:r>
      <w:r w:rsidR="00036FAC" w:rsidRPr="00036FAC">
        <w:t>paid</w:t>
      </w:r>
      <w:r w:rsidR="00907D8C">
        <w:t xml:space="preserve"> </w:t>
      </w:r>
      <w:r w:rsidR="00036FAC" w:rsidRPr="00036FAC">
        <w:t>to</w:t>
      </w:r>
      <w:r w:rsidR="00907D8C">
        <w:t xml:space="preserve"> </w:t>
      </w:r>
      <w:r w:rsidR="00036FAC" w:rsidRPr="00036FAC">
        <w:t>working</w:t>
      </w:r>
      <w:r w:rsidR="00907D8C">
        <w:t xml:space="preserve"> </w:t>
      </w:r>
      <w:r w:rsidR="00036FAC" w:rsidRPr="00036FAC">
        <w:t>families</w:t>
      </w:r>
      <w:r w:rsidR="00907D8C">
        <w:t xml:space="preserve"> </w:t>
      </w:r>
      <w:r w:rsidR="00036FAC" w:rsidRPr="00036FAC">
        <w:t>who</w:t>
      </w:r>
      <w:r w:rsidR="00907D8C">
        <w:t xml:space="preserve"> </w:t>
      </w:r>
      <w:r w:rsidR="00036FAC" w:rsidRPr="00036FAC">
        <w:t>already</w:t>
      </w:r>
      <w:r w:rsidR="00907D8C">
        <w:t xml:space="preserve"> </w:t>
      </w:r>
      <w:r w:rsidR="00036FAC" w:rsidRPr="00036FAC">
        <w:t>receive</w:t>
      </w:r>
      <w:r w:rsidR="00907D8C">
        <w:t xml:space="preserve"> </w:t>
      </w:r>
      <w:r w:rsidR="00036FAC" w:rsidRPr="00036FAC">
        <w:t>a</w:t>
      </w:r>
      <w:r w:rsidR="00907D8C">
        <w:t xml:space="preserve"> </w:t>
      </w:r>
      <w:r w:rsidR="00036FAC" w:rsidRPr="00036FAC">
        <w:t>social</w:t>
      </w:r>
      <w:r w:rsidR="00907D8C">
        <w:t xml:space="preserve"> </w:t>
      </w:r>
      <w:r w:rsidR="00036FAC" w:rsidRPr="00036FAC">
        <w:t>security</w:t>
      </w:r>
      <w:r w:rsidR="00907D8C">
        <w:t xml:space="preserve"> </w:t>
      </w:r>
      <w:r w:rsidR="00036FAC" w:rsidRPr="00036FAC">
        <w:t>benefit.</w:t>
      </w:r>
      <w:r w:rsidR="00907D8C">
        <w:t xml:space="preserve"> </w:t>
      </w:r>
      <w:r w:rsidR="00036FAC" w:rsidRPr="00036FAC">
        <w:t>This</w:t>
      </w:r>
      <w:r w:rsidR="00907D8C">
        <w:t xml:space="preserve"> </w:t>
      </w:r>
      <w:r w:rsidR="00036FAC" w:rsidRPr="00036FAC">
        <w:t>is</w:t>
      </w:r>
      <w:r w:rsidR="00907D8C">
        <w:t xml:space="preserve"> </w:t>
      </w:r>
      <w:r w:rsidR="00036FAC" w:rsidRPr="00036FAC">
        <w:t>subject</w:t>
      </w:r>
      <w:r w:rsidR="00907D8C">
        <w:t xml:space="preserve"> </w:t>
      </w:r>
      <w:r w:rsidR="00036FAC" w:rsidRPr="00036FAC">
        <w:t>to</w:t>
      </w:r>
      <w:r w:rsidR="00907D8C">
        <w:t xml:space="preserve"> </w:t>
      </w:r>
      <w:r w:rsidR="00036FAC" w:rsidRPr="00036FAC">
        <w:t>a</w:t>
      </w:r>
      <w:r w:rsidR="00907D8C">
        <w:t xml:space="preserve"> </w:t>
      </w:r>
      <w:r w:rsidR="00036FAC" w:rsidRPr="00036FAC">
        <w:t>family</w:t>
      </w:r>
      <w:r w:rsidR="00907D8C">
        <w:t xml:space="preserve"> </w:t>
      </w:r>
      <w:r w:rsidR="00036FAC" w:rsidRPr="00036FAC">
        <w:t>income</w:t>
      </w:r>
      <w:r w:rsidR="00907D8C">
        <w:t xml:space="preserve"> </w:t>
      </w:r>
      <w:r w:rsidR="00036FAC" w:rsidRPr="00036FAC">
        <w:t>test</w:t>
      </w:r>
      <w:r w:rsidR="00907D8C">
        <w:t xml:space="preserve"> </w:t>
      </w:r>
      <w:r w:rsidR="00036FAC" w:rsidRPr="00036FAC">
        <w:t>to</w:t>
      </w:r>
      <w:r w:rsidR="00907D8C">
        <w:t xml:space="preserve"> </w:t>
      </w:r>
      <w:r w:rsidR="00036FAC" w:rsidRPr="00036FAC">
        <w:t>be</w:t>
      </w:r>
      <w:r w:rsidR="00907D8C">
        <w:t xml:space="preserve"> </w:t>
      </w:r>
      <w:r w:rsidR="00036FAC" w:rsidRPr="00036FAC">
        <w:t>met</w:t>
      </w:r>
      <w:r w:rsidR="00907D8C">
        <w:t xml:space="preserve"> </w:t>
      </w:r>
      <w:r w:rsidR="00036FAC" w:rsidRPr="00036FAC">
        <w:t>by</w:t>
      </w:r>
      <w:r w:rsidR="00907D8C">
        <w:t xml:space="preserve"> </w:t>
      </w:r>
      <w:r w:rsidR="00036FAC" w:rsidRPr="00036FAC">
        <w:t>the</w:t>
      </w:r>
      <w:r w:rsidR="00907D8C">
        <w:t xml:space="preserve"> </w:t>
      </w:r>
      <w:r w:rsidR="00036FAC" w:rsidRPr="00036FAC">
        <w:t>principal</w:t>
      </w:r>
      <w:r w:rsidR="00907D8C">
        <w:t xml:space="preserve"> </w:t>
      </w:r>
      <w:r w:rsidR="00036FAC" w:rsidRPr="00036FAC">
        <w:t>caregiver</w:t>
      </w:r>
      <w:r w:rsidR="00907D8C">
        <w:t xml:space="preserve"> </w:t>
      </w:r>
      <w:r w:rsidR="00036FAC" w:rsidRPr="00036FAC">
        <w:t>of</w:t>
      </w:r>
      <w:r w:rsidR="00907D8C">
        <w:t xml:space="preserve"> </w:t>
      </w:r>
      <w:r w:rsidR="00036FAC" w:rsidRPr="00036FAC">
        <w:t>the</w:t>
      </w:r>
      <w:r w:rsidR="00907D8C">
        <w:t xml:space="preserve"> </w:t>
      </w:r>
      <w:r w:rsidR="00036FAC" w:rsidRPr="00036FAC">
        <w:t>child;</w:t>
      </w:r>
      <w:r w:rsidR="00907D8C">
        <w:t xml:space="preserve"> </w:t>
      </w:r>
      <w:r w:rsidR="00036FAC" w:rsidRPr="00036FAC">
        <w:t>and</w:t>
      </w:r>
    </w:p>
    <w:p w:rsidR="00036FAC" w:rsidRPr="00036FAC" w:rsidRDefault="00CB1E9A" w:rsidP="00CB1E9A">
      <w:pPr>
        <w:pStyle w:val="SingleTxtG"/>
      </w:pPr>
      <w:r>
        <w:tab/>
      </w:r>
      <w:r w:rsidR="00036FAC" w:rsidRPr="00036FAC">
        <w:t>(c)</w:t>
      </w:r>
      <w:r w:rsidR="00036FAC" w:rsidRPr="00036FAC">
        <w:tab/>
        <w:t>The</w:t>
      </w:r>
      <w:r w:rsidR="00907D8C">
        <w:t xml:space="preserve"> </w:t>
      </w:r>
      <w:r w:rsidR="00036FAC" w:rsidRPr="00036FAC">
        <w:t>In-Work</w:t>
      </w:r>
      <w:r w:rsidR="00907D8C">
        <w:t xml:space="preserve"> </w:t>
      </w:r>
      <w:r w:rsidR="00036FAC" w:rsidRPr="00036FAC">
        <w:t>Tax</w:t>
      </w:r>
      <w:r w:rsidR="00907D8C">
        <w:t xml:space="preserve"> </w:t>
      </w:r>
      <w:r w:rsidR="00036FAC" w:rsidRPr="00036FAC">
        <w:t>Credit,</w:t>
      </w:r>
      <w:r w:rsidR="00907D8C">
        <w:t xml:space="preserve"> </w:t>
      </w:r>
      <w:r w:rsidR="00036FAC" w:rsidRPr="00036FAC">
        <w:t>which</w:t>
      </w:r>
      <w:r w:rsidR="00907D8C">
        <w:t xml:space="preserve"> </w:t>
      </w:r>
      <w:r w:rsidR="00036FAC" w:rsidRPr="00036FAC">
        <w:t>is</w:t>
      </w:r>
      <w:r w:rsidR="00907D8C">
        <w:t xml:space="preserve"> </w:t>
      </w:r>
      <w:r w:rsidR="00036FAC" w:rsidRPr="00036FAC">
        <w:t>paid</w:t>
      </w:r>
      <w:r w:rsidR="00907D8C">
        <w:t xml:space="preserve"> </w:t>
      </w:r>
      <w:r w:rsidR="00036FAC" w:rsidRPr="00036FAC">
        <w:t>to</w:t>
      </w:r>
      <w:r w:rsidR="00907D8C">
        <w:t xml:space="preserve"> </w:t>
      </w:r>
      <w:r w:rsidR="00036FAC" w:rsidRPr="00036FAC">
        <w:t>families</w:t>
      </w:r>
      <w:r w:rsidR="00907D8C">
        <w:t xml:space="preserve"> </w:t>
      </w:r>
      <w:r w:rsidR="00036FAC" w:rsidRPr="00036FAC">
        <w:t>as</w:t>
      </w:r>
      <w:r w:rsidR="00907D8C">
        <w:t xml:space="preserve"> </w:t>
      </w:r>
      <w:r w:rsidR="00036FAC" w:rsidRPr="00036FAC">
        <w:t>a</w:t>
      </w:r>
      <w:r w:rsidR="00907D8C">
        <w:t xml:space="preserve"> </w:t>
      </w:r>
      <w:r w:rsidR="00036FAC" w:rsidRPr="00036FAC">
        <w:t>set</w:t>
      </w:r>
      <w:r w:rsidR="00907D8C">
        <w:t xml:space="preserve"> </w:t>
      </w:r>
      <w:r w:rsidR="00036FAC" w:rsidRPr="00036FAC">
        <w:t>rate</w:t>
      </w:r>
      <w:r w:rsidR="00907D8C">
        <w:t xml:space="preserve"> </w:t>
      </w:r>
      <w:r w:rsidR="00036FAC" w:rsidRPr="00036FAC">
        <w:t>for</w:t>
      </w:r>
      <w:r w:rsidR="00907D8C">
        <w:t xml:space="preserve"> </w:t>
      </w:r>
      <w:r w:rsidR="00036FAC" w:rsidRPr="00036FAC">
        <w:t>each</w:t>
      </w:r>
      <w:r w:rsidR="00907D8C">
        <w:t xml:space="preserve"> </w:t>
      </w:r>
      <w:r w:rsidR="00036FAC" w:rsidRPr="00036FAC">
        <w:t>child</w:t>
      </w:r>
      <w:r w:rsidR="00907D8C">
        <w:t xml:space="preserve"> </w:t>
      </w:r>
      <w:r w:rsidR="00036FAC" w:rsidRPr="00036FAC">
        <w:t>where</w:t>
      </w:r>
      <w:r w:rsidR="00907D8C">
        <w:t xml:space="preserve"> </w:t>
      </w:r>
      <w:r w:rsidR="00036FAC" w:rsidRPr="00036FAC">
        <w:t>one</w:t>
      </w:r>
      <w:r w:rsidR="00907D8C">
        <w:t xml:space="preserve"> </w:t>
      </w:r>
      <w:r w:rsidR="00036FAC" w:rsidRPr="00036FAC">
        <w:t>or</w:t>
      </w:r>
      <w:r w:rsidR="00907D8C">
        <w:t xml:space="preserve"> </w:t>
      </w:r>
      <w:r w:rsidR="00036FAC" w:rsidRPr="00036FAC">
        <w:t>both</w:t>
      </w:r>
      <w:r w:rsidR="00907D8C">
        <w:t xml:space="preserve"> </w:t>
      </w:r>
      <w:r w:rsidR="00036FAC" w:rsidRPr="00036FAC">
        <w:t>parents</w:t>
      </w:r>
      <w:r w:rsidR="00907D8C">
        <w:t xml:space="preserve"> </w:t>
      </w:r>
      <w:r w:rsidR="00036FAC" w:rsidRPr="00036FAC">
        <w:t>is</w:t>
      </w:r>
      <w:r w:rsidR="00907D8C">
        <w:t xml:space="preserve"> </w:t>
      </w:r>
      <w:r w:rsidR="00036FAC" w:rsidRPr="00036FAC">
        <w:t>in</w:t>
      </w:r>
      <w:r w:rsidR="00907D8C">
        <w:t xml:space="preserve"> </w:t>
      </w:r>
      <w:r w:rsidR="00036FAC" w:rsidRPr="00036FAC">
        <w:t>work.</w:t>
      </w:r>
      <w:r w:rsidR="00907D8C">
        <w:t xml:space="preserve"> </w:t>
      </w:r>
      <w:r w:rsidR="00036FAC" w:rsidRPr="00036FAC">
        <w:t>The</w:t>
      </w:r>
      <w:r w:rsidR="00907D8C">
        <w:t xml:space="preserve"> </w:t>
      </w:r>
      <w:r w:rsidR="00036FAC" w:rsidRPr="00036FAC">
        <w:t>total</w:t>
      </w:r>
      <w:r w:rsidR="00907D8C">
        <w:t xml:space="preserve"> </w:t>
      </w:r>
      <w:r w:rsidR="00036FAC" w:rsidRPr="00036FAC">
        <w:t>amount</w:t>
      </w:r>
      <w:r w:rsidR="00907D8C">
        <w:t xml:space="preserve"> </w:t>
      </w:r>
      <w:r w:rsidR="00036FAC" w:rsidRPr="00036FAC">
        <w:t>the</w:t>
      </w:r>
      <w:r w:rsidR="00907D8C">
        <w:t xml:space="preserve"> </w:t>
      </w:r>
      <w:r w:rsidR="00036FAC" w:rsidRPr="00036FAC">
        <w:t>family</w:t>
      </w:r>
      <w:r w:rsidR="00907D8C">
        <w:t xml:space="preserve"> </w:t>
      </w:r>
      <w:r w:rsidR="00036FAC" w:rsidRPr="00036FAC">
        <w:t>can</w:t>
      </w:r>
      <w:r w:rsidR="00907D8C">
        <w:t xml:space="preserve"> </w:t>
      </w:r>
      <w:r w:rsidR="00036FAC" w:rsidRPr="00036FAC">
        <w:t>receive</w:t>
      </w:r>
      <w:r w:rsidR="00907D8C">
        <w:t xml:space="preserve"> </w:t>
      </w:r>
      <w:r w:rsidR="00036FAC" w:rsidRPr="00036FAC">
        <w:t>is</w:t>
      </w:r>
      <w:r w:rsidR="00907D8C">
        <w:t xml:space="preserve"> </w:t>
      </w:r>
      <w:r w:rsidR="00036FAC" w:rsidRPr="00036FAC">
        <w:t>capped.</w:t>
      </w:r>
    </w:p>
    <w:p w:rsidR="00036FAC" w:rsidRPr="00036FAC" w:rsidRDefault="00036FAC" w:rsidP="00CB1E9A">
      <w:pPr>
        <w:pStyle w:val="SingleTxtG"/>
      </w:pPr>
      <w:r w:rsidRPr="00036FAC">
        <w:t>251.</w:t>
      </w:r>
      <w:r w:rsidRPr="00036FAC">
        <w:tab/>
        <w:t>The</w:t>
      </w:r>
      <w:r w:rsidR="00907D8C">
        <w:t xml:space="preserve"> </w:t>
      </w:r>
      <w:r w:rsidRPr="00036FAC">
        <w:t>Parental</w:t>
      </w:r>
      <w:r w:rsidR="00907D8C">
        <w:t xml:space="preserve"> </w:t>
      </w:r>
      <w:r w:rsidRPr="00036FAC">
        <w:t>Tax</w:t>
      </w:r>
      <w:r w:rsidR="00907D8C">
        <w:t xml:space="preserve"> </w:t>
      </w:r>
      <w:r w:rsidRPr="00036FAC">
        <w:t>Credit</w:t>
      </w:r>
      <w:r w:rsidR="00907D8C">
        <w:t xml:space="preserve"> </w:t>
      </w:r>
      <w:r w:rsidRPr="00036FAC">
        <w:t>sits</w:t>
      </w:r>
      <w:r w:rsidR="00907D8C">
        <w:t xml:space="preserve"> </w:t>
      </w:r>
      <w:r w:rsidRPr="00036FAC">
        <w:t>outside</w:t>
      </w:r>
      <w:r w:rsidR="00907D8C">
        <w:t xml:space="preserve"> </w:t>
      </w:r>
      <w:r w:rsidRPr="00036FAC">
        <w:t>of</w:t>
      </w:r>
      <w:r w:rsidR="00907D8C">
        <w:t xml:space="preserve"> </w:t>
      </w:r>
      <w:r w:rsidRPr="00036FAC">
        <w:t>this</w:t>
      </w:r>
      <w:r w:rsidR="00907D8C">
        <w:t xml:space="preserve"> </w:t>
      </w:r>
      <w:r w:rsidRPr="00036FAC">
        <w:t>system</w:t>
      </w:r>
      <w:r w:rsidR="00907D8C">
        <w:t xml:space="preserve"> </w:t>
      </w:r>
      <w:r w:rsidRPr="00036FAC">
        <w:t>as</w:t>
      </w:r>
      <w:r w:rsidR="00907D8C">
        <w:t xml:space="preserve"> </w:t>
      </w:r>
      <w:r w:rsidRPr="00036FAC">
        <w:t>it</w:t>
      </w:r>
      <w:r w:rsidR="00907D8C">
        <w:t xml:space="preserve"> </w:t>
      </w:r>
      <w:r w:rsidRPr="00036FAC">
        <w:t>is</w:t>
      </w:r>
      <w:r w:rsidR="00907D8C">
        <w:t xml:space="preserve"> </w:t>
      </w:r>
      <w:r w:rsidRPr="00036FAC">
        <w:t>a</w:t>
      </w:r>
      <w:r w:rsidR="00907D8C">
        <w:t xml:space="preserve"> </w:t>
      </w:r>
      <w:r w:rsidRPr="00036FAC">
        <w:t>one-off</w:t>
      </w:r>
      <w:r w:rsidR="00907D8C">
        <w:t xml:space="preserve"> </w:t>
      </w:r>
      <w:r w:rsidRPr="00036FAC">
        <w:t>payment</w:t>
      </w:r>
      <w:r w:rsidR="00907D8C">
        <w:t xml:space="preserve"> </w:t>
      </w:r>
      <w:r w:rsidRPr="00036FAC">
        <w:t>made</w:t>
      </w:r>
      <w:r w:rsidR="00907D8C">
        <w:t xml:space="preserve"> </w:t>
      </w:r>
      <w:r w:rsidRPr="00036FAC">
        <w:t>to</w:t>
      </w:r>
      <w:r w:rsidR="00907D8C">
        <w:t xml:space="preserve"> </w:t>
      </w:r>
      <w:r w:rsidRPr="00036FAC">
        <w:t>low-income</w:t>
      </w:r>
      <w:r w:rsidR="00907D8C">
        <w:t xml:space="preserve"> </w:t>
      </w:r>
      <w:r w:rsidRPr="00036FAC">
        <w:t>families</w:t>
      </w:r>
      <w:r w:rsidR="00907D8C">
        <w:t xml:space="preserve"> </w:t>
      </w:r>
      <w:r w:rsidRPr="00036FAC">
        <w:t>for</w:t>
      </w:r>
      <w:r w:rsidR="00907D8C">
        <w:t xml:space="preserve"> </w:t>
      </w:r>
      <w:r w:rsidRPr="00036FAC">
        <w:t>the</w:t>
      </w:r>
      <w:r w:rsidR="00907D8C">
        <w:t xml:space="preserve"> </w:t>
      </w:r>
      <w:r w:rsidRPr="00036FAC">
        <w:t>first</w:t>
      </w:r>
      <w:r w:rsidR="00907D8C">
        <w:t xml:space="preserve"> </w:t>
      </w:r>
      <w:r w:rsidRPr="00036FAC">
        <w:t>eight</w:t>
      </w:r>
      <w:r w:rsidR="00907D8C">
        <w:t xml:space="preserve"> </w:t>
      </w:r>
      <w:r w:rsidRPr="00036FAC">
        <w:t>weeks</w:t>
      </w:r>
      <w:r w:rsidR="00907D8C">
        <w:t xml:space="preserve"> </w:t>
      </w:r>
      <w:r w:rsidRPr="00036FAC">
        <w:t>after</w:t>
      </w:r>
      <w:r w:rsidR="00907D8C">
        <w:t xml:space="preserve"> </w:t>
      </w:r>
      <w:r w:rsidRPr="00036FAC">
        <w:t>the</w:t>
      </w:r>
      <w:r w:rsidR="00907D8C">
        <w:t xml:space="preserve"> </w:t>
      </w:r>
      <w:r w:rsidRPr="00036FAC">
        <w:t>birth</w:t>
      </w:r>
      <w:r w:rsidR="00907D8C">
        <w:t xml:space="preserve"> </w:t>
      </w:r>
      <w:r w:rsidRPr="00036FAC">
        <w:t>or</w:t>
      </w:r>
      <w:r w:rsidR="00907D8C">
        <w:t xml:space="preserve"> </w:t>
      </w:r>
      <w:r w:rsidRPr="00036FAC">
        <w:t>adoption</w:t>
      </w:r>
      <w:r w:rsidR="00907D8C">
        <w:t xml:space="preserve"> </w:t>
      </w:r>
      <w:r w:rsidRPr="00036FAC">
        <w:t>of</w:t>
      </w:r>
      <w:r w:rsidR="00907D8C">
        <w:t xml:space="preserve"> </w:t>
      </w:r>
      <w:r w:rsidRPr="00036FAC">
        <w:t>a</w:t>
      </w:r>
      <w:r w:rsidR="00907D8C">
        <w:t xml:space="preserve"> </w:t>
      </w:r>
      <w:r w:rsidRPr="00036FAC">
        <w:t>child.</w:t>
      </w:r>
      <w:r w:rsidR="00907D8C">
        <w:t xml:space="preserve"> </w:t>
      </w:r>
      <w:r w:rsidRPr="00036FAC">
        <w:t>It</w:t>
      </w:r>
      <w:r w:rsidR="00907D8C">
        <w:t xml:space="preserve"> </w:t>
      </w:r>
      <w:r w:rsidRPr="00036FAC">
        <w:t>is</w:t>
      </w:r>
      <w:r w:rsidR="00907D8C">
        <w:t xml:space="preserve"> </w:t>
      </w:r>
      <w:r w:rsidRPr="00036FAC">
        <w:t>typically</w:t>
      </w:r>
      <w:r w:rsidR="00907D8C">
        <w:t xml:space="preserve"> </w:t>
      </w:r>
      <w:r w:rsidRPr="00036FAC">
        <w:t>a</w:t>
      </w:r>
      <w:r w:rsidR="00907D8C">
        <w:t xml:space="preserve"> </w:t>
      </w:r>
      <w:r w:rsidRPr="00036FAC">
        <w:t>lump-sum</w:t>
      </w:r>
      <w:r w:rsidR="00907D8C">
        <w:t xml:space="preserve"> </w:t>
      </w:r>
      <w:r w:rsidRPr="00036FAC">
        <w:t>payment.</w:t>
      </w:r>
    </w:p>
    <w:p w:rsidR="00036FAC" w:rsidRPr="00036FAC" w:rsidRDefault="00036FAC" w:rsidP="00CB1E9A">
      <w:pPr>
        <w:pStyle w:val="SingleTxtG"/>
      </w:pPr>
      <w:r w:rsidRPr="00036FAC">
        <w:t>252.</w:t>
      </w:r>
      <w:r w:rsidRPr="00036FAC">
        <w:tab/>
        <w:t>New</w:t>
      </w:r>
      <w:r w:rsidR="00907D8C">
        <w:t xml:space="preserve"> </w:t>
      </w:r>
      <w:r w:rsidRPr="00036FAC">
        <w:t>Zealand</w:t>
      </w:r>
      <w:r w:rsidR="00907D8C">
        <w:t xml:space="preserve"> </w:t>
      </w:r>
      <w:r w:rsidRPr="00036FAC">
        <w:t>also</w:t>
      </w:r>
      <w:r w:rsidR="00907D8C">
        <w:t xml:space="preserve"> </w:t>
      </w:r>
      <w:r w:rsidRPr="00036FAC">
        <w:t>has</w:t>
      </w:r>
      <w:r w:rsidR="00907D8C">
        <w:t xml:space="preserve"> </w:t>
      </w:r>
      <w:r w:rsidRPr="00036FAC">
        <w:t>specific</w:t>
      </w:r>
      <w:r w:rsidR="00907D8C">
        <w:t xml:space="preserve"> </w:t>
      </w:r>
      <w:r w:rsidRPr="00036FAC">
        <w:t>policies</w:t>
      </w:r>
      <w:r w:rsidR="00907D8C">
        <w:t xml:space="preserve"> </w:t>
      </w:r>
      <w:r w:rsidRPr="00036FAC">
        <w:t>to</w:t>
      </w:r>
      <w:r w:rsidR="00907D8C">
        <w:t xml:space="preserve"> </w:t>
      </w:r>
      <w:r w:rsidRPr="00036FAC">
        <w:t>reduce</w:t>
      </w:r>
      <w:r w:rsidR="00907D8C">
        <w:t xml:space="preserve"> </w:t>
      </w:r>
      <w:r w:rsidRPr="00036FAC">
        <w:t>the</w:t>
      </w:r>
      <w:r w:rsidR="00907D8C">
        <w:t xml:space="preserve"> </w:t>
      </w:r>
      <w:r w:rsidRPr="00036FAC">
        <w:t>cost</w:t>
      </w:r>
      <w:r w:rsidR="00907D8C">
        <w:t xml:space="preserve"> </w:t>
      </w:r>
      <w:r w:rsidRPr="00036FAC">
        <w:t>barriers</w:t>
      </w:r>
      <w:r w:rsidR="00907D8C">
        <w:t xml:space="preserve"> </w:t>
      </w:r>
      <w:r w:rsidRPr="00036FAC">
        <w:t>of</w:t>
      </w:r>
      <w:r w:rsidR="00907D8C">
        <w:t xml:space="preserve"> </w:t>
      </w:r>
      <w:r w:rsidRPr="00036FAC">
        <w:t>early</w:t>
      </w:r>
      <w:r w:rsidR="00907D8C">
        <w:t xml:space="preserve"> </w:t>
      </w:r>
      <w:r w:rsidRPr="00036FAC">
        <w:t>childhood</w:t>
      </w:r>
      <w:r w:rsidR="00907D8C">
        <w:t xml:space="preserve"> </w:t>
      </w:r>
      <w:r w:rsidRPr="00036FAC">
        <w:t>education</w:t>
      </w:r>
      <w:r w:rsidR="00907D8C">
        <w:t xml:space="preserve"> </w:t>
      </w:r>
      <w:r w:rsidRPr="00036FAC">
        <w:t>(ECE).</w:t>
      </w:r>
      <w:r w:rsidR="00907D8C">
        <w:t xml:space="preserve"> </w:t>
      </w:r>
      <w:r w:rsidRPr="00036FAC">
        <w:t>All</w:t>
      </w:r>
      <w:r w:rsidR="00907D8C">
        <w:t xml:space="preserve"> </w:t>
      </w:r>
      <w:r w:rsidRPr="00036FAC">
        <w:t>teacher-led</w:t>
      </w:r>
      <w:r w:rsidR="00907D8C">
        <w:t xml:space="preserve"> </w:t>
      </w:r>
      <w:r w:rsidRPr="00036FAC">
        <w:t>ECE</w:t>
      </w:r>
      <w:r w:rsidR="00907D8C">
        <w:t xml:space="preserve"> </w:t>
      </w:r>
      <w:r w:rsidRPr="00036FAC">
        <w:t>services,</w:t>
      </w:r>
      <w:r w:rsidR="00907D8C">
        <w:t xml:space="preserve"> </w:t>
      </w:r>
      <w:r w:rsidRPr="00036FAC">
        <w:t>playcentres</w:t>
      </w:r>
      <w:r w:rsidR="00907D8C">
        <w:t xml:space="preserve"> </w:t>
      </w:r>
      <w:r w:rsidRPr="00036FAC">
        <w:t>and</w:t>
      </w:r>
      <w:r w:rsidR="00907D8C">
        <w:t xml:space="preserve"> </w:t>
      </w:r>
      <w:r w:rsidRPr="00036FAC">
        <w:t>kohanga</w:t>
      </w:r>
      <w:r w:rsidR="00907D8C">
        <w:t xml:space="preserve"> </w:t>
      </w:r>
      <w:r w:rsidRPr="00036FAC">
        <w:t>reo</w:t>
      </w:r>
      <w:r w:rsidR="00907D8C">
        <w:t xml:space="preserve"> </w:t>
      </w:r>
      <w:r w:rsidRPr="00036FAC">
        <w:t>(Māori</w:t>
      </w:r>
      <w:r w:rsidR="00907D8C">
        <w:t xml:space="preserve"> </w:t>
      </w:r>
      <w:r w:rsidRPr="00036FAC">
        <w:t>language</w:t>
      </w:r>
      <w:r w:rsidR="00907D8C">
        <w:t xml:space="preserve"> </w:t>
      </w:r>
      <w:r w:rsidRPr="00036FAC">
        <w:t>ECE</w:t>
      </w:r>
      <w:r w:rsidR="00907D8C">
        <w:t xml:space="preserve"> </w:t>
      </w:r>
      <w:r w:rsidRPr="00036FAC">
        <w:t>services)</w:t>
      </w:r>
      <w:r w:rsidR="00907D8C">
        <w:t xml:space="preserve"> </w:t>
      </w:r>
      <w:r w:rsidRPr="00036FAC">
        <w:t>offer</w:t>
      </w:r>
      <w:r w:rsidR="00907D8C">
        <w:t xml:space="preserve"> </w:t>
      </w:r>
      <w:r w:rsidRPr="00036FAC">
        <w:t>20</w:t>
      </w:r>
      <w:r w:rsidR="00907D8C">
        <w:t xml:space="preserve"> </w:t>
      </w:r>
      <w:r w:rsidRPr="00036FAC">
        <w:t>hours</w:t>
      </w:r>
      <w:r w:rsidR="003E4D94">
        <w:t>’</w:t>
      </w:r>
      <w:r w:rsidR="00907D8C">
        <w:t xml:space="preserve"> </w:t>
      </w:r>
      <w:r w:rsidRPr="00036FAC">
        <w:t>ECE</w:t>
      </w:r>
      <w:r w:rsidR="00907D8C">
        <w:t xml:space="preserve"> </w:t>
      </w:r>
      <w:r w:rsidRPr="00036FAC">
        <w:t>funded</w:t>
      </w:r>
      <w:r w:rsidR="00907D8C">
        <w:t xml:space="preserve"> </w:t>
      </w:r>
      <w:r w:rsidRPr="00036FAC">
        <w:t>by</w:t>
      </w:r>
      <w:r w:rsidR="00907D8C">
        <w:t xml:space="preserve"> </w:t>
      </w:r>
      <w:r w:rsidRPr="00036FAC">
        <w:t>the</w:t>
      </w:r>
      <w:r w:rsidR="00907D8C">
        <w:t xml:space="preserve"> </w:t>
      </w:r>
      <w:r w:rsidRPr="00036FAC">
        <w:t>Government.</w:t>
      </w:r>
    </w:p>
    <w:p w:rsidR="00036FAC" w:rsidRPr="00036FAC" w:rsidRDefault="00036FAC" w:rsidP="00CB1E9A">
      <w:pPr>
        <w:pStyle w:val="SingleTxtG"/>
      </w:pPr>
      <w:r w:rsidRPr="00036FAC">
        <w:t>253.</w:t>
      </w:r>
      <w:r w:rsidRPr="00036FAC">
        <w:tab/>
        <w:t>Improvement</w:t>
      </w:r>
      <w:r w:rsidR="00907D8C">
        <w:t xml:space="preserve"> </w:t>
      </w:r>
      <w:r w:rsidRPr="00036FAC">
        <w:t>in</w:t>
      </w:r>
      <w:r w:rsidR="00907D8C">
        <w:t xml:space="preserve"> </w:t>
      </w:r>
      <w:r w:rsidRPr="00036FAC">
        <w:t>ECE</w:t>
      </w:r>
      <w:r w:rsidR="00907D8C">
        <w:t xml:space="preserve"> </w:t>
      </w:r>
      <w:r w:rsidRPr="00036FAC">
        <w:t>participation</w:t>
      </w:r>
      <w:r w:rsidR="00907D8C">
        <w:t xml:space="preserve"> </w:t>
      </w:r>
      <w:r w:rsidRPr="00036FAC">
        <w:t>for</w:t>
      </w:r>
      <w:r w:rsidR="00907D8C">
        <w:t xml:space="preserve"> </w:t>
      </w:r>
      <w:r w:rsidRPr="00036FAC">
        <w:t>Māori</w:t>
      </w:r>
      <w:r w:rsidR="00907D8C">
        <w:t xml:space="preserve"> </w:t>
      </w:r>
      <w:r w:rsidRPr="00036FAC">
        <w:t>and</w:t>
      </w:r>
      <w:r w:rsidR="00907D8C">
        <w:t xml:space="preserve"> </w:t>
      </w:r>
      <w:r w:rsidRPr="00036FAC">
        <w:t>Pacific</w:t>
      </w:r>
      <w:r w:rsidR="00907D8C">
        <w:t xml:space="preserve"> </w:t>
      </w:r>
      <w:r w:rsidRPr="00036FAC">
        <w:t>peoples</w:t>
      </w:r>
      <w:r w:rsidR="00907D8C">
        <w:t xml:space="preserve"> </w:t>
      </w:r>
      <w:r w:rsidRPr="00036FAC">
        <w:t>is</w:t>
      </w:r>
      <w:r w:rsidR="00907D8C">
        <w:t xml:space="preserve"> </w:t>
      </w:r>
      <w:r w:rsidRPr="00036FAC">
        <w:t>considered</w:t>
      </w:r>
      <w:r w:rsidR="00907D8C">
        <w:t xml:space="preserve"> </w:t>
      </w:r>
      <w:r w:rsidRPr="00036FAC">
        <w:t>vital.</w:t>
      </w:r>
      <w:r w:rsidR="00907D8C">
        <w:t xml:space="preserve"> </w:t>
      </w:r>
      <w:r w:rsidRPr="00036FAC">
        <w:t>A</w:t>
      </w:r>
      <w:r w:rsidR="00907D8C">
        <w:t xml:space="preserve"> </w:t>
      </w:r>
      <w:r w:rsidRPr="00036FAC">
        <w:t>new</w:t>
      </w:r>
      <w:r w:rsidR="00907D8C">
        <w:t xml:space="preserve"> </w:t>
      </w:r>
      <w:r w:rsidRPr="00036FAC">
        <w:t>package</w:t>
      </w:r>
      <w:r w:rsidR="00907D8C">
        <w:t xml:space="preserve"> </w:t>
      </w:r>
      <w:r w:rsidRPr="00036FAC">
        <w:t>of</w:t>
      </w:r>
      <w:r w:rsidR="00907D8C">
        <w:t xml:space="preserve"> </w:t>
      </w:r>
      <w:r w:rsidRPr="00036FAC">
        <w:t>policies</w:t>
      </w:r>
      <w:r w:rsidR="00907D8C">
        <w:t xml:space="preserve"> </w:t>
      </w:r>
      <w:r w:rsidRPr="00036FAC">
        <w:t>was</w:t>
      </w:r>
      <w:r w:rsidR="00907D8C">
        <w:t xml:space="preserve"> </w:t>
      </w:r>
      <w:r w:rsidRPr="00036FAC">
        <w:t>introduced</w:t>
      </w:r>
      <w:r w:rsidR="00907D8C">
        <w:t xml:space="preserve"> </w:t>
      </w:r>
      <w:r w:rsidRPr="00036FAC">
        <w:t>in</w:t>
      </w:r>
      <w:r w:rsidR="00907D8C">
        <w:t xml:space="preserve"> </w:t>
      </w:r>
      <w:r w:rsidRPr="00036FAC">
        <w:t>May</w:t>
      </w:r>
      <w:r w:rsidR="00907D8C">
        <w:t xml:space="preserve"> </w:t>
      </w:r>
      <w:r w:rsidRPr="00036FAC">
        <w:t>2010</w:t>
      </w:r>
      <w:r w:rsidR="00907D8C">
        <w:t xml:space="preserve"> </w:t>
      </w:r>
      <w:r w:rsidRPr="00036FAC">
        <w:t>to</w:t>
      </w:r>
      <w:r w:rsidR="00907D8C">
        <w:t xml:space="preserve"> </w:t>
      </w:r>
      <w:r w:rsidRPr="00036FAC">
        <w:t>achieve</w:t>
      </w:r>
      <w:r w:rsidR="00907D8C">
        <w:t xml:space="preserve"> </w:t>
      </w:r>
      <w:r w:rsidRPr="00036FAC">
        <w:t>this</w:t>
      </w:r>
      <w:r w:rsidR="00907D8C">
        <w:t xml:space="preserve"> </w:t>
      </w:r>
      <w:r w:rsidRPr="00036FAC">
        <w:t>goal.</w:t>
      </w:r>
      <w:r w:rsidR="00907D8C">
        <w:t xml:space="preserve"> </w:t>
      </w:r>
      <w:r w:rsidRPr="00036FAC">
        <w:t>These</w:t>
      </w:r>
      <w:r w:rsidR="00907D8C">
        <w:t xml:space="preserve"> </w:t>
      </w:r>
      <w:r w:rsidRPr="00036FAC">
        <w:t>include:</w:t>
      </w:r>
      <w:r w:rsidR="00907D8C">
        <w:t xml:space="preserve"> </w:t>
      </w:r>
      <w:r w:rsidRPr="00036FAC">
        <w:t>intensive</w:t>
      </w:r>
      <w:r w:rsidR="00907D8C">
        <w:t xml:space="preserve"> </w:t>
      </w:r>
      <w:r w:rsidRPr="00036FAC">
        <w:t>community-focused</w:t>
      </w:r>
      <w:r w:rsidR="00907D8C">
        <w:t xml:space="preserve"> </w:t>
      </w:r>
      <w:r w:rsidRPr="00036FAC">
        <w:t>participation</w:t>
      </w:r>
      <w:r w:rsidR="00907D8C">
        <w:t xml:space="preserve"> </w:t>
      </w:r>
      <w:r w:rsidRPr="00036FAC">
        <w:t>projects;</w:t>
      </w:r>
      <w:r w:rsidR="00907D8C">
        <w:t xml:space="preserve"> </w:t>
      </w:r>
      <w:r w:rsidRPr="00036FAC">
        <w:t>supported</w:t>
      </w:r>
      <w:r w:rsidR="00907D8C">
        <w:t xml:space="preserve"> </w:t>
      </w:r>
      <w:r w:rsidRPr="00036FAC">
        <w:t>playgroups;</w:t>
      </w:r>
      <w:r w:rsidR="00907D8C">
        <w:t xml:space="preserve"> </w:t>
      </w:r>
      <w:r w:rsidRPr="00036FAC">
        <w:t>language,</w:t>
      </w:r>
      <w:r w:rsidR="00907D8C">
        <w:t xml:space="preserve"> </w:t>
      </w:r>
      <w:r w:rsidRPr="00036FAC">
        <w:t>culture,</w:t>
      </w:r>
      <w:r w:rsidR="00907D8C">
        <w:t xml:space="preserve"> </w:t>
      </w:r>
      <w:r w:rsidRPr="00036FAC">
        <w:t>and</w:t>
      </w:r>
      <w:r w:rsidR="00907D8C">
        <w:t xml:space="preserve"> </w:t>
      </w:r>
      <w:r w:rsidRPr="00036FAC">
        <w:t>community</w:t>
      </w:r>
      <w:r w:rsidR="00907D8C">
        <w:t xml:space="preserve"> </w:t>
      </w:r>
      <w:r w:rsidRPr="00036FAC">
        <w:t>engagement</w:t>
      </w:r>
      <w:r w:rsidR="00907D8C">
        <w:t xml:space="preserve"> </w:t>
      </w:r>
      <w:r w:rsidRPr="00036FAC">
        <w:t>support</w:t>
      </w:r>
      <w:r w:rsidR="00907D8C">
        <w:t xml:space="preserve"> </w:t>
      </w:r>
      <w:r w:rsidRPr="00036FAC">
        <w:t>projects.</w:t>
      </w:r>
      <w:r w:rsidR="00907D8C">
        <w:t xml:space="preserve"> </w:t>
      </w:r>
      <w:r w:rsidRPr="00036FAC">
        <w:t>Projects</w:t>
      </w:r>
      <w:r w:rsidR="00907D8C">
        <w:t xml:space="preserve"> </w:t>
      </w:r>
      <w:r w:rsidRPr="00036FAC">
        <w:t>to</w:t>
      </w:r>
      <w:r w:rsidR="00907D8C">
        <w:t xml:space="preserve"> </w:t>
      </w:r>
      <w:r w:rsidRPr="00036FAC">
        <w:t>support</w:t>
      </w:r>
      <w:r w:rsidR="00907D8C">
        <w:t xml:space="preserve"> </w:t>
      </w:r>
      <w:r w:rsidRPr="00036FAC">
        <w:t>home-based</w:t>
      </w:r>
      <w:r w:rsidR="00907D8C">
        <w:t xml:space="preserve"> </w:t>
      </w:r>
      <w:r w:rsidRPr="00036FAC">
        <w:t>services</w:t>
      </w:r>
      <w:r w:rsidR="00907D8C">
        <w:t xml:space="preserve"> </w:t>
      </w:r>
      <w:r w:rsidRPr="00036FAC">
        <w:t>participation</w:t>
      </w:r>
      <w:r w:rsidR="00907D8C">
        <w:t xml:space="preserve"> </w:t>
      </w:r>
      <w:r w:rsidRPr="00036FAC">
        <w:t>projects</w:t>
      </w:r>
      <w:r w:rsidR="00907D8C">
        <w:t xml:space="preserve"> </w:t>
      </w:r>
      <w:r w:rsidRPr="00036FAC">
        <w:t>will</w:t>
      </w:r>
      <w:r w:rsidR="00907D8C">
        <w:t xml:space="preserve"> </w:t>
      </w:r>
      <w:r w:rsidRPr="00036FAC">
        <w:t>be</w:t>
      </w:r>
      <w:r w:rsidR="00907D8C">
        <w:t xml:space="preserve"> </w:t>
      </w:r>
      <w:r w:rsidRPr="00036FAC">
        <w:t>concentrated</w:t>
      </w:r>
      <w:r w:rsidR="00907D8C">
        <w:t xml:space="preserve"> </w:t>
      </w:r>
      <w:r w:rsidRPr="00036FAC">
        <w:t>in</w:t>
      </w:r>
      <w:r w:rsidR="00907D8C">
        <w:t xml:space="preserve"> </w:t>
      </w:r>
      <w:r w:rsidRPr="00036FAC">
        <w:t>areas</w:t>
      </w:r>
      <w:r w:rsidR="00907D8C">
        <w:t xml:space="preserve"> </w:t>
      </w:r>
      <w:r w:rsidRPr="00036FAC">
        <w:t>with</w:t>
      </w:r>
      <w:r w:rsidR="00907D8C">
        <w:t xml:space="preserve"> </w:t>
      </w:r>
      <w:r w:rsidRPr="00036FAC">
        <w:t>large</w:t>
      </w:r>
      <w:r w:rsidR="00907D8C">
        <w:t xml:space="preserve"> </w:t>
      </w:r>
      <w:r w:rsidRPr="00036FAC">
        <w:t>numbers</w:t>
      </w:r>
      <w:r w:rsidR="00907D8C">
        <w:t xml:space="preserve"> </w:t>
      </w:r>
      <w:r w:rsidRPr="00036FAC">
        <w:t>of</w:t>
      </w:r>
      <w:r w:rsidR="00907D8C">
        <w:t xml:space="preserve"> </w:t>
      </w:r>
      <w:r w:rsidRPr="00036FAC">
        <w:t>non-participating</w:t>
      </w:r>
      <w:r w:rsidR="00907D8C">
        <w:t xml:space="preserve"> </w:t>
      </w:r>
      <w:r w:rsidRPr="00036FAC">
        <w:t>children</w:t>
      </w:r>
      <w:r w:rsidR="00907D8C">
        <w:t xml:space="preserve"> </w:t>
      </w:r>
      <w:r w:rsidRPr="00036FAC">
        <w:t>and</w:t>
      </w:r>
      <w:r w:rsidR="00907D8C">
        <w:t xml:space="preserve"> </w:t>
      </w:r>
      <w:r w:rsidRPr="00036FAC">
        <w:t>respond</w:t>
      </w:r>
      <w:r w:rsidR="00907D8C">
        <w:t xml:space="preserve"> </w:t>
      </w:r>
      <w:r w:rsidRPr="00036FAC">
        <w:t>to</w:t>
      </w:r>
      <w:r w:rsidR="00907D8C">
        <w:t xml:space="preserve"> </w:t>
      </w:r>
      <w:r w:rsidRPr="00036FAC">
        <w:t>the</w:t>
      </w:r>
      <w:r w:rsidR="00907D8C">
        <w:t xml:space="preserve"> </w:t>
      </w:r>
      <w:r w:rsidRPr="00036FAC">
        <w:t>different</w:t>
      </w:r>
      <w:r w:rsidR="00907D8C">
        <w:t xml:space="preserve"> </w:t>
      </w:r>
      <w:r w:rsidRPr="00036FAC">
        <w:t>needs</w:t>
      </w:r>
      <w:r w:rsidR="00907D8C">
        <w:t xml:space="preserve"> </w:t>
      </w:r>
      <w:r w:rsidRPr="00036FAC">
        <w:t>of</w:t>
      </w:r>
      <w:r w:rsidR="00907D8C">
        <w:t xml:space="preserve"> </w:t>
      </w:r>
      <w:r w:rsidRPr="00036FAC">
        <w:t>each</w:t>
      </w:r>
      <w:r w:rsidR="00907D8C">
        <w:t xml:space="preserve"> </w:t>
      </w:r>
      <w:r w:rsidRPr="00036FAC">
        <w:t>area.</w:t>
      </w:r>
      <w:r w:rsidR="00907D8C">
        <w:t xml:space="preserve"> </w:t>
      </w:r>
      <w:r w:rsidRPr="00036FAC">
        <w:t>It</w:t>
      </w:r>
      <w:r w:rsidR="00907D8C">
        <w:t xml:space="preserve"> </w:t>
      </w:r>
      <w:r w:rsidRPr="00036FAC">
        <w:t>is</w:t>
      </w:r>
      <w:r w:rsidR="00907D8C">
        <w:t xml:space="preserve"> </w:t>
      </w:r>
      <w:r w:rsidRPr="00036FAC">
        <w:t>expected</w:t>
      </w:r>
      <w:r w:rsidR="00907D8C">
        <w:t xml:space="preserve"> </w:t>
      </w:r>
      <w:r w:rsidRPr="00036FAC">
        <w:t>up</w:t>
      </w:r>
      <w:r w:rsidR="00907D8C">
        <w:t xml:space="preserve"> </w:t>
      </w:r>
      <w:r w:rsidRPr="00036FAC">
        <w:t>to</w:t>
      </w:r>
      <w:r w:rsidR="00907D8C">
        <w:t xml:space="preserve"> </w:t>
      </w:r>
      <w:r w:rsidRPr="00036FAC">
        <w:t>3,500</w:t>
      </w:r>
      <w:r w:rsidR="00907D8C">
        <w:t xml:space="preserve"> </w:t>
      </w:r>
      <w:r w:rsidRPr="00036FAC">
        <w:t>children</w:t>
      </w:r>
      <w:r w:rsidR="00907D8C">
        <w:t xml:space="preserve"> </w:t>
      </w:r>
      <w:r w:rsidRPr="00036FAC">
        <w:t>over</w:t>
      </w:r>
      <w:r w:rsidR="00907D8C">
        <w:t xml:space="preserve"> </w:t>
      </w:r>
      <w:r w:rsidRPr="00036FAC">
        <w:t>four</w:t>
      </w:r>
      <w:r w:rsidR="00907D8C">
        <w:t xml:space="preserve"> </w:t>
      </w:r>
      <w:r w:rsidRPr="00036FAC">
        <w:t>years</w:t>
      </w:r>
      <w:r w:rsidR="00907D8C">
        <w:t xml:space="preserve"> </w:t>
      </w:r>
      <w:r w:rsidRPr="00036FAC">
        <w:t>will</w:t>
      </w:r>
      <w:r w:rsidR="00907D8C">
        <w:t xml:space="preserve"> </w:t>
      </w:r>
      <w:r w:rsidRPr="00036FAC">
        <w:t>access</w:t>
      </w:r>
      <w:r w:rsidR="00907D8C">
        <w:t xml:space="preserve"> </w:t>
      </w:r>
      <w:r w:rsidRPr="00036FAC">
        <w:t>quality</w:t>
      </w:r>
      <w:r w:rsidR="00907D8C">
        <w:t xml:space="preserve"> </w:t>
      </w:r>
      <w:r w:rsidRPr="00036FAC">
        <w:t>ECE</w:t>
      </w:r>
      <w:r w:rsidR="00907D8C">
        <w:t xml:space="preserve"> </w:t>
      </w:r>
      <w:r w:rsidRPr="00036FAC">
        <w:t>as</w:t>
      </w:r>
      <w:r w:rsidR="00907D8C">
        <w:t xml:space="preserve"> </w:t>
      </w:r>
      <w:r w:rsidRPr="00036FAC">
        <w:t>a</w:t>
      </w:r>
      <w:r w:rsidR="00907D8C">
        <w:t xml:space="preserve"> </w:t>
      </w:r>
      <w:r w:rsidRPr="00036FAC">
        <w:t>result</w:t>
      </w:r>
      <w:r w:rsidR="00907D8C">
        <w:t xml:space="preserve"> </w:t>
      </w:r>
      <w:r w:rsidRPr="00036FAC">
        <w:t>of</w:t>
      </w:r>
      <w:r w:rsidR="00907D8C">
        <w:t xml:space="preserve"> </w:t>
      </w:r>
      <w:r w:rsidRPr="00036FAC">
        <w:t>these</w:t>
      </w:r>
      <w:r w:rsidR="00907D8C">
        <w:t xml:space="preserve"> </w:t>
      </w:r>
      <w:r w:rsidRPr="00036FAC">
        <w:t>projects.</w:t>
      </w:r>
    </w:p>
    <w:p w:rsidR="00036FAC" w:rsidRPr="00036FAC" w:rsidRDefault="00036FAC" w:rsidP="00CB1E9A">
      <w:pPr>
        <w:pStyle w:val="SingleTxtG"/>
      </w:pPr>
      <w:r w:rsidRPr="00036FAC">
        <w:t>254.</w:t>
      </w:r>
      <w:r w:rsidRPr="00036FAC">
        <w:tab/>
        <w:t>Some</w:t>
      </w:r>
      <w:r w:rsidR="00907D8C">
        <w:t xml:space="preserve"> </w:t>
      </w:r>
      <w:r w:rsidRPr="00036FAC">
        <w:t>improvements</w:t>
      </w:r>
      <w:r w:rsidR="00907D8C">
        <w:t xml:space="preserve"> </w:t>
      </w:r>
      <w:r w:rsidRPr="00036FAC">
        <w:t>in</w:t>
      </w:r>
      <w:r w:rsidR="00907D8C">
        <w:t xml:space="preserve"> </w:t>
      </w:r>
      <w:r w:rsidRPr="00036FAC">
        <w:t>Māori</w:t>
      </w:r>
      <w:r w:rsidR="00907D8C">
        <w:t xml:space="preserve"> </w:t>
      </w:r>
      <w:r w:rsidRPr="00036FAC">
        <w:t>participation</w:t>
      </w:r>
      <w:r w:rsidR="00907D8C">
        <w:t xml:space="preserve"> </w:t>
      </w:r>
      <w:r w:rsidRPr="00036FAC">
        <w:t>in</w:t>
      </w:r>
      <w:r w:rsidR="00907D8C">
        <w:t xml:space="preserve"> </w:t>
      </w:r>
      <w:r w:rsidRPr="00036FAC">
        <w:t>ECE</w:t>
      </w:r>
      <w:r w:rsidR="00907D8C">
        <w:t xml:space="preserve"> </w:t>
      </w:r>
      <w:r w:rsidRPr="00036FAC">
        <w:t>have</w:t>
      </w:r>
      <w:r w:rsidR="00907D8C">
        <w:t xml:space="preserve"> </w:t>
      </w:r>
      <w:r w:rsidRPr="00036FAC">
        <w:t>already</w:t>
      </w:r>
      <w:r w:rsidR="00907D8C">
        <w:t xml:space="preserve"> </w:t>
      </w:r>
      <w:r w:rsidRPr="00036FAC">
        <w:t>been</w:t>
      </w:r>
      <w:r w:rsidR="00907D8C">
        <w:t xml:space="preserve"> </w:t>
      </w:r>
      <w:r w:rsidRPr="00036FAC">
        <w:t>observed,</w:t>
      </w:r>
      <w:r w:rsidR="00907D8C">
        <w:t xml:space="preserve"> </w:t>
      </w:r>
      <w:r w:rsidRPr="00036FAC">
        <w:t>for</w:t>
      </w:r>
      <w:r w:rsidR="00907D8C">
        <w:t xml:space="preserve"> </w:t>
      </w:r>
      <w:r w:rsidRPr="00036FAC">
        <w:t>example,</w:t>
      </w:r>
      <w:r w:rsidR="00907D8C">
        <w:t xml:space="preserve"> </w:t>
      </w:r>
      <w:r w:rsidRPr="00036FAC">
        <w:t>participation</w:t>
      </w:r>
      <w:r w:rsidR="00907D8C">
        <w:t xml:space="preserve"> </w:t>
      </w:r>
      <w:r w:rsidRPr="00036FAC">
        <w:t>increased</w:t>
      </w:r>
      <w:r w:rsidR="00907D8C">
        <w:t xml:space="preserve"> </w:t>
      </w:r>
      <w:r w:rsidRPr="00036FAC">
        <w:t>from</w:t>
      </w:r>
      <w:r w:rsidR="00907D8C">
        <w:t xml:space="preserve"> </w:t>
      </w:r>
      <w:r w:rsidRPr="00036FAC">
        <w:t>89.9</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2006</w:t>
      </w:r>
      <w:r w:rsidR="00907D8C">
        <w:t xml:space="preserve"> </w:t>
      </w:r>
      <w:r w:rsidRPr="00036FAC">
        <w:t>to</w:t>
      </w:r>
      <w:r w:rsidR="00907D8C">
        <w:t xml:space="preserve"> </w:t>
      </w:r>
      <w:r w:rsidRPr="00036FAC">
        <w:t>91.4</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r w:rsidR="00907D8C">
        <w:t xml:space="preserve"> </w:t>
      </w:r>
      <w:r w:rsidRPr="00036FAC">
        <w:t>The</w:t>
      </w:r>
      <w:r w:rsidR="00907D8C">
        <w:t xml:space="preserve"> </w:t>
      </w:r>
      <w:r w:rsidRPr="00036FAC">
        <w:t>proportion</w:t>
      </w:r>
      <w:r w:rsidR="00907D8C">
        <w:t xml:space="preserve"> </w:t>
      </w:r>
      <w:r w:rsidRPr="00036FAC">
        <w:t>of</w:t>
      </w:r>
      <w:r w:rsidR="00907D8C">
        <w:t xml:space="preserve"> </w:t>
      </w:r>
      <w:r w:rsidRPr="00036FAC">
        <w:t>Māori</w:t>
      </w:r>
      <w:r w:rsidR="00907D8C">
        <w:t xml:space="preserve"> </w:t>
      </w:r>
      <w:r w:rsidRPr="00036FAC">
        <w:t>ECE</w:t>
      </w:r>
      <w:r w:rsidR="00907D8C">
        <w:t xml:space="preserve"> </w:t>
      </w:r>
      <w:r w:rsidRPr="00036FAC">
        <w:t>teachers</w:t>
      </w:r>
      <w:r w:rsidR="00907D8C">
        <w:t xml:space="preserve"> </w:t>
      </w:r>
      <w:r w:rsidRPr="00036FAC">
        <w:t>who</w:t>
      </w:r>
      <w:r w:rsidR="00907D8C">
        <w:t xml:space="preserve"> </w:t>
      </w:r>
      <w:r w:rsidRPr="00036FAC">
        <w:t>are</w:t>
      </w:r>
      <w:r w:rsidR="00907D8C">
        <w:t xml:space="preserve"> </w:t>
      </w:r>
      <w:r w:rsidRPr="00036FAC">
        <w:t>registered</w:t>
      </w:r>
      <w:r w:rsidR="00907D8C">
        <w:t xml:space="preserve"> </w:t>
      </w:r>
      <w:r w:rsidRPr="00036FAC">
        <w:t>(trained</w:t>
      </w:r>
      <w:r w:rsidR="00907D8C">
        <w:t xml:space="preserve"> </w:t>
      </w:r>
      <w:r w:rsidRPr="00036FAC">
        <w:t>and</w:t>
      </w:r>
      <w:r w:rsidR="00907D8C">
        <w:t xml:space="preserve"> </w:t>
      </w:r>
      <w:r w:rsidRPr="00036FAC">
        <w:t>certified</w:t>
      </w:r>
      <w:r w:rsidR="00907D8C">
        <w:t xml:space="preserve"> </w:t>
      </w:r>
      <w:r w:rsidRPr="00036FAC">
        <w:t>to</w:t>
      </w:r>
      <w:r w:rsidR="00907D8C">
        <w:t xml:space="preserve"> </w:t>
      </w:r>
      <w:r w:rsidRPr="00036FAC">
        <w:t>teach)</w:t>
      </w:r>
      <w:r w:rsidR="00907D8C">
        <w:t xml:space="preserve"> </w:t>
      </w:r>
      <w:r w:rsidRPr="00036FAC">
        <w:t>increased</w:t>
      </w:r>
      <w:r w:rsidR="00907D8C">
        <w:t xml:space="preserve"> </w:t>
      </w:r>
      <w:r w:rsidRPr="00036FAC">
        <w:t>from</w:t>
      </w:r>
      <w:r w:rsidR="00907D8C">
        <w:t xml:space="preserve"> </w:t>
      </w:r>
      <w:r w:rsidRPr="00036FAC">
        <w:t>23.2</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2004</w:t>
      </w:r>
      <w:r w:rsidR="00907D8C">
        <w:t xml:space="preserve"> </w:t>
      </w:r>
      <w:r w:rsidRPr="00036FAC">
        <w:t>to</w:t>
      </w:r>
      <w:r w:rsidR="00907D8C">
        <w:t xml:space="preserve"> </w:t>
      </w:r>
      <w:r w:rsidRPr="00036FAC">
        <w:t>52.8</w:t>
      </w:r>
      <w:r w:rsidR="00907D8C">
        <w:t xml:space="preserve"> </w:t>
      </w:r>
      <w:r w:rsidR="001B201B">
        <w:t>per</w:t>
      </w:r>
      <w:r w:rsidR="00907D8C">
        <w:t xml:space="preserve"> </w:t>
      </w:r>
      <w:r w:rsidR="001B201B">
        <w:t>cent</w:t>
      </w:r>
      <w:r w:rsidR="00907D8C">
        <w:t xml:space="preserve"> </w:t>
      </w:r>
      <w:r w:rsidRPr="00036FAC">
        <w:t>in</w:t>
      </w:r>
      <w:r w:rsidR="00907D8C">
        <w:t xml:space="preserve"> </w:t>
      </w:r>
      <w:r w:rsidRPr="00036FAC">
        <w:t>2009.</w:t>
      </w:r>
    </w:p>
    <w:p w:rsidR="00036FAC" w:rsidRPr="00036FAC" w:rsidRDefault="00036FAC" w:rsidP="00CB1E9A">
      <w:pPr>
        <w:pStyle w:val="SingleTxtG"/>
      </w:pPr>
      <w:r w:rsidRPr="00036FAC">
        <w:t>255.</w:t>
      </w:r>
      <w:r w:rsidRPr="00036FAC">
        <w:tab/>
        <w:t>Supporting</w:t>
      </w:r>
      <w:r w:rsidR="00907D8C">
        <w:t xml:space="preserve"> </w:t>
      </w:r>
      <w:r w:rsidRPr="00036FAC">
        <w:t>vulnerable</w:t>
      </w:r>
      <w:r w:rsidR="00907D8C">
        <w:t xml:space="preserve"> </w:t>
      </w:r>
      <w:r w:rsidRPr="00036FAC">
        <w:t>teen</w:t>
      </w:r>
      <w:r w:rsidR="00907D8C">
        <w:t xml:space="preserve"> </w:t>
      </w:r>
      <w:r w:rsidRPr="00036FAC">
        <w:t>parents</w:t>
      </w:r>
      <w:r w:rsidR="00907D8C">
        <w:t xml:space="preserve"> </w:t>
      </w:r>
      <w:r w:rsidRPr="00036FAC">
        <w:t>and</w:t>
      </w:r>
      <w:r w:rsidR="00907D8C">
        <w:t xml:space="preserve"> </w:t>
      </w:r>
      <w:r w:rsidRPr="00036FAC">
        <w:t>their</w:t>
      </w:r>
      <w:r w:rsidR="00907D8C">
        <w:t xml:space="preserve"> </w:t>
      </w:r>
      <w:r w:rsidRPr="00036FAC">
        <w:t>children</w:t>
      </w:r>
      <w:r w:rsidR="00907D8C">
        <w:t xml:space="preserve"> </w:t>
      </w:r>
      <w:r w:rsidRPr="00036FAC">
        <w:t>is</w:t>
      </w:r>
      <w:r w:rsidR="00907D8C">
        <w:t xml:space="preserve"> </w:t>
      </w:r>
      <w:r w:rsidRPr="00036FAC">
        <w:t>another</w:t>
      </w:r>
      <w:r w:rsidR="00907D8C">
        <w:t xml:space="preserve"> </w:t>
      </w:r>
      <w:r w:rsidRPr="00036FAC">
        <w:t>policy</w:t>
      </w:r>
      <w:r w:rsidR="00907D8C">
        <w:t xml:space="preserve"> </w:t>
      </w:r>
      <w:r w:rsidRPr="00036FAC">
        <w:t>that</w:t>
      </w:r>
      <w:r w:rsidR="00907D8C">
        <w:t xml:space="preserve"> </w:t>
      </w:r>
      <w:r w:rsidRPr="00036FAC">
        <w:t>may</w:t>
      </w:r>
      <w:r w:rsidR="00907D8C">
        <w:t xml:space="preserve"> </w:t>
      </w:r>
      <w:r w:rsidRPr="00036FAC">
        <w:t>reduce</w:t>
      </w:r>
      <w:r w:rsidR="00907D8C">
        <w:t xml:space="preserve"> </w:t>
      </w:r>
      <w:r w:rsidRPr="00036FAC">
        <w:t>inequities.</w:t>
      </w:r>
      <w:r w:rsidR="00907D8C">
        <w:t xml:space="preserve"> </w:t>
      </w:r>
      <w:r w:rsidRPr="00036FAC">
        <w:t>To</w:t>
      </w:r>
      <w:r w:rsidR="00907D8C">
        <w:t xml:space="preserve"> </w:t>
      </w:r>
      <w:r w:rsidRPr="00036FAC">
        <w:t>assist</w:t>
      </w:r>
      <w:r w:rsidR="00907D8C">
        <w:t xml:space="preserve"> </w:t>
      </w:r>
      <w:r w:rsidRPr="00036FAC">
        <w:t>this</w:t>
      </w:r>
      <w:r w:rsidR="00907D8C">
        <w:t xml:space="preserve"> </w:t>
      </w:r>
      <w:r w:rsidRPr="00036FAC">
        <w:t>group,</w:t>
      </w:r>
      <w:r w:rsidR="00907D8C">
        <w:t xml:space="preserve"> </w:t>
      </w:r>
      <w:r w:rsidRPr="00036FAC">
        <w:t>New</w:t>
      </w:r>
      <w:r w:rsidR="00907D8C">
        <w:t xml:space="preserve"> </w:t>
      </w:r>
      <w:r w:rsidRPr="00036FAC">
        <w:t>Zealand</w:t>
      </w:r>
      <w:r w:rsidR="00907D8C">
        <w:t xml:space="preserve"> </w:t>
      </w:r>
      <w:r w:rsidRPr="00036FAC">
        <w:t>has</w:t>
      </w:r>
      <w:r w:rsidR="00907D8C">
        <w:t xml:space="preserve"> </w:t>
      </w:r>
      <w:r w:rsidRPr="00036FAC">
        <w:t>intensive</w:t>
      </w:r>
      <w:r w:rsidR="00907D8C">
        <w:t xml:space="preserve"> </w:t>
      </w:r>
      <w:r w:rsidRPr="00036FAC">
        <w:t>case</w:t>
      </w:r>
      <w:r w:rsidR="00907D8C">
        <w:t xml:space="preserve"> </w:t>
      </w:r>
      <w:r w:rsidRPr="00036FAC">
        <w:t>workers</w:t>
      </w:r>
      <w:r w:rsidR="00907D8C">
        <w:t xml:space="preserve"> </w:t>
      </w:r>
      <w:r w:rsidRPr="00036FAC">
        <w:t>and</w:t>
      </w:r>
      <w:r w:rsidR="00907D8C">
        <w:t xml:space="preserve"> </w:t>
      </w:r>
      <w:r w:rsidRPr="00036FAC">
        <w:t>is</w:t>
      </w:r>
      <w:r w:rsidR="00907D8C">
        <w:t xml:space="preserve"> </w:t>
      </w:r>
      <w:r w:rsidRPr="00036FAC">
        <w:t>looking</w:t>
      </w:r>
      <w:r w:rsidR="00907D8C">
        <w:t xml:space="preserve"> </w:t>
      </w:r>
      <w:r w:rsidRPr="00036FAC">
        <w:t>to</w:t>
      </w:r>
      <w:r w:rsidR="00907D8C">
        <w:t xml:space="preserve"> </w:t>
      </w:r>
      <w:r w:rsidRPr="00036FAC">
        <w:t>provide</w:t>
      </w:r>
      <w:r w:rsidR="00907D8C">
        <w:t xml:space="preserve"> </w:t>
      </w:r>
      <w:r w:rsidRPr="00036FAC">
        <w:t>over</w:t>
      </w:r>
      <w:r w:rsidR="00907D8C">
        <w:t xml:space="preserve"> </w:t>
      </w:r>
      <w:r w:rsidRPr="00036FAC">
        <w:t>the</w:t>
      </w:r>
      <w:r w:rsidR="00907D8C">
        <w:t xml:space="preserve"> </w:t>
      </w:r>
      <w:r w:rsidRPr="00036FAC">
        <w:t>next</w:t>
      </w:r>
      <w:r w:rsidR="00907D8C">
        <w:t xml:space="preserve"> </w:t>
      </w:r>
      <w:r w:rsidRPr="00036FAC">
        <w:t>four</w:t>
      </w:r>
      <w:r w:rsidR="00907D8C">
        <w:t xml:space="preserve"> </w:t>
      </w:r>
      <w:r w:rsidRPr="00036FAC">
        <w:t>years</w:t>
      </w:r>
      <w:r w:rsidR="00907D8C">
        <w:t xml:space="preserve"> </w:t>
      </w:r>
      <w:r w:rsidRPr="00036FAC">
        <w:t>up</w:t>
      </w:r>
      <w:r w:rsidR="00907D8C">
        <w:t xml:space="preserve"> </w:t>
      </w:r>
      <w:r w:rsidRPr="00036FAC">
        <w:t>to</w:t>
      </w:r>
      <w:r w:rsidR="00907D8C">
        <w:t xml:space="preserve"> </w:t>
      </w:r>
      <w:r w:rsidRPr="00036FAC">
        <w:t>seven</w:t>
      </w:r>
      <w:r w:rsidR="00907D8C">
        <w:t xml:space="preserve"> </w:t>
      </w:r>
      <w:r w:rsidRPr="00036FAC">
        <w:t>supported</w:t>
      </w:r>
      <w:r w:rsidR="00907D8C">
        <w:t xml:space="preserve"> </w:t>
      </w:r>
      <w:r w:rsidRPr="00036FAC">
        <w:t>houses</w:t>
      </w:r>
      <w:r w:rsidR="00907D8C">
        <w:t xml:space="preserve"> </w:t>
      </w:r>
      <w:r w:rsidRPr="00036FAC">
        <w:t>in</w:t>
      </w:r>
      <w:r w:rsidR="00907D8C">
        <w:t xml:space="preserve"> </w:t>
      </w:r>
      <w:r w:rsidRPr="00036FAC">
        <w:t>high-needs</w:t>
      </w:r>
      <w:r w:rsidR="00907D8C">
        <w:t xml:space="preserve"> </w:t>
      </w:r>
      <w:r w:rsidRPr="00036FAC">
        <w:t>communities.</w:t>
      </w:r>
      <w:r w:rsidR="00907D8C">
        <w:t xml:space="preserve"> </w:t>
      </w:r>
      <w:r w:rsidRPr="00036FAC">
        <w:t>These</w:t>
      </w:r>
      <w:r w:rsidR="00907D8C">
        <w:t xml:space="preserve"> </w:t>
      </w:r>
      <w:r w:rsidRPr="00036FAC">
        <w:t>houses</w:t>
      </w:r>
      <w:r w:rsidR="00907D8C">
        <w:t xml:space="preserve"> </w:t>
      </w:r>
      <w:r w:rsidRPr="00036FAC">
        <w:t>will</w:t>
      </w:r>
      <w:r w:rsidR="00907D8C">
        <w:t xml:space="preserve"> </w:t>
      </w:r>
      <w:r w:rsidRPr="00036FAC">
        <w:t>provide</w:t>
      </w:r>
      <w:r w:rsidR="00907D8C">
        <w:t xml:space="preserve"> </w:t>
      </w:r>
      <w:r w:rsidRPr="00036FAC">
        <w:t>24</w:t>
      </w:r>
      <w:r w:rsidR="00907D8C">
        <w:t xml:space="preserve"> </w:t>
      </w:r>
      <w:r w:rsidRPr="00036FAC">
        <w:t>hours</w:t>
      </w:r>
      <w:r w:rsidR="00907D8C">
        <w:t xml:space="preserve"> </w:t>
      </w:r>
      <w:r w:rsidRPr="00036FAC">
        <w:t>a</w:t>
      </w:r>
      <w:r w:rsidR="00907D8C">
        <w:t xml:space="preserve"> </w:t>
      </w:r>
      <w:r w:rsidRPr="00036FAC">
        <w:t>day,</w:t>
      </w:r>
      <w:r w:rsidR="00907D8C">
        <w:t xml:space="preserve"> </w:t>
      </w:r>
      <w:r w:rsidRPr="00036FAC">
        <w:t>seven</w:t>
      </w:r>
      <w:r w:rsidR="00907D8C">
        <w:t xml:space="preserve"> </w:t>
      </w:r>
      <w:r w:rsidRPr="00036FAC">
        <w:t>days</w:t>
      </w:r>
      <w:r w:rsidR="00907D8C">
        <w:t xml:space="preserve"> </w:t>
      </w:r>
      <w:r w:rsidRPr="00036FAC">
        <w:t>a</w:t>
      </w:r>
      <w:r w:rsidR="00907D8C">
        <w:t xml:space="preserve"> </w:t>
      </w:r>
      <w:r w:rsidRPr="00036FAC">
        <w:t>week</w:t>
      </w:r>
      <w:r w:rsidR="00907D8C">
        <w:t xml:space="preserve"> </w:t>
      </w:r>
      <w:r w:rsidRPr="00036FAC">
        <w:t>support</w:t>
      </w:r>
      <w:r w:rsidR="00907D8C">
        <w:t xml:space="preserve"> </w:t>
      </w:r>
      <w:r w:rsidRPr="00036FAC">
        <w:t>by</w:t>
      </w:r>
      <w:r w:rsidR="00907D8C">
        <w:t xml:space="preserve"> </w:t>
      </w:r>
      <w:r w:rsidRPr="00036FAC">
        <w:t>trained</w:t>
      </w:r>
      <w:r w:rsidR="00907D8C">
        <w:t xml:space="preserve"> </w:t>
      </w:r>
      <w:r w:rsidRPr="00036FAC">
        <w:t>staff</w:t>
      </w:r>
      <w:r w:rsidR="00907D8C">
        <w:t xml:space="preserve"> </w:t>
      </w:r>
      <w:r w:rsidRPr="00036FAC">
        <w:t>for</w:t>
      </w:r>
      <w:r w:rsidR="00907D8C">
        <w:t xml:space="preserve"> </w:t>
      </w:r>
      <w:r w:rsidRPr="00036FAC">
        <w:t>teen</w:t>
      </w:r>
      <w:r w:rsidR="00907D8C">
        <w:t xml:space="preserve"> </w:t>
      </w:r>
      <w:r w:rsidRPr="00036FAC">
        <w:t>parents</w:t>
      </w:r>
      <w:r w:rsidR="00907D8C">
        <w:t xml:space="preserve"> </w:t>
      </w:r>
      <w:r w:rsidRPr="00036FAC">
        <w:t>and</w:t>
      </w:r>
      <w:r w:rsidR="00907D8C">
        <w:t xml:space="preserve"> </w:t>
      </w:r>
      <w:r w:rsidRPr="00036FAC">
        <w:t>their</w:t>
      </w:r>
      <w:r w:rsidR="00907D8C">
        <w:t xml:space="preserve"> </w:t>
      </w:r>
      <w:r w:rsidRPr="00036FAC">
        <w:t>children.</w:t>
      </w:r>
      <w:r w:rsidR="00907D8C">
        <w:t xml:space="preserve"> </w:t>
      </w:r>
      <w:r w:rsidRPr="00036FAC">
        <w:t>Parenting</w:t>
      </w:r>
      <w:r w:rsidR="00907D8C">
        <w:t xml:space="preserve"> </w:t>
      </w:r>
      <w:r w:rsidRPr="00036FAC">
        <w:t>support</w:t>
      </w:r>
      <w:r w:rsidR="00907D8C">
        <w:t xml:space="preserve"> </w:t>
      </w:r>
      <w:r w:rsidRPr="00036FAC">
        <w:t>will</w:t>
      </w:r>
      <w:r w:rsidR="00907D8C">
        <w:t xml:space="preserve"> </w:t>
      </w:r>
      <w:r w:rsidRPr="00036FAC">
        <w:t>provide</w:t>
      </w:r>
      <w:r w:rsidR="00907D8C">
        <w:t xml:space="preserve"> </w:t>
      </w:r>
      <w:r w:rsidRPr="00036FAC">
        <w:t>teen</w:t>
      </w:r>
      <w:r w:rsidR="00907D8C">
        <w:t xml:space="preserve"> </w:t>
      </w:r>
      <w:r w:rsidRPr="00036FAC">
        <w:t>fathers</w:t>
      </w:r>
      <w:r w:rsidR="00907D8C">
        <w:t xml:space="preserve"> </w:t>
      </w:r>
      <w:r w:rsidRPr="00036FAC">
        <w:t>with</w:t>
      </w:r>
      <w:r w:rsidR="00907D8C">
        <w:t xml:space="preserve"> </w:t>
      </w:r>
      <w:r w:rsidRPr="00036FAC">
        <w:t>information</w:t>
      </w:r>
      <w:r w:rsidR="00907D8C">
        <w:t xml:space="preserve"> </w:t>
      </w:r>
      <w:r w:rsidRPr="00036FAC">
        <w:t>and</w:t>
      </w:r>
      <w:r w:rsidR="00907D8C">
        <w:t xml:space="preserve"> </w:t>
      </w:r>
      <w:r w:rsidRPr="00036FAC">
        <w:t>skills</w:t>
      </w:r>
      <w:r w:rsidR="00907D8C">
        <w:t xml:space="preserve"> </w:t>
      </w:r>
      <w:r w:rsidRPr="00036FAC">
        <w:t>to</w:t>
      </w:r>
      <w:r w:rsidR="00907D8C">
        <w:t xml:space="preserve"> </w:t>
      </w:r>
      <w:r w:rsidRPr="00036FAC">
        <w:t>prepare</w:t>
      </w:r>
      <w:r w:rsidR="00907D8C">
        <w:t xml:space="preserve"> </w:t>
      </w:r>
      <w:r w:rsidRPr="00036FAC">
        <w:t>for</w:t>
      </w:r>
      <w:r w:rsidR="00907D8C">
        <w:t xml:space="preserve"> </w:t>
      </w:r>
      <w:r w:rsidRPr="00036FAC">
        <w:t>the</w:t>
      </w:r>
      <w:r w:rsidR="00907D8C">
        <w:t xml:space="preserve"> </w:t>
      </w:r>
      <w:r w:rsidRPr="00036FAC">
        <w:t>birth</w:t>
      </w:r>
      <w:r w:rsidR="00907D8C">
        <w:t xml:space="preserve"> </w:t>
      </w:r>
      <w:r w:rsidRPr="00036FAC">
        <w:t>of</w:t>
      </w:r>
      <w:r w:rsidR="00907D8C">
        <w:t xml:space="preserve"> </w:t>
      </w:r>
      <w:r w:rsidRPr="00036FAC">
        <w:t>their</w:t>
      </w:r>
      <w:r w:rsidR="00907D8C">
        <w:t xml:space="preserve"> </w:t>
      </w:r>
      <w:r w:rsidRPr="00036FAC">
        <w:t>child,</w:t>
      </w:r>
      <w:r w:rsidR="00907D8C">
        <w:t xml:space="preserve"> </w:t>
      </w:r>
      <w:r w:rsidRPr="00036FAC">
        <w:t>parent</w:t>
      </w:r>
      <w:r w:rsidR="00907D8C">
        <w:t xml:space="preserve"> </w:t>
      </w:r>
      <w:r w:rsidRPr="00036FAC">
        <w:t>their</w:t>
      </w:r>
      <w:r w:rsidR="00907D8C">
        <w:t xml:space="preserve"> </w:t>
      </w:r>
      <w:r w:rsidRPr="00036FAC">
        <w:t>children</w:t>
      </w:r>
      <w:r w:rsidR="00907D8C">
        <w:t xml:space="preserve"> </w:t>
      </w:r>
      <w:r w:rsidRPr="00036FAC">
        <w:t>effectively,</w:t>
      </w:r>
      <w:r w:rsidR="00907D8C">
        <w:t xml:space="preserve"> </w:t>
      </w:r>
      <w:r w:rsidRPr="00036FAC">
        <w:t>and</w:t>
      </w:r>
      <w:r w:rsidR="00907D8C">
        <w:t xml:space="preserve"> </w:t>
      </w:r>
      <w:r w:rsidRPr="00036FAC">
        <w:t>identify</w:t>
      </w:r>
      <w:r w:rsidR="00907D8C">
        <w:t xml:space="preserve"> </w:t>
      </w:r>
      <w:r w:rsidRPr="00036FAC">
        <w:t>and</w:t>
      </w:r>
      <w:r w:rsidR="00907D8C">
        <w:t xml:space="preserve"> </w:t>
      </w:r>
      <w:r w:rsidRPr="00036FAC">
        <w:t>respond</w:t>
      </w:r>
      <w:r w:rsidR="00907D8C">
        <w:t xml:space="preserve"> </w:t>
      </w:r>
      <w:r w:rsidRPr="00036FAC">
        <w:t>to</w:t>
      </w:r>
      <w:r w:rsidR="00907D8C">
        <w:t xml:space="preserve"> </w:t>
      </w:r>
      <w:r w:rsidRPr="00036FAC">
        <w:t>their</w:t>
      </w:r>
      <w:r w:rsidR="00907D8C">
        <w:t xml:space="preserve"> </w:t>
      </w:r>
      <w:r w:rsidRPr="00036FAC">
        <w:t>children</w:t>
      </w:r>
      <w:r w:rsidR="003E4D94">
        <w:t>’</w:t>
      </w:r>
      <w:r w:rsidRPr="00036FAC">
        <w:t>s</w:t>
      </w:r>
      <w:r w:rsidR="00907D8C">
        <w:t xml:space="preserve"> </w:t>
      </w:r>
      <w:r w:rsidRPr="00036FAC">
        <w:t>health,</w:t>
      </w:r>
      <w:r w:rsidR="00907D8C">
        <w:t xml:space="preserve"> </w:t>
      </w:r>
      <w:r w:rsidRPr="00036FAC">
        <w:t>education,</w:t>
      </w:r>
      <w:r w:rsidR="00907D8C">
        <w:t xml:space="preserve"> </w:t>
      </w:r>
      <w:r w:rsidRPr="00036FAC">
        <w:t>and</w:t>
      </w:r>
      <w:r w:rsidR="00907D8C">
        <w:t xml:space="preserve"> </w:t>
      </w:r>
      <w:r w:rsidRPr="00036FAC">
        <w:t>social</w:t>
      </w:r>
      <w:r w:rsidR="00907D8C">
        <w:t xml:space="preserve"> </w:t>
      </w:r>
      <w:r w:rsidRPr="00036FAC">
        <w:t>needs.</w:t>
      </w:r>
    </w:p>
    <w:p w:rsidR="00036FAC" w:rsidRPr="00036FAC" w:rsidRDefault="00036FAC" w:rsidP="00CB1E9A">
      <w:pPr>
        <w:pStyle w:val="SingleTxtG"/>
      </w:pPr>
      <w:r w:rsidRPr="00036FAC">
        <w:t>256.</w:t>
      </w:r>
      <w:r w:rsidRPr="00036FAC">
        <w:tab/>
        <w:t>New</w:t>
      </w:r>
      <w:r w:rsidR="00907D8C">
        <w:t xml:space="preserve"> </w:t>
      </w:r>
      <w:r w:rsidRPr="00036FAC">
        <w:t>initiatives</w:t>
      </w:r>
      <w:r w:rsidR="00907D8C">
        <w:t xml:space="preserve"> </w:t>
      </w:r>
      <w:r w:rsidRPr="00036FAC">
        <w:t>targeted</w:t>
      </w:r>
      <w:r w:rsidR="00907D8C">
        <w:t xml:space="preserve"> </w:t>
      </w:r>
      <w:r w:rsidRPr="00036FAC">
        <w:t>at</w:t>
      </w:r>
      <w:r w:rsidR="00907D8C">
        <w:t xml:space="preserve"> </w:t>
      </w:r>
      <w:r w:rsidRPr="00036FAC">
        <w:t>young</w:t>
      </w:r>
      <w:r w:rsidR="00907D8C">
        <w:t xml:space="preserve"> </w:t>
      </w:r>
      <w:r w:rsidRPr="00036FAC">
        <w:t>people</w:t>
      </w:r>
      <w:r w:rsidR="00907D8C">
        <w:t xml:space="preserve"> </w:t>
      </w:r>
      <w:r w:rsidRPr="00036FAC">
        <w:t>who</w:t>
      </w:r>
      <w:r w:rsidR="00907D8C">
        <w:t xml:space="preserve"> </w:t>
      </w:r>
      <w:r w:rsidRPr="00036FAC">
        <w:t>are</w:t>
      </w:r>
      <w:r w:rsidR="00907D8C">
        <w:t xml:space="preserve"> </w:t>
      </w:r>
      <w:r w:rsidRPr="00036FAC">
        <w:t>at</w:t>
      </w:r>
      <w:r w:rsidR="00907D8C">
        <w:t xml:space="preserve"> </w:t>
      </w:r>
      <w:r w:rsidRPr="00036FAC">
        <w:t>high</w:t>
      </w:r>
      <w:r w:rsidR="00907D8C">
        <w:t xml:space="preserve"> </w:t>
      </w:r>
      <w:r w:rsidRPr="00036FAC">
        <w:t>risk</w:t>
      </w:r>
      <w:r w:rsidR="00907D8C">
        <w:t xml:space="preserve"> </w:t>
      </w:r>
      <w:r w:rsidRPr="00036FAC">
        <w:t>of</w:t>
      </w:r>
      <w:r w:rsidR="00907D8C">
        <w:t xml:space="preserve"> </w:t>
      </w:r>
      <w:r w:rsidRPr="00036FAC">
        <w:t>long-term</w:t>
      </w:r>
      <w:r w:rsidR="00907D8C">
        <w:t xml:space="preserve"> </w:t>
      </w:r>
      <w:r w:rsidRPr="00036FAC">
        <w:t>unemployment</w:t>
      </w:r>
      <w:r w:rsidR="00907D8C">
        <w:t xml:space="preserve"> </w:t>
      </w:r>
      <w:r w:rsidRPr="00036FAC">
        <w:t>were</w:t>
      </w:r>
      <w:r w:rsidR="00907D8C">
        <w:t xml:space="preserve"> </w:t>
      </w:r>
      <w:r w:rsidRPr="00036FAC">
        <w:t>introduced</w:t>
      </w:r>
      <w:r w:rsidR="00907D8C">
        <w:t xml:space="preserve"> </w:t>
      </w:r>
      <w:r w:rsidRPr="00036FAC">
        <w:t>in</w:t>
      </w:r>
      <w:r w:rsidR="00907D8C">
        <w:t xml:space="preserve"> </w:t>
      </w:r>
      <w:r w:rsidRPr="00036FAC">
        <w:t>2009</w:t>
      </w:r>
      <w:r w:rsidR="00907D8C">
        <w:t xml:space="preserve"> </w:t>
      </w:r>
      <w:r w:rsidRPr="00036FAC">
        <w:t>in</w:t>
      </w:r>
      <w:r w:rsidR="00907D8C">
        <w:t xml:space="preserve"> </w:t>
      </w:r>
      <w:r w:rsidRPr="00036FAC">
        <w:t>response</w:t>
      </w:r>
      <w:r w:rsidR="00907D8C">
        <w:t xml:space="preserve"> </w:t>
      </w:r>
      <w:r w:rsidRPr="00036FAC">
        <w:t>to</w:t>
      </w:r>
      <w:r w:rsidR="00907D8C">
        <w:t xml:space="preserve"> </w:t>
      </w:r>
      <w:r w:rsidRPr="00036FAC">
        <w:t>the</w:t>
      </w:r>
      <w:r w:rsidR="00907D8C">
        <w:t xml:space="preserve"> </w:t>
      </w:r>
      <w:r w:rsidRPr="00036FAC">
        <w:t>global</w:t>
      </w:r>
      <w:r w:rsidR="00907D8C">
        <w:t xml:space="preserve"> </w:t>
      </w:r>
      <w:r w:rsidRPr="00036FAC">
        <w:t>recession.</w:t>
      </w:r>
      <w:r w:rsidR="00907D8C">
        <w:t xml:space="preserve"> </w:t>
      </w:r>
      <w:r w:rsidRPr="00036FAC">
        <w:t>This</w:t>
      </w:r>
      <w:r w:rsidR="00907D8C">
        <w:t xml:space="preserve"> </w:t>
      </w:r>
      <w:r w:rsidRPr="00036FAC">
        <w:t>suite</w:t>
      </w:r>
      <w:r w:rsidR="00907D8C">
        <w:t xml:space="preserve"> </w:t>
      </w:r>
      <w:r w:rsidRPr="00036FAC">
        <w:t>of</w:t>
      </w:r>
      <w:r w:rsidR="00907D8C">
        <w:t xml:space="preserve"> </w:t>
      </w:r>
      <w:r w:rsidRPr="00036FAC">
        <w:t>initiatives</w:t>
      </w:r>
      <w:r w:rsidR="00907D8C">
        <w:t xml:space="preserve"> </w:t>
      </w:r>
      <w:r w:rsidRPr="00036FAC">
        <w:t>provides</w:t>
      </w:r>
      <w:r w:rsidR="00907D8C">
        <w:t xml:space="preserve"> </w:t>
      </w:r>
      <w:r w:rsidRPr="00036FAC">
        <w:t>employment</w:t>
      </w:r>
      <w:r w:rsidR="00907D8C">
        <w:t xml:space="preserve"> </w:t>
      </w:r>
      <w:r w:rsidRPr="00036FAC">
        <w:t>and</w:t>
      </w:r>
      <w:r w:rsidR="00907D8C">
        <w:t xml:space="preserve"> </w:t>
      </w:r>
      <w:r w:rsidRPr="00036FAC">
        <w:t>training</w:t>
      </w:r>
      <w:r w:rsidR="00907D8C">
        <w:t xml:space="preserve"> </w:t>
      </w:r>
      <w:r w:rsidRPr="00036FAC">
        <w:t>opportunities</w:t>
      </w:r>
      <w:r w:rsidR="00907D8C">
        <w:t xml:space="preserve"> </w:t>
      </w:r>
      <w:r w:rsidRPr="00036FAC">
        <w:t>for</w:t>
      </w:r>
      <w:r w:rsidR="00907D8C">
        <w:t xml:space="preserve"> </w:t>
      </w:r>
      <w:r w:rsidRPr="00036FAC">
        <w:t>16-</w:t>
      </w:r>
      <w:r w:rsidR="00907D8C">
        <w:t xml:space="preserve"> </w:t>
      </w:r>
      <w:r w:rsidRPr="00036FAC">
        <w:t>to</w:t>
      </w:r>
      <w:r w:rsidR="00907D8C">
        <w:t xml:space="preserve"> </w:t>
      </w:r>
      <w:r w:rsidRPr="00036FAC">
        <w:t>24-year-olds</w:t>
      </w:r>
      <w:r w:rsidR="00907D8C">
        <w:t xml:space="preserve"> </w:t>
      </w:r>
      <w:r w:rsidRPr="00036FAC">
        <w:t>up</w:t>
      </w:r>
      <w:r w:rsidR="00907D8C">
        <w:t xml:space="preserve"> </w:t>
      </w:r>
      <w:r w:rsidRPr="00036FAC">
        <w:t>to</w:t>
      </w:r>
      <w:r w:rsidR="00907D8C">
        <w:t xml:space="preserve"> </w:t>
      </w:r>
      <w:r w:rsidRPr="00036FAC">
        <w:t>the</w:t>
      </w:r>
      <w:r w:rsidR="00907D8C">
        <w:t xml:space="preserve"> </w:t>
      </w:r>
      <w:r w:rsidRPr="00036FAC">
        <w:t>end</w:t>
      </w:r>
      <w:r w:rsidR="00907D8C">
        <w:t xml:space="preserve"> </w:t>
      </w:r>
      <w:r w:rsidRPr="00036FAC">
        <w:t>of</w:t>
      </w:r>
      <w:r w:rsidR="00907D8C">
        <w:t xml:space="preserve"> </w:t>
      </w:r>
      <w:r w:rsidRPr="00036FAC">
        <w:t>2011.</w:t>
      </w:r>
      <w:r w:rsidR="00907D8C">
        <w:t xml:space="preserve"> </w:t>
      </w:r>
      <w:r w:rsidRPr="00036FAC">
        <w:t>This</w:t>
      </w:r>
      <w:r w:rsidR="00907D8C">
        <w:t xml:space="preserve"> </w:t>
      </w:r>
      <w:r w:rsidRPr="00036FAC">
        <w:t>includes</w:t>
      </w:r>
      <w:r w:rsidR="00907D8C">
        <w:t xml:space="preserve"> </w:t>
      </w:r>
      <w:r w:rsidRPr="00036FAC">
        <w:t>a</w:t>
      </w:r>
      <w:r w:rsidR="00907D8C">
        <w:t xml:space="preserve"> </w:t>
      </w:r>
      <w:r w:rsidRPr="00036FAC">
        <w:t>job</w:t>
      </w:r>
      <w:r w:rsidR="00907D8C">
        <w:t xml:space="preserve"> </w:t>
      </w:r>
      <w:r w:rsidRPr="00036FAC">
        <w:t>opportunities</w:t>
      </w:r>
      <w:r w:rsidR="00907D8C">
        <w:t xml:space="preserve"> </w:t>
      </w:r>
      <w:r w:rsidRPr="00036FAC">
        <w:t>programme</w:t>
      </w:r>
      <w:r w:rsidR="00907D8C">
        <w:t xml:space="preserve"> </w:t>
      </w:r>
      <w:r w:rsidRPr="00036FAC">
        <w:t>to</w:t>
      </w:r>
      <w:r w:rsidR="00907D8C">
        <w:t xml:space="preserve"> </w:t>
      </w:r>
      <w:r w:rsidRPr="00036FAC">
        <w:t>help</w:t>
      </w:r>
      <w:r w:rsidR="00907D8C">
        <w:t xml:space="preserve"> </w:t>
      </w:r>
      <w:r w:rsidRPr="00036FAC">
        <w:t>young</w:t>
      </w:r>
      <w:r w:rsidR="00907D8C">
        <w:t xml:space="preserve"> </w:t>
      </w:r>
      <w:r w:rsidRPr="00036FAC">
        <w:t>people</w:t>
      </w:r>
      <w:r w:rsidR="00907D8C">
        <w:t xml:space="preserve"> </w:t>
      </w:r>
      <w:r w:rsidRPr="00036FAC">
        <w:t>obtain</w:t>
      </w:r>
      <w:r w:rsidR="00907D8C">
        <w:t xml:space="preserve"> </w:t>
      </w:r>
      <w:r w:rsidRPr="00036FAC">
        <w:t>employment</w:t>
      </w:r>
      <w:r w:rsidR="00907D8C">
        <w:t xml:space="preserve"> </w:t>
      </w:r>
      <w:r w:rsidRPr="00036FAC">
        <w:t>and</w:t>
      </w:r>
      <w:r w:rsidR="00907D8C">
        <w:t xml:space="preserve"> </w:t>
      </w:r>
      <w:r w:rsidRPr="00036FAC">
        <w:t>a</w:t>
      </w:r>
      <w:r w:rsidR="00907D8C">
        <w:t xml:space="preserve"> </w:t>
      </w:r>
      <w:r w:rsidRPr="00036FAC">
        <w:t>training</w:t>
      </w:r>
      <w:r w:rsidR="00907D8C">
        <w:t xml:space="preserve"> </w:t>
      </w:r>
      <w:r w:rsidRPr="00036FAC">
        <w:t>scheme</w:t>
      </w:r>
      <w:r w:rsidR="00907D8C">
        <w:t xml:space="preserve"> </w:t>
      </w:r>
      <w:r w:rsidRPr="00036FAC">
        <w:t>that</w:t>
      </w:r>
      <w:r w:rsidR="00907D8C">
        <w:t xml:space="preserve"> </w:t>
      </w:r>
      <w:r w:rsidRPr="00036FAC">
        <w:t>is</w:t>
      </w:r>
      <w:r w:rsidR="00907D8C">
        <w:t xml:space="preserve"> </w:t>
      </w:r>
      <w:r w:rsidRPr="00036FAC">
        <w:t>intended</w:t>
      </w:r>
      <w:r w:rsidR="00907D8C">
        <w:t xml:space="preserve"> </w:t>
      </w:r>
      <w:r w:rsidRPr="00036FAC">
        <w:t>to</w:t>
      </w:r>
      <w:r w:rsidR="00907D8C">
        <w:t xml:space="preserve"> </w:t>
      </w:r>
      <w:r w:rsidRPr="00036FAC">
        <w:t>increase</w:t>
      </w:r>
      <w:r w:rsidR="00907D8C">
        <w:t xml:space="preserve"> </w:t>
      </w:r>
      <w:r w:rsidRPr="00036FAC">
        <w:t>the</w:t>
      </w:r>
      <w:r w:rsidR="00907D8C">
        <w:t xml:space="preserve"> </w:t>
      </w:r>
      <w:r w:rsidRPr="00036FAC">
        <w:t>educational</w:t>
      </w:r>
      <w:r w:rsidR="00907D8C">
        <w:t xml:space="preserve"> </w:t>
      </w:r>
      <w:r w:rsidRPr="00036FAC">
        <w:t>achievement</w:t>
      </w:r>
      <w:r w:rsidR="00907D8C">
        <w:t xml:space="preserve"> </w:t>
      </w:r>
      <w:r w:rsidRPr="00036FAC">
        <w:t>of</w:t>
      </w:r>
      <w:r w:rsidR="00907D8C">
        <w:t xml:space="preserve"> </w:t>
      </w:r>
      <w:r w:rsidRPr="00036FAC">
        <w:t>16</w:t>
      </w:r>
      <w:r w:rsidR="00907D8C">
        <w:t xml:space="preserve"> </w:t>
      </w:r>
      <w:r w:rsidRPr="00036FAC">
        <w:t>and</w:t>
      </w:r>
      <w:r w:rsidR="00907D8C">
        <w:t xml:space="preserve"> </w:t>
      </w:r>
      <w:r w:rsidRPr="00036FAC">
        <w:t>17</w:t>
      </w:r>
      <w:r w:rsidR="00907D8C">
        <w:t xml:space="preserve"> </w:t>
      </w:r>
      <w:r w:rsidRPr="00036FAC">
        <w:t>year</w:t>
      </w:r>
      <w:r w:rsidR="00907D8C">
        <w:t xml:space="preserve"> </w:t>
      </w:r>
      <w:r w:rsidRPr="00036FAC">
        <w:t>olds.</w:t>
      </w:r>
    </w:p>
    <w:p w:rsidR="00036FAC" w:rsidRPr="00036FAC" w:rsidRDefault="00036FAC" w:rsidP="00CB1E9A">
      <w:pPr>
        <w:pStyle w:val="SingleTxtG"/>
      </w:pPr>
      <w:r w:rsidRPr="00036FAC">
        <w:t>257.</w:t>
      </w:r>
      <w:r w:rsidRPr="00036FAC">
        <w:tab/>
        <w:t>Other</w:t>
      </w:r>
      <w:r w:rsidR="00907D8C">
        <w:t xml:space="preserve"> </w:t>
      </w:r>
      <w:r w:rsidRPr="00036FAC">
        <w:t>initiatives,</w:t>
      </w:r>
      <w:r w:rsidR="00907D8C">
        <w:t xml:space="preserve"> </w:t>
      </w:r>
      <w:r w:rsidRPr="00036FAC">
        <w:t>programmes,</w:t>
      </w:r>
      <w:r w:rsidR="00907D8C">
        <w:t xml:space="preserve"> </w:t>
      </w:r>
      <w:r w:rsidRPr="00036FAC">
        <w:t>and</w:t>
      </w:r>
      <w:r w:rsidR="00907D8C">
        <w:t xml:space="preserve"> </w:t>
      </w:r>
      <w:r w:rsidRPr="00036FAC">
        <w:t>funds</w:t>
      </w:r>
      <w:r w:rsidR="00907D8C">
        <w:t xml:space="preserve"> </w:t>
      </w:r>
      <w:r w:rsidRPr="00036FAC">
        <w:t>that</w:t>
      </w:r>
      <w:r w:rsidR="00907D8C">
        <w:t xml:space="preserve"> </w:t>
      </w:r>
      <w:r w:rsidRPr="00036FAC">
        <w:t>also</w:t>
      </w:r>
      <w:r w:rsidR="00907D8C">
        <w:t xml:space="preserve"> </w:t>
      </w:r>
      <w:r w:rsidRPr="00036FAC">
        <w:t>assist</w:t>
      </w:r>
      <w:r w:rsidR="00907D8C">
        <w:t xml:space="preserve"> </w:t>
      </w:r>
      <w:r w:rsidRPr="00036FAC">
        <w:t>families</w:t>
      </w:r>
      <w:r w:rsidR="00907D8C">
        <w:t xml:space="preserve"> </w:t>
      </w:r>
      <w:r w:rsidRPr="00036FAC">
        <w:t>and</w:t>
      </w:r>
      <w:r w:rsidR="00907D8C">
        <w:t xml:space="preserve"> </w:t>
      </w:r>
      <w:r w:rsidRPr="00036FAC">
        <w:t>individuals</w:t>
      </w:r>
      <w:r w:rsidR="00907D8C">
        <w:t xml:space="preserve"> </w:t>
      </w:r>
      <w:r w:rsidRPr="00036FAC">
        <w:t>include:</w:t>
      </w:r>
    </w:p>
    <w:p w:rsidR="00036FAC" w:rsidRPr="00036FAC" w:rsidRDefault="00CB1E9A" w:rsidP="00CB1E9A">
      <w:pPr>
        <w:pStyle w:val="SingleTxtG"/>
      </w:pPr>
      <w:r>
        <w:tab/>
      </w:r>
      <w:r w:rsidR="00036FAC" w:rsidRPr="00036FAC">
        <w:t>(a)</w:t>
      </w:r>
      <w:r w:rsidR="00036FAC" w:rsidRPr="00036FAC">
        <w:tab/>
        <w:t>The</w:t>
      </w:r>
      <w:r w:rsidR="00907D8C">
        <w:t xml:space="preserve"> </w:t>
      </w:r>
      <w:r w:rsidR="00036FAC" w:rsidRPr="00036FAC">
        <w:t>Whānau</w:t>
      </w:r>
      <w:r w:rsidR="00907D8C">
        <w:t xml:space="preserve"> </w:t>
      </w:r>
      <w:r w:rsidR="00036FAC" w:rsidRPr="00036FAC">
        <w:t>Ora</w:t>
      </w:r>
      <w:r w:rsidR="00907D8C">
        <w:t xml:space="preserve"> </w:t>
      </w:r>
      <w:r w:rsidR="00036FAC" w:rsidRPr="00036FAC">
        <w:t>initiative,</w:t>
      </w:r>
      <w:r w:rsidR="00907D8C">
        <w:t xml:space="preserve"> </w:t>
      </w:r>
      <w:r w:rsidR="00036FAC" w:rsidRPr="00036FAC">
        <w:t>which</w:t>
      </w:r>
      <w:r w:rsidR="00907D8C">
        <w:t xml:space="preserve"> </w:t>
      </w:r>
      <w:r w:rsidR="00036FAC" w:rsidRPr="00036FAC">
        <w:t>provides</w:t>
      </w:r>
      <w:r w:rsidR="00907D8C">
        <w:t xml:space="preserve"> </w:t>
      </w:r>
      <w:r w:rsidR="00036FAC" w:rsidRPr="00036FAC">
        <w:t>practical,</w:t>
      </w:r>
      <w:r w:rsidR="00907D8C">
        <w:t xml:space="preserve"> </w:t>
      </w:r>
      <w:r w:rsidR="00036FAC" w:rsidRPr="00036FAC">
        <w:t>community-based</w:t>
      </w:r>
      <w:r w:rsidR="00907D8C">
        <w:t xml:space="preserve"> </w:t>
      </w:r>
      <w:r w:rsidR="00036FAC" w:rsidRPr="00036FAC">
        <w:t>support</w:t>
      </w:r>
      <w:r w:rsidR="00907D8C">
        <w:t xml:space="preserve"> </w:t>
      </w:r>
      <w:r w:rsidR="00036FAC" w:rsidRPr="00036FAC">
        <w:t>to</w:t>
      </w:r>
      <w:r w:rsidR="00907D8C">
        <w:t xml:space="preserve"> </w:t>
      </w:r>
      <w:r w:rsidR="00036FAC" w:rsidRPr="00036FAC">
        <w:t>families</w:t>
      </w:r>
      <w:r w:rsidR="00907D8C">
        <w:t xml:space="preserve"> </w:t>
      </w:r>
      <w:r w:rsidR="00036FAC" w:rsidRPr="00036FAC">
        <w:t>so</w:t>
      </w:r>
      <w:r w:rsidR="00907D8C">
        <w:t xml:space="preserve"> </w:t>
      </w:r>
      <w:r w:rsidR="00036FAC" w:rsidRPr="00036FAC">
        <w:t>they</w:t>
      </w:r>
      <w:r w:rsidR="00907D8C">
        <w:t xml:space="preserve"> </w:t>
      </w:r>
      <w:r w:rsidR="00036FAC" w:rsidRPr="00036FAC">
        <w:t>can</w:t>
      </w:r>
      <w:r w:rsidR="00907D8C">
        <w:t xml:space="preserve"> </w:t>
      </w:r>
      <w:r w:rsidR="00036FAC" w:rsidRPr="00036FAC">
        <w:t>be</w:t>
      </w:r>
      <w:r w:rsidR="00907D8C">
        <w:t xml:space="preserve"> </w:t>
      </w:r>
      <w:r w:rsidR="00036FAC" w:rsidRPr="00036FAC">
        <w:t>self-managing</w:t>
      </w:r>
      <w:r w:rsidR="00907D8C">
        <w:t xml:space="preserve"> </w:t>
      </w:r>
      <w:r w:rsidR="00036FAC" w:rsidRPr="00036FAC">
        <w:t>and</w:t>
      </w:r>
      <w:r w:rsidR="00907D8C">
        <w:t xml:space="preserve"> </w:t>
      </w:r>
      <w:r w:rsidR="00036FAC" w:rsidRPr="00036FAC">
        <w:t>determine</w:t>
      </w:r>
      <w:r w:rsidR="00907D8C">
        <w:t xml:space="preserve"> </w:t>
      </w:r>
      <w:r w:rsidR="00036FAC" w:rsidRPr="00036FAC">
        <w:t>their</w:t>
      </w:r>
      <w:r w:rsidR="00907D8C">
        <w:t xml:space="preserve"> </w:t>
      </w:r>
      <w:r w:rsidR="00036FAC" w:rsidRPr="00036FAC">
        <w:t>own</w:t>
      </w:r>
      <w:r w:rsidR="00907D8C">
        <w:t xml:space="preserve"> </w:t>
      </w:r>
      <w:r w:rsidR="00036FAC" w:rsidRPr="00036FAC">
        <w:t>economic,</w:t>
      </w:r>
      <w:r w:rsidR="00907D8C">
        <w:t xml:space="preserve"> </w:t>
      </w:r>
      <w:r w:rsidR="00036FAC" w:rsidRPr="00036FAC">
        <w:t>cultural,</w:t>
      </w:r>
      <w:r w:rsidR="00907D8C">
        <w:t xml:space="preserve"> </w:t>
      </w:r>
      <w:r w:rsidR="00036FAC" w:rsidRPr="00036FAC">
        <w:t>and</w:t>
      </w:r>
      <w:r w:rsidR="00907D8C">
        <w:t xml:space="preserve"> </w:t>
      </w:r>
      <w:r w:rsidR="00036FAC" w:rsidRPr="00036FAC">
        <w:t>social</w:t>
      </w:r>
      <w:r w:rsidR="00907D8C">
        <w:t xml:space="preserve"> </w:t>
      </w:r>
      <w:r w:rsidR="00036FAC" w:rsidRPr="00036FAC">
        <w:t>development;</w:t>
      </w:r>
    </w:p>
    <w:p w:rsidR="00036FAC" w:rsidRPr="00036FAC" w:rsidRDefault="00CB1E9A" w:rsidP="00CB1E9A">
      <w:pPr>
        <w:pStyle w:val="SingleTxtG"/>
      </w:pPr>
      <w:r>
        <w:tab/>
      </w:r>
      <w:r w:rsidR="00036FAC" w:rsidRPr="00036FAC">
        <w:t>(b)</w:t>
      </w:r>
      <w:r w:rsidR="00036FAC" w:rsidRPr="00036FAC">
        <w:tab/>
        <w:t>The</w:t>
      </w:r>
      <w:r w:rsidR="00907D8C">
        <w:t xml:space="preserve"> </w:t>
      </w:r>
      <w:r w:rsidR="00036FAC" w:rsidRPr="00036FAC">
        <w:t>Housing</w:t>
      </w:r>
      <w:r w:rsidR="00907D8C">
        <w:t xml:space="preserve"> </w:t>
      </w:r>
      <w:r w:rsidR="00036FAC" w:rsidRPr="00036FAC">
        <w:t>Innovation</w:t>
      </w:r>
      <w:r w:rsidR="00907D8C">
        <w:t xml:space="preserve"> </w:t>
      </w:r>
      <w:r w:rsidR="00036FAC" w:rsidRPr="00036FAC">
        <w:t>Fund</w:t>
      </w:r>
      <w:r w:rsidR="00907D8C">
        <w:t xml:space="preserve"> </w:t>
      </w:r>
      <w:r w:rsidR="00036FAC" w:rsidRPr="00036FAC">
        <w:t>(HIF),</w:t>
      </w:r>
      <w:r w:rsidR="00907D8C">
        <w:t xml:space="preserve"> </w:t>
      </w:r>
      <w:r w:rsidR="00036FAC" w:rsidRPr="00036FAC">
        <w:t>which</w:t>
      </w:r>
      <w:r w:rsidR="00907D8C">
        <w:t xml:space="preserve"> </w:t>
      </w:r>
      <w:r w:rsidR="00036FAC" w:rsidRPr="00036FAC">
        <w:t>is</w:t>
      </w:r>
      <w:r w:rsidR="00907D8C">
        <w:t xml:space="preserve"> </w:t>
      </w:r>
      <w:r w:rsidR="00036FAC" w:rsidRPr="00036FAC">
        <w:t>aimed</w:t>
      </w:r>
      <w:r w:rsidR="00907D8C">
        <w:t xml:space="preserve"> </w:t>
      </w:r>
      <w:r w:rsidR="00036FAC" w:rsidRPr="00036FAC">
        <w:t>at</w:t>
      </w:r>
      <w:r w:rsidR="00907D8C">
        <w:t xml:space="preserve"> </w:t>
      </w:r>
      <w:r w:rsidR="00036FAC" w:rsidRPr="00036FAC">
        <w:t>fostering</w:t>
      </w:r>
      <w:r w:rsidR="00907D8C">
        <w:t xml:space="preserve"> </w:t>
      </w:r>
      <w:r w:rsidR="00036FAC" w:rsidRPr="00036FAC">
        <w:t>collaboration</w:t>
      </w:r>
      <w:r w:rsidR="00907D8C">
        <w:t xml:space="preserve"> </w:t>
      </w:r>
      <w:r w:rsidR="00036FAC" w:rsidRPr="00036FAC">
        <w:t>between</w:t>
      </w:r>
      <w:r w:rsidR="00907D8C">
        <w:t xml:space="preserve"> </w:t>
      </w:r>
      <w:r w:rsidR="00036FAC" w:rsidRPr="00036FAC">
        <w:t>government</w:t>
      </w:r>
      <w:r w:rsidR="00907D8C">
        <w:t xml:space="preserve"> </w:t>
      </w:r>
      <w:r w:rsidR="00036FAC" w:rsidRPr="00036FAC">
        <w:t>and</w:t>
      </w:r>
      <w:r w:rsidR="00907D8C">
        <w:t xml:space="preserve"> </w:t>
      </w:r>
      <w:r w:rsidR="00036FAC" w:rsidRPr="00036FAC">
        <w:t>community</w:t>
      </w:r>
      <w:r w:rsidR="00907D8C">
        <w:t xml:space="preserve"> </w:t>
      </w:r>
      <w:r w:rsidR="00036FAC" w:rsidRPr="00036FAC">
        <w:t>organisations</w:t>
      </w:r>
      <w:r w:rsidR="00907D8C">
        <w:t xml:space="preserve"> </w:t>
      </w:r>
      <w:r w:rsidR="00036FAC" w:rsidRPr="00036FAC">
        <w:t>to</w:t>
      </w:r>
      <w:r w:rsidR="00907D8C">
        <w:t xml:space="preserve"> </w:t>
      </w:r>
      <w:r w:rsidR="00036FAC" w:rsidRPr="00036FAC">
        <w:t>provide</w:t>
      </w:r>
      <w:r w:rsidR="00907D8C">
        <w:t xml:space="preserve"> </w:t>
      </w:r>
      <w:r w:rsidR="00036FAC" w:rsidRPr="00036FAC">
        <w:t>more</w:t>
      </w:r>
      <w:r w:rsidR="00907D8C">
        <w:t xml:space="preserve"> </w:t>
      </w:r>
      <w:r w:rsidR="00036FAC" w:rsidRPr="00036FAC">
        <w:t>housing</w:t>
      </w:r>
      <w:r w:rsidR="00907D8C">
        <w:t xml:space="preserve"> </w:t>
      </w:r>
      <w:r w:rsidR="00036FAC" w:rsidRPr="00036FAC">
        <w:t>for</w:t>
      </w:r>
      <w:r w:rsidR="00907D8C">
        <w:t xml:space="preserve"> </w:t>
      </w:r>
      <w:r w:rsidR="00036FAC" w:rsidRPr="00036FAC">
        <w:t>New</w:t>
      </w:r>
      <w:r w:rsidR="00907D8C">
        <w:t xml:space="preserve"> </w:t>
      </w:r>
      <w:r w:rsidR="00036FAC" w:rsidRPr="00036FAC">
        <w:t>Zealanders</w:t>
      </w:r>
      <w:r w:rsidR="00907D8C">
        <w:t xml:space="preserve"> </w:t>
      </w:r>
      <w:r w:rsidR="00036FAC" w:rsidRPr="00036FAC">
        <w:t>on</w:t>
      </w:r>
      <w:r w:rsidR="00907D8C">
        <w:t xml:space="preserve"> </w:t>
      </w:r>
      <w:r w:rsidR="00036FAC" w:rsidRPr="00036FAC">
        <w:t>low-to-moderate</w:t>
      </w:r>
      <w:r w:rsidR="00907D8C">
        <w:t xml:space="preserve"> </w:t>
      </w:r>
      <w:r w:rsidR="00036FAC" w:rsidRPr="00036FAC">
        <w:t>incomes</w:t>
      </w:r>
      <w:r w:rsidR="00907D8C">
        <w:t xml:space="preserve"> </w:t>
      </w:r>
      <w:r w:rsidR="00036FAC" w:rsidRPr="00036FAC">
        <w:t>or</w:t>
      </w:r>
      <w:r w:rsidR="00907D8C">
        <w:t xml:space="preserve"> </w:t>
      </w:r>
      <w:r w:rsidR="00036FAC" w:rsidRPr="00036FAC">
        <w:t>with</w:t>
      </w:r>
      <w:r w:rsidR="00907D8C">
        <w:t xml:space="preserve"> </w:t>
      </w:r>
      <w:r w:rsidR="00036FAC" w:rsidRPr="00036FAC">
        <w:t>special</w:t>
      </w:r>
      <w:r w:rsidR="00907D8C">
        <w:t xml:space="preserve"> </w:t>
      </w:r>
      <w:r w:rsidR="00036FAC" w:rsidRPr="00036FAC">
        <w:t>housing</w:t>
      </w:r>
      <w:r w:rsidR="00907D8C">
        <w:t xml:space="preserve"> </w:t>
      </w:r>
      <w:r w:rsidR="00036FAC" w:rsidRPr="00036FAC">
        <w:t>needs.</w:t>
      </w:r>
      <w:r w:rsidR="00907D8C">
        <w:t xml:space="preserve"> </w:t>
      </w:r>
      <w:r w:rsidR="00036FAC" w:rsidRPr="00036FAC">
        <w:t>The</w:t>
      </w:r>
      <w:r w:rsidR="00907D8C">
        <w:t xml:space="preserve"> </w:t>
      </w:r>
      <w:r w:rsidR="00036FAC" w:rsidRPr="00036FAC">
        <w:t>HIF</w:t>
      </w:r>
      <w:r w:rsidR="00907D8C">
        <w:t xml:space="preserve"> </w:t>
      </w:r>
      <w:r w:rsidR="00036FAC" w:rsidRPr="00036FAC">
        <w:t>provides</w:t>
      </w:r>
      <w:r w:rsidR="00907D8C">
        <w:t xml:space="preserve"> </w:t>
      </w:r>
      <w:r w:rsidR="00036FAC" w:rsidRPr="00036FAC">
        <w:t>community</w:t>
      </w:r>
      <w:r w:rsidR="00907D8C">
        <w:t xml:space="preserve"> </w:t>
      </w:r>
      <w:r w:rsidR="00036FAC" w:rsidRPr="00036FAC">
        <w:t>housing</w:t>
      </w:r>
      <w:r w:rsidR="00907D8C">
        <w:t xml:space="preserve"> </w:t>
      </w:r>
      <w:r w:rsidR="00036FAC" w:rsidRPr="00036FAC">
        <w:t>providers</w:t>
      </w:r>
      <w:r w:rsidR="00907D8C">
        <w:t xml:space="preserve"> </w:t>
      </w:r>
      <w:r w:rsidR="00036FAC" w:rsidRPr="00036FAC">
        <w:t>and</w:t>
      </w:r>
      <w:r w:rsidR="00907D8C">
        <w:t xml:space="preserve"> </w:t>
      </w:r>
      <w:r w:rsidR="00036FAC" w:rsidRPr="00036FAC">
        <w:t>Māori</w:t>
      </w:r>
      <w:r w:rsidR="00907D8C">
        <w:t xml:space="preserve"> </w:t>
      </w:r>
      <w:r w:rsidR="00036FAC" w:rsidRPr="00036FAC">
        <w:t>organisations</w:t>
      </w:r>
      <w:r w:rsidR="00907D8C">
        <w:t xml:space="preserve"> </w:t>
      </w:r>
      <w:r w:rsidR="00036FAC" w:rsidRPr="00036FAC">
        <w:t>with</w:t>
      </w:r>
      <w:r w:rsidR="00907D8C">
        <w:t xml:space="preserve"> </w:t>
      </w:r>
      <w:r w:rsidR="00036FAC" w:rsidRPr="00036FAC">
        <w:t>funding</w:t>
      </w:r>
      <w:r w:rsidR="00907D8C">
        <w:t xml:space="preserve"> </w:t>
      </w:r>
      <w:r w:rsidR="00036FAC" w:rsidRPr="00036FAC">
        <w:t>to</w:t>
      </w:r>
      <w:r w:rsidR="00907D8C">
        <w:t xml:space="preserve"> </w:t>
      </w:r>
      <w:r w:rsidR="00036FAC" w:rsidRPr="00036FAC">
        <w:t>build</w:t>
      </w:r>
      <w:r w:rsidR="00907D8C">
        <w:t xml:space="preserve"> </w:t>
      </w:r>
      <w:r w:rsidR="00036FAC" w:rsidRPr="00036FAC">
        <w:t>or</w:t>
      </w:r>
      <w:r w:rsidR="00907D8C">
        <w:t xml:space="preserve"> </w:t>
      </w:r>
      <w:r w:rsidR="00036FAC" w:rsidRPr="00036FAC">
        <w:t>buy</w:t>
      </w:r>
      <w:r w:rsidR="00907D8C">
        <w:t xml:space="preserve"> </w:t>
      </w:r>
      <w:r w:rsidR="00036FAC" w:rsidRPr="00036FAC">
        <w:t>community</w:t>
      </w:r>
      <w:r w:rsidR="00907D8C">
        <w:t xml:space="preserve"> </w:t>
      </w:r>
      <w:r w:rsidR="00036FAC" w:rsidRPr="00036FAC">
        <w:t>rental</w:t>
      </w:r>
      <w:r w:rsidR="00907D8C">
        <w:t xml:space="preserve"> </w:t>
      </w:r>
      <w:r w:rsidR="00036FAC" w:rsidRPr="00036FAC">
        <w:t>housing</w:t>
      </w:r>
      <w:r w:rsidR="00907D8C">
        <w:t xml:space="preserve"> </w:t>
      </w:r>
      <w:r w:rsidR="00036FAC" w:rsidRPr="00036FAC">
        <w:t>and</w:t>
      </w:r>
      <w:r w:rsidR="00907D8C">
        <w:t xml:space="preserve"> </w:t>
      </w:r>
      <w:r w:rsidR="00036FAC" w:rsidRPr="00036FAC">
        <w:t>to</w:t>
      </w:r>
      <w:r w:rsidR="00907D8C">
        <w:t xml:space="preserve"> </w:t>
      </w:r>
      <w:r w:rsidR="00036FAC" w:rsidRPr="00036FAC">
        <w:t>provide</w:t>
      </w:r>
      <w:r w:rsidR="00907D8C">
        <w:t xml:space="preserve"> </w:t>
      </w:r>
      <w:r w:rsidR="00036FAC" w:rsidRPr="00036FAC">
        <w:t>affordable</w:t>
      </w:r>
      <w:r w:rsidR="00907D8C">
        <w:t xml:space="preserve"> </w:t>
      </w:r>
      <w:r w:rsidR="00036FAC" w:rsidRPr="00036FAC">
        <w:t>home</w:t>
      </w:r>
      <w:r w:rsidR="00907D8C">
        <w:t xml:space="preserve"> </w:t>
      </w:r>
      <w:r w:rsidR="00036FAC" w:rsidRPr="00036FAC">
        <w:t>ownership</w:t>
      </w:r>
      <w:r w:rsidR="00907D8C">
        <w:t xml:space="preserve"> </w:t>
      </w:r>
      <w:r w:rsidR="00036FAC" w:rsidRPr="00036FAC">
        <w:t>opportunities;</w:t>
      </w:r>
    </w:p>
    <w:p w:rsidR="00036FAC" w:rsidRPr="00036FAC" w:rsidRDefault="00CB1E9A" w:rsidP="00CB1E9A">
      <w:pPr>
        <w:pStyle w:val="SingleTxtG"/>
      </w:pPr>
      <w:r>
        <w:tab/>
      </w:r>
      <w:r w:rsidR="00036FAC" w:rsidRPr="00036FAC">
        <w:t>(c)</w:t>
      </w:r>
      <w:r w:rsidR="00036FAC" w:rsidRPr="00036FAC">
        <w:tab/>
        <w:t>The</w:t>
      </w:r>
      <w:r w:rsidR="00907D8C">
        <w:t xml:space="preserve"> </w:t>
      </w:r>
      <w:r w:rsidR="00036FAC" w:rsidRPr="00036FAC">
        <w:t>Mainstream</w:t>
      </w:r>
      <w:r w:rsidR="00907D8C">
        <w:t xml:space="preserve"> </w:t>
      </w:r>
      <w:r w:rsidR="00036FAC" w:rsidRPr="00036FAC">
        <w:t>Employment</w:t>
      </w:r>
      <w:r w:rsidR="00907D8C">
        <w:t xml:space="preserve"> </w:t>
      </w:r>
      <w:r w:rsidR="00036FAC" w:rsidRPr="00036FAC">
        <w:t>Programme,</w:t>
      </w:r>
      <w:r w:rsidR="00907D8C">
        <w:t xml:space="preserve"> </w:t>
      </w:r>
      <w:r w:rsidR="00036FAC" w:rsidRPr="00036FAC">
        <w:t>which</w:t>
      </w:r>
      <w:r w:rsidR="00907D8C">
        <w:t xml:space="preserve"> </w:t>
      </w:r>
      <w:r w:rsidR="00036FAC" w:rsidRPr="00036FAC">
        <w:t>provides</w:t>
      </w:r>
      <w:r w:rsidR="00907D8C">
        <w:t xml:space="preserve"> </w:t>
      </w:r>
      <w:r w:rsidR="00036FAC" w:rsidRPr="00036FAC">
        <w:t>a</w:t>
      </w:r>
      <w:r w:rsidR="00907D8C">
        <w:t xml:space="preserve"> </w:t>
      </w:r>
      <w:r w:rsidR="00036FAC" w:rsidRPr="00036FAC">
        <w:t>package</w:t>
      </w:r>
      <w:r w:rsidR="00907D8C">
        <w:t xml:space="preserve"> </w:t>
      </w:r>
      <w:r w:rsidR="00036FAC" w:rsidRPr="00036FAC">
        <w:t>of</w:t>
      </w:r>
      <w:r w:rsidR="00907D8C">
        <w:t xml:space="preserve"> </w:t>
      </w:r>
      <w:r w:rsidR="00036FAC" w:rsidRPr="00036FAC">
        <w:t>subsidies,</w:t>
      </w:r>
      <w:r w:rsidR="00907D8C">
        <w:t xml:space="preserve"> </w:t>
      </w:r>
      <w:r w:rsidR="00036FAC" w:rsidRPr="00036FAC">
        <w:t>training,</w:t>
      </w:r>
      <w:r w:rsidR="00907D8C">
        <w:t xml:space="preserve"> </w:t>
      </w:r>
      <w:r w:rsidR="00036FAC" w:rsidRPr="00036FAC">
        <w:t>and</w:t>
      </w:r>
      <w:r w:rsidR="00907D8C">
        <w:t xml:space="preserve"> </w:t>
      </w:r>
      <w:r w:rsidR="00036FAC" w:rsidRPr="00036FAC">
        <w:t>other</w:t>
      </w:r>
      <w:r w:rsidR="00907D8C">
        <w:t xml:space="preserve"> </w:t>
      </w:r>
      <w:r w:rsidR="00036FAC" w:rsidRPr="00036FAC">
        <w:t>supports</w:t>
      </w:r>
      <w:r w:rsidR="00907D8C">
        <w:t xml:space="preserve"> </w:t>
      </w:r>
      <w:r w:rsidR="00036FAC" w:rsidRPr="00036FAC">
        <w:t>to</w:t>
      </w:r>
      <w:r w:rsidR="00907D8C">
        <w:t xml:space="preserve"> </w:t>
      </w:r>
      <w:r w:rsidR="00036FAC" w:rsidRPr="00036FAC">
        <w:t>help</w:t>
      </w:r>
      <w:r w:rsidR="00907D8C">
        <w:t xml:space="preserve"> </w:t>
      </w:r>
      <w:r w:rsidR="00036FAC" w:rsidRPr="00036FAC">
        <w:t>people</w:t>
      </w:r>
      <w:r w:rsidR="00907D8C">
        <w:t xml:space="preserve"> </w:t>
      </w:r>
      <w:r w:rsidR="00036FAC" w:rsidRPr="00036FAC">
        <w:t>with</w:t>
      </w:r>
      <w:r w:rsidR="00907D8C">
        <w:t xml:space="preserve"> </w:t>
      </w:r>
      <w:r w:rsidR="00036FAC" w:rsidRPr="00036FAC">
        <w:t>significant</w:t>
      </w:r>
      <w:r w:rsidR="00907D8C">
        <w:t xml:space="preserve"> </w:t>
      </w:r>
      <w:r w:rsidR="00036FAC" w:rsidRPr="00036FAC">
        <w:t>disabilities</w:t>
      </w:r>
      <w:r w:rsidR="00907D8C">
        <w:t xml:space="preserve"> </w:t>
      </w:r>
      <w:r w:rsidR="00036FAC" w:rsidRPr="00036FAC">
        <w:t>to</w:t>
      </w:r>
      <w:r w:rsidR="00907D8C">
        <w:t xml:space="preserve"> </w:t>
      </w:r>
      <w:r w:rsidR="00036FAC" w:rsidRPr="00036FAC">
        <w:t>obtain</w:t>
      </w:r>
      <w:r w:rsidR="00907D8C">
        <w:t xml:space="preserve"> </w:t>
      </w:r>
      <w:r w:rsidR="00036FAC" w:rsidRPr="00036FAC">
        <w:t>work</w:t>
      </w:r>
      <w:r w:rsidR="00907D8C">
        <w:t xml:space="preserve"> </w:t>
      </w:r>
      <w:r w:rsidR="00036FAC" w:rsidRPr="00036FAC">
        <w:t>in</w:t>
      </w:r>
      <w:r w:rsidR="00907D8C">
        <w:t xml:space="preserve"> </w:t>
      </w:r>
      <w:r w:rsidR="00036FAC" w:rsidRPr="00036FAC">
        <w:t>the</w:t>
      </w:r>
      <w:r w:rsidR="00907D8C">
        <w:t xml:space="preserve"> </w:t>
      </w:r>
      <w:r w:rsidR="00036FAC" w:rsidRPr="00036FAC">
        <w:t>state</w:t>
      </w:r>
      <w:r w:rsidR="00907D8C">
        <w:t xml:space="preserve"> </w:t>
      </w:r>
      <w:r w:rsidR="00036FAC" w:rsidRPr="00036FAC">
        <w:t>sector;</w:t>
      </w:r>
      <w:r w:rsidR="00907D8C">
        <w:t xml:space="preserve"> </w:t>
      </w:r>
      <w:r w:rsidR="00036FAC" w:rsidRPr="00036FAC">
        <w:t>and</w:t>
      </w:r>
    </w:p>
    <w:p w:rsidR="00036FAC" w:rsidRPr="00036FAC" w:rsidRDefault="00CB1E9A" w:rsidP="00CB1E9A">
      <w:pPr>
        <w:pStyle w:val="SingleTxtG"/>
      </w:pPr>
      <w:r>
        <w:tab/>
      </w:r>
      <w:r w:rsidR="00036FAC" w:rsidRPr="00036FAC">
        <w:t>(d)</w:t>
      </w:r>
      <w:r w:rsidR="00036FAC" w:rsidRPr="00036FAC">
        <w:tab/>
        <w:t>The</w:t>
      </w:r>
      <w:r w:rsidR="00907D8C">
        <w:t xml:space="preserve"> </w:t>
      </w:r>
      <w:r w:rsidR="00036FAC" w:rsidRPr="00036FAC">
        <w:t>Lifetime</w:t>
      </w:r>
      <w:r w:rsidR="00907D8C">
        <w:t xml:space="preserve"> </w:t>
      </w:r>
      <w:r w:rsidR="00036FAC" w:rsidRPr="00036FAC">
        <w:t>Design</w:t>
      </w:r>
      <w:r w:rsidR="00907D8C">
        <w:t xml:space="preserve"> </w:t>
      </w:r>
      <w:r w:rsidR="00036FAC" w:rsidRPr="00036FAC">
        <w:t>standard</w:t>
      </w:r>
      <w:r w:rsidR="00907D8C">
        <w:t xml:space="preserve"> </w:t>
      </w:r>
      <w:r w:rsidR="00036FAC" w:rsidRPr="00036FAC">
        <w:t>(an</w:t>
      </w:r>
      <w:r w:rsidR="00907D8C">
        <w:t xml:space="preserve"> </w:t>
      </w:r>
      <w:r w:rsidR="00036FAC" w:rsidRPr="00036FAC">
        <w:t>initiative</w:t>
      </w:r>
      <w:r w:rsidR="00907D8C">
        <w:t xml:space="preserve"> </w:t>
      </w:r>
      <w:r w:rsidR="00036FAC" w:rsidRPr="00036FAC">
        <w:t>of</w:t>
      </w:r>
      <w:r w:rsidR="00907D8C">
        <w:t xml:space="preserve"> </w:t>
      </w:r>
      <w:r w:rsidR="00036FAC" w:rsidRPr="00036FAC">
        <w:t>an</w:t>
      </w:r>
      <w:r w:rsidR="00907D8C">
        <w:t xml:space="preserve"> </w:t>
      </w:r>
      <w:r w:rsidR="00036FAC" w:rsidRPr="00036FAC">
        <w:t>NGO</w:t>
      </w:r>
      <w:r w:rsidR="00907D8C">
        <w:t xml:space="preserve"> </w:t>
      </w:r>
      <w:r w:rsidR="00036FAC" w:rsidRPr="00036FAC">
        <w:t>part</w:t>
      </w:r>
      <w:r w:rsidR="00907D8C">
        <w:t xml:space="preserve"> </w:t>
      </w:r>
      <w:r w:rsidR="00036FAC" w:rsidRPr="00036FAC">
        <w:t>funded</w:t>
      </w:r>
      <w:r w:rsidR="00907D8C">
        <w:t xml:space="preserve"> </w:t>
      </w:r>
      <w:r w:rsidR="00036FAC" w:rsidRPr="00036FAC">
        <w:t>by</w:t>
      </w:r>
      <w:r w:rsidR="00907D8C">
        <w:t xml:space="preserve"> </w:t>
      </w:r>
      <w:r w:rsidR="00036FAC" w:rsidRPr="00036FAC">
        <w:t>the</w:t>
      </w:r>
      <w:r w:rsidR="00907D8C">
        <w:t xml:space="preserve"> </w:t>
      </w:r>
      <w:r w:rsidR="00036FAC" w:rsidRPr="00036FAC">
        <w:t>Government),</w:t>
      </w:r>
      <w:r w:rsidR="00907D8C">
        <w:t xml:space="preserve"> </w:t>
      </w:r>
      <w:r w:rsidR="00036FAC" w:rsidRPr="00036FAC">
        <w:t>which</w:t>
      </w:r>
      <w:r w:rsidR="00907D8C">
        <w:t xml:space="preserve"> </w:t>
      </w:r>
      <w:r w:rsidR="00036FAC" w:rsidRPr="00036FAC">
        <w:t>promotes</w:t>
      </w:r>
      <w:r w:rsidR="00907D8C">
        <w:t xml:space="preserve"> </w:t>
      </w:r>
      <w:r w:rsidR="00036FAC" w:rsidRPr="00036FAC">
        <w:t>and</w:t>
      </w:r>
      <w:r w:rsidR="00907D8C">
        <w:t xml:space="preserve"> </w:t>
      </w:r>
      <w:r w:rsidR="00036FAC" w:rsidRPr="00036FAC">
        <w:t>licenses</w:t>
      </w:r>
      <w:r w:rsidR="00907D8C">
        <w:t xml:space="preserve"> </w:t>
      </w:r>
      <w:r w:rsidR="00036FAC" w:rsidRPr="00036FAC">
        <w:t>designs</w:t>
      </w:r>
      <w:r w:rsidR="00907D8C">
        <w:t xml:space="preserve"> </w:t>
      </w:r>
      <w:r w:rsidR="00036FAC" w:rsidRPr="00036FAC">
        <w:t>for</w:t>
      </w:r>
      <w:r w:rsidR="00907D8C">
        <w:t xml:space="preserve"> </w:t>
      </w:r>
      <w:r w:rsidR="00036FAC" w:rsidRPr="00036FAC">
        <w:t>new</w:t>
      </w:r>
      <w:r w:rsidR="00907D8C">
        <w:t xml:space="preserve"> </w:t>
      </w:r>
      <w:r w:rsidR="00036FAC" w:rsidRPr="00036FAC">
        <w:t>homes</w:t>
      </w:r>
      <w:r w:rsidR="00907D8C">
        <w:t xml:space="preserve"> </w:t>
      </w:r>
      <w:r w:rsidR="00036FAC" w:rsidRPr="00036FAC">
        <w:t>that</w:t>
      </w:r>
      <w:r w:rsidR="00907D8C">
        <w:t xml:space="preserve"> </w:t>
      </w:r>
      <w:r w:rsidR="00036FAC" w:rsidRPr="00036FAC">
        <w:t>incorporate</w:t>
      </w:r>
      <w:r w:rsidR="00907D8C">
        <w:t xml:space="preserve"> </w:t>
      </w:r>
      <w:r w:rsidR="00036FAC" w:rsidRPr="00036FAC">
        <w:t>features</w:t>
      </w:r>
      <w:r w:rsidR="00907D8C">
        <w:t xml:space="preserve"> </w:t>
      </w:r>
      <w:r w:rsidR="00036FAC" w:rsidRPr="00036FAC">
        <w:t>that</w:t>
      </w:r>
      <w:r w:rsidR="00907D8C">
        <w:t xml:space="preserve"> </w:t>
      </w:r>
      <w:r w:rsidR="00036FAC" w:rsidRPr="00036FAC">
        <w:t>make</w:t>
      </w:r>
      <w:r w:rsidR="00907D8C">
        <w:t xml:space="preserve"> </w:t>
      </w:r>
      <w:r w:rsidR="00036FAC" w:rsidRPr="00036FAC">
        <w:t>them</w:t>
      </w:r>
      <w:r w:rsidR="00907D8C">
        <w:t xml:space="preserve"> </w:t>
      </w:r>
      <w:r w:rsidR="00036FAC" w:rsidRPr="00036FAC">
        <w:t>safe,</w:t>
      </w:r>
      <w:r w:rsidR="00907D8C">
        <w:t xml:space="preserve"> </w:t>
      </w:r>
      <w:r w:rsidR="00036FAC" w:rsidRPr="00036FAC">
        <w:t>affordable,</w:t>
      </w:r>
      <w:r w:rsidR="00907D8C">
        <w:t xml:space="preserve"> </w:t>
      </w:r>
      <w:r w:rsidR="00036FAC" w:rsidRPr="00036FAC">
        <w:t>comfortable,</w:t>
      </w:r>
      <w:r w:rsidR="00907D8C">
        <w:t xml:space="preserve"> </w:t>
      </w:r>
      <w:r w:rsidR="00036FAC" w:rsidRPr="00036FAC">
        <w:t>and</w:t>
      </w:r>
      <w:r w:rsidR="00907D8C">
        <w:t xml:space="preserve"> </w:t>
      </w:r>
      <w:r w:rsidR="00036FAC" w:rsidRPr="00036FAC">
        <w:t>easy</w:t>
      </w:r>
      <w:r w:rsidR="00907D8C">
        <w:t xml:space="preserve"> </w:t>
      </w:r>
      <w:r w:rsidR="00036FAC" w:rsidRPr="00036FAC">
        <w:t>to</w:t>
      </w:r>
      <w:r w:rsidR="00907D8C">
        <w:t xml:space="preserve"> </w:t>
      </w:r>
      <w:r w:rsidR="00036FAC" w:rsidRPr="00036FAC">
        <w:t>adapt</w:t>
      </w:r>
      <w:r w:rsidR="00907D8C">
        <w:t xml:space="preserve"> </w:t>
      </w:r>
      <w:r w:rsidR="00036FAC" w:rsidRPr="00036FAC">
        <w:t>to</w:t>
      </w:r>
      <w:r w:rsidR="00907D8C">
        <w:t xml:space="preserve"> </w:t>
      </w:r>
      <w:r w:rsidR="00036FAC" w:rsidRPr="00036FAC">
        <w:t>changing</w:t>
      </w:r>
      <w:r w:rsidR="00907D8C">
        <w:t xml:space="preserve"> </w:t>
      </w:r>
      <w:r w:rsidR="00036FAC" w:rsidRPr="00036FAC">
        <w:t>family</w:t>
      </w:r>
      <w:r w:rsidR="00907D8C">
        <w:t xml:space="preserve"> </w:t>
      </w:r>
      <w:r w:rsidR="00036FAC" w:rsidRPr="00036FAC">
        <w:t>needs,</w:t>
      </w:r>
      <w:r w:rsidR="00907D8C">
        <w:t xml:space="preserve"> </w:t>
      </w:r>
      <w:r w:rsidR="00036FAC" w:rsidRPr="00036FAC">
        <w:t>particularly</w:t>
      </w:r>
      <w:r w:rsidR="00907D8C">
        <w:t xml:space="preserve"> </w:t>
      </w:r>
      <w:r w:rsidR="00036FAC" w:rsidRPr="00036FAC">
        <w:t>those</w:t>
      </w:r>
      <w:r w:rsidR="00907D8C">
        <w:t xml:space="preserve"> </w:t>
      </w:r>
      <w:r w:rsidR="00036FAC" w:rsidRPr="00036FAC">
        <w:t>of</w:t>
      </w:r>
      <w:r w:rsidR="00907D8C">
        <w:t xml:space="preserve"> </w:t>
      </w:r>
      <w:r w:rsidR="00036FAC" w:rsidRPr="00036FAC">
        <w:t>disabled</w:t>
      </w:r>
      <w:r w:rsidR="00907D8C">
        <w:t xml:space="preserve"> </w:t>
      </w:r>
      <w:r w:rsidR="00036FAC" w:rsidRPr="00036FAC">
        <w:t>and</w:t>
      </w:r>
      <w:r w:rsidR="00907D8C">
        <w:t xml:space="preserve"> </w:t>
      </w:r>
      <w:r w:rsidR="00036FAC" w:rsidRPr="00036FAC">
        <w:t>older</w:t>
      </w:r>
      <w:r w:rsidR="00907D8C">
        <w:t xml:space="preserve"> </w:t>
      </w:r>
      <w:r w:rsidR="00036FAC" w:rsidRPr="00036FAC">
        <w:t>family</w:t>
      </w:r>
      <w:r w:rsidR="00907D8C">
        <w:t xml:space="preserve"> </w:t>
      </w:r>
      <w:r w:rsidR="00036FAC" w:rsidRPr="00036FAC">
        <w:t>members.</w:t>
      </w:r>
    </w:p>
    <w:p w:rsidR="00036FAC" w:rsidRPr="00036FAC" w:rsidRDefault="00036FAC" w:rsidP="00CB1E9A">
      <w:pPr>
        <w:pStyle w:val="SingleTxtG"/>
      </w:pPr>
      <w:r w:rsidRPr="00036FAC">
        <w:t>258.</w:t>
      </w:r>
      <w:r w:rsidRPr="00036FAC">
        <w:tab/>
        <w:t>New</w:t>
      </w:r>
      <w:r w:rsidR="00907D8C">
        <w:t xml:space="preserve"> </w:t>
      </w:r>
      <w:r w:rsidRPr="00036FAC">
        <w:t>Zealand</w:t>
      </w:r>
      <w:r w:rsidR="00907D8C">
        <w:t xml:space="preserve"> </w:t>
      </w:r>
      <w:r w:rsidRPr="00036FAC">
        <w:t>over</w:t>
      </w:r>
      <w:r w:rsidR="00907D8C">
        <w:t xml:space="preserve"> </w:t>
      </w:r>
      <w:r w:rsidRPr="00036FAC">
        <w:t>the</w:t>
      </w:r>
      <w:r w:rsidR="00907D8C">
        <w:t xml:space="preserve"> </w:t>
      </w:r>
      <w:r w:rsidRPr="00036FAC">
        <w:t>next</w:t>
      </w:r>
      <w:r w:rsidR="00907D8C">
        <w:t xml:space="preserve"> </w:t>
      </w:r>
      <w:r w:rsidRPr="00036FAC">
        <w:t>three</w:t>
      </w:r>
      <w:r w:rsidR="00907D8C">
        <w:t xml:space="preserve"> </w:t>
      </w:r>
      <w:r w:rsidRPr="00036FAC">
        <w:t>years,</w:t>
      </w:r>
      <w:r w:rsidR="00907D8C">
        <w:t xml:space="preserve"> </w:t>
      </w:r>
      <w:r w:rsidRPr="00036FAC">
        <w:t>via</w:t>
      </w:r>
      <w:r w:rsidR="00907D8C">
        <w:t xml:space="preserve"> </w:t>
      </w:r>
      <w:r w:rsidRPr="00036FAC">
        <w:t>funding</w:t>
      </w:r>
      <w:r w:rsidR="00907D8C">
        <w:t xml:space="preserve"> </w:t>
      </w:r>
      <w:r w:rsidRPr="00036FAC">
        <w:t>and</w:t>
      </w:r>
      <w:r w:rsidR="00907D8C">
        <w:t xml:space="preserve"> </w:t>
      </w:r>
      <w:r w:rsidRPr="00036FAC">
        <w:t>policy</w:t>
      </w:r>
      <w:r w:rsidR="00907D8C">
        <w:t xml:space="preserve"> </w:t>
      </w:r>
      <w:r w:rsidRPr="00036FAC">
        <w:t>support,</w:t>
      </w:r>
      <w:r w:rsidR="00907D8C">
        <w:t xml:space="preserve"> </w:t>
      </w:r>
      <w:r w:rsidRPr="00036FAC">
        <w:t>is</w:t>
      </w:r>
      <w:r w:rsidR="00907D8C">
        <w:t xml:space="preserve"> </w:t>
      </w:r>
      <w:r w:rsidRPr="00036FAC">
        <w:t>aiming</w:t>
      </w:r>
      <w:r w:rsidR="00907D8C">
        <w:t xml:space="preserve"> </w:t>
      </w:r>
      <w:r w:rsidRPr="00036FAC">
        <w:t>to</w:t>
      </w:r>
      <w:r w:rsidR="00907D8C">
        <w:t xml:space="preserve"> </w:t>
      </w:r>
      <w:r w:rsidRPr="00036FAC">
        <w:t>help</w:t>
      </w:r>
      <w:r w:rsidR="00907D8C">
        <w:t xml:space="preserve"> </w:t>
      </w:r>
      <w:r w:rsidRPr="00036FAC">
        <w:t>promote,</w:t>
      </w:r>
      <w:r w:rsidR="00907D8C">
        <w:t xml:space="preserve"> </w:t>
      </w:r>
      <w:r w:rsidRPr="00036FAC">
        <w:t>protect,</w:t>
      </w:r>
      <w:r w:rsidR="00907D8C">
        <w:t xml:space="preserve"> </w:t>
      </w:r>
      <w:r w:rsidRPr="00036FAC">
        <w:t>and</w:t>
      </w:r>
      <w:r w:rsidR="00907D8C">
        <w:t xml:space="preserve"> </w:t>
      </w:r>
      <w:r w:rsidRPr="00036FAC">
        <w:t>monitor</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people</w:t>
      </w:r>
      <w:r w:rsidR="00907D8C">
        <w:t xml:space="preserve"> </w:t>
      </w:r>
      <w:r w:rsidRPr="00036FAC">
        <w:t>with</w:t>
      </w:r>
      <w:r w:rsidR="00907D8C">
        <w:t xml:space="preserve"> </w:t>
      </w:r>
      <w:r w:rsidRPr="00036FAC">
        <w:t>disabilities</w:t>
      </w:r>
      <w:r w:rsidR="00907D8C">
        <w:t xml:space="preserve"> </w:t>
      </w:r>
      <w:r w:rsidRPr="00036FAC">
        <w:t>in</w:t>
      </w:r>
      <w:r w:rsidR="00907D8C">
        <w:t xml:space="preserve"> </w:t>
      </w:r>
      <w:r w:rsidRPr="00036FAC">
        <w:t>line</w:t>
      </w:r>
      <w:r w:rsidR="00907D8C">
        <w:t xml:space="preserve"> </w:t>
      </w:r>
      <w:r w:rsidRPr="00036FAC">
        <w:t>with</w:t>
      </w:r>
      <w:r w:rsidR="00907D8C">
        <w:t xml:space="preserve"> </w:t>
      </w:r>
      <w:r w:rsidRPr="00036FAC">
        <w:t>the</w:t>
      </w:r>
      <w:r w:rsidR="00907D8C">
        <w:t xml:space="preserve"> </w:t>
      </w:r>
      <w:r w:rsidRPr="00036FAC">
        <w:t>United</w:t>
      </w:r>
      <w:r w:rsidR="00907D8C">
        <w:t xml:space="preserve"> </w:t>
      </w:r>
      <w:r w:rsidRPr="00036FAC">
        <w:t>Nations</w:t>
      </w:r>
      <w:r w:rsidR="00907D8C">
        <w:t xml:space="preserve"> </w:t>
      </w:r>
      <w:r w:rsidRPr="00036FAC">
        <w:t>Convention</w:t>
      </w:r>
      <w:r w:rsidR="00907D8C">
        <w:t xml:space="preserve"> </w:t>
      </w:r>
      <w:r w:rsidRPr="00036FAC">
        <w:t>on</w:t>
      </w:r>
      <w:r w:rsidR="00907D8C">
        <w:t xml:space="preserve"> </w:t>
      </w:r>
      <w:r w:rsidRPr="00036FAC">
        <w:t>the</w:t>
      </w:r>
      <w:r w:rsidR="00907D8C">
        <w:t xml:space="preserve"> </w:t>
      </w:r>
      <w:r w:rsidRPr="00036FAC">
        <w:t>Rights</w:t>
      </w:r>
      <w:r w:rsidR="00907D8C">
        <w:t xml:space="preserve"> </w:t>
      </w:r>
      <w:r w:rsidRPr="00036FAC">
        <w:t>of</w:t>
      </w:r>
      <w:r w:rsidR="00907D8C">
        <w:t xml:space="preserve"> </w:t>
      </w:r>
      <w:r w:rsidRPr="00036FAC">
        <w:t>Persons</w:t>
      </w:r>
      <w:r w:rsidR="00907D8C">
        <w:t xml:space="preserve"> </w:t>
      </w:r>
      <w:r w:rsidRPr="00036FAC">
        <w:t>with</w:t>
      </w:r>
      <w:r w:rsidR="00907D8C">
        <w:t xml:space="preserve"> </w:t>
      </w:r>
      <w:r w:rsidRPr="00036FAC">
        <w:t>Disabilities.</w:t>
      </w:r>
      <w:r w:rsidR="00907D8C">
        <w:t xml:space="preserve"> </w:t>
      </w:r>
      <w:r w:rsidRPr="00036FAC">
        <w:t>The</w:t>
      </w:r>
      <w:r w:rsidR="00907D8C">
        <w:t xml:space="preserve"> </w:t>
      </w:r>
      <w:r w:rsidRPr="00036FAC">
        <w:t>NZHRC</w:t>
      </w:r>
      <w:r w:rsidR="00907D8C">
        <w:t xml:space="preserve"> </w:t>
      </w:r>
      <w:r w:rsidRPr="00036FAC">
        <w:t>and</w:t>
      </w:r>
      <w:r w:rsidR="00907D8C">
        <w:t xml:space="preserve"> </w:t>
      </w:r>
      <w:r w:rsidRPr="00036FAC">
        <w:t>Office</w:t>
      </w:r>
      <w:r w:rsidR="00907D8C">
        <w:t xml:space="preserve"> </w:t>
      </w:r>
      <w:r w:rsidRPr="00036FAC">
        <w:t>of</w:t>
      </w:r>
      <w:r w:rsidR="00907D8C">
        <w:t xml:space="preserve"> </w:t>
      </w:r>
      <w:r w:rsidRPr="00036FAC">
        <w:t>the</w:t>
      </w:r>
      <w:r w:rsidR="00907D8C">
        <w:t xml:space="preserve"> </w:t>
      </w:r>
      <w:r w:rsidRPr="00036FAC">
        <w:t>Ombudsmen</w:t>
      </w:r>
      <w:r w:rsidR="00907D8C">
        <w:t xml:space="preserve"> </w:t>
      </w:r>
      <w:r w:rsidRPr="00036FAC">
        <w:t>will</w:t>
      </w:r>
      <w:r w:rsidR="00907D8C">
        <w:t xml:space="preserve"> </w:t>
      </w:r>
      <w:r w:rsidRPr="00036FAC">
        <w:t>have</w:t>
      </w:r>
      <w:r w:rsidR="00907D8C">
        <w:t xml:space="preserve"> </w:t>
      </w:r>
      <w:r w:rsidRPr="00036FAC">
        <w:t>an</w:t>
      </w:r>
      <w:r w:rsidR="00907D8C">
        <w:t xml:space="preserve"> </w:t>
      </w:r>
      <w:r w:rsidRPr="00036FAC">
        <w:t>active</w:t>
      </w:r>
      <w:r w:rsidR="00907D8C">
        <w:t xml:space="preserve"> </w:t>
      </w:r>
      <w:r w:rsidRPr="00036FAC">
        <w:t>role</w:t>
      </w:r>
      <w:r w:rsidR="00907D8C">
        <w:t xml:space="preserve"> </w:t>
      </w:r>
      <w:r w:rsidRPr="00036FAC">
        <w:t>in</w:t>
      </w:r>
      <w:r w:rsidR="00907D8C">
        <w:t xml:space="preserve"> </w:t>
      </w:r>
      <w:r w:rsidRPr="00036FAC">
        <w:t>this</w:t>
      </w:r>
      <w:r w:rsidR="00907D8C">
        <w:t xml:space="preserve"> </w:t>
      </w:r>
      <w:r w:rsidRPr="00036FAC">
        <w:t>work,</w:t>
      </w:r>
      <w:r w:rsidR="00907D8C">
        <w:t xml:space="preserve"> </w:t>
      </w:r>
      <w:r w:rsidRPr="00036FAC">
        <w:t>independent</w:t>
      </w:r>
      <w:r w:rsidR="00907D8C">
        <w:t xml:space="preserve"> </w:t>
      </w:r>
      <w:r w:rsidRPr="00036FAC">
        <w:t>of</w:t>
      </w:r>
      <w:r w:rsidR="00907D8C">
        <w:t xml:space="preserve"> </w:t>
      </w:r>
      <w:r w:rsidRPr="00036FAC">
        <w:t>government,</w:t>
      </w:r>
      <w:r w:rsidR="00907D8C">
        <w:t xml:space="preserve"> </w:t>
      </w:r>
      <w:r w:rsidRPr="00036FAC">
        <w:t>along</w:t>
      </w:r>
      <w:r w:rsidR="00907D8C">
        <w:t xml:space="preserve"> </w:t>
      </w:r>
      <w:r w:rsidRPr="00036FAC">
        <w:t>with</w:t>
      </w:r>
      <w:r w:rsidR="00907D8C">
        <w:t xml:space="preserve"> </w:t>
      </w:r>
      <w:r w:rsidRPr="00036FAC">
        <w:t>disabled</w:t>
      </w:r>
      <w:r w:rsidR="00907D8C">
        <w:t xml:space="preserve"> </w:t>
      </w:r>
      <w:r w:rsidRPr="00036FAC">
        <w:t>people</w:t>
      </w:r>
      <w:r w:rsidR="003E4D94">
        <w:t>’</w:t>
      </w:r>
      <w:r w:rsidRPr="00036FAC">
        <w:t>s</w:t>
      </w:r>
      <w:r w:rsidR="00907D8C">
        <w:t xml:space="preserve"> </w:t>
      </w:r>
      <w:r w:rsidRPr="00036FAC">
        <w:t>organisations.</w:t>
      </w:r>
    </w:p>
    <w:p w:rsidR="00036FAC" w:rsidRPr="00036FAC" w:rsidRDefault="00036FAC" w:rsidP="00CB1E9A">
      <w:pPr>
        <w:pStyle w:val="H1G"/>
      </w:pPr>
      <w:r w:rsidRPr="00036FAC">
        <w:tab/>
        <w:t>C.</w:t>
      </w:r>
      <w:r w:rsidRPr="00036FAC">
        <w:tab/>
        <w:t>Health</w:t>
      </w:r>
    </w:p>
    <w:p w:rsidR="00036FAC" w:rsidRPr="00036FAC" w:rsidRDefault="00036FAC" w:rsidP="00CB1E9A">
      <w:pPr>
        <w:pStyle w:val="SingleTxtG"/>
      </w:pPr>
      <w:r w:rsidRPr="00036FAC">
        <w:t>259.</w:t>
      </w:r>
      <w:r w:rsidRPr="00036FAC">
        <w:tab/>
        <w:t>Since</w:t>
      </w:r>
      <w:r w:rsidR="00907D8C">
        <w:t xml:space="preserve"> </w:t>
      </w:r>
      <w:r w:rsidRPr="00036FAC">
        <w:t>2002,</w:t>
      </w:r>
      <w:r w:rsidR="00907D8C">
        <w:t xml:space="preserve"> </w:t>
      </w:r>
      <w:r w:rsidRPr="00036FAC">
        <w:t>the</w:t>
      </w:r>
      <w:r w:rsidR="00907D8C">
        <w:t xml:space="preserve"> </w:t>
      </w:r>
      <w:r w:rsidRPr="00036FAC">
        <w:t>level</w:t>
      </w:r>
      <w:r w:rsidR="00907D8C">
        <w:t xml:space="preserve"> </w:t>
      </w:r>
      <w:r w:rsidRPr="00036FAC">
        <w:t>of</w:t>
      </w:r>
      <w:r w:rsidR="00907D8C">
        <w:t xml:space="preserve"> </w:t>
      </w:r>
      <w:r w:rsidRPr="00036FAC">
        <w:t>public</w:t>
      </w:r>
      <w:r w:rsidR="00907D8C">
        <w:t xml:space="preserve"> </w:t>
      </w:r>
      <w:r w:rsidRPr="00036FAC">
        <w:t>funding</w:t>
      </w:r>
      <w:r w:rsidR="00907D8C">
        <w:t xml:space="preserve"> </w:t>
      </w:r>
      <w:r w:rsidRPr="00036FAC">
        <w:t>for</w:t>
      </w:r>
      <w:r w:rsidR="00907D8C">
        <w:t xml:space="preserve"> </w:t>
      </w:r>
      <w:r w:rsidRPr="00036FAC">
        <w:t>primary</w:t>
      </w:r>
      <w:r w:rsidR="00907D8C">
        <w:t xml:space="preserve"> </w:t>
      </w:r>
      <w:r w:rsidRPr="00036FAC">
        <w:t>care</w:t>
      </w:r>
      <w:r w:rsidR="00907D8C">
        <w:t xml:space="preserve"> </w:t>
      </w:r>
      <w:r w:rsidRPr="00036FAC">
        <w:t>services</w:t>
      </w:r>
      <w:r w:rsidR="00907D8C">
        <w:t xml:space="preserve"> </w:t>
      </w:r>
      <w:r w:rsidRPr="00036FAC">
        <w:t>has</w:t>
      </w:r>
      <w:r w:rsidR="00907D8C">
        <w:t xml:space="preserve"> </w:t>
      </w:r>
      <w:r w:rsidRPr="00036FAC">
        <w:t>increased</w:t>
      </w:r>
      <w:r w:rsidR="00907D8C">
        <w:t xml:space="preserve"> </w:t>
      </w:r>
      <w:r w:rsidRPr="00036FAC">
        <w:t>significantly.</w:t>
      </w:r>
      <w:r w:rsidR="00907D8C">
        <w:t xml:space="preserve"> </w:t>
      </w:r>
      <w:r w:rsidRPr="00036FAC">
        <w:t>Government</w:t>
      </w:r>
      <w:r w:rsidR="00907D8C">
        <w:t xml:space="preserve"> </w:t>
      </w:r>
      <w:r w:rsidRPr="00036FAC">
        <w:t>subsidies</w:t>
      </w:r>
      <w:r w:rsidR="00907D8C">
        <w:t xml:space="preserve"> </w:t>
      </w:r>
      <w:r w:rsidRPr="00036FAC">
        <w:t>now</w:t>
      </w:r>
      <w:r w:rsidR="00907D8C">
        <w:t xml:space="preserve"> </w:t>
      </w:r>
      <w:r w:rsidRPr="00036FAC">
        <w:t>apply</w:t>
      </w:r>
      <w:r w:rsidR="00907D8C">
        <w:t xml:space="preserve"> </w:t>
      </w:r>
      <w:r w:rsidRPr="00036FAC">
        <w:t>to</w:t>
      </w:r>
      <w:r w:rsidR="00907D8C">
        <w:t xml:space="preserve"> </w:t>
      </w:r>
      <w:r w:rsidRPr="00036FAC">
        <w:t>all</w:t>
      </w:r>
      <w:r w:rsidR="00907D8C">
        <w:t xml:space="preserve"> </w:t>
      </w:r>
      <w:r w:rsidRPr="00036FAC">
        <w:t>population</w:t>
      </w:r>
      <w:r w:rsidR="00907D8C">
        <w:t xml:space="preserve"> </w:t>
      </w:r>
      <w:r w:rsidRPr="00036FAC">
        <w:t>groups</w:t>
      </w:r>
      <w:r w:rsidR="00907D8C">
        <w:t xml:space="preserve"> </w:t>
      </w:r>
      <w:r w:rsidRPr="00036FAC">
        <w:t>using</w:t>
      </w:r>
      <w:r w:rsidR="00907D8C">
        <w:t xml:space="preserve"> </w:t>
      </w:r>
      <w:r w:rsidRPr="00036FAC">
        <w:t>General</w:t>
      </w:r>
      <w:r w:rsidR="00907D8C">
        <w:t xml:space="preserve"> </w:t>
      </w:r>
      <w:r w:rsidRPr="00036FAC">
        <w:t>Practice</w:t>
      </w:r>
      <w:r w:rsidR="00907D8C">
        <w:t xml:space="preserve"> </w:t>
      </w:r>
      <w:r w:rsidRPr="00036FAC">
        <w:t>(GP)</w:t>
      </w:r>
      <w:r w:rsidR="00907D8C">
        <w:t xml:space="preserve"> </w:t>
      </w:r>
      <w:r w:rsidRPr="00036FAC">
        <w:t>services.</w:t>
      </w:r>
      <w:r w:rsidR="00907D8C">
        <w:t xml:space="preserve"> </w:t>
      </w:r>
      <w:r w:rsidRPr="00036FAC">
        <w:t>This</w:t>
      </w:r>
      <w:r w:rsidR="00907D8C">
        <w:t xml:space="preserve"> </w:t>
      </w:r>
      <w:r w:rsidRPr="00036FAC">
        <w:t>initiative</w:t>
      </w:r>
      <w:r w:rsidR="00907D8C">
        <w:t xml:space="preserve"> </w:t>
      </w:r>
      <w:r w:rsidRPr="00036FAC">
        <w:t>was</w:t>
      </w:r>
      <w:r w:rsidR="00907D8C">
        <w:t xml:space="preserve"> </w:t>
      </w:r>
      <w:r w:rsidRPr="00036FAC">
        <w:t>taken</w:t>
      </w:r>
      <w:r w:rsidR="00907D8C">
        <w:t xml:space="preserve"> </w:t>
      </w:r>
      <w:r w:rsidRPr="00036FAC">
        <w:t>to</w:t>
      </w:r>
      <w:r w:rsidR="00907D8C">
        <w:t xml:space="preserve"> </w:t>
      </w:r>
      <w:r w:rsidRPr="00036FAC">
        <w:t>reduce</w:t>
      </w:r>
      <w:r w:rsidR="00907D8C">
        <w:t xml:space="preserve"> </w:t>
      </w:r>
      <w:r w:rsidRPr="00036FAC">
        <w:t>cost</w:t>
      </w:r>
      <w:r w:rsidR="00907D8C">
        <w:t xml:space="preserve"> </w:t>
      </w:r>
      <w:r w:rsidRPr="00036FAC">
        <w:t>barriers</w:t>
      </w:r>
      <w:r w:rsidR="00907D8C">
        <w:t xml:space="preserve"> </w:t>
      </w:r>
      <w:r w:rsidRPr="00036FAC">
        <w:t>to</w:t>
      </w:r>
      <w:r w:rsidR="00907D8C">
        <w:t xml:space="preserve"> </w:t>
      </w:r>
      <w:r w:rsidRPr="00036FAC">
        <w:t>early</w:t>
      </w:r>
      <w:r w:rsidR="00907D8C">
        <w:t xml:space="preserve"> </w:t>
      </w:r>
      <w:r w:rsidRPr="00036FAC">
        <w:t>intervention</w:t>
      </w:r>
      <w:r w:rsidR="00907D8C">
        <w:t xml:space="preserve"> </w:t>
      </w:r>
      <w:r w:rsidRPr="00036FAC">
        <w:t>health</w:t>
      </w:r>
      <w:r w:rsidR="00907D8C">
        <w:t xml:space="preserve"> </w:t>
      </w:r>
      <w:r w:rsidRPr="00036FAC">
        <w:t>care.</w:t>
      </w:r>
      <w:r w:rsidR="00907D8C">
        <w:t xml:space="preserve"> </w:t>
      </w:r>
      <w:r w:rsidRPr="00036FAC">
        <w:t>The</w:t>
      </w:r>
      <w:r w:rsidR="00907D8C">
        <w:t xml:space="preserve"> </w:t>
      </w:r>
      <w:r w:rsidRPr="00036FAC">
        <w:t>Government</w:t>
      </w:r>
      <w:r w:rsidR="00907D8C">
        <w:t xml:space="preserve"> </w:t>
      </w:r>
      <w:r w:rsidRPr="00036FAC">
        <w:t>also</w:t>
      </w:r>
      <w:r w:rsidR="00907D8C">
        <w:t xml:space="preserve"> </w:t>
      </w:r>
      <w:r w:rsidRPr="00036FAC">
        <w:t>introduced</w:t>
      </w:r>
      <w:r w:rsidR="00907D8C">
        <w:t xml:space="preserve"> </w:t>
      </w:r>
      <w:r w:rsidRPr="00036FAC">
        <w:t>a</w:t>
      </w:r>
      <w:r w:rsidR="00907D8C">
        <w:t xml:space="preserve"> </w:t>
      </w:r>
      <w:r w:rsidRPr="00036FAC">
        <w:t>different</w:t>
      </w:r>
      <w:r w:rsidR="00907D8C">
        <w:t xml:space="preserve"> </w:t>
      </w:r>
      <w:r w:rsidRPr="00036FAC">
        <w:t>method</w:t>
      </w:r>
      <w:r w:rsidR="00907D8C">
        <w:t xml:space="preserve"> </w:t>
      </w:r>
      <w:r w:rsidRPr="00036FAC">
        <w:t>of</w:t>
      </w:r>
      <w:r w:rsidR="00907D8C">
        <w:t xml:space="preserve"> </w:t>
      </w:r>
      <w:r w:rsidRPr="00036FAC">
        <w:t>funding</w:t>
      </w:r>
      <w:r w:rsidR="00907D8C">
        <w:t xml:space="preserve"> </w:t>
      </w:r>
      <w:r w:rsidRPr="00036FAC">
        <w:t>for</w:t>
      </w:r>
      <w:r w:rsidR="00907D8C">
        <w:t xml:space="preserve"> </w:t>
      </w:r>
      <w:r w:rsidRPr="00036FAC">
        <w:t>Primary</w:t>
      </w:r>
      <w:r w:rsidR="00907D8C">
        <w:t xml:space="preserve"> </w:t>
      </w:r>
      <w:r w:rsidRPr="00036FAC">
        <w:t>Health</w:t>
      </w:r>
      <w:r w:rsidR="00907D8C">
        <w:t xml:space="preserve"> </w:t>
      </w:r>
      <w:r w:rsidRPr="00036FAC">
        <w:t>Organisations</w:t>
      </w:r>
      <w:r w:rsidR="00907D8C">
        <w:t xml:space="preserve"> </w:t>
      </w:r>
      <w:r w:rsidRPr="00036FAC">
        <w:t>(PHOs)</w:t>
      </w:r>
      <w:r w:rsidR="00907D8C">
        <w:t xml:space="preserve"> </w:t>
      </w:r>
      <w:r w:rsidRPr="00036FAC">
        <w:t>in</w:t>
      </w:r>
      <w:r w:rsidR="00907D8C">
        <w:t xml:space="preserve"> </w:t>
      </w:r>
      <w:r w:rsidRPr="00036FAC">
        <w:t>2002</w:t>
      </w:r>
      <w:r w:rsidR="00907D8C">
        <w:t xml:space="preserve"> </w:t>
      </w:r>
      <w:r w:rsidRPr="00036FAC">
        <w:t>–</w:t>
      </w:r>
      <w:r w:rsidR="00907D8C">
        <w:t xml:space="preserve"> </w:t>
      </w:r>
      <w:r w:rsidRPr="00036FAC">
        <w:t>per</w:t>
      </w:r>
      <w:r w:rsidR="00907D8C">
        <w:t xml:space="preserve"> </w:t>
      </w:r>
      <w:r w:rsidRPr="00036FAC">
        <w:t>capita</w:t>
      </w:r>
      <w:r w:rsidR="00907D8C">
        <w:t xml:space="preserve"> </w:t>
      </w:r>
      <w:r w:rsidRPr="00036FAC">
        <w:t>annual</w:t>
      </w:r>
      <w:r w:rsidR="00907D8C">
        <w:t xml:space="preserve"> </w:t>
      </w:r>
      <w:r w:rsidRPr="00036FAC">
        <w:t>funding</w:t>
      </w:r>
      <w:r w:rsidR="00907D8C">
        <w:t xml:space="preserve"> </w:t>
      </w:r>
      <w:r w:rsidRPr="00036FAC">
        <w:t>for</w:t>
      </w:r>
      <w:r w:rsidR="00907D8C">
        <w:t xml:space="preserve"> </w:t>
      </w:r>
      <w:r w:rsidRPr="00036FAC">
        <w:t>all</w:t>
      </w:r>
      <w:r w:rsidR="00907D8C">
        <w:t xml:space="preserve"> </w:t>
      </w:r>
      <w:r w:rsidRPr="00036FAC">
        <w:t>patients</w:t>
      </w:r>
      <w:r w:rsidR="00907D8C">
        <w:t xml:space="preserve"> </w:t>
      </w:r>
      <w:r w:rsidRPr="00036FAC">
        <w:t>enrolled</w:t>
      </w:r>
      <w:r w:rsidR="00907D8C">
        <w:t xml:space="preserve"> </w:t>
      </w:r>
      <w:r w:rsidRPr="00036FAC">
        <w:t>with</w:t>
      </w:r>
      <w:r w:rsidR="00907D8C">
        <w:t xml:space="preserve"> </w:t>
      </w:r>
      <w:r w:rsidRPr="00036FAC">
        <w:t>a</w:t>
      </w:r>
      <w:r w:rsidR="00907D8C">
        <w:t xml:space="preserve"> </w:t>
      </w:r>
      <w:r w:rsidRPr="00036FAC">
        <w:t>PHO</w:t>
      </w:r>
      <w:r w:rsidR="00907D8C">
        <w:t xml:space="preserve"> </w:t>
      </w:r>
      <w:r w:rsidRPr="00036FAC">
        <w:t>instead</w:t>
      </w:r>
      <w:r w:rsidR="00907D8C">
        <w:t xml:space="preserve"> </w:t>
      </w:r>
      <w:r w:rsidRPr="00036FAC">
        <w:t>of</w:t>
      </w:r>
      <w:r w:rsidR="00907D8C">
        <w:t xml:space="preserve"> </w:t>
      </w:r>
      <w:r w:rsidRPr="00036FAC">
        <w:t>a</w:t>
      </w:r>
      <w:r w:rsidR="00907D8C">
        <w:t xml:space="preserve"> </w:t>
      </w:r>
      <w:r w:rsidRPr="00036FAC">
        <w:t>fee-for-service</w:t>
      </w:r>
      <w:r w:rsidR="00907D8C">
        <w:t xml:space="preserve"> </w:t>
      </w:r>
      <w:r w:rsidRPr="00036FAC">
        <w:t>payment</w:t>
      </w:r>
      <w:r w:rsidR="00907D8C">
        <w:t xml:space="preserve"> </w:t>
      </w:r>
      <w:r w:rsidRPr="00036FAC">
        <w:t>made</w:t>
      </w:r>
      <w:r w:rsidR="00907D8C">
        <w:t xml:space="preserve"> </w:t>
      </w:r>
      <w:r w:rsidRPr="00036FAC">
        <w:t>to</w:t>
      </w:r>
      <w:r w:rsidR="00907D8C">
        <w:t xml:space="preserve"> </w:t>
      </w:r>
      <w:r w:rsidRPr="00036FAC">
        <w:t>the</w:t>
      </w:r>
      <w:r w:rsidR="00907D8C">
        <w:t xml:space="preserve"> </w:t>
      </w:r>
      <w:r w:rsidRPr="00036FAC">
        <w:t>doctor</w:t>
      </w:r>
      <w:r w:rsidR="00907D8C">
        <w:t xml:space="preserve"> </w:t>
      </w:r>
      <w:r w:rsidRPr="00036FAC">
        <w:t>after</w:t>
      </w:r>
      <w:r w:rsidR="00907D8C">
        <w:t xml:space="preserve"> </w:t>
      </w:r>
      <w:r w:rsidRPr="00036FAC">
        <w:t>each</w:t>
      </w:r>
      <w:r w:rsidR="00907D8C">
        <w:t xml:space="preserve"> </w:t>
      </w:r>
      <w:r w:rsidRPr="00036FAC">
        <w:t>patient</w:t>
      </w:r>
      <w:r w:rsidR="00907D8C">
        <w:t xml:space="preserve"> </w:t>
      </w:r>
      <w:r w:rsidRPr="00036FAC">
        <w:t>visit.</w:t>
      </w:r>
    </w:p>
    <w:p w:rsidR="00036FAC" w:rsidRPr="00036FAC" w:rsidRDefault="00036FAC" w:rsidP="00CB1E9A">
      <w:pPr>
        <w:pStyle w:val="SingleTxtG"/>
      </w:pPr>
      <w:r w:rsidRPr="00036FAC">
        <w:t>260.</w:t>
      </w:r>
      <w:r w:rsidRPr="00036FAC">
        <w:tab/>
        <w:t>The</w:t>
      </w:r>
      <w:r w:rsidR="00907D8C">
        <w:t xml:space="preserve"> </w:t>
      </w:r>
      <w:r w:rsidRPr="00036FAC">
        <w:t>capitation</w:t>
      </w:r>
      <w:r w:rsidR="00907D8C">
        <w:t xml:space="preserve"> </w:t>
      </w:r>
      <w:r w:rsidRPr="00036FAC">
        <w:t>funding</w:t>
      </w:r>
      <w:r w:rsidR="00907D8C">
        <w:t xml:space="preserve"> </w:t>
      </w:r>
      <w:r w:rsidRPr="00036FAC">
        <w:t>method</w:t>
      </w:r>
      <w:r w:rsidR="00907D8C">
        <w:t xml:space="preserve"> </w:t>
      </w:r>
      <w:r w:rsidRPr="00036FAC">
        <w:t>supports</w:t>
      </w:r>
      <w:r w:rsidR="00907D8C">
        <w:t xml:space="preserve"> </w:t>
      </w:r>
      <w:r w:rsidRPr="00036FAC">
        <w:t>a</w:t>
      </w:r>
      <w:r w:rsidR="00907D8C">
        <w:t xml:space="preserve"> </w:t>
      </w:r>
      <w:r w:rsidRPr="00036FAC">
        <w:t>public</w:t>
      </w:r>
      <w:r w:rsidR="00907D8C">
        <w:t xml:space="preserve"> </w:t>
      </w:r>
      <w:r w:rsidRPr="00036FAC">
        <w:t>health</w:t>
      </w:r>
      <w:r w:rsidR="00907D8C">
        <w:t xml:space="preserve"> </w:t>
      </w:r>
      <w:r w:rsidRPr="00036FAC">
        <w:t>approach</w:t>
      </w:r>
      <w:r w:rsidR="00907D8C">
        <w:t xml:space="preserve"> </w:t>
      </w:r>
      <w:r w:rsidRPr="00036FAC">
        <w:t>at</w:t>
      </w:r>
      <w:r w:rsidR="00907D8C">
        <w:t xml:space="preserve"> </w:t>
      </w:r>
      <w:r w:rsidRPr="00036FAC">
        <w:t>primary</w:t>
      </w:r>
      <w:r w:rsidR="00907D8C">
        <w:t xml:space="preserve"> </w:t>
      </w:r>
      <w:r w:rsidRPr="00036FAC">
        <w:t>care</w:t>
      </w:r>
      <w:r w:rsidR="00907D8C">
        <w:t xml:space="preserve"> </w:t>
      </w:r>
      <w:r w:rsidRPr="00036FAC">
        <w:t>level,</w:t>
      </w:r>
      <w:r w:rsidR="00907D8C">
        <w:t xml:space="preserve"> </w:t>
      </w:r>
      <w:r w:rsidRPr="00036FAC">
        <w:t>including</w:t>
      </w:r>
      <w:r w:rsidR="00907D8C">
        <w:t xml:space="preserve"> </w:t>
      </w:r>
      <w:r w:rsidRPr="00036FAC">
        <w:t>health</w:t>
      </w:r>
      <w:r w:rsidR="00907D8C">
        <w:t xml:space="preserve"> </w:t>
      </w:r>
      <w:r w:rsidRPr="00036FAC">
        <w:t>promotion</w:t>
      </w:r>
      <w:r w:rsidR="00907D8C">
        <w:t xml:space="preserve"> </w:t>
      </w:r>
      <w:r w:rsidRPr="00036FAC">
        <w:t>and</w:t>
      </w:r>
      <w:r w:rsidR="00907D8C">
        <w:t xml:space="preserve"> </w:t>
      </w:r>
      <w:r w:rsidRPr="00036FAC">
        <w:t>disease</w:t>
      </w:r>
      <w:r w:rsidR="00907D8C">
        <w:t xml:space="preserve"> </w:t>
      </w:r>
      <w:r w:rsidRPr="00036FAC">
        <w:t>prevention</w:t>
      </w:r>
      <w:r w:rsidR="00907D8C">
        <w:t xml:space="preserve"> </w:t>
      </w:r>
      <w:r w:rsidRPr="00036FAC">
        <w:t>initiatives,</w:t>
      </w:r>
      <w:r w:rsidR="00907D8C">
        <w:t xml:space="preserve"> </w:t>
      </w:r>
      <w:r w:rsidRPr="00036FAC">
        <w:t>additional</w:t>
      </w:r>
      <w:r w:rsidR="00907D8C">
        <w:t xml:space="preserve"> </w:t>
      </w:r>
      <w:r w:rsidRPr="00036FAC">
        <w:t>monitoring,</w:t>
      </w:r>
      <w:r w:rsidR="00907D8C">
        <w:t xml:space="preserve"> </w:t>
      </w:r>
      <w:r w:rsidRPr="00036FAC">
        <w:t>screening,</w:t>
      </w:r>
      <w:r w:rsidR="00907D8C">
        <w:t xml:space="preserve"> </w:t>
      </w:r>
      <w:r w:rsidRPr="00036FAC">
        <w:t>and</w:t>
      </w:r>
      <w:r w:rsidR="00907D8C">
        <w:t xml:space="preserve"> </w:t>
      </w:r>
      <w:r w:rsidRPr="00036FAC">
        <w:t>recall</w:t>
      </w:r>
      <w:r w:rsidR="00907D8C">
        <w:t xml:space="preserve"> </w:t>
      </w:r>
      <w:r w:rsidRPr="00036FAC">
        <w:t>for</w:t>
      </w:r>
      <w:r w:rsidR="00907D8C">
        <w:t xml:space="preserve"> </w:t>
      </w:r>
      <w:r w:rsidRPr="00036FAC">
        <w:t>periodic</w:t>
      </w:r>
      <w:r w:rsidR="00907D8C">
        <w:t xml:space="preserve"> </w:t>
      </w:r>
      <w:r w:rsidRPr="00036FAC">
        <w:t>follow-up</w:t>
      </w:r>
      <w:r w:rsidR="00907D8C">
        <w:t xml:space="preserve"> </w:t>
      </w:r>
      <w:r w:rsidRPr="00036FAC">
        <w:t>assessments</w:t>
      </w:r>
      <w:r w:rsidR="00907D8C">
        <w:t xml:space="preserve"> </w:t>
      </w:r>
      <w:r w:rsidRPr="00036FAC">
        <w:t>for</w:t>
      </w:r>
      <w:r w:rsidR="00907D8C">
        <w:t xml:space="preserve"> </w:t>
      </w:r>
      <w:r w:rsidR="003E4D94">
        <w:t>“</w:t>
      </w:r>
      <w:r w:rsidRPr="00036FAC">
        <w:t>at-risk</w:t>
      </w:r>
      <w:r w:rsidR="003E4D94">
        <w:t>”</w:t>
      </w:r>
      <w:r w:rsidR="00907D8C">
        <w:t xml:space="preserve"> </w:t>
      </w:r>
      <w:r w:rsidRPr="00036FAC">
        <w:t>populations.</w:t>
      </w:r>
      <w:r w:rsidR="00907D8C">
        <w:t xml:space="preserve"> </w:t>
      </w:r>
      <w:r w:rsidRPr="00036FAC">
        <w:t>Capitation</w:t>
      </w:r>
      <w:r w:rsidR="00907D8C">
        <w:t xml:space="preserve"> </w:t>
      </w:r>
      <w:r w:rsidRPr="00036FAC">
        <w:t>funding</w:t>
      </w:r>
      <w:r w:rsidR="00907D8C">
        <w:t xml:space="preserve"> </w:t>
      </w:r>
      <w:r w:rsidRPr="00036FAC">
        <w:t>also</w:t>
      </w:r>
      <w:r w:rsidR="00907D8C">
        <w:t xml:space="preserve"> </w:t>
      </w:r>
      <w:r w:rsidRPr="00036FAC">
        <w:t>allows</w:t>
      </w:r>
      <w:r w:rsidR="00907D8C">
        <w:t xml:space="preserve"> </w:t>
      </w:r>
      <w:r w:rsidRPr="00036FAC">
        <w:t>the</w:t>
      </w:r>
      <w:r w:rsidR="00907D8C">
        <w:t xml:space="preserve"> </w:t>
      </w:r>
      <w:r w:rsidRPr="00036FAC">
        <w:t>development</w:t>
      </w:r>
      <w:r w:rsidR="00907D8C">
        <w:t xml:space="preserve"> </w:t>
      </w:r>
      <w:r w:rsidRPr="00036FAC">
        <w:t>of</w:t>
      </w:r>
      <w:r w:rsidR="00907D8C">
        <w:t xml:space="preserve"> </w:t>
      </w:r>
      <w:r w:rsidRPr="00036FAC">
        <w:t>a</w:t>
      </w:r>
      <w:r w:rsidR="00907D8C">
        <w:t xml:space="preserve"> </w:t>
      </w:r>
      <w:r w:rsidRPr="00036FAC">
        <w:t>primary</w:t>
      </w:r>
      <w:r w:rsidR="00907D8C">
        <w:t xml:space="preserve"> </w:t>
      </w:r>
      <w:r w:rsidRPr="00036FAC">
        <w:t>health</w:t>
      </w:r>
      <w:r w:rsidR="00907D8C">
        <w:t xml:space="preserve"> </w:t>
      </w:r>
      <w:r w:rsidRPr="00036FAC">
        <w:t>care</w:t>
      </w:r>
      <w:r w:rsidR="00907D8C">
        <w:t xml:space="preserve"> </w:t>
      </w:r>
      <w:r w:rsidRPr="00036FAC">
        <w:t>team,</w:t>
      </w:r>
      <w:r w:rsidR="00907D8C">
        <w:t xml:space="preserve"> </w:t>
      </w:r>
      <w:r w:rsidRPr="00036FAC">
        <w:t>where</w:t>
      </w:r>
      <w:r w:rsidR="00907D8C">
        <w:t xml:space="preserve"> </w:t>
      </w:r>
      <w:r w:rsidRPr="00036FAC">
        <w:t>services</w:t>
      </w:r>
      <w:r w:rsidR="00907D8C">
        <w:t xml:space="preserve"> </w:t>
      </w:r>
      <w:r w:rsidRPr="00036FAC">
        <w:t>are</w:t>
      </w:r>
      <w:r w:rsidR="00907D8C">
        <w:t xml:space="preserve"> </w:t>
      </w:r>
      <w:r w:rsidRPr="00036FAC">
        <w:t>delivered</w:t>
      </w:r>
      <w:r w:rsidR="00907D8C">
        <w:t xml:space="preserve"> </w:t>
      </w:r>
      <w:r w:rsidRPr="00036FAC">
        <w:t>by</w:t>
      </w:r>
      <w:r w:rsidR="00907D8C">
        <w:t xml:space="preserve"> </w:t>
      </w:r>
      <w:r w:rsidRPr="00036FAC">
        <w:t>a</w:t>
      </w:r>
      <w:r w:rsidR="00907D8C">
        <w:t xml:space="preserve"> </w:t>
      </w:r>
      <w:r w:rsidRPr="00036FAC">
        <w:t>range</w:t>
      </w:r>
      <w:r w:rsidR="00907D8C">
        <w:t xml:space="preserve"> </w:t>
      </w:r>
      <w:r w:rsidRPr="00036FAC">
        <w:t>of</w:t>
      </w:r>
      <w:r w:rsidR="00907D8C">
        <w:t xml:space="preserve"> </w:t>
      </w:r>
      <w:r w:rsidRPr="00036FAC">
        <w:t>health</w:t>
      </w:r>
      <w:r w:rsidR="00907D8C">
        <w:t xml:space="preserve"> </w:t>
      </w:r>
      <w:r w:rsidRPr="00036FAC">
        <w:t>care</w:t>
      </w:r>
      <w:r w:rsidR="00907D8C">
        <w:t xml:space="preserve"> </w:t>
      </w:r>
      <w:r w:rsidRPr="00036FAC">
        <w:t>providers</w:t>
      </w:r>
      <w:r w:rsidR="00907D8C">
        <w:t xml:space="preserve"> </w:t>
      </w:r>
      <w:r w:rsidRPr="00036FAC">
        <w:t>including</w:t>
      </w:r>
      <w:r w:rsidR="00907D8C">
        <w:t xml:space="preserve"> </w:t>
      </w:r>
      <w:r w:rsidRPr="00036FAC">
        <w:t>GPs,</w:t>
      </w:r>
      <w:r w:rsidR="00907D8C">
        <w:t xml:space="preserve"> </w:t>
      </w:r>
      <w:r w:rsidRPr="00036FAC">
        <w:t>practice</w:t>
      </w:r>
      <w:r w:rsidR="00907D8C">
        <w:t xml:space="preserve"> </w:t>
      </w:r>
      <w:r w:rsidRPr="00036FAC">
        <w:t>nurses,</w:t>
      </w:r>
      <w:r w:rsidR="00907D8C">
        <w:t xml:space="preserve"> </w:t>
      </w:r>
      <w:r w:rsidRPr="00036FAC">
        <w:t>health</w:t>
      </w:r>
      <w:r w:rsidR="00907D8C">
        <w:t xml:space="preserve"> </w:t>
      </w:r>
      <w:r w:rsidRPr="00036FAC">
        <w:t>educators,</w:t>
      </w:r>
      <w:r w:rsidR="00907D8C">
        <w:t xml:space="preserve"> </w:t>
      </w:r>
      <w:r w:rsidRPr="00036FAC">
        <w:t>dieticians,</w:t>
      </w:r>
      <w:r w:rsidR="00907D8C">
        <w:t xml:space="preserve"> </w:t>
      </w:r>
      <w:r w:rsidRPr="00036FAC">
        <w:t>diabetes</w:t>
      </w:r>
      <w:r w:rsidR="00907D8C">
        <w:t xml:space="preserve"> </w:t>
      </w:r>
      <w:r w:rsidRPr="00036FAC">
        <w:t>advisers,</w:t>
      </w:r>
      <w:r w:rsidR="00907D8C">
        <w:t xml:space="preserve"> </w:t>
      </w:r>
      <w:r w:rsidRPr="00036FAC">
        <w:t>and</w:t>
      </w:r>
      <w:r w:rsidR="00907D8C">
        <w:t xml:space="preserve"> </w:t>
      </w:r>
      <w:r w:rsidRPr="00036FAC">
        <w:t>physiotherapists.</w:t>
      </w:r>
      <w:r w:rsidR="00907D8C">
        <w:t xml:space="preserve"> </w:t>
      </w:r>
      <w:r w:rsidRPr="00036FAC">
        <w:t>Patients</w:t>
      </w:r>
      <w:r w:rsidR="00907D8C">
        <w:t xml:space="preserve"> </w:t>
      </w:r>
      <w:r w:rsidRPr="00036FAC">
        <w:t>can</w:t>
      </w:r>
      <w:r w:rsidR="00907D8C">
        <w:t xml:space="preserve"> </w:t>
      </w:r>
      <w:r w:rsidRPr="00036FAC">
        <w:t>see</w:t>
      </w:r>
      <w:r w:rsidR="00907D8C">
        <w:t xml:space="preserve"> </w:t>
      </w:r>
      <w:r w:rsidRPr="00036FAC">
        <w:t>the</w:t>
      </w:r>
      <w:r w:rsidR="00907D8C">
        <w:t xml:space="preserve"> </w:t>
      </w:r>
      <w:r w:rsidRPr="00036FAC">
        <w:t>team</w:t>
      </w:r>
      <w:r w:rsidR="00907D8C">
        <w:t xml:space="preserve"> </w:t>
      </w:r>
      <w:r w:rsidRPr="00036FAC">
        <w:t>member</w:t>
      </w:r>
      <w:r w:rsidR="00907D8C">
        <w:t xml:space="preserve"> </w:t>
      </w:r>
      <w:r w:rsidRPr="00036FAC">
        <w:t>best</w:t>
      </w:r>
      <w:r w:rsidR="00907D8C">
        <w:t xml:space="preserve"> </w:t>
      </w:r>
      <w:r w:rsidRPr="00036FAC">
        <w:t>able</w:t>
      </w:r>
      <w:r w:rsidR="00907D8C">
        <w:t xml:space="preserve"> </w:t>
      </w:r>
      <w:r w:rsidRPr="00036FAC">
        <w:t>to</w:t>
      </w:r>
      <w:r w:rsidR="00907D8C">
        <w:t xml:space="preserve"> </w:t>
      </w:r>
      <w:r w:rsidRPr="00036FAC">
        <w:t>assist</w:t>
      </w:r>
      <w:r w:rsidR="00907D8C">
        <w:t xml:space="preserve"> </w:t>
      </w:r>
      <w:r w:rsidRPr="00036FAC">
        <w:t>with</w:t>
      </w:r>
      <w:r w:rsidR="00907D8C">
        <w:t xml:space="preserve"> </w:t>
      </w:r>
      <w:r w:rsidRPr="00036FAC">
        <w:t>their</w:t>
      </w:r>
      <w:r w:rsidR="00907D8C">
        <w:t xml:space="preserve"> </w:t>
      </w:r>
      <w:r w:rsidRPr="00036FAC">
        <w:t>health</w:t>
      </w:r>
      <w:r w:rsidR="00907D8C">
        <w:t xml:space="preserve"> </w:t>
      </w:r>
      <w:r w:rsidRPr="00036FAC">
        <w:t>needs,</w:t>
      </w:r>
      <w:r w:rsidR="00907D8C">
        <w:t xml:space="preserve"> </w:t>
      </w:r>
      <w:r w:rsidRPr="00036FAC">
        <w:t>rather</w:t>
      </w:r>
      <w:r w:rsidR="00907D8C">
        <w:t xml:space="preserve"> </w:t>
      </w:r>
      <w:r w:rsidRPr="00036FAC">
        <w:t>than</w:t>
      </w:r>
      <w:r w:rsidR="00907D8C">
        <w:t xml:space="preserve"> </w:t>
      </w:r>
      <w:r w:rsidRPr="00036FAC">
        <w:t>almost</w:t>
      </w:r>
      <w:r w:rsidR="00907D8C">
        <w:t xml:space="preserve"> </w:t>
      </w:r>
      <w:r w:rsidRPr="00036FAC">
        <w:t>always</w:t>
      </w:r>
      <w:r w:rsidR="00907D8C">
        <w:t xml:space="preserve"> </w:t>
      </w:r>
      <w:r w:rsidRPr="00036FAC">
        <w:t>seeing</w:t>
      </w:r>
      <w:r w:rsidR="00907D8C">
        <w:t xml:space="preserve"> </w:t>
      </w:r>
      <w:r w:rsidRPr="00036FAC">
        <w:t>a</w:t>
      </w:r>
      <w:r w:rsidR="00907D8C">
        <w:t xml:space="preserve"> </w:t>
      </w:r>
      <w:r w:rsidRPr="00036FAC">
        <w:t>GP.</w:t>
      </w:r>
    </w:p>
    <w:p w:rsidR="00036FAC" w:rsidRPr="00036FAC" w:rsidRDefault="00036FAC" w:rsidP="00CB1E9A">
      <w:pPr>
        <w:pStyle w:val="SingleTxtG"/>
      </w:pPr>
      <w:r w:rsidRPr="00036FAC">
        <w:t>261.</w:t>
      </w:r>
      <w:r w:rsidRPr="00036FAC">
        <w:tab/>
        <w:t>Progress</w:t>
      </w:r>
      <w:r w:rsidR="00907D8C">
        <w:t xml:space="preserve"> </w:t>
      </w:r>
      <w:r w:rsidRPr="00036FAC">
        <w:t>is</w:t>
      </w:r>
      <w:r w:rsidR="00907D8C">
        <w:t xml:space="preserve"> </w:t>
      </w:r>
      <w:r w:rsidRPr="00036FAC">
        <w:t>being</w:t>
      </w:r>
      <w:r w:rsidR="00907D8C">
        <w:t xml:space="preserve"> </w:t>
      </w:r>
      <w:r w:rsidRPr="00036FAC">
        <w:t>made</w:t>
      </w:r>
      <w:r w:rsidR="00907D8C">
        <w:t xml:space="preserve"> </w:t>
      </w:r>
      <w:r w:rsidRPr="00036FAC">
        <w:t>to</w:t>
      </w:r>
      <w:r w:rsidR="00907D8C">
        <w:t xml:space="preserve"> </w:t>
      </w:r>
      <w:r w:rsidRPr="00036FAC">
        <w:t>ensure</w:t>
      </w:r>
      <w:r w:rsidR="00907D8C">
        <w:t xml:space="preserve"> </w:t>
      </w:r>
      <w:r w:rsidRPr="00036FAC">
        <w:t>public</w:t>
      </w:r>
      <w:r w:rsidR="00907D8C">
        <w:t xml:space="preserve"> </w:t>
      </w:r>
      <w:r w:rsidRPr="00036FAC">
        <w:t>reporting</w:t>
      </w:r>
      <w:r w:rsidR="00907D8C">
        <w:t xml:space="preserve"> </w:t>
      </w:r>
      <w:r w:rsidRPr="00036FAC">
        <w:t>of</w:t>
      </w:r>
      <w:r w:rsidR="00907D8C">
        <w:t xml:space="preserve"> </w:t>
      </w:r>
      <w:r w:rsidRPr="00036FAC">
        <w:t>PHO</w:t>
      </w:r>
      <w:r w:rsidR="00907D8C">
        <w:t xml:space="preserve"> </w:t>
      </w:r>
      <w:r w:rsidRPr="00036FAC">
        <w:t>performance</w:t>
      </w:r>
      <w:r w:rsidR="00907D8C">
        <w:t xml:space="preserve"> </w:t>
      </w:r>
      <w:r w:rsidRPr="00036FAC">
        <w:t>on</w:t>
      </w:r>
      <w:r w:rsidR="00907D8C">
        <w:t xml:space="preserve"> </w:t>
      </w:r>
      <w:r w:rsidRPr="00036FAC">
        <w:t>measures</w:t>
      </w:r>
      <w:r w:rsidR="00907D8C">
        <w:t xml:space="preserve"> </w:t>
      </w:r>
      <w:r w:rsidRPr="00036FAC">
        <w:t>of</w:t>
      </w:r>
      <w:r w:rsidR="00907D8C">
        <w:t xml:space="preserve"> </w:t>
      </w:r>
      <w:r w:rsidRPr="00036FAC">
        <w:t>access,</w:t>
      </w:r>
      <w:r w:rsidR="00907D8C">
        <w:t xml:space="preserve"> </w:t>
      </w:r>
      <w:r w:rsidRPr="00036FAC">
        <w:t>service</w:t>
      </w:r>
      <w:r w:rsidR="00907D8C">
        <w:t xml:space="preserve"> </w:t>
      </w:r>
      <w:r w:rsidRPr="00036FAC">
        <w:t>utilisation,</w:t>
      </w:r>
      <w:r w:rsidR="00907D8C">
        <w:t xml:space="preserve"> </w:t>
      </w:r>
      <w:r w:rsidRPr="00036FAC">
        <w:t>and</w:t>
      </w:r>
      <w:r w:rsidR="00907D8C">
        <w:t xml:space="preserve"> </w:t>
      </w:r>
      <w:r w:rsidRPr="00036FAC">
        <w:t>health</w:t>
      </w:r>
      <w:r w:rsidR="00907D8C">
        <w:t xml:space="preserve"> </w:t>
      </w:r>
      <w:r w:rsidRPr="00036FAC">
        <w:t>improvement.</w:t>
      </w:r>
      <w:r w:rsidR="00907D8C">
        <w:t xml:space="preserve"> </w:t>
      </w:r>
      <w:r w:rsidRPr="00036FAC">
        <w:t>This</w:t>
      </w:r>
      <w:r w:rsidR="00907D8C">
        <w:t xml:space="preserve"> </w:t>
      </w:r>
      <w:r w:rsidRPr="00036FAC">
        <w:t>information</w:t>
      </w:r>
      <w:r w:rsidR="00907D8C">
        <w:t xml:space="preserve"> </w:t>
      </w:r>
      <w:r w:rsidRPr="00036FAC">
        <w:t>will</w:t>
      </w:r>
      <w:r w:rsidR="00907D8C">
        <w:t xml:space="preserve"> </w:t>
      </w:r>
      <w:r w:rsidRPr="00036FAC">
        <w:t>be</w:t>
      </w:r>
      <w:r w:rsidR="00907D8C">
        <w:t xml:space="preserve"> </w:t>
      </w:r>
      <w:r w:rsidRPr="00036FAC">
        <w:t>publicly</w:t>
      </w:r>
      <w:r w:rsidR="00907D8C">
        <w:t xml:space="preserve"> </w:t>
      </w:r>
      <w:r w:rsidRPr="00036FAC">
        <w:t>available</w:t>
      </w:r>
      <w:r w:rsidR="00907D8C">
        <w:t xml:space="preserve"> </w:t>
      </w:r>
      <w:r w:rsidRPr="00036FAC">
        <w:t>before</w:t>
      </w:r>
      <w:r w:rsidR="00907D8C">
        <w:t xml:space="preserve"> </w:t>
      </w:r>
      <w:r w:rsidRPr="00036FAC">
        <w:t>the</w:t>
      </w:r>
      <w:r w:rsidR="00907D8C">
        <w:t xml:space="preserve"> </w:t>
      </w:r>
      <w:r w:rsidRPr="00036FAC">
        <w:t>end</w:t>
      </w:r>
      <w:r w:rsidR="00907D8C">
        <w:t xml:space="preserve"> </w:t>
      </w:r>
      <w:r w:rsidRPr="00036FAC">
        <w:t>of</w:t>
      </w:r>
      <w:r w:rsidR="00907D8C">
        <w:t xml:space="preserve"> </w:t>
      </w:r>
      <w:r w:rsidRPr="00036FAC">
        <w:t>2010.</w:t>
      </w:r>
    </w:p>
    <w:p w:rsidR="00036FAC" w:rsidRPr="00036FAC" w:rsidRDefault="00036FAC" w:rsidP="00CB1E9A">
      <w:pPr>
        <w:pStyle w:val="SingleTxtG"/>
      </w:pPr>
      <w:r w:rsidRPr="00036FAC">
        <w:t>262.</w:t>
      </w:r>
      <w:r w:rsidRPr="00036FAC">
        <w:tab/>
        <w:t>Other</w:t>
      </w:r>
      <w:r w:rsidR="00907D8C">
        <w:t xml:space="preserve"> </w:t>
      </w:r>
      <w:r w:rsidRPr="00036FAC">
        <w:t>initiatives</w:t>
      </w:r>
      <w:r w:rsidR="00907D8C">
        <w:t xml:space="preserve"> </w:t>
      </w:r>
      <w:r w:rsidRPr="00036FAC">
        <w:t>include:</w:t>
      </w:r>
    </w:p>
    <w:p w:rsidR="00036FAC" w:rsidRPr="00036FAC" w:rsidRDefault="00CB1E9A" w:rsidP="00CB1E9A">
      <w:pPr>
        <w:pStyle w:val="SingleTxtG"/>
      </w:pPr>
      <w:r>
        <w:tab/>
      </w:r>
      <w:r w:rsidR="00036FAC" w:rsidRPr="00036FAC">
        <w:t>(a)</w:t>
      </w:r>
      <w:r w:rsidR="00036FAC" w:rsidRPr="00036FAC">
        <w:tab/>
        <w:t>Proactive</w:t>
      </w:r>
      <w:r w:rsidR="00907D8C">
        <w:t xml:space="preserve"> </w:t>
      </w:r>
      <w:r w:rsidR="00036FAC" w:rsidRPr="00036FAC">
        <w:t>recruitment</w:t>
      </w:r>
      <w:r w:rsidR="00907D8C">
        <w:t xml:space="preserve"> </w:t>
      </w:r>
      <w:r w:rsidR="00036FAC" w:rsidRPr="00036FAC">
        <w:t>of</w:t>
      </w:r>
      <w:r w:rsidR="00907D8C">
        <w:t xml:space="preserve"> </w:t>
      </w:r>
      <w:r w:rsidR="00036FAC" w:rsidRPr="00036FAC">
        <w:t>Māori</w:t>
      </w:r>
      <w:r w:rsidR="00907D8C">
        <w:t xml:space="preserve"> </w:t>
      </w:r>
      <w:r w:rsidR="00036FAC" w:rsidRPr="00036FAC">
        <w:t>and</w:t>
      </w:r>
      <w:r w:rsidR="00907D8C">
        <w:t xml:space="preserve"> </w:t>
      </w:r>
      <w:r w:rsidR="00036FAC" w:rsidRPr="00036FAC">
        <w:t>Pacific</w:t>
      </w:r>
      <w:r w:rsidR="00907D8C">
        <w:t xml:space="preserve"> </w:t>
      </w:r>
      <w:r w:rsidR="00036FAC" w:rsidRPr="00036FAC">
        <w:t>peoples</w:t>
      </w:r>
      <w:r w:rsidR="00907D8C">
        <w:t xml:space="preserve"> </w:t>
      </w:r>
      <w:r w:rsidR="00036FAC" w:rsidRPr="00036FAC">
        <w:t>to</w:t>
      </w:r>
      <w:r w:rsidR="00907D8C">
        <w:t xml:space="preserve"> </w:t>
      </w:r>
      <w:r w:rsidR="00036FAC" w:rsidRPr="00036FAC">
        <w:t>medical</w:t>
      </w:r>
      <w:r w:rsidR="00907D8C">
        <w:t xml:space="preserve"> </w:t>
      </w:r>
      <w:r w:rsidR="00036FAC" w:rsidRPr="00036FAC">
        <w:t>and</w:t>
      </w:r>
      <w:r w:rsidR="00907D8C">
        <w:t xml:space="preserve"> </w:t>
      </w:r>
      <w:r w:rsidR="00036FAC" w:rsidRPr="00036FAC">
        <w:t>nursing</w:t>
      </w:r>
      <w:r w:rsidR="00907D8C">
        <w:t xml:space="preserve"> </w:t>
      </w:r>
      <w:r w:rsidR="00036FAC" w:rsidRPr="00036FAC">
        <w:t>training;</w:t>
      </w:r>
      <w:r w:rsidR="00907D8C">
        <w:t xml:space="preserve"> </w:t>
      </w:r>
      <w:r w:rsidR="00036FAC" w:rsidRPr="00036FAC">
        <w:t>and</w:t>
      </w:r>
      <w:r w:rsidR="00907D8C">
        <w:t xml:space="preserve"> </w:t>
      </w:r>
      <w:r w:rsidR="00036FAC" w:rsidRPr="00036FAC">
        <w:t>an</w:t>
      </w:r>
      <w:r w:rsidR="00907D8C">
        <w:t xml:space="preserve"> </w:t>
      </w:r>
      <w:r w:rsidR="00036FAC" w:rsidRPr="00036FAC">
        <w:t>increase</w:t>
      </w:r>
      <w:r w:rsidR="00907D8C">
        <w:t xml:space="preserve"> </w:t>
      </w:r>
      <w:r w:rsidR="00036FAC" w:rsidRPr="00036FAC">
        <w:t>in</w:t>
      </w:r>
      <w:r w:rsidR="00907D8C">
        <w:t xml:space="preserve"> </w:t>
      </w:r>
      <w:r w:rsidR="00036FAC" w:rsidRPr="00036FAC">
        <w:t>the</w:t>
      </w:r>
      <w:r w:rsidR="00907D8C">
        <w:t xml:space="preserve"> </w:t>
      </w:r>
      <w:r w:rsidR="00036FAC" w:rsidRPr="00036FAC">
        <w:t>range</w:t>
      </w:r>
      <w:r w:rsidR="00907D8C">
        <w:t xml:space="preserve"> </w:t>
      </w:r>
      <w:r w:rsidR="00036FAC" w:rsidRPr="00036FAC">
        <w:t>of</w:t>
      </w:r>
      <w:r w:rsidR="00907D8C">
        <w:t xml:space="preserve"> </w:t>
      </w:r>
      <w:r w:rsidR="00036FAC" w:rsidRPr="00036FAC">
        <w:t>health</w:t>
      </w:r>
      <w:r w:rsidR="00907D8C">
        <w:t xml:space="preserve"> </w:t>
      </w:r>
      <w:r w:rsidR="00036FAC" w:rsidRPr="00036FAC">
        <w:t>care</w:t>
      </w:r>
      <w:r w:rsidR="00907D8C">
        <w:t xml:space="preserve"> </w:t>
      </w:r>
      <w:r w:rsidR="00036FAC" w:rsidRPr="00036FAC">
        <w:t>service</w:t>
      </w:r>
      <w:r w:rsidR="00907D8C">
        <w:t xml:space="preserve"> </w:t>
      </w:r>
      <w:r w:rsidR="00036FAC" w:rsidRPr="00036FAC">
        <w:t>providers,</w:t>
      </w:r>
      <w:r w:rsidR="00907D8C">
        <w:t xml:space="preserve"> </w:t>
      </w:r>
      <w:r w:rsidR="00036FAC" w:rsidRPr="00036FAC">
        <w:t>particularly</w:t>
      </w:r>
      <w:r w:rsidR="00907D8C">
        <w:t xml:space="preserve"> </w:t>
      </w:r>
      <w:r w:rsidR="00036FAC" w:rsidRPr="00036FAC">
        <w:t>Māori</w:t>
      </w:r>
      <w:r w:rsidR="00907D8C">
        <w:t xml:space="preserve"> </w:t>
      </w:r>
      <w:r w:rsidR="00036FAC" w:rsidRPr="00036FAC">
        <w:t>and</w:t>
      </w:r>
      <w:r w:rsidR="00907D8C">
        <w:t xml:space="preserve"> </w:t>
      </w:r>
      <w:r w:rsidR="00036FAC" w:rsidRPr="00036FAC">
        <w:t>Pacific</w:t>
      </w:r>
      <w:r w:rsidR="00907D8C">
        <w:t xml:space="preserve"> </w:t>
      </w:r>
      <w:r w:rsidR="00036FAC" w:rsidRPr="00036FAC">
        <w:t>providers</w:t>
      </w:r>
      <w:r w:rsidR="00907D8C">
        <w:t xml:space="preserve"> </w:t>
      </w:r>
      <w:r w:rsidR="00036FAC" w:rsidRPr="00036FAC">
        <w:t>at</w:t>
      </w:r>
      <w:r w:rsidR="00907D8C">
        <w:t xml:space="preserve"> </w:t>
      </w:r>
      <w:r w:rsidR="00036FAC" w:rsidRPr="00036FAC">
        <w:t>primary</w:t>
      </w:r>
      <w:r w:rsidR="00907D8C">
        <w:t xml:space="preserve"> </w:t>
      </w:r>
      <w:r w:rsidR="00036FAC" w:rsidRPr="00036FAC">
        <w:t>care</w:t>
      </w:r>
      <w:r w:rsidR="00907D8C">
        <w:t xml:space="preserve"> </w:t>
      </w:r>
      <w:r w:rsidR="00036FAC" w:rsidRPr="00036FAC">
        <w:t>level;</w:t>
      </w:r>
    </w:p>
    <w:p w:rsidR="00036FAC" w:rsidRPr="00036FAC" w:rsidRDefault="00CB1E9A" w:rsidP="00CB1E9A">
      <w:pPr>
        <w:pStyle w:val="SingleTxtG"/>
      </w:pPr>
      <w:r>
        <w:tab/>
      </w:r>
      <w:r w:rsidR="00036FAC" w:rsidRPr="00036FAC">
        <w:t>(b)</w:t>
      </w:r>
      <w:r w:rsidR="00036FAC" w:rsidRPr="00036FAC">
        <w:tab/>
        <w:t>Public</w:t>
      </w:r>
      <w:r w:rsidR="00907D8C">
        <w:t xml:space="preserve"> </w:t>
      </w:r>
      <w:r w:rsidR="00036FAC" w:rsidRPr="00036FAC">
        <w:t>information</w:t>
      </w:r>
      <w:r w:rsidR="00907D8C">
        <w:t xml:space="preserve"> </w:t>
      </w:r>
      <w:r w:rsidR="00036FAC" w:rsidRPr="00036FAC">
        <w:t>campaigns</w:t>
      </w:r>
      <w:r w:rsidR="00907D8C">
        <w:t xml:space="preserve"> </w:t>
      </w:r>
      <w:r w:rsidR="00036FAC" w:rsidRPr="00036FAC">
        <w:t>urging</w:t>
      </w:r>
      <w:r w:rsidR="00907D8C">
        <w:t xml:space="preserve"> </w:t>
      </w:r>
      <w:r w:rsidR="00036FAC" w:rsidRPr="00036FAC">
        <w:t>people</w:t>
      </w:r>
      <w:r w:rsidR="00907D8C">
        <w:t xml:space="preserve"> </w:t>
      </w:r>
      <w:r w:rsidR="00036FAC" w:rsidRPr="00036FAC">
        <w:t>to</w:t>
      </w:r>
      <w:r w:rsidR="00907D8C">
        <w:t xml:space="preserve"> </w:t>
      </w:r>
      <w:r w:rsidR="00036FAC" w:rsidRPr="00036FAC">
        <w:t>take</w:t>
      </w:r>
      <w:r w:rsidR="00907D8C">
        <w:t xml:space="preserve"> </w:t>
      </w:r>
      <w:r w:rsidR="00036FAC" w:rsidRPr="00036FAC">
        <w:t>part</w:t>
      </w:r>
      <w:r w:rsidR="00907D8C">
        <w:t xml:space="preserve"> </w:t>
      </w:r>
      <w:r w:rsidR="00036FAC" w:rsidRPr="00036FAC">
        <w:t>in</w:t>
      </w:r>
      <w:r w:rsidR="00907D8C">
        <w:t xml:space="preserve"> </w:t>
      </w:r>
      <w:r w:rsidR="00036FAC" w:rsidRPr="00036FAC">
        <w:t>smoking</w:t>
      </w:r>
      <w:r w:rsidR="00907D8C">
        <w:t xml:space="preserve"> </w:t>
      </w:r>
      <w:r w:rsidR="00036FAC" w:rsidRPr="00036FAC">
        <w:t>cessation,</w:t>
      </w:r>
      <w:r w:rsidR="00907D8C">
        <w:t xml:space="preserve"> </w:t>
      </w:r>
      <w:r w:rsidR="00036FAC" w:rsidRPr="00036FAC">
        <w:t>immunisation</w:t>
      </w:r>
      <w:r w:rsidR="00907D8C">
        <w:t xml:space="preserve"> </w:t>
      </w:r>
      <w:r w:rsidR="00036FAC" w:rsidRPr="00036FAC">
        <w:t>or</w:t>
      </w:r>
      <w:r w:rsidR="00907D8C">
        <w:t xml:space="preserve"> </w:t>
      </w:r>
      <w:r w:rsidR="00036FAC" w:rsidRPr="00036FAC">
        <w:t>screening</w:t>
      </w:r>
      <w:r w:rsidR="00907D8C">
        <w:t xml:space="preserve"> </w:t>
      </w:r>
      <w:r w:rsidR="00036FAC" w:rsidRPr="00036FAC">
        <w:t>programmes,</w:t>
      </w:r>
      <w:r w:rsidR="00907D8C">
        <w:t xml:space="preserve"> </w:t>
      </w:r>
      <w:r w:rsidR="00036FAC" w:rsidRPr="00036FAC">
        <w:t>or</w:t>
      </w:r>
      <w:r w:rsidR="00907D8C">
        <w:t xml:space="preserve"> </w:t>
      </w:r>
      <w:r w:rsidR="00036FAC" w:rsidRPr="00036FAC">
        <w:t>to</w:t>
      </w:r>
      <w:r w:rsidR="00907D8C">
        <w:t xml:space="preserve"> </w:t>
      </w:r>
      <w:r w:rsidR="00036FAC" w:rsidRPr="00036FAC">
        <w:t>seek</w:t>
      </w:r>
      <w:r w:rsidR="00907D8C">
        <w:t xml:space="preserve"> </w:t>
      </w:r>
      <w:r w:rsidR="00036FAC" w:rsidRPr="00036FAC">
        <w:t>care</w:t>
      </w:r>
      <w:r w:rsidR="00907D8C">
        <w:t xml:space="preserve"> </w:t>
      </w:r>
      <w:r w:rsidR="00036FAC" w:rsidRPr="00036FAC">
        <w:t>earlier</w:t>
      </w:r>
      <w:r w:rsidR="00907D8C">
        <w:t xml:space="preserve"> </w:t>
      </w:r>
      <w:r w:rsidR="00036FAC" w:rsidRPr="00036FAC">
        <w:t>in</w:t>
      </w:r>
      <w:r w:rsidR="00907D8C">
        <w:t xml:space="preserve"> </w:t>
      </w:r>
      <w:r w:rsidR="00036FAC" w:rsidRPr="00036FAC">
        <w:t>an</w:t>
      </w:r>
      <w:r w:rsidR="00907D8C">
        <w:t xml:space="preserve"> </w:t>
      </w:r>
      <w:r w:rsidR="00036FAC" w:rsidRPr="00036FAC">
        <w:t>illness;</w:t>
      </w:r>
    </w:p>
    <w:p w:rsidR="00CB1E9A" w:rsidRDefault="00CB1E9A" w:rsidP="00CB1E9A">
      <w:pPr>
        <w:pStyle w:val="SingleTxtG"/>
      </w:pPr>
      <w:r>
        <w:tab/>
      </w:r>
      <w:r w:rsidR="00036FAC" w:rsidRPr="00036FAC">
        <w:t>(c)</w:t>
      </w:r>
      <w:r w:rsidR="00036FAC" w:rsidRPr="00036FAC">
        <w:tab/>
        <w:t>Public</w:t>
      </w:r>
      <w:r w:rsidR="00907D8C">
        <w:t xml:space="preserve"> </w:t>
      </w:r>
      <w:r w:rsidR="00036FAC" w:rsidRPr="00036FAC">
        <w:t>reporting</w:t>
      </w:r>
      <w:r w:rsidR="00907D8C">
        <w:t xml:space="preserve"> </w:t>
      </w:r>
      <w:r w:rsidR="00036FAC" w:rsidRPr="00036FAC">
        <w:t>of</w:t>
      </w:r>
      <w:r w:rsidR="00907D8C">
        <w:t xml:space="preserve"> </w:t>
      </w:r>
      <w:r w:rsidR="00036FAC" w:rsidRPr="00036FAC">
        <w:t>information</w:t>
      </w:r>
      <w:r w:rsidR="00907D8C">
        <w:t xml:space="preserve"> </w:t>
      </w:r>
      <w:r w:rsidR="00036FAC" w:rsidRPr="00036FAC">
        <w:t>on</w:t>
      </w:r>
      <w:r w:rsidR="00907D8C">
        <w:t xml:space="preserve"> </w:t>
      </w:r>
      <w:r w:rsidR="00036FAC" w:rsidRPr="00036FAC">
        <w:t>health</w:t>
      </w:r>
      <w:r w:rsidR="00907D8C">
        <w:t xml:space="preserve"> </w:t>
      </w:r>
      <w:r w:rsidR="00036FAC" w:rsidRPr="00036FAC">
        <w:t>care</w:t>
      </w:r>
      <w:r w:rsidR="00907D8C">
        <w:t xml:space="preserve"> </w:t>
      </w:r>
      <w:r w:rsidR="00036FAC" w:rsidRPr="00036FAC">
        <w:t>service</w:t>
      </w:r>
      <w:r w:rsidR="00907D8C">
        <w:t xml:space="preserve"> </w:t>
      </w:r>
      <w:r w:rsidR="00036FAC" w:rsidRPr="00036FAC">
        <w:t>access,</w:t>
      </w:r>
      <w:r w:rsidR="00907D8C">
        <w:t xml:space="preserve"> </w:t>
      </w:r>
      <w:r w:rsidR="00036FAC" w:rsidRPr="00036FAC">
        <w:t>for</w:t>
      </w:r>
      <w:r w:rsidR="00907D8C">
        <w:t xml:space="preserve"> </w:t>
      </w:r>
      <w:r w:rsidR="00036FAC" w:rsidRPr="00036FAC">
        <w:t>example,</w:t>
      </w:r>
      <w:r w:rsidR="00907D8C">
        <w:t xml:space="preserve"> </w:t>
      </w:r>
      <w:r w:rsidR="00036FAC" w:rsidRPr="00036FAC">
        <w:t>access</w:t>
      </w:r>
      <w:r w:rsidR="00907D8C">
        <w:t xml:space="preserve"> </w:t>
      </w:r>
      <w:r w:rsidR="00036FAC" w:rsidRPr="00036FAC">
        <w:t>to</w:t>
      </w:r>
      <w:r w:rsidR="00907D8C">
        <w:t xml:space="preserve"> </w:t>
      </w:r>
      <w:r w:rsidR="00036FAC" w:rsidRPr="00036FAC">
        <w:t>non-urgent</w:t>
      </w:r>
      <w:r w:rsidR="00907D8C">
        <w:t xml:space="preserve"> </w:t>
      </w:r>
      <w:r w:rsidR="00036FAC" w:rsidRPr="00036FAC">
        <w:t>health</w:t>
      </w:r>
      <w:r w:rsidR="00907D8C">
        <w:t xml:space="preserve"> </w:t>
      </w:r>
      <w:r w:rsidR="00036FAC" w:rsidRPr="00036FAC">
        <w:t>care</w:t>
      </w:r>
      <w:r w:rsidR="00907D8C">
        <w:t xml:space="preserve"> </w:t>
      </w:r>
      <w:r w:rsidR="00036FAC" w:rsidRPr="00036FAC">
        <w:t>services</w:t>
      </w:r>
      <w:r w:rsidR="00907D8C">
        <w:t xml:space="preserve"> </w:t>
      </w:r>
      <w:r w:rsidR="00036FAC" w:rsidRPr="00036FAC">
        <w:t>including</w:t>
      </w:r>
      <w:r w:rsidR="00907D8C">
        <w:t xml:space="preserve"> </w:t>
      </w:r>
      <w:r w:rsidR="00036FAC" w:rsidRPr="00036FAC">
        <w:t>surgery.</w:t>
      </w:r>
      <w:r w:rsidR="00907D8C">
        <w:t xml:space="preserve"> </w:t>
      </w:r>
      <w:r w:rsidR="00036FAC" w:rsidRPr="00036FAC">
        <w:t>This</w:t>
      </w:r>
      <w:r w:rsidR="00907D8C">
        <w:t xml:space="preserve"> </w:t>
      </w:r>
      <w:r w:rsidR="00036FAC" w:rsidRPr="00036FAC">
        <w:t>has</w:t>
      </w:r>
      <w:r w:rsidR="00907D8C">
        <w:t xml:space="preserve"> </w:t>
      </w:r>
      <w:r w:rsidR="00036FAC" w:rsidRPr="00036FAC">
        <w:t>promoted</w:t>
      </w:r>
      <w:r w:rsidR="00907D8C">
        <w:t xml:space="preserve"> </w:t>
      </w:r>
      <w:r w:rsidR="00036FAC" w:rsidRPr="00036FAC">
        <w:t>discussion</w:t>
      </w:r>
      <w:r w:rsidR="00907D8C">
        <w:t xml:space="preserve"> </w:t>
      </w:r>
      <w:r w:rsidR="00036FAC" w:rsidRPr="00036FAC">
        <w:t>on</w:t>
      </w:r>
      <w:r w:rsidR="00907D8C">
        <w:t xml:space="preserve"> </w:t>
      </w:r>
      <w:r w:rsidR="00036FAC" w:rsidRPr="00036FAC">
        <w:t>why</w:t>
      </w:r>
      <w:r w:rsidR="00907D8C">
        <w:t xml:space="preserve"> </w:t>
      </w:r>
      <w:r w:rsidR="00036FAC" w:rsidRPr="00036FAC">
        <w:t>people</w:t>
      </w:r>
      <w:r w:rsidR="00907D8C">
        <w:t xml:space="preserve"> </w:t>
      </w:r>
      <w:r w:rsidR="00036FAC" w:rsidRPr="00036FAC">
        <w:t>with</w:t>
      </w:r>
      <w:r w:rsidR="00907D8C">
        <w:t xml:space="preserve"> </w:t>
      </w:r>
      <w:r w:rsidR="00036FAC" w:rsidRPr="00036FAC">
        <w:t>a</w:t>
      </w:r>
      <w:r w:rsidR="00907D8C">
        <w:t xml:space="preserve"> </w:t>
      </w:r>
      <w:r w:rsidR="00036FAC" w:rsidRPr="00036FAC">
        <w:t>disproportionate</w:t>
      </w:r>
      <w:r w:rsidR="00907D8C">
        <w:t xml:space="preserve"> </w:t>
      </w:r>
      <w:r w:rsidR="00036FAC" w:rsidRPr="00036FAC">
        <w:t>burden</w:t>
      </w:r>
      <w:r w:rsidR="00907D8C">
        <w:t xml:space="preserve"> </w:t>
      </w:r>
      <w:r w:rsidR="00036FAC" w:rsidRPr="00036FAC">
        <w:t>of</w:t>
      </w:r>
      <w:r w:rsidR="00907D8C">
        <w:t xml:space="preserve"> </w:t>
      </w:r>
      <w:r w:rsidR="00036FAC" w:rsidRPr="00036FAC">
        <w:t>disease</w:t>
      </w:r>
      <w:r w:rsidR="00907D8C">
        <w:t xml:space="preserve"> </w:t>
      </w:r>
      <w:r w:rsidR="00036FAC" w:rsidRPr="00036FAC">
        <w:t>may</w:t>
      </w:r>
      <w:r w:rsidR="00907D8C">
        <w:t xml:space="preserve"> </w:t>
      </w:r>
      <w:r w:rsidR="00036FAC" w:rsidRPr="00036FAC">
        <w:t>not</w:t>
      </w:r>
      <w:r w:rsidR="00907D8C">
        <w:t xml:space="preserve"> </w:t>
      </w:r>
      <w:r w:rsidR="00036FAC" w:rsidRPr="00036FAC">
        <w:t>be</w:t>
      </w:r>
      <w:r w:rsidR="00907D8C">
        <w:t xml:space="preserve"> </w:t>
      </w:r>
      <w:r w:rsidR="00036FAC" w:rsidRPr="00036FAC">
        <w:t>receiving</w:t>
      </w:r>
      <w:r w:rsidR="00907D8C">
        <w:t xml:space="preserve"> </w:t>
      </w:r>
      <w:r w:rsidR="00036FAC" w:rsidRPr="00036FAC">
        <w:t>equitable</w:t>
      </w:r>
      <w:r w:rsidR="00907D8C">
        <w:t xml:space="preserve"> </w:t>
      </w:r>
      <w:r w:rsidR="00036FAC" w:rsidRPr="00036FAC">
        <w:t>levels</w:t>
      </w:r>
      <w:r w:rsidR="00907D8C">
        <w:t xml:space="preserve"> </w:t>
      </w:r>
      <w:r w:rsidR="00036FAC" w:rsidRPr="00036FAC">
        <w:t>of</w:t>
      </w:r>
      <w:r w:rsidR="00907D8C">
        <w:t xml:space="preserve"> </w:t>
      </w:r>
      <w:r w:rsidR="00036FAC" w:rsidRPr="00036FAC">
        <w:t>service.</w:t>
      </w:r>
      <w:r w:rsidR="00907D8C">
        <w:t xml:space="preserve"> </w:t>
      </w:r>
      <w:r w:rsidR="00036FAC" w:rsidRPr="00036FAC">
        <w:t>As</w:t>
      </w:r>
      <w:r w:rsidR="00907D8C">
        <w:t xml:space="preserve"> </w:t>
      </w:r>
      <w:r w:rsidR="00036FAC" w:rsidRPr="00036FAC">
        <w:t>a</w:t>
      </w:r>
      <w:r w:rsidR="00907D8C">
        <w:t xml:space="preserve"> </w:t>
      </w:r>
      <w:r w:rsidR="00036FAC" w:rsidRPr="00036FAC">
        <w:t>result,</w:t>
      </w:r>
      <w:r w:rsidR="00907D8C">
        <w:t xml:space="preserve"> </w:t>
      </w:r>
      <w:r w:rsidR="00036FAC" w:rsidRPr="00036FAC">
        <w:t>clinicians</w:t>
      </w:r>
      <w:r w:rsidR="00907D8C">
        <w:t xml:space="preserve"> </w:t>
      </w:r>
      <w:r w:rsidR="00036FAC" w:rsidRPr="00036FAC">
        <w:t>have</w:t>
      </w:r>
      <w:r w:rsidR="00907D8C">
        <w:t xml:space="preserve"> </w:t>
      </w:r>
      <w:r w:rsidR="00036FAC" w:rsidRPr="00036FAC">
        <w:t>been</w:t>
      </w:r>
      <w:r w:rsidR="00907D8C">
        <w:t xml:space="preserve"> </w:t>
      </w:r>
      <w:r w:rsidR="00036FAC" w:rsidRPr="00036FAC">
        <w:t>able</w:t>
      </w:r>
      <w:r w:rsidR="00907D8C">
        <w:t xml:space="preserve"> </w:t>
      </w:r>
      <w:r w:rsidR="00036FAC" w:rsidRPr="00036FAC">
        <w:t>to</w:t>
      </w:r>
      <w:r w:rsidR="00907D8C">
        <w:t xml:space="preserve"> </w:t>
      </w:r>
      <w:r w:rsidR="00036FAC" w:rsidRPr="00036FAC">
        <w:t>identify</w:t>
      </w:r>
      <w:r w:rsidR="00907D8C">
        <w:t xml:space="preserve"> </w:t>
      </w:r>
      <w:r w:rsidR="00036FAC" w:rsidRPr="00036FAC">
        <w:t>and</w:t>
      </w:r>
      <w:r w:rsidR="00907D8C">
        <w:t xml:space="preserve"> </w:t>
      </w:r>
      <w:r w:rsidR="00036FAC" w:rsidRPr="00036FAC">
        <w:t>improve</w:t>
      </w:r>
      <w:r w:rsidR="00907D8C">
        <w:t xml:space="preserve"> </w:t>
      </w:r>
      <w:r w:rsidR="00036FAC" w:rsidRPr="00036FAC">
        <w:t>practices</w:t>
      </w:r>
      <w:r w:rsidR="00907D8C">
        <w:t xml:space="preserve"> </w:t>
      </w:r>
      <w:r w:rsidR="00036FAC" w:rsidRPr="00036FAC">
        <w:t>that</w:t>
      </w:r>
      <w:r w:rsidR="00907D8C">
        <w:t xml:space="preserve"> </w:t>
      </w:r>
      <w:r w:rsidR="00036FAC" w:rsidRPr="00036FAC">
        <w:t>may</w:t>
      </w:r>
      <w:r w:rsidR="00907D8C">
        <w:t xml:space="preserve"> </w:t>
      </w:r>
      <w:r w:rsidR="00036FAC" w:rsidRPr="00036FAC">
        <w:t>have</w:t>
      </w:r>
      <w:r w:rsidR="00907D8C">
        <w:t xml:space="preserve"> </w:t>
      </w:r>
      <w:r w:rsidR="00036FAC" w:rsidRPr="00036FAC">
        <w:t>resulted</w:t>
      </w:r>
      <w:r w:rsidR="00907D8C">
        <w:t xml:space="preserve"> </w:t>
      </w:r>
      <w:r w:rsidR="00036FAC" w:rsidRPr="00036FAC">
        <w:t>in</w:t>
      </w:r>
      <w:r w:rsidR="00907D8C">
        <w:t xml:space="preserve"> </w:t>
      </w:r>
      <w:r w:rsidR="00036FAC" w:rsidRPr="00036FAC">
        <w:t>barriers</w:t>
      </w:r>
      <w:r w:rsidR="00907D8C">
        <w:t xml:space="preserve"> </w:t>
      </w:r>
      <w:r w:rsidR="00036FAC" w:rsidRPr="00036FAC">
        <w:t>to</w:t>
      </w:r>
      <w:r w:rsidR="00907D8C">
        <w:t xml:space="preserve"> </w:t>
      </w:r>
      <w:r w:rsidR="00036FAC" w:rsidRPr="00036FAC">
        <w:t>access</w:t>
      </w:r>
      <w:r w:rsidR="00907D8C">
        <w:t xml:space="preserve"> </w:t>
      </w:r>
      <w:r w:rsidR="00036FAC" w:rsidRPr="00036FAC">
        <w:t>or</w:t>
      </w:r>
      <w:r w:rsidR="00907D8C">
        <w:t xml:space="preserve"> </w:t>
      </w:r>
      <w:r w:rsidR="00036FAC" w:rsidRPr="00036FAC">
        <w:t>discrimination;</w:t>
      </w:r>
    </w:p>
    <w:p w:rsidR="00036FAC" w:rsidRPr="00036FAC" w:rsidRDefault="00CB1E9A" w:rsidP="00CB1E9A">
      <w:pPr>
        <w:pStyle w:val="SingleTxtG"/>
      </w:pPr>
      <w:r>
        <w:tab/>
      </w:r>
      <w:r w:rsidR="00036FAC" w:rsidRPr="00036FAC">
        <w:t>(d)</w:t>
      </w:r>
      <w:r w:rsidR="00036FAC" w:rsidRPr="00036FAC">
        <w:tab/>
        <w:t>The</w:t>
      </w:r>
      <w:r w:rsidR="00907D8C">
        <w:t xml:space="preserve"> </w:t>
      </w:r>
      <w:r w:rsidR="00036FAC" w:rsidRPr="00036FAC">
        <w:t>identification</w:t>
      </w:r>
      <w:r w:rsidR="00907D8C">
        <w:t xml:space="preserve"> </w:t>
      </w:r>
      <w:r w:rsidR="00036FAC" w:rsidRPr="00036FAC">
        <w:t>and</w:t>
      </w:r>
      <w:r w:rsidR="00907D8C">
        <w:t xml:space="preserve"> </w:t>
      </w:r>
      <w:r w:rsidR="00036FAC" w:rsidRPr="00036FAC">
        <w:t>public</w:t>
      </w:r>
      <w:r w:rsidR="00907D8C">
        <w:t xml:space="preserve"> </w:t>
      </w:r>
      <w:r w:rsidR="00036FAC" w:rsidRPr="00036FAC">
        <w:t>reporting</w:t>
      </w:r>
      <w:r w:rsidR="00907D8C">
        <w:t xml:space="preserve"> </w:t>
      </w:r>
      <w:r w:rsidR="00036FAC" w:rsidRPr="00036FAC">
        <w:t>of</w:t>
      </w:r>
      <w:r w:rsidR="00907D8C">
        <w:t xml:space="preserve"> </w:t>
      </w:r>
      <w:r w:rsidR="00036FAC" w:rsidRPr="00036FAC">
        <w:t>key</w:t>
      </w:r>
      <w:r w:rsidR="00907D8C">
        <w:t xml:space="preserve"> </w:t>
      </w:r>
      <w:r w:rsidR="00036FAC" w:rsidRPr="00036FAC">
        <w:t>performance</w:t>
      </w:r>
      <w:r w:rsidR="00907D8C">
        <w:t xml:space="preserve"> </w:t>
      </w:r>
      <w:r w:rsidR="00036FAC" w:rsidRPr="00036FAC">
        <w:t>targets</w:t>
      </w:r>
      <w:r w:rsidR="00907D8C">
        <w:t xml:space="preserve"> </w:t>
      </w:r>
      <w:r w:rsidR="00036FAC" w:rsidRPr="00036FAC">
        <w:t>for</w:t>
      </w:r>
      <w:r w:rsidR="00907D8C">
        <w:t xml:space="preserve"> </w:t>
      </w:r>
      <w:r w:rsidR="00036FAC" w:rsidRPr="00036FAC">
        <w:t>the</w:t>
      </w:r>
      <w:r w:rsidR="00907D8C">
        <w:t xml:space="preserve"> </w:t>
      </w:r>
      <w:r w:rsidR="00036FAC" w:rsidRPr="00036FAC">
        <w:t>health</w:t>
      </w:r>
      <w:r w:rsidR="00907D8C">
        <w:t xml:space="preserve"> </w:t>
      </w:r>
      <w:r w:rsidR="00036FAC" w:rsidRPr="00036FAC">
        <w:t>care</w:t>
      </w:r>
      <w:r w:rsidR="00907D8C">
        <w:t xml:space="preserve"> </w:t>
      </w:r>
      <w:r w:rsidR="00036FAC" w:rsidRPr="00036FAC">
        <w:t>sector,</w:t>
      </w:r>
      <w:r w:rsidR="00907D8C">
        <w:t xml:space="preserve"> </w:t>
      </w:r>
      <w:r w:rsidR="00036FAC" w:rsidRPr="00036FAC">
        <w:t>so</w:t>
      </w:r>
      <w:r w:rsidR="00907D8C">
        <w:t xml:space="preserve"> </w:t>
      </w:r>
      <w:r w:rsidR="00036FAC" w:rsidRPr="00036FAC">
        <w:t>as</w:t>
      </w:r>
      <w:r w:rsidR="00907D8C">
        <w:t xml:space="preserve"> </w:t>
      </w:r>
      <w:r w:rsidR="00036FAC" w:rsidRPr="00036FAC">
        <w:t>to</w:t>
      </w:r>
      <w:r w:rsidR="00907D8C">
        <w:t xml:space="preserve"> </w:t>
      </w:r>
      <w:r w:rsidR="00036FAC" w:rsidRPr="00036FAC">
        <w:t>meet</w:t>
      </w:r>
      <w:r w:rsidR="00907D8C">
        <w:t xml:space="preserve"> </w:t>
      </w:r>
      <w:r w:rsidR="00036FAC" w:rsidRPr="00036FAC">
        <w:t>government</w:t>
      </w:r>
      <w:r w:rsidR="00907D8C">
        <w:t xml:space="preserve"> </w:t>
      </w:r>
      <w:r w:rsidR="00036FAC" w:rsidRPr="00036FAC">
        <w:t>goals</w:t>
      </w:r>
      <w:r w:rsidR="00907D8C">
        <w:t xml:space="preserve"> </w:t>
      </w:r>
      <w:r w:rsidR="00036FAC" w:rsidRPr="00036FAC">
        <w:t>of</w:t>
      </w:r>
      <w:r w:rsidR="00907D8C">
        <w:t xml:space="preserve"> </w:t>
      </w:r>
      <w:r w:rsidR="00036FAC" w:rsidRPr="00036FAC">
        <w:t>better,</w:t>
      </w:r>
      <w:r w:rsidR="00907D8C">
        <w:t xml:space="preserve"> </w:t>
      </w:r>
      <w:r w:rsidR="00036FAC" w:rsidRPr="00036FAC">
        <w:t>more</w:t>
      </w:r>
      <w:r w:rsidR="00907D8C">
        <w:t xml:space="preserve"> </w:t>
      </w:r>
      <w:r w:rsidR="00036FAC" w:rsidRPr="00036FAC">
        <w:t>timely,</w:t>
      </w:r>
      <w:r w:rsidR="00907D8C">
        <w:t xml:space="preserve"> </w:t>
      </w:r>
      <w:r w:rsidR="00036FAC" w:rsidRPr="00036FAC">
        <w:t>and</w:t>
      </w:r>
      <w:r w:rsidR="00907D8C">
        <w:t xml:space="preserve"> </w:t>
      </w:r>
      <w:r w:rsidR="00036FAC" w:rsidRPr="00036FAC">
        <w:t>more</w:t>
      </w:r>
      <w:r w:rsidR="00907D8C">
        <w:t xml:space="preserve"> </w:t>
      </w:r>
      <w:r w:rsidR="00036FAC" w:rsidRPr="00036FAC">
        <w:t>convenient</w:t>
      </w:r>
      <w:r w:rsidR="00907D8C">
        <w:t xml:space="preserve"> </w:t>
      </w:r>
      <w:r w:rsidR="00036FAC" w:rsidRPr="00036FAC">
        <w:t>care;</w:t>
      </w:r>
      <w:r w:rsidR="00907D8C">
        <w:t xml:space="preserve"> </w:t>
      </w:r>
      <w:r w:rsidR="00036FAC" w:rsidRPr="00036FAC">
        <w:t>and</w:t>
      </w:r>
    </w:p>
    <w:p w:rsidR="00036FAC" w:rsidRPr="00036FAC" w:rsidRDefault="00CB1E9A" w:rsidP="00CB1E9A">
      <w:pPr>
        <w:pStyle w:val="SingleTxtG"/>
      </w:pPr>
      <w:r>
        <w:tab/>
      </w:r>
      <w:r w:rsidR="00036FAC" w:rsidRPr="00036FAC">
        <w:t>(e)</w:t>
      </w:r>
      <w:r w:rsidR="00036FAC" w:rsidRPr="00036FAC">
        <w:tab/>
        <w:t>Improvements</w:t>
      </w:r>
      <w:r w:rsidR="00907D8C">
        <w:t xml:space="preserve"> </w:t>
      </w:r>
      <w:r w:rsidR="00036FAC" w:rsidRPr="00036FAC">
        <w:t>to</w:t>
      </w:r>
      <w:r w:rsidR="00907D8C">
        <w:t xml:space="preserve"> </w:t>
      </w:r>
      <w:r w:rsidR="00036FAC" w:rsidRPr="00036FAC">
        <w:t>insulation</w:t>
      </w:r>
      <w:r w:rsidR="00907D8C">
        <w:t xml:space="preserve"> </w:t>
      </w:r>
      <w:r w:rsidR="00036FAC" w:rsidRPr="00036FAC">
        <w:t>in</w:t>
      </w:r>
      <w:r w:rsidR="00907D8C">
        <w:t xml:space="preserve"> </w:t>
      </w:r>
      <w:r w:rsidR="00036FAC" w:rsidRPr="00036FAC">
        <w:t>housing</w:t>
      </w:r>
      <w:r w:rsidR="00907D8C">
        <w:t xml:space="preserve"> </w:t>
      </w:r>
      <w:r w:rsidR="00036FAC" w:rsidRPr="00036FAC">
        <w:t>and</w:t>
      </w:r>
      <w:r w:rsidR="00907D8C">
        <w:t xml:space="preserve"> </w:t>
      </w:r>
      <w:r w:rsidR="00036FAC" w:rsidRPr="00036FAC">
        <w:t>increased</w:t>
      </w:r>
      <w:r w:rsidR="00907D8C">
        <w:t xml:space="preserve"> </w:t>
      </w:r>
      <w:r w:rsidR="00036FAC" w:rsidRPr="00036FAC">
        <w:t>rates</w:t>
      </w:r>
      <w:r w:rsidR="00907D8C">
        <w:t xml:space="preserve"> </w:t>
      </w:r>
      <w:r w:rsidR="00036FAC" w:rsidRPr="00036FAC">
        <w:t>of</w:t>
      </w:r>
      <w:r w:rsidR="00907D8C">
        <w:t xml:space="preserve"> </w:t>
      </w:r>
      <w:r w:rsidR="00036FAC" w:rsidRPr="00036FAC">
        <w:t>childhood</w:t>
      </w:r>
      <w:r w:rsidR="00907D8C">
        <w:t xml:space="preserve"> </w:t>
      </w:r>
      <w:r w:rsidR="00036FAC" w:rsidRPr="00036FAC">
        <w:t>vaccinations.</w:t>
      </w:r>
    </w:p>
    <w:p w:rsidR="00036FAC" w:rsidRPr="00036FAC" w:rsidRDefault="00036FAC" w:rsidP="006C436C">
      <w:pPr>
        <w:pStyle w:val="H23G"/>
      </w:pPr>
      <w:r w:rsidRPr="00036FAC">
        <w:tab/>
      </w:r>
      <w:r w:rsidRPr="00036FAC">
        <w:tab/>
        <w:t>Public</w:t>
      </w:r>
      <w:r w:rsidR="00907D8C">
        <w:t xml:space="preserve"> </w:t>
      </w:r>
      <w:r w:rsidRPr="00036FAC">
        <w:t>information</w:t>
      </w:r>
      <w:r w:rsidR="00907D8C">
        <w:t xml:space="preserve"> </w:t>
      </w:r>
      <w:r w:rsidRPr="00036FAC">
        <w:t>and</w:t>
      </w:r>
      <w:r w:rsidR="00907D8C">
        <w:t xml:space="preserve"> </w:t>
      </w:r>
      <w:r w:rsidRPr="00036FAC">
        <w:t>social</w:t>
      </w:r>
      <w:r w:rsidR="00907D8C">
        <w:t xml:space="preserve"> </w:t>
      </w:r>
      <w:r w:rsidRPr="00036FAC">
        <w:t>marketing</w:t>
      </w:r>
    </w:p>
    <w:p w:rsidR="00036FAC" w:rsidRPr="00036FAC" w:rsidRDefault="00036FAC" w:rsidP="00CB1E9A">
      <w:pPr>
        <w:pStyle w:val="SingleTxtG"/>
      </w:pPr>
      <w:r w:rsidRPr="00036FAC">
        <w:t>263.</w:t>
      </w:r>
      <w:r w:rsidRPr="00036FAC">
        <w:tab/>
        <w:t>New</w:t>
      </w:r>
      <w:r w:rsidR="00907D8C">
        <w:t xml:space="preserve"> </w:t>
      </w:r>
      <w:r w:rsidRPr="00036FAC">
        <w:t>Zealand</w:t>
      </w:r>
      <w:r w:rsidR="00907D8C">
        <w:t xml:space="preserve"> </w:t>
      </w:r>
      <w:r w:rsidRPr="00036FAC">
        <w:t>has</w:t>
      </w:r>
      <w:r w:rsidR="00907D8C">
        <w:t xml:space="preserve"> </w:t>
      </w:r>
      <w:r w:rsidRPr="00036FAC">
        <w:t>a</w:t>
      </w:r>
      <w:r w:rsidR="00907D8C">
        <w:t xml:space="preserve"> </w:t>
      </w:r>
      <w:r w:rsidRPr="00036FAC">
        <w:t>policy</w:t>
      </w:r>
      <w:r w:rsidR="00907D8C">
        <w:t xml:space="preserve"> </w:t>
      </w:r>
      <w:r w:rsidRPr="00036FAC">
        <w:t>of</w:t>
      </w:r>
      <w:r w:rsidR="00907D8C">
        <w:t xml:space="preserve"> </w:t>
      </w:r>
      <w:r w:rsidRPr="00036FAC">
        <w:t>using</w:t>
      </w:r>
      <w:r w:rsidR="00907D8C">
        <w:t xml:space="preserve"> </w:t>
      </w:r>
      <w:r w:rsidRPr="00036FAC">
        <w:t>social</w:t>
      </w:r>
      <w:r w:rsidR="00907D8C">
        <w:t xml:space="preserve"> </w:t>
      </w:r>
      <w:r w:rsidRPr="00036FAC">
        <w:t>marketing</w:t>
      </w:r>
      <w:r w:rsidR="00907D8C">
        <w:t xml:space="preserve"> </w:t>
      </w:r>
      <w:r w:rsidRPr="00036FAC">
        <w:t>campaigns,</w:t>
      </w:r>
      <w:r w:rsidR="00907D8C">
        <w:t xml:space="preserve"> </w:t>
      </w:r>
      <w:r w:rsidRPr="00036FAC">
        <w:t>educational</w:t>
      </w:r>
      <w:r w:rsidR="00907D8C">
        <w:t xml:space="preserve"> </w:t>
      </w:r>
      <w:r w:rsidRPr="00036FAC">
        <w:t>programmes,</w:t>
      </w:r>
      <w:r w:rsidR="00907D8C">
        <w:t xml:space="preserve"> </w:t>
      </w:r>
      <w:r w:rsidRPr="00036FAC">
        <w:t>and</w:t>
      </w:r>
      <w:r w:rsidR="00907D8C">
        <w:t xml:space="preserve"> </w:t>
      </w:r>
      <w:r w:rsidRPr="00036FAC">
        <w:t>public</w:t>
      </w:r>
      <w:r w:rsidR="00907D8C">
        <w:t xml:space="preserve"> </w:t>
      </w:r>
      <w:r w:rsidRPr="00036FAC">
        <w:t>information</w:t>
      </w:r>
      <w:r w:rsidR="00907D8C">
        <w:t xml:space="preserve"> </w:t>
      </w:r>
      <w:r w:rsidRPr="00036FAC">
        <w:t>campaigns</w:t>
      </w:r>
      <w:r w:rsidR="00907D8C">
        <w:t xml:space="preserve"> </w:t>
      </w:r>
      <w:r w:rsidRPr="00036FAC">
        <w:t>aimed</w:t>
      </w:r>
      <w:r w:rsidR="00907D8C">
        <w:t xml:space="preserve"> </w:t>
      </w:r>
      <w:r w:rsidRPr="00036FAC">
        <w:t>at</w:t>
      </w:r>
      <w:r w:rsidR="00907D8C">
        <w:t xml:space="preserve"> </w:t>
      </w:r>
      <w:r w:rsidRPr="00036FAC">
        <w:t>changing</w:t>
      </w:r>
      <w:r w:rsidR="00907D8C">
        <w:t xml:space="preserve"> </w:t>
      </w:r>
      <w:r w:rsidRPr="00036FAC">
        <w:t>attitudes</w:t>
      </w:r>
      <w:r w:rsidR="00907D8C">
        <w:t xml:space="preserve"> </w:t>
      </w:r>
      <w:r w:rsidRPr="00036FAC">
        <w:t>and</w:t>
      </w:r>
      <w:r w:rsidR="00907D8C">
        <w:t xml:space="preserve"> </w:t>
      </w:r>
      <w:r w:rsidRPr="00036FAC">
        <w:t>behaviours.</w:t>
      </w:r>
      <w:r w:rsidR="00907D8C">
        <w:t xml:space="preserve"> </w:t>
      </w:r>
      <w:r w:rsidRPr="00036FAC">
        <w:t>Listed</w:t>
      </w:r>
      <w:r w:rsidR="00907D8C">
        <w:t xml:space="preserve"> </w:t>
      </w:r>
      <w:r w:rsidRPr="00036FAC">
        <w:t>below</w:t>
      </w:r>
      <w:r w:rsidR="00907D8C">
        <w:t xml:space="preserve"> </w:t>
      </w:r>
      <w:r w:rsidRPr="00036FAC">
        <w:t>are</w:t>
      </w:r>
      <w:r w:rsidR="00907D8C">
        <w:t xml:space="preserve"> </w:t>
      </w:r>
      <w:r w:rsidRPr="00036FAC">
        <w:t>examples</w:t>
      </w:r>
      <w:r w:rsidR="00907D8C">
        <w:t xml:space="preserve"> </w:t>
      </w:r>
      <w:r w:rsidRPr="00036FAC">
        <w:t>of</w:t>
      </w:r>
      <w:r w:rsidR="00907D8C">
        <w:t xml:space="preserve"> </w:t>
      </w:r>
      <w:r w:rsidRPr="00036FAC">
        <w:t>recent</w:t>
      </w:r>
      <w:r w:rsidR="00907D8C">
        <w:t xml:space="preserve"> </w:t>
      </w:r>
      <w:r w:rsidRPr="00036FAC">
        <w:t>campaigns</w:t>
      </w:r>
      <w:r w:rsidR="00907D8C">
        <w:t xml:space="preserve"> </w:t>
      </w:r>
      <w:r w:rsidRPr="00036FAC">
        <w:t>aimed</w:t>
      </w:r>
      <w:r w:rsidR="00907D8C">
        <w:t xml:space="preserve"> </w:t>
      </w:r>
      <w:r w:rsidRPr="00036FAC">
        <w:t>at</w:t>
      </w:r>
      <w:r w:rsidR="00907D8C">
        <w:t xml:space="preserve"> </w:t>
      </w:r>
      <w:r w:rsidRPr="00036FAC">
        <w:t>these</w:t>
      </w:r>
      <w:r w:rsidR="00907D8C">
        <w:t xml:space="preserve"> </w:t>
      </w:r>
      <w:r w:rsidRPr="00036FAC">
        <w:t>goals:</w:t>
      </w:r>
    </w:p>
    <w:p w:rsidR="00036FAC" w:rsidRPr="00036FAC" w:rsidRDefault="00CB1E9A" w:rsidP="00CB1E9A">
      <w:pPr>
        <w:pStyle w:val="SingleTxtG"/>
      </w:pPr>
      <w:r>
        <w:tab/>
      </w:r>
      <w:r w:rsidR="00036FAC" w:rsidRPr="00036FAC">
        <w:t>(a)</w:t>
      </w:r>
      <w:r w:rsidR="00036FAC" w:rsidRPr="00036FAC">
        <w:tab/>
      </w:r>
      <w:r w:rsidR="003E4D94">
        <w:t>“</w:t>
      </w:r>
      <w:r w:rsidR="00036FAC" w:rsidRPr="009A16A2">
        <w:rPr>
          <w:i/>
        </w:rPr>
        <w:t>It</w:t>
      </w:r>
      <w:r w:rsidR="003E4D94">
        <w:rPr>
          <w:i/>
        </w:rPr>
        <w:t>’</w:t>
      </w:r>
      <w:r w:rsidR="00036FAC" w:rsidRPr="009A16A2">
        <w:rPr>
          <w:i/>
        </w:rPr>
        <w:t>s</w:t>
      </w:r>
      <w:r w:rsidR="00907D8C" w:rsidRPr="009A16A2">
        <w:rPr>
          <w:i/>
        </w:rPr>
        <w:t xml:space="preserve"> </w:t>
      </w:r>
      <w:r w:rsidR="00036FAC" w:rsidRPr="009A16A2">
        <w:rPr>
          <w:i/>
        </w:rPr>
        <w:t>not</w:t>
      </w:r>
      <w:r w:rsidR="00907D8C" w:rsidRPr="009A16A2">
        <w:rPr>
          <w:i/>
        </w:rPr>
        <w:t xml:space="preserve"> </w:t>
      </w:r>
      <w:r w:rsidR="00036FAC" w:rsidRPr="009A16A2">
        <w:rPr>
          <w:i/>
        </w:rPr>
        <w:t>OK</w:t>
      </w:r>
      <w:r w:rsidR="003E4D94">
        <w:t>”</w:t>
      </w:r>
      <w:r w:rsidR="00907D8C">
        <w:t xml:space="preserve"> </w:t>
      </w:r>
      <w:r w:rsidR="00036FAC" w:rsidRPr="00036FAC">
        <w:t>campaign.</w:t>
      </w:r>
      <w:r w:rsidR="00907D8C">
        <w:t xml:space="preserve"> </w:t>
      </w:r>
      <w:r w:rsidR="00036FAC" w:rsidRPr="00036FAC">
        <w:t>This</w:t>
      </w:r>
      <w:r w:rsidR="00907D8C">
        <w:t xml:space="preserve"> </w:t>
      </w:r>
      <w:r w:rsidR="00036FAC" w:rsidRPr="00036FAC">
        <w:t>consists</w:t>
      </w:r>
      <w:r w:rsidR="00907D8C">
        <w:t xml:space="preserve"> </w:t>
      </w:r>
      <w:r w:rsidR="00036FAC" w:rsidRPr="00036FAC">
        <w:t>of</w:t>
      </w:r>
      <w:r w:rsidR="00907D8C">
        <w:t xml:space="preserve"> </w:t>
      </w:r>
      <w:r w:rsidR="00036FAC" w:rsidRPr="00036FAC">
        <w:t>television</w:t>
      </w:r>
      <w:r w:rsidR="00907D8C">
        <w:t xml:space="preserve"> </w:t>
      </w:r>
      <w:r w:rsidR="00036FAC" w:rsidRPr="00036FAC">
        <w:t>advertisements</w:t>
      </w:r>
      <w:r w:rsidR="00907D8C">
        <w:t xml:space="preserve"> </w:t>
      </w:r>
      <w:r w:rsidR="00036FAC" w:rsidRPr="00036FAC">
        <w:t>and</w:t>
      </w:r>
      <w:r w:rsidR="00907D8C">
        <w:t xml:space="preserve"> </w:t>
      </w:r>
      <w:r w:rsidR="00036FAC" w:rsidRPr="00036FAC">
        <w:t>community</w:t>
      </w:r>
      <w:r w:rsidR="00907D8C">
        <w:t xml:space="preserve"> </w:t>
      </w:r>
      <w:r w:rsidR="00036FAC" w:rsidRPr="00036FAC">
        <w:t>projects</w:t>
      </w:r>
      <w:r w:rsidR="00907D8C">
        <w:t xml:space="preserve"> </w:t>
      </w:r>
      <w:r w:rsidR="00036FAC" w:rsidRPr="00036FAC">
        <w:t>that</w:t>
      </w:r>
      <w:r w:rsidR="00907D8C">
        <w:t xml:space="preserve"> </w:t>
      </w:r>
      <w:r w:rsidR="00036FAC" w:rsidRPr="00036FAC">
        <w:t>lead</w:t>
      </w:r>
      <w:r w:rsidR="00907D8C">
        <w:t xml:space="preserve"> </w:t>
      </w:r>
      <w:r w:rsidR="00036FAC" w:rsidRPr="00036FAC">
        <w:t>with</w:t>
      </w:r>
      <w:r w:rsidR="00907D8C">
        <w:t xml:space="preserve"> </w:t>
      </w:r>
      <w:r w:rsidR="00036FAC" w:rsidRPr="00036FAC">
        <w:t>the</w:t>
      </w:r>
      <w:r w:rsidR="00907D8C">
        <w:t xml:space="preserve"> </w:t>
      </w:r>
      <w:r w:rsidR="00036FAC" w:rsidRPr="00036FAC">
        <w:t>message</w:t>
      </w:r>
      <w:r w:rsidR="00907D8C">
        <w:t xml:space="preserve"> </w:t>
      </w:r>
      <w:r w:rsidR="003E4D94">
        <w:t>“</w:t>
      </w:r>
      <w:r w:rsidR="00036FAC" w:rsidRPr="00036FAC">
        <w:t>family</w:t>
      </w:r>
      <w:r w:rsidR="00907D8C">
        <w:t xml:space="preserve"> </w:t>
      </w:r>
      <w:r w:rsidR="00036FAC" w:rsidRPr="00036FAC">
        <w:t>violence</w:t>
      </w:r>
      <w:r w:rsidR="00907D8C">
        <w:t xml:space="preserve"> </w:t>
      </w:r>
      <w:r w:rsidR="00036FAC" w:rsidRPr="00036FAC">
        <w:t>is</w:t>
      </w:r>
      <w:r w:rsidR="00907D8C">
        <w:t xml:space="preserve"> </w:t>
      </w:r>
      <w:r w:rsidR="00036FAC" w:rsidRPr="00036FAC">
        <w:t>not</w:t>
      </w:r>
      <w:r w:rsidR="00907D8C">
        <w:t xml:space="preserve"> </w:t>
      </w:r>
      <w:r w:rsidR="00036FAC" w:rsidRPr="00036FAC">
        <w:t>ok</w:t>
      </w:r>
      <w:r w:rsidR="00907D8C">
        <w:t xml:space="preserve"> </w:t>
      </w:r>
      <w:r w:rsidR="00036FAC" w:rsidRPr="00036FAC">
        <w:t>–</w:t>
      </w:r>
      <w:r w:rsidR="00907D8C">
        <w:t xml:space="preserve"> </w:t>
      </w:r>
      <w:r w:rsidR="00036FAC" w:rsidRPr="00036FAC">
        <w:t>but</w:t>
      </w:r>
      <w:r w:rsidR="00907D8C">
        <w:t xml:space="preserve"> </w:t>
      </w:r>
      <w:r w:rsidR="00036FAC" w:rsidRPr="00036FAC">
        <w:t>it</w:t>
      </w:r>
      <w:r w:rsidR="00907D8C">
        <w:t xml:space="preserve"> </w:t>
      </w:r>
      <w:r w:rsidR="00036FAC" w:rsidRPr="00036FAC">
        <w:t>is</w:t>
      </w:r>
      <w:r w:rsidR="00907D8C">
        <w:t xml:space="preserve"> </w:t>
      </w:r>
      <w:r w:rsidR="00036FAC" w:rsidRPr="00036FAC">
        <w:t>ok</w:t>
      </w:r>
      <w:r w:rsidR="00907D8C">
        <w:t xml:space="preserve"> </w:t>
      </w:r>
      <w:r w:rsidR="00036FAC" w:rsidRPr="00036FAC">
        <w:t>to</w:t>
      </w:r>
      <w:r w:rsidR="00907D8C">
        <w:t xml:space="preserve"> </w:t>
      </w:r>
      <w:r w:rsidR="00036FAC" w:rsidRPr="00036FAC">
        <w:t>ask</w:t>
      </w:r>
      <w:r w:rsidR="00907D8C">
        <w:t xml:space="preserve"> </w:t>
      </w:r>
      <w:r w:rsidR="00036FAC" w:rsidRPr="00036FAC">
        <w:t>for</w:t>
      </w:r>
      <w:r w:rsidR="00907D8C">
        <w:t xml:space="preserve"> </w:t>
      </w:r>
      <w:r w:rsidR="00036FAC" w:rsidRPr="00036FAC">
        <w:t>help</w:t>
      </w:r>
      <w:r w:rsidR="003E4D94">
        <w:t>”</w:t>
      </w:r>
      <w:r w:rsidR="00036FAC" w:rsidRPr="00036FAC">
        <w:t>.</w:t>
      </w:r>
      <w:r w:rsidR="00907D8C">
        <w:t xml:space="preserve"> </w:t>
      </w:r>
      <w:r w:rsidR="00036FAC" w:rsidRPr="00036FAC">
        <w:t>A</w:t>
      </w:r>
      <w:r w:rsidR="00907D8C">
        <w:t xml:space="preserve"> </w:t>
      </w:r>
      <w:r w:rsidR="00036FAC" w:rsidRPr="00036FAC">
        <w:t>Community</w:t>
      </w:r>
      <w:r w:rsidR="00907D8C">
        <w:t xml:space="preserve"> </w:t>
      </w:r>
      <w:r w:rsidR="00036FAC" w:rsidRPr="00036FAC">
        <w:t>Action</w:t>
      </w:r>
      <w:r w:rsidR="00907D8C">
        <w:t xml:space="preserve"> </w:t>
      </w:r>
      <w:r w:rsidR="00036FAC" w:rsidRPr="00036FAC">
        <w:t>Fund</w:t>
      </w:r>
      <w:r w:rsidR="00907D8C">
        <w:t xml:space="preserve"> </w:t>
      </w:r>
      <w:r w:rsidR="00036FAC" w:rsidRPr="00036FAC">
        <w:t>provides</w:t>
      </w:r>
      <w:r w:rsidR="00907D8C">
        <w:t xml:space="preserve"> </w:t>
      </w:r>
      <w:r w:rsidR="00036FAC" w:rsidRPr="00036FAC">
        <w:t>support</w:t>
      </w:r>
      <w:r w:rsidR="00907D8C">
        <w:t xml:space="preserve"> </w:t>
      </w:r>
      <w:r w:rsidR="00036FAC" w:rsidRPr="00036FAC">
        <w:t>for</w:t>
      </w:r>
      <w:r w:rsidR="00907D8C">
        <w:t xml:space="preserve"> </w:t>
      </w:r>
      <w:r w:rsidR="00036FAC" w:rsidRPr="00036FAC">
        <w:t>community-led</w:t>
      </w:r>
      <w:r w:rsidR="00907D8C">
        <w:t xml:space="preserve"> </w:t>
      </w:r>
      <w:r w:rsidR="00036FAC" w:rsidRPr="00036FAC">
        <w:t>activities</w:t>
      </w:r>
      <w:r w:rsidR="00907D8C">
        <w:t xml:space="preserve"> </w:t>
      </w:r>
      <w:r w:rsidR="00036FAC" w:rsidRPr="00036FAC">
        <w:t>and</w:t>
      </w:r>
      <w:r w:rsidR="00907D8C">
        <w:t xml:space="preserve"> </w:t>
      </w:r>
      <w:r w:rsidR="00036FAC" w:rsidRPr="00036FAC">
        <w:t>a</w:t>
      </w:r>
      <w:r w:rsidR="00907D8C">
        <w:t xml:space="preserve"> </w:t>
      </w:r>
      <w:r w:rsidR="00036FAC" w:rsidRPr="00036FAC">
        <w:t>free</w:t>
      </w:r>
      <w:r w:rsidR="00907D8C">
        <w:t xml:space="preserve"> </w:t>
      </w:r>
      <w:r w:rsidR="00036FAC" w:rsidRPr="00036FAC">
        <w:t>Family</w:t>
      </w:r>
      <w:r w:rsidR="00907D8C">
        <w:t xml:space="preserve"> </w:t>
      </w:r>
      <w:r w:rsidR="00036FAC" w:rsidRPr="00036FAC">
        <w:t>Violence</w:t>
      </w:r>
      <w:r w:rsidR="00907D8C">
        <w:t xml:space="preserve"> </w:t>
      </w:r>
      <w:r w:rsidR="00036FAC" w:rsidRPr="00036FAC">
        <w:t>Information</w:t>
      </w:r>
      <w:r w:rsidR="00907D8C">
        <w:t xml:space="preserve"> </w:t>
      </w:r>
      <w:r w:rsidR="00036FAC" w:rsidRPr="00036FAC">
        <w:t>Line</w:t>
      </w:r>
      <w:r w:rsidR="00907D8C">
        <w:t xml:space="preserve"> </w:t>
      </w:r>
      <w:r w:rsidR="00036FAC" w:rsidRPr="00036FAC">
        <w:t>provides</w:t>
      </w:r>
      <w:r w:rsidR="00907D8C">
        <w:t xml:space="preserve"> </w:t>
      </w:r>
      <w:r w:rsidR="00036FAC" w:rsidRPr="00036FAC">
        <w:t>self-help</w:t>
      </w:r>
      <w:r w:rsidR="00907D8C">
        <w:t xml:space="preserve"> </w:t>
      </w:r>
      <w:r w:rsidR="00036FAC" w:rsidRPr="00036FAC">
        <w:t>information</w:t>
      </w:r>
      <w:r w:rsidR="00907D8C">
        <w:t xml:space="preserve"> </w:t>
      </w:r>
      <w:r w:rsidR="00036FAC" w:rsidRPr="00036FAC">
        <w:t>and</w:t>
      </w:r>
      <w:r w:rsidR="00907D8C">
        <w:t xml:space="preserve"> </w:t>
      </w:r>
      <w:r w:rsidR="00036FAC" w:rsidRPr="00036FAC">
        <w:t>connects</w:t>
      </w:r>
      <w:r w:rsidR="00907D8C">
        <w:t xml:space="preserve"> </w:t>
      </w:r>
      <w:r w:rsidR="00036FAC" w:rsidRPr="00036FAC">
        <w:t>people</w:t>
      </w:r>
      <w:r w:rsidR="00907D8C">
        <w:t xml:space="preserve"> </w:t>
      </w:r>
      <w:r w:rsidR="00036FAC" w:rsidRPr="00036FAC">
        <w:t>to</w:t>
      </w:r>
      <w:r w:rsidR="00907D8C">
        <w:t xml:space="preserve"> </w:t>
      </w:r>
      <w:r w:rsidR="00036FAC" w:rsidRPr="00036FAC">
        <w:t>services</w:t>
      </w:r>
      <w:r w:rsidR="00907D8C">
        <w:t xml:space="preserve"> </w:t>
      </w:r>
      <w:r w:rsidR="00036FAC" w:rsidRPr="00036FAC">
        <w:t>where</w:t>
      </w:r>
      <w:r w:rsidR="00907D8C">
        <w:t xml:space="preserve"> </w:t>
      </w:r>
      <w:r w:rsidR="00036FAC" w:rsidRPr="00036FAC">
        <w:t>appropriate;</w:t>
      </w:r>
    </w:p>
    <w:p w:rsidR="00036FAC" w:rsidRPr="00036FAC" w:rsidRDefault="00CB1E9A" w:rsidP="00CB1E9A">
      <w:pPr>
        <w:pStyle w:val="SingleTxtG"/>
      </w:pPr>
      <w:r>
        <w:tab/>
      </w:r>
      <w:r w:rsidR="00036FAC" w:rsidRPr="00036FAC">
        <w:t>(b)</w:t>
      </w:r>
      <w:r w:rsidR="00036FAC" w:rsidRPr="00036FAC">
        <w:tab/>
      </w:r>
      <w:r w:rsidR="003E4D94">
        <w:t>“</w:t>
      </w:r>
      <w:r w:rsidR="00036FAC" w:rsidRPr="009A16A2">
        <w:rPr>
          <w:i/>
        </w:rPr>
        <w:t>Never</w:t>
      </w:r>
      <w:r w:rsidR="00907D8C" w:rsidRPr="009A16A2">
        <w:rPr>
          <w:i/>
        </w:rPr>
        <w:t xml:space="preserve"> </w:t>
      </w:r>
      <w:r w:rsidR="00036FAC" w:rsidRPr="009A16A2">
        <w:rPr>
          <w:i/>
        </w:rPr>
        <w:t>shake</w:t>
      </w:r>
      <w:r w:rsidR="00907D8C" w:rsidRPr="009A16A2">
        <w:rPr>
          <w:i/>
        </w:rPr>
        <w:t xml:space="preserve"> </w:t>
      </w:r>
      <w:r w:rsidR="00036FAC" w:rsidRPr="009A16A2">
        <w:rPr>
          <w:i/>
        </w:rPr>
        <w:t>a</w:t>
      </w:r>
      <w:r w:rsidR="00907D8C" w:rsidRPr="009A16A2">
        <w:rPr>
          <w:i/>
        </w:rPr>
        <w:t xml:space="preserve"> </w:t>
      </w:r>
      <w:r w:rsidR="00036FAC" w:rsidRPr="009A16A2">
        <w:rPr>
          <w:i/>
        </w:rPr>
        <w:t>baby</w:t>
      </w:r>
      <w:r w:rsidR="003E4D94">
        <w:t>”</w:t>
      </w:r>
      <w:r w:rsidR="00907D8C">
        <w:t xml:space="preserve"> </w:t>
      </w:r>
      <w:r w:rsidR="00036FAC" w:rsidRPr="00036FAC">
        <w:t>campaign.</w:t>
      </w:r>
      <w:r w:rsidR="00907D8C">
        <w:t xml:space="preserve"> </w:t>
      </w:r>
      <w:r w:rsidR="00036FAC" w:rsidRPr="00036FAC">
        <w:t>This</w:t>
      </w:r>
      <w:r w:rsidR="00907D8C">
        <w:t xml:space="preserve"> </w:t>
      </w:r>
      <w:r w:rsidR="00036FAC" w:rsidRPr="00036FAC">
        <w:t>campaign</w:t>
      </w:r>
      <w:r w:rsidR="00907D8C">
        <w:t xml:space="preserve"> </w:t>
      </w:r>
      <w:r w:rsidR="00036FAC" w:rsidRPr="00036FAC">
        <w:t>is</w:t>
      </w:r>
      <w:r w:rsidR="00907D8C">
        <w:t xml:space="preserve"> </w:t>
      </w:r>
      <w:r w:rsidR="00036FAC" w:rsidRPr="00036FAC">
        <w:t>aimed</w:t>
      </w:r>
      <w:r w:rsidR="00907D8C">
        <w:t xml:space="preserve"> </w:t>
      </w:r>
      <w:r w:rsidR="00036FAC" w:rsidRPr="00036FAC">
        <w:t>at</w:t>
      </w:r>
      <w:r w:rsidR="00907D8C">
        <w:t xml:space="preserve"> </w:t>
      </w:r>
      <w:r w:rsidR="00036FAC" w:rsidRPr="00036FAC">
        <w:t>educating</w:t>
      </w:r>
      <w:r w:rsidR="00907D8C">
        <w:t xml:space="preserve"> </w:t>
      </w:r>
      <w:r w:rsidR="00036FAC" w:rsidRPr="00036FAC">
        <w:t>caregivers</w:t>
      </w:r>
      <w:r w:rsidR="00907D8C">
        <w:t xml:space="preserve"> </w:t>
      </w:r>
      <w:r w:rsidR="00036FAC" w:rsidRPr="00036FAC">
        <w:t>about</w:t>
      </w:r>
      <w:r w:rsidR="00907D8C">
        <w:t xml:space="preserve"> </w:t>
      </w:r>
      <w:r w:rsidR="00036FAC" w:rsidRPr="00036FAC">
        <w:t>why</w:t>
      </w:r>
      <w:r w:rsidR="00907D8C">
        <w:t xml:space="preserve"> </w:t>
      </w:r>
      <w:r w:rsidR="00036FAC" w:rsidRPr="00036FAC">
        <w:t>you</w:t>
      </w:r>
      <w:r w:rsidR="00907D8C">
        <w:t xml:space="preserve"> </w:t>
      </w:r>
      <w:r w:rsidR="00036FAC" w:rsidRPr="00036FAC">
        <w:t>must</w:t>
      </w:r>
      <w:r w:rsidR="00907D8C">
        <w:t xml:space="preserve"> </w:t>
      </w:r>
      <w:r w:rsidR="00036FAC" w:rsidRPr="00036FAC">
        <w:t>never</w:t>
      </w:r>
      <w:r w:rsidR="00907D8C">
        <w:t xml:space="preserve"> </w:t>
      </w:r>
      <w:r w:rsidR="00036FAC" w:rsidRPr="00036FAC">
        <w:t>shake</w:t>
      </w:r>
      <w:r w:rsidR="00907D8C">
        <w:t xml:space="preserve"> </w:t>
      </w:r>
      <w:r w:rsidR="00036FAC" w:rsidRPr="00036FAC">
        <w:t>a</w:t>
      </w:r>
      <w:r w:rsidR="00907D8C">
        <w:t xml:space="preserve"> </w:t>
      </w:r>
      <w:r w:rsidR="00036FAC" w:rsidRPr="00036FAC">
        <w:t>baby.</w:t>
      </w:r>
      <w:r w:rsidR="00907D8C">
        <w:t xml:space="preserve"> </w:t>
      </w:r>
      <w:r w:rsidR="00036FAC" w:rsidRPr="00036FAC">
        <w:t>It</w:t>
      </w:r>
      <w:r w:rsidR="00907D8C">
        <w:t xml:space="preserve"> </w:t>
      </w:r>
      <w:r w:rsidR="00036FAC" w:rsidRPr="00036FAC">
        <w:t>involves</w:t>
      </w:r>
      <w:r w:rsidR="00907D8C">
        <w:t xml:space="preserve"> </w:t>
      </w:r>
      <w:r w:rsidR="00036FAC" w:rsidRPr="00036FAC">
        <w:t>television,</w:t>
      </w:r>
      <w:r w:rsidR="00907D8C">
        <w:t xml:space="preserve"> </w:t>
      </w:r>
      <w:r w:rsidR="00036FAC" w:rsidRPr="00036FAC">
        <w:t>radio</w:t>
      </w:r>
      <w:r w:rsidR="00907D8C">
        <w:t xml:space="preserve"> </w:t>
      </w:r>
      <w:r w:rsidR="00036FAC" w:rsidRPr="00036FAC">
        <w:t>and</w:t>
      </w:r>
      <w:r w:rsidR="00907D8C">
        <w:t xml:space="preserve"> </w:t>
      </w:r>
      <w:r w:rsidR="00036FAC" w:rsidRPr="00036FAC">
        <w:t>print</w:t>
      </w:r>
      <w:r w:rsidR="00907D8C">
        <w:t xml:space="preserve"> </w:t>
      </w:r>
      <w:r w:rsidR="00036FAC" w:rsidRPr="00036FAC">
        <w:t>advertising,</w:t>
      </w:r>
      <w:r w:rsidR="00907D8C">
        <w:t xml:space="preserve"> </w:t>
      </w:r>
      <w:r w:rsidR="00036FAC" w:rsidRPr="00036FAC">
        <w:t>online</w:t>
      </w:r>
      <w:r w:rsidR="00907D8C">
        <w:t xml:space="preserve"> </w:t>
      </w:r>
      <w:r w:rsidR="00036FAC" w:rsidRPr="00036FAC">
        <w:t>ads,</w:t>
      </w:r>
      <w:r w:rsidR="00907D8C">
        <w:t xml:space="preserve"> </w:t>
      </w:r>
      <w:r w:rsidR="00036FAC" w:rsidRPr="00036FAC">
        <w:t>mall</w:t>
      </w:r>
      <w:r w:rsidR="00907D8C">
        <w:t xml:space="preserve"> </w:t>
      </w:r>
      <w:r w:rsidR="00036FAC" w:rsidRPr="00036FAC">
        <w:t>and</w:t>
      </w:r>
      <w:r w:rsidR="00907D8C">
        <w:t xml:space="preserve"> </w:t>
      </w:r>
      <w:r w:rsidR="00036FAC" w:rsidRPr="00036FAC">
        <w:t>bus</w:t>
      </w:r>
      <w:r w:rsidR="00907D8C">
        <w:t xml:space="preserve"> </w:t>
      </w:r>
      <w:r w:rsidR="00036FAC" w:rsidRPr="00036FAC">
        <w:t>shelter</w:t>
      </w:r>
      <w:r w:rsidR="00907D8C">
        <w:t xml:space="preserve"> </w:t>
      </w:r>
      <w:r w:rsidR="00036FAC" w:rsidRPr="00036FAC">
        <w:t>banners</w:t>
      </w:r>
      <w:r w:rsidR="00907D8C">
        <w:t xml:space="preserve"> </w:t>
      </w:r>
      <w:r w:rsidR="00036FAC" w:rsidRPr="00036FAC">
        <w:t>in</w:t>
      </w:r>
      <w:r w:rsidR="00907D8C">
        <w:t xml:space="preserve"> </w:t>
      </w:r>
      <w:r w:rsidR="00036FAC" w:rsidRPr="00036FAC">
        <w:t>main</w:t>
      </w:r>
      <w:r w:rsidR="00907D8C">
        <w:t xml:space="preserve"> </w:t>
      </w:r>
      <w:r w:rsidR="00036FAC" w:rsidRPr="00036FAC">
        <w:t>centres,</w:t>
      </w:r>
      <w:r w:rsidR="00907D8C">
        <w:t xml:space="preserve"> </w:t>
      </w:r>
      <w:r w:rsidR="00036FAC" w:rsidRPr="00036FAC">
        <w:t>supported</w:t>
      </w:r>
      <w:r w:rsidR="00907D8C">
        <w:t xml:space="preserve"> </w:t>
      </w:r>
      <w:r w:rsidR="00036FAC" w:rsidRPr="00036FAC">
        <w:t>by</w:t>
      </w:r>
      <w:r w:rsidR="00907D8C">
        <w:t xml:space="preserve"> </w:t>
      </w:r>
      <w:r w:rsidR="00036FAC" w:rsidRPr="00036FAC">
        <w:t>strong</w:t>
      </w:r>
      <w:r w:rsidR="00907D8C">
        <w:t xml:space="preserve"> </w:t>
      </w:r>
      <w:r w:rsidR="00036FAC" w:rsidRPr="00036FAC">
        <w:t>community</w:t>
      </w:r>
      <w:r w:rsidR="00907D8C">
        <w:t xml:space="preserve"> </w:t>
      </w:r>
      <w:r w:rsidR="00036FAC" w:rsidRPr="00036FAC">
        <w:t>action.</w:t>
      </w:r>
      <w:r w:rsidR="00907D8C">
        <w:t xml:space="preserve"> </w:t>
      </w:r>
      <w:r w:rsidR="00036FAC" w:rsidRPr="00036FAC">
        <w:t>The</w:t>
      </w:r>
      <w:r w:rsidR="00907D8C">
        <w:t xml:space="preserve"> </w:t>
      </w:r>
      <w:r w:rsidR="00036FAC" w:rsidRPr="00036FAC">
        <w:t>aim</w:t>
      </w:r>
      <w:r w:rsidR="00907D8C">
        <w:t xml:space="preserve"> </w:t>
      </w:r>
      <w:r w:rsidR="00036FAC" w:rsidRPr="00036FAC">
        <w:t>is</w:t>
      </w:r>
      <w:r w:rsidR="00907D8C">
        <w:t xml:space="preserve"> </w:t>
      </w:r>
      <w:r w:rsidR="00036FAC" w:rsidRPr="00036FAC">
        <w:t>to</w:t>
      </w:r>
      <w:r w:rsidR="00907D8C">
        <w:t xml:space="preserve"> </w:t>
      </w:r>
      <w:r w:rsidR="00036FAC" w:rsidRPr="00036FAC">
        <w:t>reach</w:t>
      </w:r>
      <w:r w:rsidR="00907D8C">
        <w:t xml:space="preserve"> </w:t>
      </w:r>
      <w:r w:rsidR="00036FAC" w:rsidRPr="00036FAC">
        <w:t>all</w:t>
      </w:r>
      <w:r w:rsidR="00907D8C">
        <w:t xml:space="preserve"> </w:t>
      </w:r>
      <w:r w:rsidR="00036FAC" w:rsidRPr="00036FAC">
        <w:t>new</w:t>
      </w:r>
      <w:r w:rsidR="00907D8C">
        <w:t xml:space="preserve"> </w:t>
      </w:r>
      <w:r w:rsidR="00036FAC" w:rsidRPr="00036FAC">
        <w:t>parents,</w:t>
      </w:r>
      <w:r w:rsidR="00907D8C">
        <w:t xml:space="preserve"> </w:t>
      </w:r>
      <w:r w:rsidR="00036FAC" w:rsidRPr="00036FAC">
        <w:t>in</w:t>
      </w:r>
      <w:r w:rsidR="00907D8C">
        <w:t xml:space="preserve"> </w:t>
      </w:r>
      <w:r w:rsidR="00036FAC" w:rsidRPr="00036FAC">
        <w:t>particular,</w:t>
      </w:r>
      <w:r w:rsidR="00907D8C">
        <w:t xml:space="preserve"> </w:t>
      </w:r>
      <w:r w:rsidR="00036FAC" w:rsidRPr="00036FAC">
        <w:t>young,</w:t>
      </w:r>
      <w:r w:rsidR="00907D8C">
        <w:t xml:space="preserve"> </w:t>
      </w:r>
      <w:r w:rsidR="00036FAC" w:rsidRPr="00036FAC">
        <w:t>first-time</w:t>
      </w:r>
      <w:r w:rsidR="00907D8C">
        <w:t xml:space="preserve"> </w:t>
      </w:r>
      <w:r w:rsidR="00036FAC" w:rsidRPr="00036FAC">
        <w:t>mothers</w:t>
      </w:r>
      <w:r w:rsidR="00907D8C">
        <w:t xml:space="preserve"> </w:t>
      </w:r>
      <w:r w:rsidR="00036FAC" w:rsidRPr="00036FAC">
        <w:t>and</w:t>
      </w:r>
      <w:r w:rsidR="00907D8C">
        <w:t xml:space="preserve"> </w:t>
      </w:r>
      <w:r w:rsidR="00036FAC" w:rsidRPr="00036FAC">
        <w:t>fathers,</w:t>
      </w:r>
      <w:r w:rsidR="00907D8C">
        <w:t xml:space="preserve"> </w:t>
      </w:r>
      <w:r w:rsidR="00036FAC" w:rsidRPr="00036FAC">
        <w:t>with</w:t>
      </w:r>
      <w:r w:rsidR="00907D8C">
        <w:t xml:space="preserve"> </w:t>
      </w:r>
      <w:r w:rsidR="00036FAC" w:rsidRPr="00036FAC">
        <w:t>messages</w:t>
      </w:r>
      <w:r w:rsidR="00907D8C">
        <w:t xml:space="preserve"> </w:t>
      </w:r>
      <w:r w:rsidR="00036FAC" w:rsidRPr="00036FAC">
        <w:t>about</w:t>
      </w:r>
      <w:r w:rsidR="00907D8C">
        <w:t xml:space="preserve"> </w:t>
      </w:r>
      <w:r w:rsidR="00036FAC" w:rsidRPr="00036FAC">
        <w:t>the</w:t>
      </w:r>
      <w:r w:rsidR="00907D8C">
        <w:t xml:space="preserve"> </w:t>
      </w:r>
      <w:r w:rsidR="00036FAC" w:rsidRPr="00036FAC">
        <w:t>dangers</w:t>
      </w:r>
      <w:r w:rsidR="00907D8C">
        <w:t xml:space="preserve"> </w:t>
      </w:r>
      <w:r w:rsidR="00036FAC" w:rsidRPr="00036FAC">
        <w:t>of</w:t>
      </w:r>
      <w:r w:rsidR="00907D8C">
        <w:t xml:space="preserve"> </w:t>
      </w:r>
      <w:r w:rsidR="00036FAC" w:rsidRPr="00036FAC">
        <w:t>shaking</w:t>
      </w:r>
      <w:r w:rsidR="00907D8C">
        <w:t xml:space="preserve"> </w:t>
      </w:r>
      <w:r w:rsidR="00036FAC" w:rsidRPr="00036FAC">
        <w:t>a</w:t>
      </w:r>
      <w:r w:rsidR="00907D8C">
        <w:t xml:space="preserve"> </w:t>
      </w:r>
      <w:r w:rsidR="00036FAC" w:rsidRPr="00036FAC">
        <w:t>baby,</w:t>
      </w:r>
      <w:r w:rsidR="00907D8C">
        <w:t xml:space="preserve"> </w:t>
      </w:r>
      <w:r w:rsidR="00036FAC" w:rsidRPr="00036FAC">
        <w:t>and</w:t>
      </w:r>
      <w:r w:rsidR="00907D8C">
        <w:t xml:space="preserve"> </w:t>
      </w:r>
      <w:r w:rsidR="00036FAC" w:rsidRPr="00036FAC">
        <w:t>how</w:t>
      </w:r>
      <w:r w:rsidR="00907D8C">
        <w:t xml:space="preserve"> </w:t>
      </w:r>
      <w:r w:rsidR="00036FAC" w:rsidRPr="00036FAC">
        <w:t>to</w:t>
      </w:r>
      <w:r w:rsidR="00907D8C">
        <w:t xml:space="preserve"> </w:t>
      </w:r>
      <w:r w:rsidR="00036FAC" w:rsidRPr="00036FAC">
        <w:t>get</w:t>
      </w:r>
      <w:r w:rsidR="00907D8C">
        <w:t xml:space="preserve"> </w:t>
      </w:r>
      <w:r w:rsidR="00036FAC" w:rsidRPr="00036FAC">
        <w:t>help;</w:t>
      </w:r>
    </w:p>
    <w:p w:rsidR="00036FAC" w:rsidRPr="00036FAC" w:rsidRDefault="00CB1E9A" w:rsidP="00CB1E9A">
      <w:pPr>
        <w:pStyle w:val="SingleTxtG"/>
      </w:pPr>
      <w:r>
        <w:tab/>
      </w:r>
      <w:r w:rsidR="00036FAC" w:rsidRPr="00036FAC">
        <w:t>(c)</w:t>
      </w:r>
      <w:r w:rsidR="00036FAC" w:rsidRPr="00036FAC">
        <w:tab/>
      </w:r>
      <w:r w:rsidR="003E4D94">
        <w:t>“</w:t>
      </w:r>
      <w:r w:rsidR="00036FAC" w:rsidRPr="009A16A2">
        <w:rPr>
          <w:i/>
        </w:rPr>
        <w:t>Take</w:t>
      </w:r>
      <w:r w:rsidR="00907D8C" w:rsidRPr="009A16A2">
        <w:rPr>
          <w:i/>
        </w:rPr>
        <w:t xml:space="preserve"> </w:t>
      </w:r>
      <w:r w:rsidR="00036FAC" w:rsidRPr="009A16A2">
        <w:rPr>
          <w:i/>
        </w:rPr>
        <w:t>a</w:t>
      </w:r>
      <w:r w:rsidR="00907D8C" w:rsidRPr="009A16A2">
        <w:rPr>
          <w:i/>
        </w:rPr>
        <w:t xml:space="preserve"> </w:t>
      </w:r>
      <w:r w:rsidR="00036FAC" w:rsidRPr="009A16A2">
        <w:rPr>
          <w:i/>
        </w:rPr>
        <w:t>moment</w:t>
      </w:r>
      <w:r w:rsidR="003E4D94">
        <w:t>”</w:t>
      </w:r>
      <w:r w:rsidR="00907D8C">
        <w:t xml:space="preserve"> </w:t>
      </w:r>
      <w:r w:rsidR="00036FAC" w:rsidRPr="00036FAC">
        <w:t>campaign.</w:t>
      </w:r>
      <w:r w:rsidR="00907D8C">
        <w:t xml:space="preserve"> </w:t>
      </w:r>
      <w:r w:rsidR="00036FAC" w:rsidRPr="00036FAC">
        <w:t>This</w:t>
      </w:r>
      <w:r w:rsidR="00907D8C">
        <w:t xml:space="preserve"> </w:t>
      </w:r>
      <w:r w:rsidR="00036FAC" w:rsidRPr="00036FAC">
        <w:t>campaign</w:t>
      </w:r>
      <w:r w:rsidR="00907D8C">
        <w:t xml:space="preserve"> </w:t>
      </w:r>
      <w:r w:rsidR="00036FAC" w:rsidRPr="00036FAC">
        <w:t>is</w:t>
      </w:r>
      <w:r w:rsidR="00907D8C">
        <w:t xml:space="preserve"> </w:t>
      </w:r>
      <w:r w:rsidR="00036FAC" w:rsidRPr="00036FAC">
        <w:t>aimed</w:t>
      </w:r>
      <w:r w:rsidR="00907D8C">
        <w:t xml:space="preserve"> </w:t>
      </w:r>
      <w:r w:rsidR="00036FAC" w:rsidRPr="00036FAC">
        <w:t>at</w:t>
      </w:r>
      <w:r w:rsidR="00907D8C">
        <w:t xml:space="preserve"> </w:t>
      </w:r>
      <w:r w:rsidR="00036FAC" w:rsidRPr="00036FAC">
        <w:t>making</w:t>
      </w:r>
      <w:r w:rsidR="00907D8C">
        <w:t xml:space="preserve"> </w:t>
      </w:r>
      <w:r w:rsidR="00036FAC" w:rsidRPr="00036FAC">
        <w:t>people</w:t>
      </w:r>
      <w:r w:rsidR="00907D8C">
        <w:t xml:space="preserve"> </w:t>
      </w:r>
      <w:r w:rsidR="00036FAC" w:rsidRPr="00036FAC">
        <w:t>with</w:t>
      </w:r>
      <w:r w:rsidR="00907D8C">
        <w:t xml:space="preserve"> </w:t>
      </w:r>
      <w:r w:rsidR="00036FAC" w:rsidRPr="00036FAC">
        <w:t>an</w:t>
      </w:r>
      <w:r w:rsidR="00907D8C">
        <w:t xml:space="preserve"> </w:t>
      </w:r>
      <w:r w:rsidR="00036FAC" w:rsidRPr="00036FAC">
        <w:t>intellectual</w:t>
      </w:r>
      <w:r w:rsidR="00907D8C">
        <w:t xml:space="preserve"> </w:t>
      </w:r>
      <w:r w:rsidR="00036FAC" w:rsidRPr="00036FAC">
        <w:t>disability</w:t>
      </w:r>
      <w:r w:rsidR="00907D8C">
        <w:t xml:space="preserve"> </w:t>
      </w:r>
      <w:r w:rsidR="00036FAC" w:rsidRPr="00036FAC">
        <w:t>feel</w:t>
      </w:r>
      <w:r w:rsidR="00907D8C">
        <w:t xml:space="preserve"> </w:t>
      </w:r>
      <w:r w:rsidR="00036FAC" w:rsidRPr="00036FAC">
        <w:t>included</w:t>
      </w:r>
      <w:r w:rsidR="00907D8C">
        <w:t xml:space="preserve"> </w:t>
      </w:r>
      <w:r w:rsidR="00036FAC" w:rsidRPr="00036FAC">
        <w:t>in</w:t>
      </w:r>
      <w:r w:rsidR="00907D8C">
        <w:t xml:space="preserve"> </w:t>
      </w:r>
      <w:r w:rsidR="00036FAC" w:rsidRPr="00036FAC">
        <w:t>society</w:t>
      </w:r>
      <w:r w:rsidR="00907D8C">
        <w:t xml:space="preserve"> </w:t>
      </w:r>
      <w:r w:rsidR="00036FAC" w:rsidRPr="00036FAC">
        <w:t>and</w:t>
      </w:r>
      <w:r w:rsidR="00907D8C">
        <w:t xml:space="preserve"> </w:t>
      </w:r>
      <w:r w:rsidR="00036FAC" w:rsidRPr="00036FAC">
        <w:t>changing</w:t>
      </w:r>
      <w:r w:rsidR="00907D8C">
        <w:t xml:space="preserve"> </w:t>
      </w:r>
      <w:r w:rsidR="00036FAC" w:rsidRPr="00036FAC">
        <w:t>perceptions</w:t>
      </w:r>
      <w:r w:rsidR="00907D8C">
        <w:t xml:space="preserve"> </w:t>
      </w:r>
      <w:r w:rsidR="00036FAC" w:rsidRPr="00036FAC">
        <w:t>about</w:t>
      </w:r>
      <w:r w:rsidR="00907D8C">
        <w:t xml:space="preserve"> </w:t>
      </w:r>
      <w:r w:rsidR="00036FAC" w:rsidRPr="00036FAC">
        <w:t>people</w:t>
      </w:r>
      <w:r w:rsidR="00907D8C">
        <w:t xml:space="preserve"> </w:t>
      </w:r>
      <w:r w:rsidR="00036FAC" w:rsidRPr="00036FAC">
        <w:t>with</w:t>
      </w:r>
      <w:r w:rsidR="00907D8C">
        <w:t xml:space="preserve"> </w:t>
      </w:r>
      <w:r w:rsidR="00036FAC" w:rsidRPr="00036FAC">
        <w:t>intellectual</w:t>
      </w:r>
      <w:r w:rsidR="00907D8C">
        <w:t xml:space="preserve"> </w:t>
      </w:r>
      <w:r w:rsidR="00036FAC" w:rsidRPr="00036FAC">
        <w:t>disabilities.</w:t>
      </w:r>
      <w:r w:rsidR="00907D8C">
        <w:t xml:space="preserve"> </w:t>
      </w:r>
      <w:r w:rsidR="00036FAC" w:rsidRPr="00036FAC">
        <w:t>The</w:t>
      </w:r>
      <w:r w:rsidR="00907D8C">
        <w:t xml:space="preserve"> </w:t>
      </w:r>
      <w:r w:rsidR="00036FAC" w:rsidRPr="00036FAC">
        <w:t>advertisements</w:t>
      </w:r>
      <w:r w:rsidR="00907D8C">
        <w:t xml:space="preserve"> </w:t>
      </w:r>
      <w:r w:rsidR="00036FAC" w:rsidRPr="00036FAC">
        <w:t>show</w:t>
      </w:r>
      <w:r w:rsidR="00907D8C">
        <w:t xml:space="preserve"> </w:t>
      </w:r>
      <w:r w:rsidR="00036FAC" w:rsidRPr="00036FAC">
        <w:t>everyday</w:t>
      </w:r>
      <w:r w:rsidR="00907D8C">
        <w:t xml:space="preserve"> </w:t>
      </w:r>
      <w:r w:rsidR="00036FAC" w:rsidRPr="00036FAC">
        <w:t>moments</w:t>
      </w:r>
      <w:r w:rsidR="00907D8C">
        <w:t xml:space="preserve"> </w:t>
      </w:r>
      <w:r w:rsidR="00036FAC" w:rsidRPr="00036FAC">
        <w:t>in</w:t>
      </w:r>
      <w:r w:rsidR="00907D8C">
        <w:t xml:space="preserve"> </w:t>
      </w:r>
      <w:r w:rsidR="00036FAC" w:rsidRPr="00036FAC">
        <w:t>the</w:t>
      </w:r>
      <w:r w:rsidR="00907D8C">
        <w:t xml:space="preserve"> </w:t>
      </w:r>
      <w:r w:rsidR="00036FAC" w:rsidRPr="00036FAC">
        <w:t>life</w:t>
      </w:r>
      <w:r w:rsidR="00907D8C">
        <w:t xml:space="preserve"> </w:t>
      </w:r>
      <w:r w:rsidR="00036FAC" w:rsidRPr="00036FAC">
        <w:t>of</w:t>
      </w:r>
      <w:r w:rsidR="00907D8C">
        <w:t xml:space="preserve"> </w:t>
      </w:r>
      <w:r w:rsidR="00036FAC" w:rsidRPr="00036FAC">
        <w:t>a</w:t>
      </w:r>
      <w:r w:rsidR="00907D8C">
        <w:t xml:space="preserve"> </w:t>
      </w:r>
      <w:r w:rsidR="00036FAC" w:rsidRPr="00036FAC">
        <w:t>person</w:t>
      </w:r>
      <w:r w:rsidR="00907D8C">
        <w:t xml:space="preserve"> </w:t>
      </w:r>
      <w:r w:rsidR="00036FAC" w:rsidRPr="00036FAC">
        <w:t>with</w:t>
      </w:r>
      <w:r w:rsidR="00907D8C">
        <w:t xml:space="preserve"> </w:t>
      </w:r>
      <w:r w:rsidR="00036FAC" w:rsidRPr="00036FAC">
        <w:t>an</w:t>
      </w:r>
      <w:r w:rsidR="00907D8C">
        <w:t xml:space="preserve"> </w:t>
      </w:r>
      <w:r w:rsidR="00036FAC" w:rsidRPr="00036FAC">
        <w:t>intellectual</w:t>
      </w:r>
      <w:r w:rsidR="00907D8C">
        <w:t xml:space="preserve"> </w:t>
      </w:r>
      <w:r w:rsidR="00036FAC" w:rsidRPr="00036FAC">
        <w:t>disability;</w:t>
      </w:r>
    </w:p>
    <w:p w:rsidR="00036FAC" w:rsidRPr="00036FAC" w:rsidRDefault="00CB1E9A" w:rsidP="00CB1E9A">
      <w:pPr>
        <w:pStyle w:val="SingleTxtG"/>
      </w:pPr>
      <w:r>
        <w:tab/>
      </w:r>
      <w:r w:rsidR="00036FAC" w:rsidRPr="00036FAC">
        <w:t>(d)</w:t>
      </w:r>
      <w:r w:rsidR="00036FAC" w:rsidRPr="00036FAC">
        <w:tab/>
        <w:t>Health</w:t>
      </w:r>
      <w:r w:rsidR="00907D8C">
        <w:t xml:space="preserve"> </w:t>
      </w:r>
      <w:r w:rsidR="00036FAC" w:rsidRPr="00036FAC">
        <w:t>campaigns,</w:t>
      </w:r>
      <w:r w:rsidR="00907D8C">
        <w:t xml:space="preserve"> </w:t>
      </w:r>
      <w:r w:rsidR="00036FAC" w:rsidRPr="00036FAC">
        <w:t>for</w:t>
      </w:r>
      <w:r w:rsidR="00907D8C">
        <w:t xml:space="preserve"> </w:t>
      </w:r>
      <w:r w:rsidR="00036FAC" w:rsidRPr="00036FAC">
        <w:t>example,</w:t>
      </w:r>
      <w:r w:rsidR="00907D8C">
        <w:t xml:space="preserve"> </w:t>
      </w:r>
      <w:r w:rsidR="00036FAC" w:rsidRPr="00036FAC">
        <w:t>regular</w:t>
      </w:r>
      <w:r w:rsidR="00907D8C">
        <w:t xml:space="preserve"> </w:t>
      </w:r>
      <w:r w:rsidR="00036FAC" w:rsidRPr="00036FAC">
        <w:t>public</w:t>
      </w:r>
      <w:r w:rsidR="00907D8C">
        <w:t xml:space="preserve"> </w:t>
      </w:r>
      <w:r w:rsidR="00036FAC" w:rsidRPr="00036FAC">
        <w:t>information</w:t>
      </w:r>
      <w:r w:rsidR="00907D8C">
        <w:t xml:space="preserve"> </w:t>
      </w:r>
      <w:r w:rsidR="00036FAC" w:rsidRPr="00036FAC">
        <w:t>campaigns</w:t>
      </w:r>
      <w:r w:rsidR="00907D8C">
        <w:t xml:space="preserve"> </w:t>
      </w:r>
      <w:r w:rsidR="00036FAC" w:rsidRPr="00036FAC">
        <w:t>urging</w:t>
      </w:r>
      <w:r w:rsidR="00907D8C">
        <w:t xml:space="preserve"> </w:t>
      </w:r>
      <w:r w:rsidR="00036FAC" w:rsidRPr="00036FAC">
        <w:t>people</w:t>
      </w:r>
      <w:r w:rsidR="00907D8C">
        <w:t xml:space="preserve"> </w:t>
      </w:r>
      <w:r w:rsidR="00036FAC" w:rsidRPr="00036FAC">
        <w:t>to</w:t>
      </w:r>
      <w:r w:rsidR="00907D8C">
        <w:t xml:space="preserve"> </w:t>
      </w:r>
      <w:r w:rsidR="00036FAC" w:rsidRPr="00036FAC">
        <w:t>take</w:t>
      </w:r>
      <w:r w:rsidR="00907D8C">
        <w:t xml:space="preserve"> </w:t>
      </w:r>
      <w:r w:rsidR="00036FAC" w:rsidRPr="00036FAC">
        <w:t>part</w:t>
      </w:r>
      <w:r w:rsidR="00907D8C">
        <w:t xml:space="preserve"> </w:t>
      </w:r>
      <w:r w:rsidR="00036FAC" w:rsidRPr="00036FAC">
        <w:t>in</w:t>
      </w:r>
      <w:r w:rsidR="00907D8C">
        <w:t xml:space="preserve"> </w:t>
      </w:r>
      <w:r w:rsidR="00036FAC" w:rsidRPr="00036FAC">
        <w:t>smoking</w:t>
      </w:r>
      <w:r w:rsidR="00907D8C">
        <w:t xml:space="preserve"> </w:t>
      </w:r>
      <w:r w:rsidR="00036FAC" w:rsidRPr="00036FAC">
        <w:t>cessation</w:t>
      </w:r>
      <w:r w:rsidR="00907D8C">
        <w:t xml:space="preserve"> </w:t>
      </w:r>
      <w:r w:rsidR="00036FAC" w:rsidRPr="00036FAC">
        <w:t>programmes,</w:t>
      </w:r>
      <w:r w:rsidR="00907D8C">
        <w:t xml:space="preserve"> </w:t>
      </w:r>
      <w:r w:rsidR="00036FAC" w:rsidRPr="00036FAC">
        <w:t>immunisation</w:t>
      </w:r>
      <w:r w:rsidR="00907D8C">
        <w:t xml:space="preserve"> </w:t>
      </w:r>
      <w:r w:rsidR="00036FAC" w:rsidRPr="00036FAC">
        <w:t>or</w:t>
      </w:r>
      <w:r w:rsidR="00907D8C">
        <w:t xml:space="preserve"> </w:t>
      </w:r>
      <w:r w:rsidR="00036FAC" w:rsidRPr="00036FAC">
        <w:t>screening</w:t>
      </w:r>
      <w:r w:rsidR="00907D8C">
        <w:t xml:space="preserve"> </w:t>
      </w:r>
      <w:r w:rsidR="00036FAC" w:rsidRPr="00036FAC">
        <w:t>programmes,</w:t>
      </w:r>
      <w:r w:rsidR="00907D8C">
        <w:t xml:space="preserve"> </w:t>
      </w:r>
      <w:r w:rsidR="00036FAC" w:rsidRPr="00036FAC">
        <w:t>and</w:t>
      </w:r>
      <w:r w:rsidR="00907D8C">
        <w:t xml:space="preserve"> </w:t>
      </w:r>
      <w:r w:rsidR="00036FAC" w:rsidRPr="00036FAC">
        <w:t>national</w:t>
      </w:r>
      <w:r w:rsidR="00907D8C">
        <w:t xml:space="preserve"> </w:t>
      </w:r>
      <w:r w:rsidR="00036FAC" w:rsidRPr="00036FAC">
        <w:t>depression</w:t>
      </w:r>
      <w:r w:rsidR="00907D8C">
        <w:t xml:space="preserve"> </w:t>
      </w:r>
      <w:r w:rsidR="00036FAC" w:rsidRPr="00036FAC">
        <w:t>initiatives.</w:t>
      </w:r>
      <w:r w:rsidR="00907D8C">
        <w:t xml:space="preserve"> </w:t>
      </w:r>
      <w:r w:rsidR="00036FAC" w:rsidRPr="00036FAC">
        <w:t>These</w:t>
      </w:r>
      <w:r w:rsidR="00907D8C">
        <w:t xml:space="preserve"> </w:t>
      </w:r>
      <w:r w:rsidR="00036FAC" w:rsidRPr="00036FAC">
        <w:t>are</w:t>
      </w:r>
      <w:r w:rsidR="00907D8C">
        <w:t xml:space="preserve"> </w:t>
      </w:r>
      <w:r w:rsidR="00036FAC" w:rsidRPr="00036FAC">
        <w:t>examples</w:t>
      </w:r>
      <w:r w:rsidR="00907D8C">
        <w:t xml:space="preserve"> </w:t>
      </w:r>
      <w:r w:rsidR="00036FAC" w:rsidRPr="00036FAC">
        <w:t>of</w:t>
      </w:r>
      <w:r w:rsidR="00907D8C">
        <w:t xml:space="preserve"> </w:t>
      </w:r>
      <w:r w:rsidR="00036FAC" w:rsidRPr="00036FAC">
        <w:t>how</w:t>
      </w:r>
      <w:r w:rsidR="00907D8C">
        <w:t xml:space="preserve"> </w:t>
      </w:r>
      <w:r w:rsidR="00036FAC" w:rsidRPr="00036FAC">
        <w:t>New</w:t>
      </w:r>
      <w:r w:rsidR="00907D8C">
        <w:t xml:space="preserve"> </w:t>
      </w:r>
      <w:r w:rsidR="00036FAC" w:rsidRPr="00036FAC">
        <w:t>Zealand</w:t>
      </w:r>
      <w:r w:rsidR="003E4D94">
        <w:t>’</w:t>
      </w:r>
      <w:r w:rsidR="00036FAC" w:rsidRPr="00036FAC">
        <w:t>s</w:t>
      </w:r>
      <w:r w:rsidR="00907D8C">
        <w:t xml:space="preserve"> </w:t>
      </w:r>
      <w:r w:rsidR="00036FAC" w:rsidRPr="00036FAC">
        <w:t>health</w:t>
      </w:r>
      <w:r w:rsidR="00907D8C">
        <w:t xml:space="preserve"> </w:t>
      </w:r>
      <w:r w:rsidR="00036FAC" w:rsidRPr="00036FAC">
        <w:t>sector</w:t>
      </w:r>
      <w:r w:rsidR="00907D8C">
        <w:t xml:space="preserve"> </w:t>
      </w:r>
      <w:r w:rsidR="00036FAC" w:rsidRPr="00036FAC">
        <w:t>aims</w:t>
      </w:r>
      <w:r w:rsidR="00907D8C">
        <w:t xml:space="preserve"> </w:t>
      </w:r>
      <w:r w:rsidR="00036FAC" w:rsidRPr="00036FAC">
        <w:t>to</w:t>
      </w:r>
      <w:r w:rsidR="00907D8C">
        <w:t xml:space="preserve"> </w:t>
      </w:r>
      <w:r w:rsidR="00036FAC" w:rsidRPr="00036FAC">
        <w:t>help</w:t>
      </w:r>
      <w:r w:rsidR="00907D8C">
        <w:t xml:space="preserve"> </w:t>
      </w:r>
      <w:r w:rsidR="00036FAC" w:rsidRPr="00036FAC">
        <w:t>people</w:t>
      </w:r>
      <w:r w:rsidR="00907D8C">
        <w:t xml:space="preserve"> </w:t>
      </w:r>
      <w:r w:rsidR="00036FAC" w:rsidRPr="00036FAC">
        <w:t>to</w:t>
      </w:r>
      <w:r w:rsidR="00907D8C">
        <w:t xml:space="preserve"> </w:t>
      </w:r>
      <w:r w:rsidR="00036FAC" w:rsidRPr="00036FAC">
        <w:t>participate</w:t>
      </w:r>
      <w:r w:rsidR="00907D8C">
        <w:t xml:space="preserve"> </w:t>
      </w:r>
      <w:r w:rsidR="00036FAC" w:rsidRPr="00036FAC">
        <w:t>fully</w:t>
      </w:r>
      <w:r w:rsidR="00907D8C">
        <w:t xml:space="preserve"> </w:t>
      </w:r>
      <w:r w:rsidR="00036FAC" w:rsidRPr="00036FAC">
        <w:t>in</w:t>
      </w:r>
      <w:r w:rsidR="00907D8C">
        <w:t xml:space="preserve"> </w:t>
      </w:r>
      <w:r w:rsidR="00036FAC" w:rsidRPr="00036FAC">
        <w:t>society</w:t>
      </w:r>
      <w:r w:rsidR="00907D8C">
        <w:t xml:space="preserve"> </w:t>
      </w:r>
      <w:r w:rsidR="00036FAC" w:rsidRPr="00036FAC">
        <w:t>and</w:t>
      </w:r>
      <w:r w:rsidR="00907D8C">
        <w:t xml:space="preserve"> </w:t>
      </w:r>
      <w:r w:rsidR="00036FAC" w:rsidRPr="00036FAC">
        <w:t>exercise</w:t>
      </w:r>
      <w:r w:rsidR="00907D8C">
        <w:t xml:space="preserve"> </w:t>
      </w:r>
      <w:r w:rsidR="00036FAC" w:rsidRPr="00036FAC">
        <w:t>choice</w:t>
      </w:r>
      <w:r w:rsidR="00907D8C">
        <w:t xml:space="preserve"> </w:t>
      </w:r>
      <w:r w:rsidR="00036FAC" w:rsidRPr="00036FAC">
        <w:t>about</w:t>
      </w:r>
      <w:r w:rsidR="00907D8C">
        <w:t xml:space="preserve"> </w:t>
      </w:r>
      <w:r w:rsidR="00036FAC" w:rsidRPr="00036FAC">
        <w:t>how</w:t>
      </w:r>
      <w:r w:rsidR="00907D8C">
        <w:t xml:space="preserve"> </w:t>
      </w:r>
      <w:r w:rsidR="00036FAC" w:rsidRPr="00036FAC">
        <w:t>to</w:t>
      </w:r>
      <w:r w:rsidR="00907D8C">
        <w:t xml:space="preserve"> </w:t>
      </w:r>
      <w:r w:rsidR="00036FAC" w:rsidRPr="00036FAC">
        <w:t>live</w:t>
      </w:r>
      <w:r w:rsidR="00907D8C">
        <w:t xml:space="preserve"> </w:t>
      </w:r>
      <w:r w:rsidR="00036FAC" w:rsidRPr="00036FAC">
        <w:t>their</w:t>
      </w:r>
      <w:r w:rsidR="00907D8C">
        <w:t xml:space="preserve"> </w:t>
      </w:r>
      <w:r w:rsidR="00036FAC" w:rsidRPr="00036FAC">
        <w:t>lives.</w:t>
      </w:r>
    </w:p>
    <w:p w:rsidR="00036FAC" w:rsidRPr="00036FAC" w:rsidRDefault="00036FAC" w:rsidP="00CB1E9A">
      <w:pPr>
        <w:pStyle w:val="H1G"/>
      </w:pPr>
      <w:r w:rsidRPr="00036FAC">
        <w:tab/>
        <w:t>D.</w:t>
      </w:r>
      <w:r w:rsidRPr="00036FAC">
        <w:tab/>
        <w:t>Justice</w:t>
      </w:r>
      <w:r w:rsidR="00907D8C">
        <w:t xml:space="preserve"> </w:t>
      </w:r>
      <w:r w:rsidRPr="00036FAC">
        <w:t>and</w:t>
      </w:r>
      <w:r w:rsidR="00907D8C">
        <w:t xml:space="preserve"> </w:t>
      </w:r>
      <w:r w:rsidRPr="00036FAC">
        <w:t>corrections</w:t>
      </w:r>
    </w:p>
    <w:p w:rsidR="00036FAC" w:rsidRPr="00036FAC" w:rsidRDefault="00036FAC" w:rsidP="00CB1E9A">
      <w:pPr>
        <w:pStyle w:val="SingleTxtG"/>
      </w:pPr>
      <w:r w:rsidRPr="00036FAC">
        <w:t>264.</w:t>
      </w:r>
      <w:r w:rsidRPr="00036FAC">
        <w:tab/>
        <w:t>Addressing</w:t>
      </w:r>
      <w:r w:rsidR="00907D8C">
        <w:t xml:space="preserve"> </w:t>
      </w:r>
      <w:r w:rsidRPr="00036FAC">
        <w:t>the</w:t>
      </w:r>
      <w:r w:rsidR="00907D8C">
        <w:t xml:space="preserve"> </w:t>
      </w:r>
      <w:r w:rsidRPr="00036FAC">
        <w:t>underlying</w:t>
      </w:r>
      <w:r w:rsidR="00907D8C">
        <w:t xml:space="preserve"> </w:t>
      </w:r>
      <w:r w:rsidRPr="00036FAC">
        <w:t>drivers</w:t>
      </w:r>
      <w:r w:rsidR="00907D8C">
        <w:t xml:space="preserve"> </w:t>
      </w:r>
      <w:r w:rsidRPr="00036FAC">
        <w:t>of</w:t>
      </w:r>
      <w:r w:rsidR="00907D8C">
        <w:t xml:space="preserve"> </w:t>
      </w:r>
      <w:r w:rsidRPr="00036FAC">
        <w:t>crime</w:t>
      </w:r>
      <w:r w:rsidR="00907D8C">
        <w:t xml:space="preserve"> </w:t>
      </w:r>
      <w:r w:rsidRPr="00036FAC">
        <w:t>is</w:t>
      </w:r>
      <w:r w:rsidR="00907D8C">
        <w:t xml:space="preserve"> </w:t>
      </w:r>
      <w:r w:rsidRPr="00036FAC">
        <w:t>a</w:t>
      </w:r>
      <w:r w:rsidR="00907D8C">
        <w:t xml:space="preserve"> </w:t>
      </w:r>
      <w:r w:rsidRPr="00036FAC">
        <w:t>whole-of-government</w:t>
      </w:r>
      <w:r w:rsidR="00907D8C">
        <w:t xml:space="preserve"> </w:t>
      </w:r>
      <w:r w:rsidRPr="00036FAC">
        <w:t>priority.</w:t>
      </w:r>
      <w:r w:rsidR="00907D8C">
        <w:t xml:space="preserve"> </w:t>
      </w:r>
      <w:r w:rsidRPr="00036FAC">
        <w:t>Social</w:t>
      </w:r>
      <w:r w:rsidR="00907D8C">
        <w:t xml:space="preserve"> </w:t>
      </w:r>
      <w:r w:rsidRPr="00036FAC">
        <w:t>and</w:t>
      </w:r>
      <w:r w:rsidR="00907D8C">
        <w:t xml:space="preserve"> </w:t>
      </w:r>
      <w:r w:rsidRPr="00036FAC">
        <w:t>justice</w:t>
      </w:r>
      <w:r w:rsidR="00907D8C">
        <w:t xml:space="preserve"> </w:t>
      </w:r>
      <w:r w:rsidRPr="00036FAC">
        <w:t>sector</w:t>
      </w:r>
      <w:r w:rsidR="00907D8C">
        <w:t xml:space="preserve"> </w:t>
      </w:r>
      <w:r w:rsidRPr="00036FAC">
        <w:t>agencies</w:t>
      </w:r>
      <w:r w:rsidR="00907D8C">
        <w:t xml:space="preserve"> </w:t>
      </w:r>
      <w:r w:rsidRPr="00036FAC">
        <w:t>work</w:t>
      </w:r>
      <w:r w:rsidR="00907D8C">
        <w:t xml:space="preserve"> </w:t>
      </w:r>
      <w:r w:rsidRPr="00036FAC">
        <w:t>together</w:t>
      </w:r>
      <w:r w:rsidR="00907D8C">
        <w:t xml:space="preserve"> </w:t>
      </w:r>
      <w:r w:rsidRPr="00036FAC">
        <w:t>to</w:t>
      </w:r>
      <w:r w:rsidR="00907D8C">
        <w:t xml:space="preserve"> </w:t>
      </w:r>
      <w:r w:rsidRPr="00036FAC">
        <w:t>reduce</w:t>
      </w:r>
      <w:r w:rsidR="00907D8C">
        <w:t xml:space="preserve"> </w:t>
      </w:r>
      <w:r w:rsidRPr="00036FAC">
        <w:t>offending</w:t>
      </w:r>
      <w:r w:rsidR="00907D8C">
        <w:t xml:space="preserve"> </w:t>
      </w:r>
      <w:r w:rsidRPr="00036FAC">
        <w:t>and</w:t>
      </w:r>
      <w:r w:rsidR="00907D8C">
        <w:t xml:space="preserve"> </w:t>
      </w:r>
      <w:r w:rsidRPr="00036FAC">
        <w:t>victimisation,</w:t>
      </w:r>
      <w:r w:rsidR="00907D8C">
        <w:t xml:space="preserve"> </w:t>
      </w:r>
      <w:r w:rsidRPr="00036FAC">
        <w:t>particularly</w:t>
      </w:r>
      <w:r w:rsidR="00907D8C">
        <w:t xml:space="preserve"> </w:t>
      </w:r>
      <w:r w:rsidRPr="00036FAC">
        <w:t>for</w:t>
      </w:r>
      <w:r w:rsidR="00907D8C">
        <w:t xml:space="preserve"> </w:t>
      </w:r>
      <w:r w:rsidRPr="00036FAC">
        <w:t>Māori.</w:t>
      </w:r>
      <w:r w:rsidR="00907D8C">
        <w:t xml:space="preserve"> </w:t>
      </w:r>
      <w:r w:rsidRPr="00036FAC">
        <w:t>Four</w:t>
      </w:r>
      <w:r w:rsidR="00907D8C">
        <w:t xml:space="preserve"> </w:t>
      </w:r>
      <w:r w:rsidRPr="00036FAC">
        <w:t>areas</w:t>
      </w:r>
      <w:r w:rsidR="00907D8C">
        <w:t xml:space="preserve"> </w:t>
      </w:r>
      <w:r w:rsidRPr="00036FAC">
        <w:t>were</w:t>
      </w:r>
      <w:r w:rsidR="00907D8C">
        <w:t xml:space="preserve"> </w:t>
      </w:r>
      <w:r w:rsidRPr="00036FAC">
        <w:t>prioritised</w:t>
      </w:r>
      <w:r w:rsidR="00907D8C">
        <w:t xml:space="preserve"> </w:t>
      </w:r>
      <w:r w:rsidRPr="00036FAC">
        <w:t>in</w:t>
      </w:r>
      <w:r w:rsidR="00907D8C">
        <w:t xml:space="preserve"> </w:t>
      </w:r>
      <w:r w:rsidRPr="00036FAC">
        <w:t>2009</w:t>
      </w:r>
      <w:r w:rsidR="00907D8C">
        <w:t xml:space="preserve"> </w:t>
      </w:r>
      <w:r w:rsidRPr="00036FAC">
        <w:t>following</w:t>
      </w:r>
      <w:r w:rsidR="00907D8C">
        <w:t xml:space="preserve"> </w:t>
      </w:r>
      <w:r w:rsidRPr="00036FAC">
        <w:t>public</w:t>
      </w:r>
      <w:r w:rsidR="00907D8C">
        <w:t xml:space="preserve"> </w:t>
      </w:r>
      <w:r w:rsidRPr="00036FAC">
        <w:t>consultation:</w:t>
      </w:r>
    </w:p>
    <w:p w:rsidR="00036FAC" w:rsidRPr="00036FAC" w:rsidRDefault="00CB1E9A" w:rsidP="00CB1E9A">
      <w:pPr>
        <w:pStyle w:val="SingleTxtG"/>
      </w:pPr>
      <w:r>
        <w:tab/>
      </w:r>
      <w:r w:rsidR="00036FAC" w:rsidRPr="00036FAC">
        <w:t>(a)</w:t>
      </w:r>
      <w:r w:rsidR="00036FAC" w:rsidRPr="00036FAC">
        <w:tab/>
        <w:t>Improving</w:t>
      </w:r>
      <w:r w:rsidR="00907D8C">
        <w:t xml:space="preserve"> </w:t>
      </w:r>
      <w:r w:rsidR="00036FAC" w:rsidRPr="00036FAC">
        <w:t>the</w:t>
      </w:r>
      <w:r w:rsidR="00907D8C">
        <w:t xml:space="preserve"> </w:t>
      </w:r>
      <w:r w:rsidR="00036FAC" w:rsidRPr="00036FAC">
        <w:t>effectiveness</w:t>
      </w:r>
      <w:r w:rsidR="00907D8C">
        <w:t xml:space="preserve"> </w:t>
      </w:r>
      <w:r w:rsidR="00036FAC" w:rsidRPr="00036FAC">
        <w:t>of</w:t>
      </w:r>
      <w:r w:rsidR="00907D8C">
        <w:t xml:space="preserve"> </w:t>
      </w:r>
      <w:r w:rsidR="00036FAC" w:rsidRPr="00036FAC">
        <w:t>maternity</w:t>
      </w:r>
      <w:r w:rsidR="00907D8C">
        <w:t xml:space="preserve"> </w:t>
      </w:r>
      <w:r w:rsidR="00036FAC" w:rsidRPr="00036FAC">
        <w:t>and</w:t>
      </w:r>
      <w:r w:rsidR="00907D8C">
        <w:t xml:space="preserve"> </w:t>
      </w:r>
      <w:r w:rsidR="00036FAC" w:rsidRPr="00036FAC">
        <w:t>early</w:t>
      </w:r>
      <w:r w:rsidR="00907D8C">
        <w:t xml:space="preserve"> </w:t>
      </w:r>
      <w:r w:rsidR="00036FAC" w:rsidRPr="00036FAC">
        <w:t>parenting</w:t>
      </w:r>
      <w:r w:rsidR="00907D8C">
        <w:t xml:space="preserve"> </w:t>
      </w:r>
      <w:r w:rsidR="00036FAC" w:rsidRPr="00036FAC">
        <w:t>support</w:t>
      </w:r>
      <w:r w:rsidR="00907D8C">
        <w:t xml:space="preserve"> </w:t>
      </w:r>
      <w:r w:rsidR="00036FAC" w:rsidRPr="00036FAC">
        <w:t>services</w:t>
      </w:r>
      <w:r w:rsidR="00907D8C">
        <w:t xml:space="preserve"> </w:t>
      </w:r>
      <w:r w:rsidR="00036FAC" w:rsidRPr="00036FAC">
        <w:t>particularly</w:t>
      </w:r>
      <w:r w:rsidR="00907D8C">
        <w:t xml:space="preserve"> </w:t>
      </w:r>
      <w:r w:rsidR="00036FAC" w:rsidRPr="00036FAC">
        <w:t>for</w:t>
      </w:r>
      <w:r w:rsidR="00907D8C">
        <w:t xml:space="preserve"> </w:t>
      </w:r>
      <w:r w:rsidR="00036FAC" w:rsidRPr="00036FAC">
        <w:t>those</w:t>
      </w:r>
      <w:r w:rsidR="00907D8C">
        <w:t xml:space="preserve"> </w:t>
      </w:r>
      <w:r w:rsidR="00036FAC" w:rsidRPr="00036FAC">
        <w:t>most</w:t>
      </w:r>
      <w:r w:rsidR="00907D8C">
        <w:t xml:space="preserve"> </w:t>
      </w:r>
      <w:r w:rsidR="00036FAC" w:rsidRPr="00036FAC">
        <w:t>at</w:t>
      </w:r>
      <w:r w:rsidR="00907D8C">
        <w:t xml:space="preserve"> </w:t>
      </w:r>
      <w:r w:rsidR="00036FAC" w:rsidRPr="00036FAC">
        <w:t>risk.</w:t>
      </w:r>
      <w:r w:rsidR="00907D8C">
        <w:t xml:space="preserve"> </w:t>
      </w:r>
      <w:r w:rsidR="00036FAC" w:rsidRPr="00036FAC">
        <w:t>Government</w:t>
      </w:r>
      <w:r w:rsidR="00907D8C">
        <w:t xml:space="preserve"> </w:t>
      </w:r>
      <w:r w:rsidR="00036FAC" w:rsidRPr="00036FAC">
        <w:t>agencies</w:t>
      </w:r>
      <w:r w:rsidR="00907D8C">
        <w:t xml:space="preserve"> </w:t>
      </w:r>
      <w:r w:rsidR="00036FAC" w:rsidRPr="00036FAC">
        <w:t>are</w:t>
      </w:r>
      <w:r w:rsidR="00907D8C">
        <w:t xml:space="preserve"> </w:t>
      </w:r>
      <w:r w:rsidR="00036FAC" w:rsidRPr="00036FAC">
        <w:t>helping</w:t>
      </w:r>
      <w:r w:rsidR="00907D8C">
        <w:t xml:space="preserve"> </w:t>
      </w:r>
      <w:r w:rsidR="00036FAC" w:rsidRPr="00036FAC">
        <w:t>families</w:t>
      </w:r>
      <w:r w:rsidR="00907D8C">
        <w:t xml:space="preserve"> </w:t>
      </w:r>
      <w:r w:rsidR="00036FAC" w:rsidRPr="00036FAC">
        <w:t>access</w:t>
      </w:r>
      <w:r w:rsidR="00907D8C">
        <w:t xml:space="preserve"> </w:t>
      </w:r>
      <w:r w:rsidR="00036FAC" w:rsidRPr="00036FAC">
        <w:t>different</w:t>
      </w:r>
      <w:r w:rsidR="00907D8C">
        <w:t xml:space="preserve"> </w:t>
      </w:r>
      <w:r w:rsidR="00036FAC" w:rsidRPr="00036FAC">
        <w:t>types</w:t>
      </w:r>
      <w:r w:rsidR="00907D8C">
        <w:t xml:space="preserve"> </w:t>
      </w:r>
      <w:r w:rsidR="00036FAC" w:rsidRPr="00036FAC">
        <w:t>of</w:t>
      </w:r>
      <w:r w:rsidR="00907D8C">
        <w:t xml:space="preserve"> </w:t>
      </w:r>
      <w:r w:rsidR="00036FAC" w:rsidRPr="00036FAC">
        <w:t>maternity,</w:t>
      </w:r>
      <w:r w:rsidR="00907D8C">
        <w:t xml:space="preserve"> </w:t>
      </w:r>
      <w:r w:rsidR="00036FAC" w:rsidRPr="00036FAC">
        <w:t>child</w:t>
      </w:r>
      <w:r w:rsidR="00907D8C">
        <w:t xml:space="preserve"> </w:t>
      </w:r>
      <w:r w:rsidR="00036FAC" w:rsidRPr="00036FAC">
        <w:t>health,</w:t>
      </w:r>
      <w:r w:rsidR="00907D8C">
        <w:t xml:space="preserve"> </w:t>
      </w:r>
      <w:r w:rsidR="00036FAC" w:rsidRPr="00036FAC">
        <w:t>and</w:t>
      </w:r>
      <w:r w:rsidR="00907D8C">
        <w:t xml:space="preserve"> </w:t>
      </w:r>
      <w:r w:rsidR="00036FAC" w:rsidRPr="00036FAC">
        <w:t>family</w:t>
      </w:r>
      <w:r w:rsidR="00907D8C">
        <w:t xml:space="preserve"> </w:t>
      </w:r>
      <w:r w:rsidR="00036FAC" w:rsidRPr="00036FAC">
        <w:t>support</w:t>
      </w:r>
      <w:r w:rsidR="00907D8C">
        <w:t xml:space="preserve"> </w:t>
      </w:r>
      <w:r w:rsidR="00036FAC" w:rsidRPr="00036FAC">
        <w:t>services;</w:t>
      </w:r>
    </w:p>
    <w:p w:rsidR="00036FAC" w:rsidRPr="00036FAC" w:rsidRDefault="00CB1E9A" w:rsidP="00CB1E9A">
      <w:pPr>
        <w:pStyle w:val="SingleTxtG"/>
      </w:pPr>
      <w:r>
        <w:tab/>
      </w:r>
      <w:r w:rsidR="00036FAC" w:rsidRPr="00036FAC">
        <w:t>(b)</w:t>
      </w:r>
      <w:r w:rsidR="00036FAC" w:rsidRPr="00036FAC">
        <w:tab/>
        <w:t>Addressing</w:t>
      </w:r>
      <w:r w:rsidR="00907D8C">
        <w:t xml:space="preserve"> </w:t>
      </w:r>
      <w:r w:rsidR="00036FAC" w:rsidRPr="00036FAC">
        <w:t>conduct</w:t>
      </w:r>
      <w:r w:rsidR="00907D8C">
        <w:t xml:space="preserve"> </w:t>
      </w:r>
      <w:r w:rsidR="00036FAC" w:rsidRPr="00036FAC">
        <w:t>and</w:t>
      </w:r>
      <w:r w:rsidR="00907D8C">
        <w:t xml:space="preserve"> </w:t>
      </w:r>
      <w:r w:rsidR="00036FAC" w:rsidRPr="00036FAC">
        <w:t>behavioural</w:t>
      </w:r>
      <w:r w:rsidR="00907D8C">
        <w:t xml:space="preserve"> </w:t>
      </w:r>
      <w:r w:rsidR="00036FAC" w:rsidRPr="00036FAC">
        <w:t>problems.</w:t>
      </w:r>
      <w:r w:rsidR="00907D8C">
        <w:t xml:space="preserve"> </w:t>
      </w:r>
      <w:r w:rsidR="00036FAC" w:rsidRPr="00036FAC">
        <w:t>Severe</w:t>
      </w:r>
      <w:r w:rsidR="00907D8C">
        <w:t xml:space="preserve"> </w:t>
      </w:r>
      <w:r w:rsidR="00036FAC" w:rsidRPr="00036FAC">
        <w:t>conduct</w:t>
      </w:r>
      <w:r w:rsidR="00907D8C">
        <w:t xml:space="preserve"> </w:t>
      </w:r>
      <w:r w:rsidR="00036FAC" w:rsidRPr="00036FAC">
        <w:t>and</w:t>
      </w:r>
      <w:r w:rsidR="00907D8C">
        <w:t xml:space="preserve"> </w:t>
      </w:r>
      <w:r w:rsidR="00036FAC" w:rsidRPr="00036FAC">
        <w:t>behavioural</w:t>
      </w:r>
      <w:r w:rsidR="00907D8C">
        <w:t xml:space="preserve"> </w:t>
      </w:r>
      <w:r w:rsidR="00036FAC" w:rsidRPr="00036FAC">
        <w:t>problems</w:t>
      </w:r>
      <w:r w:rsidR="00907D8C">
        <w:t xml:space="preserve"> </w:t>
      </w:r>
      <w:r w:rsidR="00036FAC" w:rsidRPr="00036FAC">
        <w:t>in</w:t>
      </w:r>
      <w:r w:rsidR="00907D8C">
        <w:t xml:space="preserve"> </w:t>
      </w:r>
      <w:r w:rsidR="00036FAC" w:rsidRPr="00036FAC">
        <w:t>childhood</w:t>
      </w:r>
      <w:r w:rsidR="00907D8C">
        <w:t xml:space="preserve"> </w:t>
      </w:r>
      <w:r w:rsidR="00036FAC" w:rsidRPr="00036FAC">
        <w:t>are</w:t>
      </w:r>
      <w:r w:rsidR="00907D8C">
        <w:t xml:space="preserve"> </w:t>
      </w:r>
      <w:r w:rsidR="00036FAC" w:rsidRPr="00036FAC">
        <w:t>the</w:t>
      </w:r>
      <w:r w:rsidR="00907D8C">
        <w:t xml:space="preserve"> </w:t>
      </w:r>
      <w:r w:rsidR="00036FAC" w:rsidRPr="00036FAC">
        <w:t>most</w:t>
      </w:r>
      <w:r w:rsidR="00907D8C">
        <w:t xml:space="preserve"> </w:t>
      </w:r>
      <w:r w:rsidR="00036FAC" w:rsidRPr="00036FAC">
        <w:t>important</w:t>
      </w:r>
      <w:r w:rsidR="00907D8C">
        <w:t xml:space="preserve"> </w:t>
      </w:r>
      <w:r w:rsidR="00036FAC" w:rsidRPr="00036FAC">
        <w:t>predictors</w:t>
      </w:r>
      <w:r w:rsidR="00907D8C">
        <w:t xml:space="preserve"> </w:t>
      </w:r>
      <w:r w:rsidR="00036FAC" w:rsidRPr="00036FAC">
        <w:t>of</w:t>
      </w:r>
      <w:r w:rsidR="00907D8C">
        <w:t xml:space="preserve"> </w:t>
      </w:r>
      <w:r w:rsidR="00036FAC" w:rsidRPr="00036FAC">
        <w:t>later</w:t>
      </w:r>
      <w:r w:rsidR="00907D8C">
        <w:t xml:space="preserve"> </w:t>
      </w:r>
      <w:r w:rsidR="00036FAC" w:rsidRPr="00036FAC">
        <w:t>chronic</w:t>
      </w:r>
      <w:r w:rsidR="00907D8C">
        <w:t xml:space="preserve"> </w:t>
      </w:r>
      <w:r w:rsidR="00036FAC" w:rsidRPr="00036FAC">
        <w:t>anti-social</w:t>
      </w:r>
      <w:r w:rsidR="00907D8C">
        <w:t xml:space="preserve"> </w:t>
      </w:r>
      <w:r w:rsidR="00036FAC" w:rsidRPr="00036FAC">
        <w:t>behaviour,</w:t>
      </w:r>
      <w:r w:rsidR="00907D8C">
        <w:t xml:space="preserve"> </w:t>
      </w:r>
      <w:r w:rsidR="00036FAC" w:rsidRPr="00036FAC">
        <w:t>including</w:t>
      </w:r>
      <w:r w:rsidR="00907D8C">
        <w:t xml:space="preserve"> </w:t>
      </w:r>
      <w:r w:rsidR="00036FAC" w:rsidRPr="00036FAC">
        <w:t>crime.</w:t>
      </w:r>
      <w:r w:rsidR="00907D8C">
        <w:t xml:space="preserve"> </w:t>
      </w:r>
      <w:r w:rsidR="00036FAC" w:rsidRPr="00036FAC">
        <w:t>Work</w:t>
      </w:r>
      <w:r w:rsidR="00907D8C">
        <w:t xml:space="preserve"> </w:t>
      </w:r>
      <w:r w:rsidR="00036FAC" w:rsidRPr="00036FAC">
        <w:t>is</w:t>
      </w:r>
      <w:r w:rsidR="00907D8C">
        <w:t xml:space="preserve"> </w:t>
      </w:r>
      <w:r w:rsidR="00036FAC" w:rsidRPr="00036FAC">
        <w:t>focused</w:t>
      </w:r>
      <w:r w:rsidR="00907D8C">
        <w:t xml:space="preserve"> </w:t>
      </w:r>
      <w:r w:rsidR="00036FAC" w:rsidRPr="00036FAC">
        <w:t>on</w:t>
      </w:r>
      <w:r w:rsidR="00907D8C">
        <w:t xml:space="preserve"> </w:t>
      </w:r>
      <w:r w:rsidR="00036FAC" w:rsidRPr="00036FAC">
        <w:t>development</w:t>
      </w:r>
      <w:r w:rsidR="00907D8C">
        <w:t xml:space="preserve"> </w:t>
      </w:r>
      <w:r w:rsidR="00036FAC" w:rsidRPr="00036FAC">
        <w:t>and</w:t>
      </w:r>
      <w:r w:rsidR="00907D8C">
        <w:t xml:space="preserve"> </w:t>
      </w:r>
      <w:r w:rsidR="00036FAC" w:rsidRPr="00036FAC">
        <w:t>implementation</w:t>
      </w:r>
      <w:r w:rsidR="00907D8C">
        <w:t xml:space="preserve"> </w:t>
      </w:r>
      <w:r w:rsidR="00036FAC" w:rsidRPr="00036FAC">
        <w:t>of</w:t>
      </w:r>
      <w:r w:rsidR="00907D8C">
        <w:t xml:space="preserve"> </w:t>
      </w:r>
      <w:r w:rsidR="00036FAC" w:rsidRPr="00036FAC">
        <w:t>culturally</w:t>
      </w:r>
      <w:r w:rsidR="00907D8C">
        <w:t xml:space="preserve"> </w:t>
      </w:r>
      <w:r w:rsidR="00036FAC" w:rsidRPr="00036FAC">
        <w:t>appropriate</w:t>
      </w:r>
      <w:r w:rsidR="00907D8C">
        <w:t xml:space="preserve"> </w:t>
      </w:r>
      <w:r w:rsidR="00036FAC" w:rsidRPr="00036FAC">
        <w:t>school-based</w:t>
      </w:r>
      <w:r w:rsidR="00907D8C">
        <w:t xml:space="preserve"> </w:t>
      </w:r>
      <w:r w:rsidR="00036FAC" w:rsidRPr="00036FAC">
        <w:t>programmes,</w:t>
      </w:r>
      <w:r w:rsidR="00907D8C">
        <w:t xml:space="preserve"> </w:t>
      </w:r>
      <w:r w:rsidR="00036FAC" w:rsidRPr="00036FAC">
        <w:t>mentoring</w:t>
      </w:r>
      <w:r w:rsidR="003E4D94">
        <w:t>-</w:t>
      </w:r>
      <w:r w:rsidR="00036FAC" w:rsidRPr="00036FAC">
        <w:t>based</w:t>
      </w:r>
      <w:r w:rsidR="00907D8C">
        <w:t xml:space="preserve"> </w:t>
      </w:r>
      <w:r w:rsidR="00036FAC" w:rsidRPr="00036FAC">
        <w:t>programmes,</w:t>
      </w:r>
      <w:r w:rsidR="00907D8C">
        <w:t xml:space="preserve"> </w:t>
      </w:r>
      <w:r w:rsidR="00036FAC" w:rsidRPr="00036FAC">
        <w:t>and</w:t>
      </w:r>
      <w:r w:rsidR="00907D8C">
        <w:t xml:space="preserve"> </w:t>
      </w:r>
      <w:r w:rsidR="00036FAC" w:rsidRPr="00036FAC">
        <w:t>specialist</w:t>
      </w:r>
      <w:r w:rsidR="00907D8C">
        <w:t xml:space="preserve"> </w:t>
      </w:r>
      <w:r w:rsidR="00036FAC" w:rsidRPr="00036FAC">
        <w:t>parenting</w:t>
      </w:r>
      <w:r w:rsidR="00907D8C">
        <w:t xml:space="preserve"> </w:t>
      </w:r>
      <w:r w:rsidR="00036FAC" w:rsidRPr="00036FAC">
        <w:t>services;</w:t>
      </w:r>
    </w:p>
    <w:p w:rsidR="00036FAC" w:rsidRPr="00036FAC" w:rsidRDefault="00CB1E9A" w:rsidP="00CB1E9A">
      <w:pPr>
        <w:pStyle w:val="SingleTxtG"/>
      </w:pPr>
      <w:r>
        <w:tab/>
      </w:r>
      <w:r w:rsidR="00036FAC" w:rsidRPr="00036FAC">
        <w:t>(c)</w:t>
      </w:r>
      <w:r w:rsidR="00036FAC" w:rsidRPr="00036FAC">
        <w:tab/>
        <w:t>Reducing</w:t>
      </w:r>
      <w:r w:rsidR="00907D8C">
        <w:t xml:space="preserve"> </w:t>
      </w:r>
      <w:r w:rsidR="00036FAC" w:rsidRPr="00036FAC">
        <w:t>harm</w:t>
      </w:r>
      <w:r w:rsidR="00907D8C">
        <w:t xml:space="preserve"> </w:t>
      </w:r>
      <w:r w:rsidR="00036FAC" w:rsidRPr="00036FAC">
        <w:t>from</w:t>
      </w:r>
      <w:r w:rsidR="00907D8C">
        <w:t xml:space="preserve"> </w:t>
      </w:r>
      <w:r w:rsidR="00036FAC" w:rsidRPr="00036FAC">
        <w:t>alcohol</w:t>
      </w:r>
      <w:r w:rsidR="00907D8C">
        <w:t xml:space="preserve"> </w:t>
      </w:r>
      <w:r w:rsidR="00036FAC" w:rsidRPr="00036FAC">
        <w:t>and</w:t>
      </w:r>
      <w:r w:rsidR="00907D8C">
        <w:t xml:space="preserve"> </w:t>
      </w:r>
      <w:r w:rsidR="00036FAC" w:rsidRPr="00036FAC">
        <w:t>improving</w:t>
      </w:r>
      <w:r w:rsidR="00907D8C">
        <w:t xml:space="preserve"> </w:t>
      </w:r>
      <w:r w:rsidR="00036FAC" w:rsidRPr="00036FAC">
        <w:t>the</w:t>
      </w:r>
      <w:r w:rsidR="00907D8C">
        <w:t xml:space="preserve"> </w:t>
      </w:r>
      <w:r w:rsidR="00036FAC" w:rsidRPr="00036FAC">
        <w:t>availability</w:t>
      </w:r>
      <w:r w:rsidR="00907D8C">
        <w:t xml:space="preserve"> </w:t>
      </w:r>
      <w:r w:rsidR="00036FAC" w:rsidRPr="00036FAC">
        <w:t>and</w:t>
      </w:r>
      <w:r w:rsidR="00907D8C">
        <w:t xml:space="preserve"> </w:t>
      </w:r>
      <w:r w:rsidR="00036FAC" w:rsidRPr="00036FAC">
        <w:t>accessibility</w:t>
      </w:r>
      <w:r w:rsidR="00907D8C">
        <w:t xml:space="preserve"> </w:t>
      </w:r>
      <w:r w:rsidR="00036FAC" w:rsidRPr="00036FAC">
        <w:t>of</w:t>
      </w:r>
      <w:r w:rsidR="00907D8C">
        <w:t xml:space="preserve"> </w:t>
      </w:r>
      <w:r w:rsidR="00036FAC" w:rsidRPr="00036FAC">
        <w:t>alcohol</w:t>
      </w:r>
      <w:r w:rsidR="00907D8C">
        <w:t xml:space="preserve"> </w:t>
      </w:r>
      <w:r w:rsidR="00036FAC" w:rsidRPr="00036FAC">
        <w:t>and</w:t>
      </w:r>
      <w:r w:rsidR="00907D8C">
        <w:t xml:space="preserve"> </w:t>
      </w:r>
      <w:r w:rsidR="00036FAC" w:rsidRPr="00036FAC">
        <w:t>other</w:t>
      </w:r>
      <w:r w:rsidR="00907D8C">
        <w:t xml:space="preserve"> </w:t>
      </w:r>
      <w:r w:rsidR="00036FAC" w:rsidRPr="00036FAC">
        <w:t>drug</w:t>
      </w:r>
      <w:r w:rsidR="00907D8C">
        <w:t xml:space="preserve"> </w:t>
      </w:r>
      <w:r w:rsidR="00036FAC" w:rsidRPr="00036FAC">
        <w:t>treatments.</w:t>
      </w:r>
      <w:r w:rsidR="00907D8C">
        <w:t xml:space="preserve"> </w:t>
      </w:r>
      <w:r w:rsidR="00036FAC" w:rsidRPr="00036FAC">
        <w:t>The</w:t>
      </w:r>
      <w:r w:rsidR="00907D8C">
        <w:t xml:space="preserve"> </w:t>
      </w:r>
      <w:r w:rsidR="00036FAC" w:rsidRPr="00036FAC">
        <w:t>Government</w:t>
      </w:r>
      <w:r w:rsidR="00907D8C">
        <w:t xml:space="preserve"> </w:t>
      </w:r>
      <w:r w:rsidR="00036FAC" w:rsidRPr="00036FAC">
        <w:t>is</w:t>
      </w:r>
      <w:r w:rsidR="00907D8C">
        <w:t xml:space="preserve"> </w:t>
      </w:r>
      <w:r w:rsidR="00036FAC" w:rsidRPr="00036FAC">
        <w:t>improving</w:t>
      </w:r>
      <w:r w:rsidR="00907D8C">
        <w:t xml:space="preserve"> </w:t>
      </w:r>
      <w:r w:rsidR="00036FAC" w:rsidRPr="00036FAC">
        <w:t>access</w:t>
      </w:r>
      <w:r w:rsidR="00907D8C">
        <w:t xml:space="preserve"> </w:t>
      </w:r>
      <w:r w:rsidR="00036FAC" w:rsidRPr="00036FAC">
        <w:t>to</w:t>
      </w:r>
      <w:r w:rsidR="00907D8C">
        <w:t xml:space="preserve"> </w:t>
      </w:r>
      <w:r w:rsidR="00036FAC" w:rsidRPr="00036FAC">
        <w:t>addiction</w:t>
      </w:r>
      <w:r w:rsidR="00907D8C">
        <w:t xml:space="preserve"> </w:t>
      </w:r>
      <w:r w:rsidR="00036FAC" w:rsidRPr="00036FAC">
        <w:t>assessments</w:t>
      </w:r>
      <w:r w:rsidR="00907D8C">
        <w:t xml:space="preserve"> </w:t>
      </w:r>
      <w:r w:rsidR="00036FAC" w:rsidRPr="00036FAC">
        <w:t>and</w:t>
      </w:r>
      <w:r w:rsidR="00907D8C">
        <w:t xml:space="preserve"> </w:t>
      </w:r>
      <w:r w:rsidR="00036FAC" w:rsidRPr="00036FAC">
        <w:t>treatment</w:t>
      </w:r>
      <w:r w:rsidR="00907D8C">
        <w:t xml:space="preserve"> </w:t>
      </w:r>
      <w:r w:rsidR="00036FAC" w:rsidRPr="00036FAC">
        <w:t>services</w:t>
      </w:r>
      <w:r w:rsidR="00907D8C">
        <w:t xml:space="preserve"> </w:t>
      </w:r>
      <w:r w:rsidR="00036FAC" w:rsidRPr="00036FAC">
        <w:t>at</w:t>
      </w:r>
      <w:r w:rsidR="00907D8C">
        <w:t xml:space="preserve"> </w:t>
      </w:r>
      <w:r w:rsidR="00036FAC" w:rsidRPr="00036FAC">
        <w:t>all</w:t>
      </w:r>
      <w:r w:rsidR="00907D8C">
        <w:t xml:space="preserve"> </w:t>
      </w:r>
      <w:r w:rsidR="00036FAC" w:rsidRPr="00036FAC">
        <w:t>points</w:t>
      </w:r>
      <w:r w:rsidR="00907D8C">
        <w:t xml:space="preserve"> </w:t>
      </w:r>
      <w:r w:rsidR="00036FAC" w:rsidRPr="00036FAC">
        <w:t>in</w:t>
      </w:r>
      <w:r w:rsidR="00907D8C">
        <w:t xml:space="preserve"> </w:t>
      </w:r>
      <w:r w:rsidR="00036FAC" w:rsidRPr="00036FAC">
        <w:t>the</w:t>
      </w:r>
      <w:r w:rsidR="00907D8C">
        <w:t xml:space="preserve"> </w:t>
      </w:r>
      <w:r w:rsidR="00036FAC" w:rsidRPr="00036FAC">
        <w:t>adult</w:t>
      </w:r>
      <w:r w:rsidR="00907D8C">
        <w:t xml:space="preserve"> </w:t>
      </w:r>
      <w:r w:rsidR="00036FAC" w:rsidRPr="00036FAC">
        <w:t>criminal</w:t>
      </w:r>
      <w:r w:rsidR="00907D8C">
        <w:t xml:space="preserve"> </w:t>
      </w:r>
      <w:r w:rsidR="00036FAC" w:rsidRPr="00036FAC">
        <w:t>justice</w:t>
      </w:r>
      <w:r w:rsidR="00907D8C">
        <w:t xml:space="preserve"> </w:t>
      </w:r>
      <w:r w:rsidR="00036FAC" w:rsidRPr="00036FAC">
        <w:t>system.</w:t>
      </w:r>
      <w:r w:rsidR="00907D8C">
        <w:t xml:space="preserve"> </w:t>
      </w:r>
      <w:r w:rsidR="00036FAC" w:rsidRPr="00036FAC">
        <w:t>In</w:t>
      </w:r>
      <w:r w:rsidR="00907D8C">
        <w:t xml:space="preserve"> </w:t>
      </w:r>
      <w:r w:rsidR="00036FAC" w:rsidRPr="00036FAC">
        <w:t>addition,</w:t>
      </w:r>
      <w:r w:rsidR="00907D8C">
        <w:t xml:space="preserve"> </w:t>
      </w:r>
      <w:r w:rsidR="00036FAC" w:rsidRPr="00036FAC">
        <w:t>the</w:t>
      </w:r>
      <w:r w:rsidR="00907D8C">
        <w:t xml:space="preserve"> </w:t>
      </w:r>
      <w:r w:rsidR="00036FAC" w:rsidRPr="00036FAC">
        <w:t>Law</w:t>
      </w:r>
      <w:r w:rsidR="00907D8C">
        <w:t xml:space="preserve"> </w:t>
      </w:r>
      <w:r w:rsidR="00036FAC" w:rsidRPr="00036FAC">
        <w:t>Commission</w:t>
      </w:r>
      <w:r w:rsidR="00907D8C">
        <w:t xml:space="preserve"> </w:t>
      </w:r>
      <w:r w:rsidR="00036FAC" w:rsidRPr="00036FAC">
        <w:t>has</w:t>
      </w:r>
      <w:r w:rsidR="00907D8C">
        <w:t xml:space="preserve"> </w:t>
      </w:r>
      <w:r w:rsidR="00036FAC" w:rsidRPr="00036FAC">
        <w:t>undertaken</w:t>
      </w:r>
      <w:r w:rsidR="00907D8C">
        <w:t xml:space="preserve"> </w:t>
      </w:r>
      <w:r w:rsidR="00036FAC" w:rsidRPr="00036FAC">
        <w:t>a</w:t>
      </w:r>
      <w:r w:rsidR="00907D8C">
        <w:t xml:space="preserve"> </w:t>
      </w:r>
      <w:r w:rsidR="00036FAC" w:rsidRPr="00036FAC">
        <w:t>review</w:t>
      </w:r>
      <w:r w:rsidR="00907D8C">
        <w:t xml:space="preserve"> </w:t>
      </w:r>
      <w:r w:rsidR="00036FAC" w:rsidRPr="00036FAC">
        <w:t>of</w:t>
      </w:r>
      <w:r w:rsidR="00907D8C">
        <w:t xml:space="preserve"> </w:t>
      </w:r>
      <w:r w:rsidR="00036FAC" w:rsidRPr="00036FAC">
        <w:t>the</w:t>
      </w:r>
      <w:r w:rsidR="00907D8C">
        <w:t xml:space="preserve"> </w:t>
      </w:r>
      <w:r w:rsidR="00036FAC" w:rsidRPr="00036FAC">
        <w:t>sale</w:t>
      </w:r>
      <w:r w:rsidR="00907D8C">
        <w:t xml:space="preserve"> </w:t>
      </w:r>
      <w:r w:rsidR="00036FAC" w:rsidRPr="00036FAC">
        <w:t>of</w:t>
      </w:r>
      <w:r w:rsidR="00907D8C">
        <w:t xml:space="preserve"> </w:t>
      </w:r>
      <w:r w:rsidR="00036FAC" w:rsidRPr="00036FAC">
        <w:t>alcohol</w:t>
      </w:r>
      <w:r w:rsidR="00907D8C">
        <w:t xml:space="preserve"> </w:t>
      </w:r>
      <w:r w:rsidR="00036FAC" w:rsidRPr="00036FAC">
        <w:t>in</w:t>
      </w:r>
      <w:r w:rsidR="00907D8C">
        <w:t xml:space="preserve"> </w:t>
      </w:r>
      <w:r w:rsidR="00036FAC" w:rsidRPr="00036FAC">
        <w:t>New</w:t>
      </w:r>
      <w:r w:rsidR="00907D8C">
        <w:t xml:space="preserve"> </w:t>
      </w:r>
      <w:r w:rsidR="00036FAC" w:rsidRPr="00036FAC">
        <w:t>Zealand</w:t>
      </w:r>
      <w:r w:rsidR="00907D8C">
        <w:t xml:space="preserve"> </w:t>
      </w:r>
      <w:r w:rsidR="00036FAC" w:rsidRPr="00036FAC">
        <w:t>and</w:t>
      </w:r>
      <w:r w:rsidR="00907D8C">
        <w:t xml:space="preserve"> </w:t>
      </w:r>
      <w:r w:rsidR="00036FAC" w:rsidRPr="00036FAC">
        <w:t>this</w:t>
      </w:r>
      <w:r w:rsidR="00907D8C">
        <w:t xml:space="preserve"> </w:t>
      </w:r>
      <w:r w:rsidR="00036FAC" w:rsidRPr="00036FAC">
        <w:t>is</w:t>
      </w:r>
      <w:r w:rsidR="00907D8C">
        <w:t xml:space="preserve"> </w:t>
      </w:r>
      <w:r w:rsidR="00036FAC" w:rsidRPr="00036FAC">
        <w:t>likely</w:t>
      </w:r>
      <w:r w:rsidR="00907D8C">
        <w:t xml:space="preserve"> </w:t>
      </w:r>
      <w:r w:rsidR="00036FAC" w:rsidRPr="00036FAC">
        <w:t>to</w:t>
      </w:r>
      <w:r w:rsidR="00907D8C">
        <w:t xml:space="preserve"> </w:t>
      </w:r>
      <w:r w:rsidR="00036FAC" w:rsidRPr="00036FAC">
        <w:t>produce</w:t>
      </w:r>
      <w:r w:rsidR="00907D8C">
        <w:t xml:space="preserve"> </w:t>
      </w:r>
      <w:r w:rsidR="00036FAC" w:rsidRPr="00036FAC">
        <w:t>reform</w:t>
      </w:r>
      <w:r w:rsidR="00907D8C">
        <w:t xml:space="preserve"> </w:t>
      </w:r>
      <w:r w:rsidR="00036FAC" w:rsidRPr="00036FAC">
        <w:t>aimed</w:t>
      </w:r>
      <w:r w:rsidR="00907D8C">
        <w:t xml:space="preserve"> </w:t>
      </w:r>
      <w:r w:rsidR="00036FAC" w:rsidRPr="00036FAC">
        <w:t>at</w:t>
      </w:r>
      <w:r w:rsidR="00907D8C">
        <w:t xml:space="preserve"> </w:t>
      </w:r>
      <w:r w:rsidR="00036FAC" w:rsidRPr="00036FAC">
        <w:t>limiting</w:t>
      </w:r>
      <w:r w:rsidR="00907D8C">
        <w:t xml:space="preserve"> </w:t>
      </w:r>
      <w:r w:rsidR="00036FAC" w:rsidRPr="00036FAC">
        <w:t>the</w:t>
      </w:r>
      <w:r w:rsidR="00907D8C">
        <w:t xml:space="preserve"> </w:t>
      </w:r>
      <w:r w:rsidR="00036FAC" w:rsidRPr="00036FAC">
        <w:t>availability</w:t>
      </w:r>
      <w:r w:rsidR="00907D8C">
        <w:t xml:space="preserve"> </w:t>
      </w:r>
      <w:r w:rsidR="00036FAC" w:rsidRPr="00036FAC">
        <w:t>of</w:t>
      </w:r>
      <w:r w:rsidR="00907D8C">
        <w:t xml:space="preserve"> </w:t>
      </w:r>
      <w:r w:rsidR="00036FAC" w:rsidRPr="00036FAC">
        <w:t>alcohol;</w:t>
      </w:r>
    </w:p>
    <w:p w:rsidR="00036FAC" w:rsidRPr="00036FAC" w:rsidRDefault="00CB1E9A" w:rsidP="00CB1E9A">
      <w:pPr>
        <w:pStyle w:val="SingleTxtG"/>
      </w:pPr>
      <w:r>
        <w:tab/>
      </w:r>
      <w:r w:rsidR="00036FAC" w:rsidRPr="00036FAC">
        <w:t>(d)</w:t>
      </w:r>
      <w:r w:rsidR="00036FAC" w:rsidRPr="00036FAC">
        <w:tab/>
        <w:t>Identifying</w:t>
      </w:r>
      <w:r w:rsidR="00907D8C">
        <w:t xml:space="preserve"> </w:t>
      </w:r>
      <w:r w:rsidR="00036FAC" w:rsidRPr="00036FAC">
        <w:t>alterative</w:t>
      </w:r>
      <w:r w:rsidR="00907D8C">
        <w:t xml:space="preserve"> </w:t>
      </w:r>
      <w:r w:rsidR="00036FAC" w:rsidRPr="00036FAC">
        <w:t>approaches</w:t>
      </w:r>
      <w:r w:rsidR="00907D8C">
        <w:t xml:space="preserve"> </w:t>
      </w:r>
      <w:r w:rsidR="00036FAC" w:rsidRPr="00036FAC">
        <w:t>to</w:t>
      </w:r>
      <w:r w:rsidR="00907D8C">
        <w:t xml:space="preserve"> </w:t>
      </w:r>
      <w:r w:rsidR="00036FAC" w:rsidRPr="00036FAC">
        <w:t>manage</w:t>
      </w:r>
      <w:r w:rsidR="00907D8C">
        <w:t xml:space="preserve"> </w:t>
      </w:r>
      <w:r w:rsidR="00036FAC" w:rsidRPr="00036FAC">
        <w:t>and</w:t>
      </w:r>
      <w:r w:rsidR="00907D8C">
        <w:t xml:space="preserve"> </w:t>
      </w:r>
      <w:r w:rsidR="00036FAC" w:rsidRPr="00036FAC">
        <w:t>support</w:t>
      </w:r>
      <w:r w:rsidR="00907D8C">
        <w:t xml:space="preserve"> </w:t>
      </w:r>
      <w:r w:rsidR="00036FAC" w:rsidRPr="00036FAC">
        <w:t>low-level</w:t>
      </w:r>
      <w:r w:rsidR="00907D8C">
        <w:t xml:space="preserve"> </w:t>
      </w:r>
      <w:r w:rsidR="00036FAC" w:rsidRPr="00036FAC">
        <w:t>repeat</w:t>
      </w:r>
      <w:r w:rsidR="00907D8C">
        <w:t xml:space="preserve"> </w:t>
      </w:r>
      <w:r w:rsidR="00036FAC" w:rsidRPr="00036FAC">
        <w:t>offenders.</w:t>
      </w:r>
      <w:r w:rsidR="00907D8C">
        <w:t xml:space="preserve"> </w:t>
      </w:r>
      <w:r w:rsidR="00036FAC" w:rsidRPr="00036FAC">
        <w:t>Approaches</w:t>
      </w:r>
      <w:r w:rsidR="00907D8C">
        <w:t xml:space="preserve"> </w:t>
      </w:r>
      <w:r w:rsidR="00036FAC" w:rsidRPr="00036FAC">
        <w:t>such</w:t>
      </w:r>
      <w:r w:rsidR="00907D8C">
        <w:t xml:space="preserve"> </w:t>
      </w:r>
      <w:r w:rsidR="00036FAC" w:rsidRPr="00036FAC">
        <w:t>as</w:t>
      </w:r>
      <w:r w:rsidR="00907D8C">
        <w:t xml:space="preserve"> </w:t>
      </w:r>
      <w:r w:rsidR="00036FAC" w:rsidRPr="00036FAC">
        <w:t>restorative</w:t>
      </w:r>
      <w:r w:rsidR="00907D8C">
        <w:t xml:space="preserve"> </w:t>
      </w:r>
      <w:r w:rsidR="00036FAC" w:rsidRPr="00036FAC">
        <w:t>justice</w:t>
      </w:r>
      <w:r w:rsidR="00907D8C">
        <w:t xml:space="preserve"> </w:t>
      </w:r>
      <w:r w:rsidR="00036FAC" w:rsidRPr="00036FAC">
        <w:t>and</w:t>
      </w:r>
      <w:r w:rsidR="00907D8C">
        <w:t xml:space="preserve"> </w:t>
      </w:r>
      <w:r w:rsidR="00036FAC" w:rsidRPr="00036FAC">
        <w:t>special</w:t>
      </w:r>
      <w:r w:rsidR="00907D8C">
        <w:t xml:space="preserve"> </w:t>
      </w:r>
      <w:r w:rsidR="00036FAC" w:rsidRPr="00036FAC">
        <w:t>assistance</w:t>
      </w:r>
      <w:r w:rsidR="00907D8C">
        <w:t xml:space="preserve"> </w:t>
      </w:r>
      <w:r w:rsidR="00036FAC" w:rsidRPr="00036FAC">
        <w:t>to</w:t>
      </w:r>
      <w:r w:rsidR="00907D8C">
        <w:t xml:space="preserve"> </w:t>
      </w:r>
      <w:r w:rsidR="00036FAC" w:rsidRPr="00036FAC">
        <w:t>take</w:t>
      </w:r>
      <w:r w:rsidR="00907D8C">
        <w:t xml:space="preserve"> </w:t>
      </w:r>
      <w:r w:rsidR="00036FAC" w:rsidRPr="00036FAC">
        <w:t>up</w:t>
      </w:r>
      <w:r w:rsidR="00907D8C">
        <w:t xml:space="preserve"> </w:t>
      </w:r>
      <w:r w:rsidR="00036FAC" w:rsidRPr="00036FAC">
        <w:t>educational</w:t>
      </w:r>
      <w:r w:rsidR="00907D8C">
        <w:t xml:space="preserve"> </w:t>
      </w:r>
      <w:r w:rsidR="00036FAC" w:rsidRPr="00036FAC">
        <w:t>and</w:t>
      </w:r>
      <w:r w:rsidR="00907D8C">
        <w:t xml:space="preserve"> </w:t>
      </w:r>
      <w:r w:rsidR="00036FAC" w:rsidRPr="00036FAC">
        <w:t>employment</w:t>
      </w:r>
      <w:r w:rsidR="00907D8C">
        <w:t xml:space="preserve"> </w:t>
      </w:r>
      <w:r w:rsidR="00036FAC" w:rsidRPr="00036FAC">
        <w:t>opportunities</w:t>
      </w:r>
      <w:r w:rsidR="00907D8C">
        <w:t xml:space="preserve"> </w:t>
      </w:r>
      <w:r w:rsidR="00036FAC" w:rsidRPr="00036FAC">
        <w:t>are</w:t>
      </w:r>
      <w:r w:rsidR="00907D8C">
        <w:t xml:space="preserve"> </w:t>
      </w:r>
      <w:r w:rsidR="00036FAC" w:rsidRPr="00036FAC">
        <w:t>either</w:t>
      </w:r>
      <w:r w:rsidR="00907D8C">
        <w:t xml:space="preserve"> </w:t>
      </w:r>
      <w:r w:rsidR="00036FAC" w:rsidRPr="00036FAC">
        <w:t>being</w:t>
      </w:r>
      <w:r w:rsidR="00907D8C">
        <w:t xml:space="preserve"> </w:t>
      </w:r>
      <w:r w:rsidR="00036FAC" w:rsidRPr="00036FAC">
        <w:t>implemented</w:t>
      </w:r>
      <w:r w:rsidR="00907D8C">
        <w:t xml:space="preserve"> </w:t>
      </w:r>
      <w:r w:rsidR="00036FAC" w:rsidRPr="00036FAC">
        <w:t>or</w:t>
      </w:r>
      <w:r w:rsidR="00907D8C">
        <w:t xml:space="preserve"> </w:t>
      </w:r>
      <w:r w:rsidR="00036FAC" w:rsidRPr="00036FAC">
        <w:t>developed.</w:t>
      </w:r>
      <w:r w:rsidR="00907D8C">
        <w:t xml:space="preserve"> </w:t>
      </w:r>
      <w:r w:rsidR="00036FAC" w:rsidRPr="00036FAC">
        <w:t>At</w:t>
      </w:r>
      <w:r w:rsidR="00907D8C">
        <w:t xml:space="preserve"> </w:t>
      </w:r>
      <w:r w:rsidR="00036FAC" w:rsidRPr="00036FAC">
        <w:t>present,</w:t>
      </w:r>
      <w:r w:rsidR="00907D8C">
        <w:t xml:space="preserve"> </w:t>
      </w:r>
      <w:r w:rsidR="00036FAC" w:rsidRPr="00036FAC">
        <w:t>some</w:t>
      </w:r>
      <w:r w:rsidR="00907D8C">
        <w:t xml:space="preserve"> </w:t>
      </w:r>
      <w:r w:rsidR="00036FAC" w:rsidRPr="00036FAC">
        <w:t>youth</w:t>
      </w:r>
      <w:r w:rsidR="00907D8C">
        <w:t xml:space="preserve"> </w:t>
      </w:r>
      <w:r w:rsidR="00036FAC" w:rsidRPr="00036FAC">
        <w:t>court</w:t>
      </w:r>
      <w:r w:rsidR="00907D8C">
        <w:t xml:space="preserve"> </w:t>
      </w:r>
      <w:r w:rsidR="00036FAC" w:rsidRPr="00036FAC">
        <w:t>hearings</w:t>
      </w:r>
      <w:r w:rsidR="00907D8C">
        <w:t xml:space="preserve"> </w:t>
      </w:r>
      <w:r w:rsidR="00036FAC" w:rsidRPr="00036FAC">
        <w:t>are</w:t>
      </w:r>
      <w:r w:rsidR="00907D8C">
        <w:t xml:space="preserve"> </w:t>
      </w:r>
      <w:r w:rsidR="00036FAC" w:rsidRPr="00036FAC">
        <w:t>held</w:t>
      </w:r>
      <w:r w:rsidR="00907D8C">
        <w:t xml:space="preserve"> </w:t>
      </w:r>
      <w:r w:rsidR="00036FAC" w:rsidRPr="00036FAC">
        <w:t>on</w:t>
      </w:r>
      <w:r w:rsidR="00907D8C">
        <w:t xml:space="preserve"> </w:t>
      </w:r>
      <w:r w:rsidR="00036FAC" w:rsidRPr="00036FAC">
        <w:t>marae</w:t>
      </w:r>
      <w:r w:rsidR="00907D8C">
        <w:t xml:space="preserve"> </w:t>
      </w:r>
      <w:r w:rsidR="00036FAC" w:rsidRPr="00036FAC">
        <w:t>(traditional</w:t>
      </w:r>
      <w:r w:rsidR="00907D8C">
        <w:t xml:space="preserve"> </w:t>
      </w:r>
      <w:r w:rsidR="00036FAC" w:rsidRPr="00036FAC">
        <w:t>Māori</w:t>
      </w:r>
      <w:r w:rsidR="00907D8C">
        <w:t xml:space="preserve"> </w:t>
      </w:r>
      <w:r w:rsidR="00036FAC" w:rsidRPr="00036FAC">
        <w:t>meeting</w:t>
      </w:r>
      <w:r w:rsidR="00907D8C">
        <w:t xml:space="preserve"> </w:t>
      </w:r>
      <w:r w:rsidR="00036FAC" w:rsidRPr="00036FAC">
        <w:t>places).</w:t>
      </w:r>
      <w:r w:rsidR="00907D8C">
        <w:t xml:space="preserve"> </w:t>
      </w:r>
      <w:r w:rsidR="00036FAC" w:rsidRPr="00036FAC">
        <w:t>Young</w:t>
      </w:r>
      <w:r w:rsidR="00907D8C">
        <w:t xml:space="preserve"> </w:t>
      </w:r>
      <w:r w:rsidR="00036FAC" w:rsidRPr="00036FAC">
        <w:t>Māori</w:t>
      </w:r>
      <w:r w:rsidR="00907D8C">
        <w:t xml:space="preserve"> </w:t>
      </w:r>
      <w:r w:rsidR="00036FAC" w:rsidRPr="00036FAC">
        <w:t>people</w:t>
      </w:r>
      <w:r w:rsidR="00907D8C">
        <w:t xml:space="preserve"> </w:t>
      </w:r>
      <w:r w:rsidR="00036FAC" w:rsidRPr="00036FAC">
        <w:t>gain</w:t>
      </w:r>
      <w:r w:rsidR="00907D8C">
        <w:t xml:space="preserve"> </w:t>
      </w:r>
      <w:r w:rsidR="00036FAC" w:rsidRPr="00036FAC">
        <w:t>from</w:t>
      </w:r>
      <w:r w:rsidR="00907D8C">
        <w:t xml:space="preserve"> </w:t>
      </w:r>
      <w:r w:rsidR="00036FAC" w:rsidRPr="00036FAC">
        <w:t>being</w:t>
      </w:r>
      <w:r w:rsidR="00907D8C">
        <w:t xml:space="preserve"> </w:t>
      </w:r>
      <w:r w:rsidR="00036FAC" w:rsidRPr="00036FAC">
        <w:t>in</w:t>
      </w:r>
      <w:r w:rsidR="00907D8C">
        <w:t xml:space="preserve"> </w:t>
      </w:r>
      <w:r w:rsidR="00036FAC" w:rsidRPr="00036FAC">
        <w:t>an</w:t>
      </w:r>
      <w:r w:rsidR="00907D8C">
        <w:t xml:space="preserve"> </w:t>
      </w:r>
      <w:r w:rsidR="00036FAC" w:rsidRPr="00036FAC">
        <w:t>environment</w:t>
      </w:r>
      <w:r w:rsidR="00907D8C">
        <w:t xml:space="preserve"> </w:t>
      </w:r>
      <w:r w:rsidR="00036FAC" w:rsidRPr="00036FAC">
        <w:t>where</w:t>
      </w:r>
      <w:r w:rsidR="00907D8C">
        <w:t xml:space="preserve"> </w:t>
      </w:r>
      <w:r w:rsidR="00036FAC" w:rsidRPr="00036FAC">
        <w:t>tribal</w:t>
      </w:r>
      <w:r w:rsidR="00907D8C">
        <w:t xml:space="preserve"> </w:t>
      </w:r>
      <w:r w:rsidR="00036FAC" w:rsidRPr="00036FAC">
        <w:t>care</w:t>
      </w:r>
      <w:r w:rsidR="00907D8C">
        <w:t xml:space="preserve"> </w:t>
      </w:r>
      <w:r w:rsidR="00036FAC" w:rsidRPr="00036FAC">
        <w:t>and</w:t>
      </w:r>
      <w:r w:rsidR="00907D8C">
        <w:t xml:space="preserve"> </w:t>
      </w:r>
      <w:r w:rsidR="00036FAC" w:rsidRPr="00036FAC">
        <w:t>authority</w:t>
      </w:r>
      <w:r w:rsidR="00907D8C">
        <w:t xml:space="preserve"> </w:t>
      </w:r>
      <w:r w:rsidR="00036FAC" w:rsidRPr="00036FAC">
        <w:t>is</w:t>
      </w:r>
      <w:r w:rsidR="00907D8C">
        <w:t xml:space="preserve"> </w:t>
      </w:r>
      <w:r w:rsidR="00036FAC" w:rsidRPr="00036FAC">
        <w:t>bought</w:t>
      </w:r>
      <w:r w:rsidR="00907D8C">
        <w:t xml:space="preserve"> </w:t>
      </w:r>
      <w:r w:rsidR="00036FAC" w:rsidRPr="00036FAC">
        <w:t>to</w:t>
      </w:r>
      <w:r w:rsidR="00907D8C">
        <w:t xml:space="preserve"> </w:t>
      </w:r>
      <w:r w:rsidR="00036FAC" w:rsidRPr="00036FAC">
        <w:t>bear.</w:t>
      </w:r>
      <w:r w:rsidR="00907D8C">
        <w:t xml:space="preserve"> </w:t>
      </w:r>
      <w:r w:rsidR="00036FAC" w:rsidRPr="00036FAC">
        <w:t>Restorative</w:t>
      </w:r>
      <w:r w:rsidR="00907D8C">
        <w:t xml:space="preserve"> </w:t>
      </w:r>
      <w:r w:rsidR="00036FAC" w:rsidRPr="00036FAC">
        <w:t>justice</w:t>
      </w:r>
      <w:r w:rsidR="00907D8C">
        <w:t xml:space="preserve"> </w:t>
      </w:r>
      <w:r w:rsidR="00036FAC" w:rsidRPr="00036FAC">
        <w:t>involves</w:t>
      </w:r>
      <w:r w:rsidR="00907D8C">
        <w:t xml:space="preserve"> </w:t>
      </w:r>
      <w:r w:rsidR="00036FAC" w:rsidRPr="00036FAC">
        <w:t>a</w:t>
      </w:r>
      <w:r w:rsidR="00907D8C">
        <w:t xml:space="preserve"> </w:t>
      </w:r>
      <w:r w:rsidR="00036FAC" w:rsidRPr="00036FAC">
        <w:t>meeting</w:t>
      </w:r>
      <w:r w:rsidR="00907D8C">
        <w:t xml:space="preserve"> </w:t>
      </w:r>
      <w:r w:rsidR="00036FAC" w:rsidRPr="00036FAC">
        <w:t>between</w:t>
      </w:r>
      <w:r w:rsidR="00907D8C">
        <w:t xml:space="preserve"> </w:t>
      </w:r>
      <w:r w:rsidR="00036FAC" w:rsidRPr="00036FAC">
        <w:t>the</w:t>
      </w:r>
      <w:r w:rsidR="00907D8C">
        <w:t xml:space="preserve"> </w:t>
      </w:r>
      <w:r w:rsidR="00036FAC" w:rsidRPr="00036FAC">
        <w:t>victim</w:t>
      </w:r>
      <w:r w:rsidR="00907D8C">
        <w:t xml:space="preserve"> </w:t>
      </w:r>
      <w:r w:rsidR="00036FAC" w:rsidRPr="00036FAC">
        <w:t>and</w:t>
      </w:r>
      <w:r w:rsidR="00907D8C">
        <w:t xml:space="preserve"> </w:t>
      </w:r>
      <w:r w:rsidR="00036FAC" w:rsidRPr="00036FAC">
        <w:t>offender,</w:t>
      </w:r>
      <w:r w:rsidR="00907D8C">
        <w:t xml:space="preserve"> </w:t>
      </w:r>
      <w:r w:rsidR="00036FAC" w:rsidRPr="00036FAC">
        <w:t>where</w:t>
      </w:r>
      <w:r w:rsidR="00907D8C">
        <w:t xml:space="preserve"> </w:t>
      </w:r>
      <w:r w:rsidR="00036FAC" w:rsidRPr="00036FAC">
        <w:t>victims</w:t>
      </w:r>
      <w:r w:rsidR="00907D8C">
        <w:t xml:space="preserve"> </w:t>
      </w:r>
      <w:r w:rsidR="00036FAC" w:rsidRPr="00036FAC">
        <w:t>can</w:t>
      </w:r>
      <w:r w:rsidR="00907D8C">
        <w:t xml:space="preserve"> </w:t>
      </w:r>
      <w:r w:rsidR="00036FAC" w:rsidRPr="00036FAC">
        <w:t>identify</w:t>
      </w:r>
      <w:r w:rsidR="00907D8C">
        <w:t xml:space="preserve"> </w:t>
      </w:r>
      <w:r w:rsidR="00036FAC" w:rsidRPr="00036FAC">
        <w:t>their</w:t>
      </w:r>
      <w:r w:rsidR="00907D8C">
        <w:t xml:space="preserve"> </w:t>
      </w:r>
      <w:r w:rsidR="00036FAC" w:rsidRPr="00036FAC">
        <w:t>needs</w:t>
      </w:r>
      <w:r w:rsidR="00907D8C">
        <w:t xml:space="preserve"> </w:t>
      </w:r>
      <w:r w:rsidR="00036FAC" w:rsidRPr="00036FAC">
        <w:t>and</w:t>
      </w:r>
      <w:r w:rsidR="00907D8C">
        <w:t xml:space="preserve"> </w:t>
      </w:r>
      <w:r w:rsidR="00036FAC" w:rsidRPr="00036FAC">
        <w:t>offenders</w:t>
      </w:r>
      <w:r w:rsidR="00907D8C">
        <w:t xml:space="preserve"> </w:t>
      </w:r>
      <w:r w:rsidR="00036FAC" w:rsidRPr="00036FAC">
        <w:t>can</w:t>
      </w:r>
      <w:r w:rsidR="00907D8C">
        <w:t xml:space="preserve"> </w:t>
      </w:r>
      <w:r w:rsidR="00036FAC" w:rsidRPr="00036FAC">
        <w:t>take</w:t>
      </w:r>
      <w:r w:rsidR="00907D8C">
        <w:t xml:space="preserve"> </w:t>
      </w:r>
      <w:r w:rsidR="00036FAC" w:rsidRPr="00036FAC">
        <w:t>responsibility</w:t>
      </w:r>
      <w:r w:rsidR="00907D8C">
        <w:t xml:space="preserve"> </w:t>
      </w:r>
      <w:r w:rsidR="00036FAC" w:rsidRPr="00036FAC">
        <w:t>for</w:t>
      </w:r>
      <w:r w:rsidR="00907D8C">
        <w:t xml:space="preserve"> </w:t>
      </w:r>
      <w:r w:rsidR="00036FAC" w:rsidRPr="00036FAC">
        <w:t>putting</w:t>
      </w:r>
      <w:r w:rsidR="00907D8C">
        <w:t xml:space="preserve"> </w:t>
      </w:r>
      <w:r w:rsidR="00036FAC" w:rsidRPr="00036FAC">
        <w:t>things</w:t>
      </w:r>
      <w:r w:rsidR="00907D8C">
        <w:t xml:space="preserve"> </w:t>
      </w:r>
      <w:r w:rsidR="00036FAC" w:rsidRPr="00036FAC">
        <w:t>right.</w:t>
      </w:r>
      <w:r w:rsidR="00907D8C">
        <w:t xml:space="preserve"> </w:t>
      </w:r>
      <w:r w:rsidR="00036FAC" w:rsidRPr="00036FAC">
        <w:t>Offenders</w:t>
      </w:r>
      <w:r w:rsidR="00907D8C">
        <w:t xml:space="preserve"> </w:t>
      </w:r>
      <w:r w:rsidR="00036FAC" w:rsidRPr="00036FAC">
        <w:t>must</w:t>
      </w:r>
      <w:r w:rsidR="00907D8C">
        <w:t xml:space="preserve"> </w:t>
      </w:r>
      <w:r w:rsidR="00036FAC" w:rsidRPr="00036FAC">
        <w:t>admit</w:t>
      </w:r>
      <w:r w:rsidR="00907D8C">
        <w:t xml:space="preserve"> </w:t>
      </w:r>
      <w:r w:rsidR="00036FAC" w:rsidRPr="00036FAC">
        <w:t>responsibility</w:t>
      </w:r>
      <w:r w:rsidR="00907D8C">
        <w:t xml:space="preserve"> </w:t>
      </w:r>
      <w:r w:rsidR="00036FAC" w:rsidRPr="00036FAC">
        <w:t>for</w:t>
      </w:r>
      <w:r w:rsidR="00907D8C">
        <w:t xml:space="preserve"> </w:t>
      </w:r>
      <w:r w:rsidR="00036FAC" w:rsidRPr="00036FAC">
        <w:t>the</w:t>
      </w:r>
      <w:r w:rsidR="00907D8C">
        <w:t xml:space="preserve"> </w:t>
      </w:r>
      <w:r w:rsidR="00036FAC" w:rsidRPr="00036FAC">
        <w:t>offence</w:t>
      </w:r>
      <w:r w:rsidR="00907D8C">
        <w:t xml:space="preserve"> </w:t>
      </w:r>
      <w:r w:rsidR="00036FAC" w:rsidRPr="00036FAC">
        <w:t>before</w:t>
      </w:r>
      <w:r w:rsidR="00907D8C">
        <w:t xml:space="preserve"> </w:t>
      </w:r>
      <w:r w:rsidR="00036FAC" w:rsidRPr="00036FAC">
        <w:t>they</w:t>
      </w:r>
      <w:r w:rsidR="00907D8C">
        <w:t xml:space="preserve"> </w:t>
      </w:r>
      <w:r w:rsidR="00036FAC" w:rsidRPr="00036FAC">
        <w:t>go</w:t>
      </w:r>
      <w:r w:rsidR="00907D8C">
        <w:t xml:space="preserve"> </w:t>
      </w:r>
      <w:r w:rsidR="00036FAC" w:rsidRPr="00036FAC">
        <w:t>into</w:t>
      </w:r>
      <w:r w:rsidR="00907D8C">
        <w:t xml:space="preserve"> </w:t>
      </w:r>
      <w:r w:rsidR="00036FAC" w:rsidRPr="00036FAC">
        <w:t>the</w:t>
      </w:r>
      <w:r w:rsidR="00907D8C">
        <w:t xml:space="preserve"> </w:t>
      </w:r>
      <w:r w:rsidR="00036FAC" w:rsidRPr="00036FAC">
        <w:t>restorative</w:t>
      </w:r>
      <w:r w:rsidR="00907D8C">
        <w:t xml:space="preserve"> </w:t>
      </w:r>
      <w:r w:rsidR="00036FAC" w:rsidRPr="00036FAC">
        <w:t>justice</w:t>
      </w:r>
      <w:r w:rsidR="00907D8C">
        <w:t xml:space="preserve"> </w:t>
      </w:r>
      <w:r w:rsidR="00036FAC" w:rsidRPr="00036FAC">
        <w:t>process.</w:t>
      </w:r>
      <w:r w:rsidR="00907D8C">
        <w:t xml:space="preserve"> </w:t>
      </w:r>
      <w:r w:rsidR="00036FAC" w:rsidRPr="00036FAC">
        <w:t>The</w:t>
      </w:r>
      <w:r w:rsidR="00907D8C">
        <w:t xml:space="preserve"> </w:t>
      </w:r>
      <w:r w:rsidR="00036FAC" w:rsidRPr="00036FAC">
        <w:t>Ministry</w:t>
      </w:r>
      <w:r w:rsidR="00907D8C">
        <w:t xml:space="preserve"> </w:t>
      </w:r>
      <w:r w:rsidR="00036FAC" w:rsidRPr="00036FAC">
        <w:t>of</w:t>
      </w:r>
      <w:r w:rsidR="00907D8C">
        <w:t xml:space="preserve"> </w:t>
      </w:r>
      <w:r w:rsidR="00036FAC" w:rsidRPr="00036FAC">
        <w:t>Justice</w:t>
      </w:r>
      <w:r w:rsidR="00907D8C">
        <w:t xml:space="preserve"> </w:t>
      </w:r>
      <w:r w:rsidR="00036FAC" w:rsidRPr="00036FAC">
        <w:t>funds</w:t>
      </w:r>
      <w:r w:rsidR="00907D8C">
        <w:t xml:space="preserve"> </w:t>
      </w:r>
      <w:r w:rsidR="00036FAC" w:rsidRPr="00036FAC">
        <w:t>restorative</w:t>
      </w:r>
      <w:r w:rsidR="00907D8C">
        <w:t xml:space="preserve"> </w:t>
      </w:r>
      <w:r w:rsidR="00036FAC" w:rsidRPr="00036FAC">
        <w:t>justice</w:t>
      </w:r>
      <w:r w:rsidR="00907D8C">
        <w:t xml:space="preserve"> </w:t>
      </w:r>
      <w:r w:rsidR="00036FAC" w:rsidRPr="00036FAC">
        <w:t>processes</w:t>
      </w:r>
      <w:r w:rsidR="00907D8C">
        <w:t xml:space="preserve"> </w:t>
      </w:r>
      <w:r w:rsidR="00036FAC" w:rsidRPr="00036FAC">
        <w:t>before</w:t>
      </w:r>
      <w:r w:rsidR="00907D8C">
        <w:t xml:space="preserve"> </w:t>
      </w:r>
      <w:r w:rsidR="00036FAC" w:rsidRPr="00036FAC">
        <w:t>sentencing</w:t>
      </w:r>
      <w:r w:rsidR="00907D8C">
        <w:t xml:space="preserve"> </w:t>
      </w:r>
      <w:r w:rsidR="00036FAC" w:rsidRPr="00036FAC">
        <w:t>through</w:t>
      </w:r>
      <w:r w:rsidR="00907D8C">
        <w:t xml:space="preserve"> </w:t>
      </w:r>
      <w:r w:rsidR="00036FAC" w:rsidRPr="00036FAC">
        <w:t>26</w:t>
      </w:r>
      <w:r w:rsidR="00907D8C">
        <w:t xml:space="preserve"> </w:t>
      </w:r>
      <w:r w:rsidR="00036FAC" w:rsidRPr="00036FAC">
        <w:t>community-based</w:t>
      </w:r>
      <w:r w:rsidR="00907D8C">
        <w:t xml:space="preserve"> </w:t>
      </w:r>
      <w:r w:rsidR="00036FAC" w:rsidRPr="00036FAC">
        <w:t>provider</w:t>
      </w:r>
      <w:r w:rsidR="00907D8C">
        <w:t xml:space="preserve"> </w:t>
      </w:r>
      <w:r w:rsidR="00036FAC" w:rsidRPr="00036FAC">
        <w:t>groups</w:t>
      </w:r>
      <w:r w:rsidR="00907D8C">
        <w:t xml:space="preserve"> </w:t>
      </w:r>
      <w:r w:rsidR="00036FAC" w:rsidRPr="00036FAC">
        <w:t>throughout</w:t>
      </w:r>
      <w:r w:rsidR="00907D8C">
        <w:t xml:space="preserve"> </w:t>
      </w:r>
      <w:r w:rsidR="00036FAC" w:rsidRPr="00036FAC">
        <w:t>New</w:t>
      </w:r>
      <w:r w:rsidR="00907D8C">
        <w:t xml:space="preserve"> </w:t>
      </w:r>
      <w:r w:rsidR="00036FAC" w:rsidRPr="00036FAC">
        <w:t>Zealand.</w:t>
      </w:r>
    </w:p>
    <w:p w:rsidR="00036FAC" w:rsidRPr="00036FAC" w:rsidRDefault="00036FAC" w:rsidP="00CB1E9A">
      <w:pPr>
        <w:pStyle w:val="SingleTxtG"/>
      </w:pPr>
      <w:r w:rsidRPr="00036FAC">
        <w:t>265.</w:t>
      </w:r>
      <w:r w:rsidRPr="00036FAC">
        <w:tab/>
        <w:t>The</w:t>
      </w:r>
      <w:r w:rsidR="00907D8C">
        <w:t xml:space="preserve"> </w:t>
      </w:r>
      <w:r w:rsidRPr="00036FAC">
        <w:t>Department</w:t>
      </w:r>
      <w:r w:rsidR="00907D8C">
        <w:t xml:space="preserve"> </w:t>
      </w:r>
      <w:r w:rsidRPr="00036FAC">
        <w:t>of</w:t>
      </w:r>
      <w:r w:rsidR="00907D8C">
        <w:t xml:space="preserve"> </w:t>
      </w:r>
      <w:r w:rsidRPr="00036FAC">
        <w:t>Corrections</w:t>
      </w:r>
      <w:r w:rsidR="00907D8C">
        <w:t xml:space="preserve"> </w:t>
      </w:r>
      <w:r w:rsidRPr="00036FAC">
        <w:t>provides</w:t>
      </w:r>
      <w:r w:rsidR="00907D8C">
        <w:t xml:space="preserve"> </w:t>
      </w:r>
      <w:r w:rsidRPr="00036FAC">
        <w:t>a</w:t>
      </w:r>
      <w:r w:rsidR="00907D8C">
        <w:t xml:space="preserve"> </w:t>
      </w:r>
      <w:r w:rsidRPr="00036FAC">
        <w:t>number</w:t>
      </w:r>
      <w:r w:rsidR="00907D8C">
        <w:t xml:space="preserve"> </w:t>
      </w:r>
      <w:r w:rsidRPr="00036FAC">
        <w:t>of</w:t>
      </w:r>
      <w:r w:rsidR="00907D8C">
        <w:t xml:space="preserve"> </w:t>
      </w:r>
      <w:r w:rsidRPr="00036FAC">
        <w:t>programmes</w:t>
      </w:r>
      <w:r w:rsidR="00907D8C">
        <w:t xml:space="preserve"> </w:t>
      </w:r>
      <w:r w:rsidRPr="00036FAC">
        <w:t>and</w:t>
      </w:r>
      <w:r w:rsidR="00907D8C">
        <w:t xml:space="preserve"> </w:t>
      </w:r>
      <w:r w:rsidRPr="00036FAC">
        <w:t>services</w:t>
      </w:r>
      <w:r w:rsidR="00907D8C">
        <w:t xml:space="preserve"> </w:t>
      </w:r>
      <w:r w:rsidRPr="00036FAC">
        <w:t>specifically</w:t>
      </w:r>
      <w:r w:rsidR="00907D8C">
        <w:t xml:space="preserve"> </w:t>
      </w:r>
      <w:r w:rsidRPr="00036FAC">
        <w:t>aimed</w:t>
      </w:r>
      <w:r w:rsidR="00907D8C">
        <w:t xml:space="preserve"> </w:t>
      </w:r>
      <w:r w:rsidRPr="00036FAC">
        <w:t>at</w:t>
      </w:r>
      <w:r w:rsidR="00907D8C">
        <w:t xml:space="preserve"> </w:t>
      </w:r>
      <w:r w:rsidRPr="00036FAC">
        <w:t>reducing</w:t>
      </w:r>
      <w:r w:rsidR="00907D8C">
        <w:t xml:space="preserve"> </w:t>
      </w:r>
      <w:r w:rsidRPr="00036FAC">
        <w:t>Māori</w:t>
      </w:r>
      <w:r w:rsidR="00907D8C">
        <w:t xml:space="preserve"> </w:t>
      </w:r>
      <w:r w:rsidRPr="00036FAC">
        <w:t>re-offending</w:t>
      </w:r>
      <w:r w:rsidR="00907D8C">
        <w:t xml:space="preserve"> </w:t>
      </w:r>
      <w:r w:rsidRPr="00036FAC">
        <w:t>through</w:t>
      </w:r>
      <w:r w:rsidR="00907D8C">
        <w:t xml:space="preserve"> </w:t>
      </w:r>
      <w:r w:rsidRPr="00036FAC">
        <w:t>the</w:t>
      </w:r>
      <w:r w:rsidR="00907D8C">
        <w:t xml:space="preserve"> </w:t>
      </w:r>
      <w:r w:rsidRPr="00036FAC">
        <w:t>use</w:t>
      </w:r>
      <w:r w:rsidR="00907D8C">
        <w:t xml:space="preserve"> </w:t>
      </w:r>
      <w:r w:rsidRPr="00036FAC">
        <w:t>of</w:t>
      </w:r>
      <w:r w:rsidR="00907D8C">
        <w:t xml:space="preserve"> </w:t>
      </w:r>
      <w:r w:rsidRPr="00036FAC">
        <w:t>tikanga</w:t>
      </w:r>
      <w:r w:rsidR="00907D8C">
        <w:t xml:space="preserve"> </w:t>
      </w:r>
      <w:r w:rsidRPr="00036FAC">
        <w:t>Māori</w:t>
      </w:r>
      <w:r w:rsidR="00907D8C">
        <w:t xml:space="preserve"> </w:t>
      </w:r>
      <w:r w:rsidRPr="00036FAC">
        <w:t>(customary</w:t>
      </w:r>
      <w:r w:rsidR="00907D8C">
        <w:t xml:space="preserve"> </w:t>
      </w:r>
      <w:r w:rsidRPr="00036FAC">
        <w:t>Māori)</w:t>
      </w:r>
      <w:r w:rsidR="00907D8C">
        <w:t xml:space="preserve"> </w:t>
      </w:r>
      <w:r w:rsidRPr="00036FAC">
        <w:t>concepts</w:t>
      </w:r>
      <w:r w:rsidR="00907D8C">
        <w:t xml:space="preserve"> </w:t>
      </w:r>
      <w:r w:rsidRPr="00036FAC">
        <w:t>and</w:t>
      </w:r>
      <w:r w:rsidR="00907D8C">
        <w:t xml:space="preserve"> </w:t>
      </w:r>
      <w:r w:rsidRPr="00036FAC">
        <w:t>values,</w:t>
      </w:r>
      <w:r w:rsidR="00907D8C">
        <w:t xml:space="preserve"> </w:t>
      </w:r>
      <w:r w:rsidRPr="00036FAC">
        <w:t>some</w:t>
      </w:r>
      <w:r w:rsidR="00907D8C">
        <w:t xml:space="preserve"> </w:t>
      </w:r>
      <w:r w:rsidRPr="00036FAC">
        <w:t>of</w:t>
      </w:r>
      <w:r w:rsidR="00907D8C">
        <w:t xml:space="preserve"> </w:t>
      </w:r>
      <w:r w:rsidRPr="00036FAC">
        <w:t>which</w:t>
      </w:r>
      <w:r w:rsidR="00907D8C">
        <w:t xml:space="preserve"> </w:t>
      </w:r>
      <w:r w:rsidRPr="00036FAC">
        <w:t>are</w:t>
      </w:r>
      <w:r w:rsidR="00907D8C">
        <w:t xml:space="preserve"> </w:t>
      </w:r>
      <w:r w:rsidRPr="00036FAC">
        <w:t>listed</w:t>
      </w:r>
      <w:r w:rsidR="00907D8C">
        <w:t xml:space="preserve"> </w:t>
      </w:r>
      <w:r w:rsidR="009A16A2">
        <w:t>below:</w:t>
      </w:r>
    </w:p>
    <w:p w:rsidR="00036FAC" w:rsidRPr="00036FAC" w:rsidRDefault="00036FAC" w:rsidP="00CB1E9A">
      <w:pPr>
        <w:pStyle w:val="Bullet1G"/>
      </w:pPr>
      <w:r w:rsidRPr="009A16A2">
        <w:rPr>
          <w:i/>
        </w:rPr>
        <w:t>Tikanga</w:t>
      </w:r>
      <w:r w:rsidR="00907D8C" w:rsidRPr="009A16A2">
        <w:rPr>
          <w:i/>
        </w:rPr>
        <w:t xml:space="preserve"> </w:t>
      </w:r>
      <w:r w:rsidRPr="009A16A2">
        <w:rPr>
          <w:i/>
        </w:rPr>
        <w:t>Māori</w:t>
      </w:r>
      <w:r w:rsidR="00907D8C" w:rsidRPr="009A16A2">
        <w:rPr>
          <w:i/>
        </w:rPr>
        <w:t xml:space="preserve"> </w:t>
      </w:r>
      <w:r w:rsidRPr="009A16A2">
        <w:rPr>
          <w:i/>
        </w:rPr>
        <w:t>Programmes</w:t>
      </w:r>
      <w:r w:rsidRPr="00036FAC">
        <w:t>:</w:t>
      </w:r>
      <w:r w:rsidR="00907D8C">
        <w:t xml:space="preserve"> </w:t>
      </w:r>
      <w:r w:rsidRPr="00036FAC">
        <w:t>These</w:t>
      </w:r>
      <w:r w:rsidR="00907D8C">
        <w:t xml:space="preserve"> </w:t>
      </w:r>
      <w:r w:rsidRPr="00036FAC">
        <w:t>are</w:t>
      </w:r>
      <w:r w:rsidR="00907D8C">
        <w:t xml:space="preserve"> </w:t>
      </w:r>
      <w:r w:rsidRPr="00036FAC">
        <w:t>tailored</w:t>
      </w:r>
      <w:r w:rsidR="00907D8C">
        <w:t xml:space="preserve"> </w:t>
      </w:r>
      <w:r w:rsidRPr="00036FAC">
        <w:t>for</w:t>
      </w:r>
      <w:r w:rsidR="00907D8C">
        <w:t xml:space="preserve"> </w:t>
      </w:r>
      <w:r w:rsidRPr="00036FAC">
        <w:t>all</w:t>
      </w:r>
      <w:r w:rsidR="00907D8C">
        <w:t xml:space="preserve"> </w:t>
      </w:r>
      <w:r w:rsidRPr="00036FAC">
        <w:t>offenders</w:t>
      </w:r>
      <w:r w:rsidR="00907D8C">
        <w:t xml:space="preserve"> </w:t>
      </w:r>
      <w:r w:rsidRPr="00036FAC">
        <w:t>who</w:t>
      </w:r>
      <w:r w:rsidR="00907D8C">
        <w:t xml:space="preserve"> </w:t>
      </w:r>
      <w:r w:rsidRPr="00036FAC">
        <w:t>identify</w:t>
      </w:r>
      <w:r w:rsidR="00907D8C">
        <w:t xml:space="preserve"> </w:t>
      </w:r>
      <w:r w:rsidRPr="00036FAC">
        <w:t>as</w:t>
      </w:r>
      <w:r w:rsidR="00907D8C">
        <w:t xml:space="preserve"> </w:t>
      </w:r>
      <w:r w:rsidRPr="00036FAC">
        <w:t>Māori</w:t>
      </w:r>
      <w:r w:rsidR="00907D8C">
        <w:t xml:space="preserve"> </w:t>
      </w:r>
      <w:r w:rsidRPr="00036FAC">
        <w:t>and</w:t>
      </w:r>
      <w:r w:rsidR="00907D8C">
        <w:t xml:space="preserve"> </w:t>
      </w:r>
      <w:r w:rsidRPr="00036FAC">
        <w:t>have</w:t>
      </w:r>
      <w:r w:rsidR="00907D8C">
        <w:t xml:space="preserve"> </w:t>
      </w:r>
      <w:r w:rsidRPr="00036FAC">
        <w:t>been</w:t>
      </w:r>
      <w:r w:rsidR="00907D8C">
        <w:t xml:space="preserve"> </w:t>
      </w:r>
      <w:r w:rsidRPr="00036FAC">
        <w:t>sentenced</w:t>
      </w:r>
      <w:r w:rsidR="00907D8C">
        <w:t xml:space="preserve"> </w:t>
      </w:r>
      <w:r w:rsidRPr="00036FAC">
        <w:t>to</w:t>
      </w:r>
      <w:r w:rsidR="00907D8C">
        <w:t xml:space="preserve"> </w:t>
      </w:r>
      <w:r w:rsidRPr="00036FAC">
        <w:t>imprisonment,</w:t>
      </w:r>
      <w:r w:rsidR="00907D8C">
        <w:t xml:space="preserve"> </w:t>
      </w:r>
      <w:r w:rsidRPr="00036FAC">
        <w:t>supervision,</w:t>
      </w:r>
      <w:r w:rsidR="00907D8C">
        <w:t xml:space="preserve"> </w:t>
      </w:r>
      <w:r w:rsidRPr="00036FAC">
        <w:t>intensive</w:t>
      </w:r>
      <w:r w:rsidR="00907D8C">
        <w:t xml:space="preserve"> </w:t>
      </w:r>
      <w:r w:rsidRPr="00036FAC">
        <w:t>supervision,</w:t>
      </w:r>
      <w:r w:rsidR="00907D8C">
        <w:t xml:space="preserve"> </w:t>
      </w:r>
      <w:r w:rsidRPr="00036FAC">
        <w:t>home</w:t>
      </w:r>
      <w:r w:rsidR="00907D8C">
        <w:t xml:space="preserve"> </w:t>
      </w:r>
      <w:r w:rsidRPr="00036FAC">
        <w:t>detention,</w:t>
      </w:r>
      <w:r w:rsidR="00907D8C">
        <w:t xml:space="preserve"> </w:t>
      </w:r>
      <w:r w:rsidRPr="00036FAC">
        <w:t>release</w:t>
      </w:r>
      <w:r w:rsidR="00907D8C">
        <w:t xml:space="preserve"> </w:t>
      </w:r>
      <w:r w:rsidRPr="00036FAC">
        <w:t>on</w:t>
      </w:r>
      <w:r w:rsidR="00907D8C">
        <w:t xml:space="preserve"> </w:t>
      </w:r>
      <w:r w:rsidRPr="00036FAC">
        <w:t>conditions,</w:t>
      </w:r>
      <w:r w:rsidR="00907D8C">
        <w:t xml:space="preserve"> </w:t>
      </w:r>
      <w:r w:rsidRPr="00036FAC">
        <w:t>parole,</w:t>
      </w:r>
      <w:r w:rsidR="00907D8C">
        <w:t xml:space="preserve"> </w:t>
      </w:r>
      <w:r w:rsidRPr="00036FAC">
        <w:t>and</w:t>
      </w:r>
      <w:r w:rsidR="00907D8C">
        <w:t xml:space="preserve"> </w:t>
      </w:r>
      <w:r w:rsidRPr="00036FAC">
        <w:t>community</w:t>
      </w:r>
      <w:r w:rsidR="00907D8C">
        <w:t xml:space="preserve"> </w:t>
      </w:r>
      <w:r w:rsidRPr="00036FAC">
        <w:t>work.</w:t>
      </w:r>
      <w:r w:rsidR="00907D8C">
        <w:t xml:space="preserve"> </w:t>
      </w:r>
      <w:r w:rsidRPr="00036FAC">
        <w:t>The</w:t>
      </w:r>
      <w:r w:rsidR="00907D8C">
        <w:t xml:space="preserve"> </w:t>
      </w:r>
      <w:r w:rsidRPr="00036FAC">
        <w:t>programmes</w:t>
      </w:r>
      <w:r w:rsidR="00907D8C">
        <w:t xml:space="preserve"> </w:t>
      </w:r>
      <w:r w:rsidRPr="00036FAC">
        <w:t>use</w:t>
      </w:r>
      <w:r w:rsidR="00907D8C">
        <w:t xml:space="preserve"> </w:t>
      </w:r>
      <w:r w:rsidRPr="00036FAC">
        <w:t>customary</w:t>
      </w:r>
      <w:r w:rsidR="00907D8C">
        <w:t xml:space="preserve"> </w:t>
      </w:r>
      <w:r w:rsidRPr="00036FAC">
        <w:t>concepts</w:t>
      </w:r>
      <w:r w:rsidR="00907D8C">
        <w:t xml:space="preserve"> </w:t>
      </w:r>
      <w:r w:rsidRPr="00036FAC">
        <w:t>and</w:t>
      </w:r>
      <w:r w:rsidR="00907D8C">
        <w:t xml:space="preserve"> </w:t>
      </w:r>
      <w:r w:rsidRPr="00036FAC">
        <w:t>values</w:t>
      </w:r>
      <w:r w:rsidR="00907D8C">
        <w:t xml:space="preserve"> </w:t>
      </w:r>
      <w:r w:rsidRPr="00036FAC">
        <w:t>to</w:t>
      </w:r>
      <w:r w:rsidR="00907D8C">
        <w:t xml:space="preserve"> </w:t>
      </w:r>
      <w:r w:rsidRPr="00036FAC">
        <w:t>equip</w:t>
      </w:r>
      <w:r w:rsidR="00907D8C">
        <w:t xml:space="preserve"> </w:t>
      </w:r>
      <w:r w:rsidRPr="00036FAC">
        <w:t>participants</w:t>
      </w:r>
      <w:r w:rsidR="00907D8C">
        <w:t xml:space="preserve"> </w:t>
      </w:r>
      <w:r w:rsidRPr="00036FAC">
        <w:t>with</w:t>
      </w:r>
      <w:r w:rsidR="00907D8C">
        <w:t xml:space="preserve"> </w:t>
      </w:r>
      <w:r w:rsidRPr="00036FAC">
        <w:t>a</w:t>
      </w:r>
      <w:r w:rsidR="00907D8C">
        <w:t xml:space="preserve"> </w:t>
      </w:r>
      <w:r w:rsidRPr="00036FAC">
        <w:t>willingness</w:t>
      </w:r>
      <w:r w:rsidR="00907D8C">
        <w:t xml:space="preserve"> </w:t>
      </w:r>
      <w:r w:rsidRPr="00036FAC">
        <w:t>and</w:t>
      </w:r>
      <w:r w:rsidR="00907D8C">
        <w:t xml:space="preserve"> </w:t>
      </w:r>
      <w:r w:rsidRPr="00036FAC">
        <w:t>motivation</w:t>
      </w:r>
      <w:r w:rsidR="00907D8C">
        <w:t xml:space="preserve"> </w:t>
      </w:r>
      <w:r w:rsidRPr="00036FAC">
        <w:t>to</w:t>
      </w:r>
      <w:r w:rsidR="00907D8C">
        <w:t xml:space="preserve"> </w:t>
      </w:r>
      <w:r w:rsidRPr="00036FAC">
        <w:t>address</w:t>
      </w:r>
      <w:r w:rsidR="00907D8C">
        <w:t xml:space="preserve"> </w:t>
      </w:r>
      <w:r w:rsidRPr="00036FAC">
        <w:t>their</w:t>
      </w:r>
      <w:r w:rsidR="00907D8C">
        <w:t xml:space="preserve"> </w:t>
      </w:r>
      <w:r w:rsidRPr="00036FAC">
        <w:t>rehabilitation,</w:t>
      </w:r>
      <w:r w:rsidR="00907D8C">
        <w:t xml:space="preserve"> </w:t>
      </w:r>
      <w:r w:rsidRPr="00036FAC">
        <w:t>specifically</w:t>
      </w:r>
      <w:r w:rsidR="00907D8C">
        <w:t xml:space="preserve"> </w:t>
      </w:r>
      <w:r w:rsidRPr="00036FAC">
        <w:t>focusing</w:t>
      </w:r>
      <w:r w:rsidR="00907D8C">
        <w:t xml:space="preserve"> </w:t>
      </w:r>
      <w:r w:rsidRPr="00036FAC">
        <w:t>on</w:t>
      </w:r>
      <w:r w:rsidR="00907D8C">
        <w:t xml:space="preserve"> </w:t>
      </w:r>
      <w:r w:rsidRPr="00036FAC">
        <w:t>their</w:t>
      </w:r>
      <w:r w:rsidR="00907D8C">
        <w:t xml:space="preserve"> </w:t>
      </w:r>
      <w:r w:rsidRPr="00036FAC">
        <w:t>offending</w:t>
      </w:r>
      <w:r w:rsidR="00907D8C">
        <w:t xml:space="preserve"> </w:t>
      </w:r>
      <w:r w:rsidRPr="00036FAC">
        <w:t>behaviour.</w:t>
      </w:r>
      <w:r w:rsidR="00907D8C">
        <w:t xml:space="preserve"> </w:t>
      </w:r>
      <w:r w:rsidRPr="00036FAC">
        <w:t>An</w:t>
      </w:r>
      <w:r w:rsidR="00907D8C">
        <w:t xml:space="preserve"> </w:t>
      </w:r>
      <w:r w:rsidRPr="00036FAC">
        <w:t>evaluation</w:t>
      </w:r>
      <w:r w:rsidR="00907D8C">
        <w:t xml:space="preserve"> </w:t>
      </w:r>
      <w:r w:rsidRPr="00036FAC">
        <w:t>undertaken</w:t>
      </w:r>
      <w:r w:rsidR="00907D8C">
        <w:t xml:space="preserve"> </w:t>
      </w:r>
      <w:r w:rsidRPr="00036FAC">
        <w:t>during</w:t>
      </w:r>
      <w:r w:rsidR="00907D8C">
        <w:t xml:space="preserve"> </w:t>
      </w:r>
      <w:r w:rsidRPr="00036FAC">
        <w:t>2007/</w:t>
      </w:r>
      <w:r w:rsidR="00CB1E9A">
        <w:t>20</w:t>
      </w:r>
      <w:r w:rsidRPr="00036FAC">
        <w:t>08</w:t>
      </w:r>
      <w:r w:rsidR="00907D8C">
        <w:t xml:space="preserve"> </w:t>
      </w:r>
      <w:r w:rsidRPr="00036FAC">
        <w:t>found</w:t>
      </w:r>
      <w:r w:rsidR="00907D8C">
        <w:t xml:space="preserve"> </w:t>
      </w:r>
      <w:r w:rsidRPr="00036FAC">
        <w:t>moderate</w:t>
      </w:r>
      <w:r w:rsidR="00907D8C">
        <w:t xml:space="preserve"> </w:t>
      </w:r>
      <w:r w:rsidRPr="00036FAC">
        <w:t>improvements</w:t>
      </w:r>
      <w:r w:rsidR="00907D8C">
        <w:t xml:space="preserve"> </w:t>
      </w:r>
      <w:r w:rsidRPr="00036FAC">
        <w:t>across</w:t>
      </w:r>
      <w:r w:rsidR="00907D8C">
        <w:t xml:space="preserve"> </w:t>
      </w:r>
      <w:r w:rsidRPr="00036FAC">
        <w:t>assessed</w:t>
      </w:r>
      <w:r w:rsidR="00907D8C">
        <w:t xml:space="preserve"> </w:t>
      </w:r>
      <w:r w:rsidRPr="00036FAC">
        <w:t>participant</w:t>
      </w:r>
      <w:r w:rsidR="00907D8C">
        <w:t xml:space="preserve"> </w:t>
      </w:r>
      <w:r w:rsidRPr="00036FAC">
        <w:t>responses.</w:t>
      </w:r>
    </w:p>
    <w:p w:rsidR="00036FAC" w:rsidRPr="00036FAC" w:rsidRDefault="00036FAC" w:rsidP="00CB1E9A">
      <w:pPr>
        <w:pStyle w:val="Bullet1G"/>
      </w:pPr>
      <w:r w:rsidRPr="009A16A2">
        <w:rPr>
          <w:i/>
        </w:rPr>
        <w:t>Māori</w:t>
      </w:r>
      <w:r w:rsidR="00907D8C" w:rsidRPr="009A16A2">
        <w:rPr>
          <w:i/>
        </w:rPr>
        <w:t xml:space="preserve"> </w:t>
      </w:r>
      <w:r w:rsidRPr="009A16A2">
        <w:rPr>
          <w:i/>
        </w:rPr>
        <w:t>Therapeutic</w:t>
      </w:r>
      <w:r w:rsidR="00907D8C" w:rsidRPr="009A16A2">
        <w:rPr>
          <w:i/>
        </w:rPr>
        <w:t xml:space="preserve"> </w:t>
      </w:r>
      <w:r w:rsidRPr="009A16A2">
        <w:rPr>
          <w:i/>
        </w:rPr>
        <w:t>Programmes</w:t>
      </w:r>
      <w:r w:rsidRPr="00036FAC">
        <w:t>:</w:t>
      </w:r>
      <w:r w:rsidR="00907D8C">
        <w:t xml:space="preserve"> </w:t>
      </w:r>
      <w:r w:rsidRPr="00036FAC">
        <w:t>These</w:t>
      </w:r>
      <w:r w:rsidR="00907D8C">
        <w:t xml:space="preserve"> </w:t>
      </w:r>
      <w:r w:rsidRPr="00036FAC">
        <w:t>are</w:t>
      </w:r>
      <w:r w:rsidR="00907D8C">
        <w:t xml:space="preserve"> </w:t>
      </w:r>
      <w:r w:rsidRPr="00036FAC">
        <w:t>tailored</w:t>
      </w:r>
      <w:r w:rsidR="00907D8C">
        <w:t xml:space="preserve"> </w:t>
      </w:r>
      <w:r w:rsidRPr="00036FAC">
        <w:t>specifically</w:t>
      </w:r>
      <w:r w:rsidR="00907D8C">
        <w:t xml:space="preserve"> </w:t>
      </w:r>
      <w:r w:rsidRPr="00036FAC">
        <w:t>for</w:t>
      </w:r>
      <w:r w:rsidR="00907D8C">
        <w:t xml:space="preserve"> </w:t>
      </w:r>
      <w:r w:rsidRPr="00036FAC">
        <w:t>Māori</w:t>
      </w:r>
      <w:r w:rsidR="00907D8C">
        <w:t xml:space="preserve"> </w:t>
      </w:r>
      <w:r w:rsidRPr="00036FAC">
        <w:t>male</w:t>
      </w:r>
      <w:r w:rsidR="00907D8C">
        <w:t xml:space="preserve"> </w:t>
      </w:r>
      <w:r w:rsidRPr="00036FAC">
        <w:t>high-risk</w:t>
      </w:r>
      <w:r w:rsidR="00907D8C">
        <w:t xml:space="preserve"> </w:t>
      </w:r>
      <w:r w:rsidRPr="00036FAC">
        <w:t>offenders.</w:t>
      </w:r>
      <w:r w:rsidR="00907D8C">
        <w:t xml:space="preserve"> </w:t>
      </w:r>
      <w:r w:rsidRPr="00036FAC">
        <w:t>They</w:t>
      </w:r>
      <w:r w:rsidR="00907D8C">
        <w:t xml:space="preserve"> </w:t>
      </w:r>
      <w:r w:rsidRPr="00036FAC">
        <w:t>are</w:t>
      </w:r>
      <w:r w:rsidR="00907D8C">
        <w:t xml:space="preserve"> </w:t>
      </w:r>
      <w:r w:rsidRPr="00036FAC">
        <w:t>based</w:t>
      </w:r>
      <w:r w:rsidR="00907D8C">
        <w:t xml:space="preserve"> </w:t>
      </w:r>
      <w:r w:rsidRPr="00036FAC">
        <w:t>on</w:t>
      </w:r>
      <w:r w:rsidR="00907D8C">
        <w:t xml:space="preserve"> </w:t>
      </w:r>
      <w:r w:rsidRPr="00036FAC">
        <w:t>cognitive</w:t>
      </w:r>
      <w:r w:rsidR="00907D8C">
        <w:t xml:space="preserve"> </w:t>
      </w:r>
      <w:r w:rsidRPr="00036FAC">
        <w:t>behavioural</w:t>
      </w:r>
      <w:r w:rsidR="00907D8C">
        <w:t xml:space="preserve"> </w:t>
      </w:r>
      <w:r w:rsidRPr="00036FAC">
        <w:t>therapy</w:t>
      </w:r>
      <w:r w:rsidR="00907D8C">
        <w:t xml:space="preserve"> </w:t>
      </w:r>
      <w:r w:rsidRPr="00036FAC">
        <w:t>integrated</w:t>
      </w:r>
      <w:r w:rsidR="00907D8C">
        <w:t xml:space="preserve"> </w:t>
      </w:r>
      <w:r w:rsidRPr="00036FAC">
        <w:t>with</w:t>
      </w:r>
      <w:r w:rsidR="00907D8C">
        <w:t xml:space="preserve"> </w:t>
      </w:r>
      <w:r w:rsidRPr="00036FAC">
        <w:t>tikanga</w:t>
      </w:r>
      <w:r w:rsidR="00907D8C">
        <w:t xml:space="preserve"> </w:t>
      </w:r>
      <w:r w:rsidRPr="00036FAC">
        <w:t>Māori</w:t>
      </w:r>
      <w:r w:rsidR="00907D8C">
        <w:t xml:space="preserve"> </w:t>
      </w:r>
      <w:r w:rsidRPr="00036FAC">
        <w:t>and</w:t>
      </w:r>
      <w:r w:rsidR="00907D8C">
        <w:t xml:space="preserve"> </w:t>
      </w:r>
      <w:r w:rsidRPr="00036FAC">
        <w:t>are</w:t>
      </w:r>
      <w:r w:rsidR="00907D8C">
        <w:t xml:space="preserve"> </w:t>
      </w:r>
      <w:r w:rsidRPr="00036FAC">
        <w:t>delivered</w:t>
      </w:r>
      <w:r w:rsidR="00907D8C">
        <w:t xml:space="preserve"> </w:t>
      </w:r>
      <w:r w:rsidRPr="00036FAC">
        <w:t>in</w:t>
      </w:r>
      <w:r w:rsidR="00907D8C">
        <w:t xml:space="preserve"> </w:t>
      </w:r>
      <w:r w:rsidRPr="00036FAC">
        <w:t>the</w:t>
      </w:r>
      <w:r w:rsidR="00907D8C">
        <w:t xml:space="preserve"> </w:t>
      </w:r>
      <w:r w:rsidRPr="00036FAC">
        <w:t>Department</w:t>
      </w:r>
      <w:r w:rsidR="003E4D94">
        <w:t>’</w:t>
      </w:r>
      <w:r w:rsidRPr="00036FAC">
        <w:t>s</w:t>
      </w:r>
      <w:r w:rsidR="00907D8C">
        <w:t xml:space="preserve"> </w:t>
      </w:r>
      <w:r w:rsidRPr="00036FAC">
        <w:t>five</w:t>
      </w:r>
      <w:r w:rsidR="00907D8C">
        <w:t xml:space="preserve"> </w:t>
      </w:r>
      <w:r w:rsidRPr="00036FAC">
        <w:t>Māori</w:t>
      </w:r>
      <w:r w:rsidR="00907D8C">
        <w:t xml:space="preserve"> </w:t>
      </w:r>
      <w:r w:rsidRPr="00036FAC">
        <w:t>Focus</w:t>
      </w:r>
      <w:r w:rsidR="00907D8C">
        <w:t xml:space="preserve"> </w:t>
      </w:r>
      <w:r w:rsidRPr="00036FAC">
        <w:t>Units</w:t>
      </w:r>
      <w:r w:rsidR="00907D8C">
        <w:t xml:space="preserve"> </w:t>
      </w:r>
      <w:r w:rsidRPr="00036FAC">
        <w:t>and</w:t>
      </w:r>
      <w:r w:rsidR="00907D8C">
        <w:t xml:space="preserve"> </w:t>
      </w:r>
      <w:r w:rsidRPr="00036FAC">
        <w:t>the</w:t>
      </w:r>
      <w:r w:rsidR="00907D8C">
        <w:t xml:space="preserve"> </w:t>
      </w:r>
      <w:r w:rsidRPr="00036FAC">
        <w:t>Northland</w:t>
      </w:r>
      <w:r w:rsidR="00907D8C">
        <w:t xml:space="preserve"> </w:t>
      </w:r>
      <w:r w:rsidRPr="00036FAC">
        <w:t>Region</w:t>
      </w:r>
      <w:r w:rsidR="00907D8C">
        <w:t xml:space="preserve"> </w:t>
      </w:r>
      <w:r w:rsidRPr="00036FAC">
        <w:t>Corrections</w:t>
      </w:r>
      <w:r w:rsidR="00907D8C">
        <w:t xml:space="preserve"> </w:t>
      </w:r>
      <w:r w:rsidRPr="00036FAC">
        <w:t>Facility.</w:t>
      </w:r>
    </w:p>
    <w:p w:rsidR="00036FAC" w:rsidRPr="00036FAC" w:rsidRDefault="00036FAC" w:rsidP="00CB1E9A">
      <w:pPr>
        <w:pStyle w:val="Bullet1G"/>
      </w:pPr>
      <w:r w:rsidRPr="009A16A2">
        <w:rPr>
          <w:i/>
        </w:rPr>
        <w:t>Māori</w:t>
      </w:r>
      <w:r w:rsidR="00907D8C" w:rsidRPr="009A16A2">
        <w:rPr>
          <w:i/>
        </w:rPr>
        <w:t xml:space="preserve"> </w:t>
      </w:r>
      <w:r w:rsidRPr="009A16A2">
        <w:rPr>
          <w:i/>
        </w:rPr>
        <w:t>Focus</w:t>
      </w:r>
      <w:r w:rsidR="00907D8C" w:rsidRPr="009A16A2">
        <w:rPr>
          <w:i/>
        </w:rPr>
        <w:t xml:space="preserve"> </w:t>
      </w:r>
      <w:r w:rsidRPr="009A16A2">
        <w:rPr>
          <w:i/>
        </w:rPr>
        <w:t>Units</w:t>
      </w:r>
      <w:r w:rsidRPr="00036FAC">
        <w:t>:</w:t>
      </w:r>
      <w:r w:rsidR="00907D8C">
        <w:t xml:space="preserve"> </w:t>
      </w:r>
      <w:r w:rsidRPr="00036FAC">
        <w:t>Five</w:t>
      </w:r>
      <w:r w:rsidR="00907D8C">
        <w:t xml:space="preserve"> </w:t>
      </w:r>
      <w:r w:rsidRPr="00036FAC">
        <w:t>60-bed</w:t>
      </w:r>
      <w:r w:rsidR="00907D8C">
        <w:t xml:space="preserve"> </w:t>
      </w:r>
      <w:r w:rsidRPr="00036FAC">
        <w:t>Māori</w:t>
      </w:r>
      <w:r w:rsidR="00907D8C">
        <w:t xml:space="preserve"> </w:t>
      </w:r>
      <w:r w:rsidRPr="00036FAC">
        <w:t>Focus</w:t>
      </w:r>
      <w:r w:rsidR="00907D8C">
        <w:t xml:space="preserve"> </w:t>
      </w:r>
      <w:r w:rsidRPr="00036FAC">
        <w:t>Units</w:t>
      </w:r>
      <w:r w:rsidR="00907D8C">
        <w:t xml:space="preserve"> </w:t>
      </w:r>
      <w:r w:rsidRPr="00036FAC">
        <w:t>for</w:t>
      </w:r>
      <w:r w:rsidR="00907D8C">
        <w:t xml:space="preserve"> </w:t>
      </w:r>
      <w:r w:rsidRPr="00036FAC">
        <w:t>male</w:t>
      </w:r>
      <w:r w:rsidR="00907D8C">
        <w:t xml:space="preserve"> </w:t>
      </w:r>
      <w:r w:rsidRPr="00036FAC">
        <w:t>prisoners</w:t>
      </w:r>
      <w:r w:rsidR="00907D8C">
        <w:t xml:space="preserve"> </w:t>
      </w:r>
      <w:r w:rsidRPr="00036FAC">
        <w:t>use</w:t>
      </w:r>
      <w:r w:rsidR="00907D8C">
        <w:t xml:space="preserve"> </w:t>
      </w:r>
      <w:r w:rsidRPr="00036FAC">
        <w:t>tikanga</w:t>
      </w:r>
      <w:r w:rsidR="00907D8C">
        <w:t xml:space="preserve"> </w:t>
      </w:r>
      <w:r w:rsidRPr="00036FAC">
        <w:t>Māori</w:t>
      </w:r>
      <w:r w:rsidR="00907D8C">
        <w:t xml:space="preserve"> </w:t>
      </w:r>
      <w:r w:rsidRPr="00036FAC">
        <w:t>to</w:t>
      </w:r>
      <w:r w:rsidR="00907D8C">
        <w:t xml:space="preserve"> </w:t>
      </w:r>
      <w:r w:rsidRPr="00036FAC">
        <w:t>motivate</w:t>
      </w:r>
      <w:r w:rsidR="00907D8C">
        <w:t xml:space="preserve"> </w:t>
      </w:r>
      <w:r w:rsidRPr="00036FAC">
        <w:t>and</w:t>
      </w:r>
      <w:r w:rsidR="00907D8C">
        <w:t xml:space="preserve"> </w:t>
      </w:r>
      <w:r w:rsidRPr="00036FAC">
        <w:t>rehabilitate</w:t>
      </w:r>
      <w:r w:rsidR="00907D8C">
        <w:t xml:space="preserve"> </w:t>
      </w:r>
      <w:r w:rsidRPr="00036FAC">
        <w:t>prisoners</w:t>
      </w:r>
      <w:r w:rsidR="00907D8C">
        <w:t xml:space="preserve"> </w:t>
      </w:r>
      <w:r w:rsidRPr="00036FAC">
        <w:t>within</w:t>
      </w:r>
      <w:r w:rsidR="00907D8C">
        <w:t xml:space="preserve"> </w:t>
      </w:r>
      <w:r w:rsidRPr="00036FAC">
        <w:t>a</w:t>
      </w:r>
      <w:r w:rsidR="00907D8C">
        <w:t xml:space="preserve"> </w:t>
      </w:r>
      <w:r w:rsidRPr="00036FAC">
        <w:t>therapeutic</w:t>
      </w:r>
      <w:r w:rsidR="00907D8C">
        <w:t xml:space="preserve"> </w:t>
      </w:r>
      <w:r w:rsidRPr="00036FAC">
        <w:t>community</w:t>
      </w:r>
      <w:r w:rsidR="00907D8C">
        <w:t xml:space="preserve"> </w:t>
      </w:r>
      <w:r w:rsidRPr="00036FAC">
        <w:t>in</w:t>
      </w:r>
      <w:r w:rsidR="00907D8C">
        <w:t xml:space="preserve"> </w:t>
      </w:r>
      <w:r w:rsidRPr="00036FAC">
        <w:t>a</w:t>
      </w:r>
      <w:r w:rsidR="00907D8C">
        <w:t xml:space="preserve"> </w:t>
      </w:r>
      <w:r w:rsidRPr="00036FAC">
        <w:t>custodial</w:t>
      </w:r>
      <w:r w:rsidR="00907D8C">
        <w:t xml:space="preserve"> </w:t>
      </w:r>
      <w:r w:rsidRPr="00036FAC">
        <w:t>environment.</w:t>
      </w:r>
      <w:r w:rsidR="00907D8C">
        <w:t xml:space="preserve"> </w:t>
      </w:r>
      <w:r w:rsidRPr="00036FAC">
        <w:t>Corrections</w:t>
      </w:r>
      <w:r w:rsidR="00907D8C">
        <w:t xml:space="preserve"> </w:t>
      </w:r>
      <w:r w:rsidRPr="00036FAC">
        <w:t>staff</w:t>
      </w:r>
      <w:r w:rsidR="00907D8C">
        <w:t xml:space="preserve"> </w:t>
      </w:r>
      <w:r w:rsidRPr="00036FAC">
        <w:t>work</w:t>
      </w:r>
      <w:r w:rsidR="00907D8C">
        <w:t xml:space="preserve"> </w:t>
      </w:r>
      <w:r w:rsidRPr="00036FAC">
        <w:t>closely</w:t>
      </w:r>
      <w:r w:rsidR="00907D8C">
        <w:t xml:space="preserve"> </w:t>
      </w:r>
      <w:r w:rsidRPr="00036FAC">
        <w:t>with</w:t>
      </w:r>
      <w:r w:rsidR="00907D8C">
        <w:t xml:space="preserve"> </w:t>
      </w:r>
      <w:r w:rsidRPr="00036FAC">
        <w:t>hapū</w:t>
      </w:r>
      <w:r w:rsidR="00907D8C">
        <w:t xml:space="preserve"> </w:t>
      </w:r>
      <w:r w:rsidRPr="00036FAC">
        <w:t>(larger</w:t>
      </w:r>
      <w:r w:rsidR="00907D8C">
        <w:t xml:space="preserve"> </w:t>
      </w:r>
      <w:r w:rsidRPr="00036FAC">
        <w:t>extended</w:t>
      </w:r>
      <w:r w:rsidR="00907D8C">
        <w:t xml:space="preserve"> </w:t>
      </w:r>
      <w:r w:rsidRPr="00036FAC">
        <w:t>family,</w:t>
      </w:r>
      <w:r w:rsidR="00907D8C">
        <w:t xml:space="preserve"> </w:t>
      </w:r>
      <w:r w:rsidRPr="00036FAC">
        <w:t>clan)</w:t>
      </w:r>
      <w:r w:rsidR="00907D8C">
        <w:t xml:space="preserve"> </w:t>
      </w:r>
      <w:r w:rsidRPr="00036FAC">
        <w:t>and</w:t>
      </w:r>
      <w:r w:rsidR="00907D8C">
        <w:t xml:space="preserve"> </w:t>
      </w:r>
      <w:r w:rsidRPr="00036FAC">
        <w:t>iwi</w:t>
      </w:r>
      <w:r w:rsidR="00907D8C">
        <w:t xml:space="preserve"> </w:t>
      </w:r>
      <w:r w:rsidRPr="00036FAC">
        <w:t>(tribe)</w:t>
      </w:r>
      <w:r w:rsidR="00907D8C">
        <w:t xml:space="preserve"> </w:t>
      </w:r>
      <w:r w:rsidRPr="00036FAC">
        <w:t>programme</w:t>
      </w:r>
      <w:r w:rsidR="00907D8C">
        <w:t xml:space="preserve"> </w:t>
      </w:r>
      <w:r w:rsidRPr="00036FAC">
        <w:t>providers</w:t>
      </w:r>
      <w:r w:rsidR="00907D8C">
        <w:t xml:space="preserve"> </w:t>
      </w:r>
      <w:r w:rsidRPr="00036FAC">
        <w:t>to</w:t>
      </w:r>
      <w:r w:rsidR="00907D8C">
        <w:t xml:space="preserve"> </w:t>
      </w:r>
      <w:r w:rsidRPr="00036FAC">
        <w:t>support</w:t>
      </w:r>
      <w:r w:rsidR="00907D8C">
        <w:t xml:space="preserve"> </w:t>
      </w:r>
      <w:r w:rsidRPr="00036FAC">
        <w:t>prisoners</w:t>
      </w:r>
      <w:r w:rsidR="00907D8C">
        <w:t xml:space="preserve"> </w:t>
      </w:r>
      <w:r w:rsidRPr="00036FAC">
        <w:t>in</w:t>
      </w:r>
      <w:r w:rsidR="00907D8C">
        <w:t xml:space="preserve"> </w:t>
      </w:r>
      <w:r w:rsidRPr="00036FAC">
        <w:t>working</w:t>
      </w:r>
      <w:r w:rsidR="00907D8C">
        <w:t xml:space="preserve"> </w:t>
      </w:r>
      <w:r w:rsidRPr="00036FAC">
        <w:t>towards</w:t>
      </w:r>
      <w:r w:rsidR="00907D8C">
        <w:t xml:space="preserve"> </w:t>
      </w:r>
      <w:r w:rsidRPr="00036FAC">
        <w:t>a</w:t>
      </w:r>
      <w:r w:rsidR="00907D8C">
        <w:t xml:space="preserve"> </w:t>
      </w:r>
      <w:r w:rsidRPr="00036FAC">
        <w:t>responsible</w:t>
      </w:r>
      <w:r w:rsidR="00907D8C">
        <w:t xml:space="preserve"> </w:t>
      </w:r>
      <w:r w:rsidRPr="00036FAC">
        <w:t>and</w:t>
      </w:r>
      <w:r w:rsidR="00907D8C">
        <w:t xml:space="preserve"> </w:t>
      </w:r>
      <w:r w:rsidRPr="00036FAC">
        <w:t>pro-social</w:t>
      </w:r>
      <w:r w:rsidR="00907D8C">
        <w:t xml:space="preserve"> </w:t>
      </w:r>
      <w:r w:rsidRPr="00036FAC">
        <w:t>life</w:t>
      </w:r>
      <w:r w:rsidR="00907D8C">
        <w:t xml:space="preserve"> </w:t>
      </w:r>
      <w:r w:rsidRPr="00036FAC">
        <w:t>in</w:t>
      </w:r>
      <w:r w:rsidR="00907D8C">
        <w:t xml:space="preserve"> </w:t>
      </w:r>
      <w:r w:rsidRPr="00036FAC">
        <w:t>the</w:t>
      </w:r>
      <w:r w:rsidR="00907D8C">
        <w:t xml:space="preserve"> </w:t>
      </w:r>
      <w:r w:rsidRPr="00036FAC">
        <w:t>community.</w:t>
      </w:r>
    </w:p>
    <w:p w:rsidR="00036FAC" w:rsidRPr="00036FAC" w:rsidRDefault="00036FAC" w:rsidP="00CB1E9A">
      <w:pPr>
        <w:pStyle w:val="Bullet1G"/>
      </w:pPr>
      <w:r w:rsidRPr="009A16A2">
        <w:rPr>
          <w:i/>
        </w:rPr>
        <w:t>Whānau</w:t>
      </w:r>
      <w:r w:rsidR="00907D8C" w:rsidRPr="009A16A2">
        <w:rPr>
          <w:i/>
        </w:rPr>
        <w:t xml:space="preserve"> </w:t>
      </w:r>
      <w:r w:rsidRPr="009A16A2">
        <w:rPr>
          <w:i/>
        </w:rPr>
        <w:t>Liaison</w:t>
      </w:r>
      <w:r w:rsidR="00907D8C" w:rsidRPr="009A16A2">
        <w:rPr>
          <w:i/>
        </w:rPr>
        <w:t xml:space="preserve"> </w:t>
      </w:r>
      <w:r w:rsidRPr="009A16A2">
        <w:rPr>
          <w:i/>
        </w:rPr>
        <w:t>Workers</w:t>
      </w:r>
      <w:r w:rsidRPr="00036FAC">
        <w:t>:</w:t>
      </w:r>
      <w:r w:rsidR="00907D8C">
        <w:t xml:space="preserve"> </w:t>
      </w:r>
      <w:r w:rsidRPr="00036FAC">
        <w:t>There</w:t>
      </w:r>
      <w:r w:rsidR="00907D8C">
        <w:t xml:space="preserve"> </w:t>
      </w:r>
      <w:r w:rsidRPr="00036FAC">
        <w:t>is</w:t>
      </w:r>
      <w:r w:rsidR="00907D8C">
        <w:t xml:space="preserve"> </w:t>
      </w:r>
      <w:r w:rsidRPr="00036FAC">
        <w:t>a</w:t>
      </w:r>
      <w:r w:rsidR="00907D8C">
        <w:t xml:space="preserve"> </w:t>
      </w:r>
      <w:r w:rsidRPr="00036FAC">
        <w:t>Whānau</w:t>
      </w:r>
      <w:r w:rsidR="00907D8C">
        <w:t xml:space="preserve"> </w:t>
      </w:r>
      <w:r w:rsidRPr="00036FAC">
        <w:t>Liaison</w:t>
      </w:r>
      <w:r w:rsidR="00907D8C">
        <w:t xml:space="preserve"> </w:t>
      </w:r>
      <w:r w:rsidRPr="00036FAC">
        <w:t>Worker</w:t>
      </w:r>
      <w:r w:rsidR="00907D8C">
        <w:t xml:space="preserve"> </w:t>
      </w:r>
      <w:r w:rsidRPr="00036FAC">
        <w:t>attached</w:t>
      </w:r>
      <w:r w:rsidR="00907D8C">
        <w:t xml:space="preserve"> </w:t>
      </w:r>
      <w:r w:rsidRPr="00036FAC">
        <w:t>to</w:t>
      </w:r>
      <w:r w:rsidR="00907D8C">
        <w:t xml:space="preserve"> </w:t>
      </w:r>
      <w:r w:rsidRPr="00036FAC">
        <w:t>each</w:t>
      </w:r>
      <w:r w:rsidR="00907D8C">
        <w:t xml:space="preserve"> </w:t>
      </w:r>
      <w:r w:rsidRPr="00036FAC">
        <w:t>Māori</w:t>
      </w:r>
      <w:r w:rsidR="00907D8C">
        <w:t xml:space="preserve"> </w:t>
      </w:r>
      <w:r w:rsidRPr="00036FAC">
        <w:t>Focus</w:t>
      </w:r>
      <w:r w:rsidR="00907D8C">
        <w:t xml:space="preserve"> </w:t>
      </w:r>
      <w:r w:rsidRPr="00036FAC">
        <w:t>Unit.</w:t>
      </w:r>
      <w:r w:rsidR="00907D8C">
        <w:t xml:space="preserve"> </w:t>
      </w:r>
      <w:r w:rsidRPr="00036FAC">
        <w:t>These</w:t>
      </w:r>
      <w:r w:rsidR="00907D8C">
        <w:t xml:space="preserve"> </w:t>
      </w:r>
      <w:r w:rsidRPr="00036FAC">
        <w:t>workers</w:t>
      </w:r>
      <w:r w:rsidR="00907D8C">
        <w:t xml:space="preserve"> </w:t>
      </w:r>
      <w:r w:rsidRPr="00036FAC">
        <w:t>play</w:t>
      </w:r>
      <w:r w:rsidR="00907D8C">
        <w:t xml:space="preserve"> </w:t>
      </w:r>
      <w:r w:rsidRPr="00036FAC">
        <w:t>a</w:t>
      </w:r>
      <w:r w:rsidR="00907D8C">
        <w:t xml:space="preserve"> </w:t>
      </w:r>
      <w:r w:rsidRPr="00036FAC">
        <w:t>critical</w:t>
      </w:r>
      <w:r w:rsidR="00907D8C">
        <w:t xml:space="preserve"> </w:t>
      </w:r>
      <w:r w:rsidRPr="00036FAC">
        <w:t>role</w:t>
      </w:r>
      <w:r w:rsidR="00907D8C">
        <w:t xml:space="preserve"> </w:t>
      </w:r>
      <w:r w:rsidRPr="00036FAC">
        <w:t>in</w:t>
      </w:r>
      <w:r w:rsidR="00907D8C">
        <w:t xml:space="preserve"> </w:t>
      </w:r>
      <w:r w:rsidRPr="00036FAC">
        <w:t>establishing</w:t>
      </w:r>
      <w:r w:rsidR="00907D8C">
        <w:t xml:space="preserve"> </w:t>
      </w:r>
      <w:r w:rsidRPr="00036FAC">
        <w:t>links</w:t>
      </w:r>
      <w:r w:rsidR="00907D8C">
        <w:t xml:space="preserve"> </w:t>
      </w:r>
      <w:r w:rsidRPr="00036FAC">
        <w:t>between</w:t>
      </w:r>
      <w:r w:rsidR="00907D8C">
        <w:t xml:space="preserve"> </w:t>
      </w:r>
      <w:r w:rsidRPr="00036FAC">
        <w:t>prisoners,</w:t>
      </w:r>
      <w:r w:rsidR="00907D8C">
        <w:t xml:space="preserve"> </w:t>
      </w:r>
      <w:r w:rsidRPr="00036FAC">
        <w:t>their</w:t>
      </w:r>
      <w:r w:rsidR="00907D8C">
        <w:t xml:space="preserve"> </w:t>
      </w:r>
      <w:r w:rsidRPr="00036FAC">
        <w:t>whānau</w:t>
      </w:r>
      <w:r w:rsidR="00907D8C">
        <w:t xml:space="preserve"> </w:t>
      </w:r>
      <w:r w:rsidRPr="00036FAC">
        <w:t>(family</w:t>
      </w:r>
      <w:r w:rsidR="00907D8C">
        <w:t xml:space="preserve"> </w:t>
      </w:r>
      <w:r w:rsidRPr="00036FAC">
        <w:t>group),</w:t>
      </w:r>
      <w:r w:rsidR="00907D8C">
        <w:t xml:space="preserve"> </w:t>
      </w:r>
      <w:r w:rsidRPr="00036FAC">
        <w:t>hapū</w:t>
      </w:r>
      <w:r w:rsidR="00907D8C">
        <w:t xml:space="preserve"> </w:t>
      </w:r>
      <w:r w:rsidRPr="00036FAC">
        <w:t>and</w:t>
      </w:r>
      <w:r w:rsidR="00907D8C">
        <w:t xml:space="preserve"> </w:t>
      </w:r>
      <w:r w:rsidRPr="00036FAC">
        <w:t>iwi,</w:t>
      </w:r>
      <w:r w:rsidR="00907D8C">
        <w:t xml:space="preserve"> </w:t>
      </w:r>
      <w:r w:rsidRPr="00036FAC">
        <w:t>and</w:t>
      </w:r>
      <w:r w:rsidR="00907D8C">
        <w:t xml:space="preserve"> </w:t>
      </w:r>
      <w:r w:rsidRPr="00036FAC">
        <w:t>the</w:t>
      </w:r>
      <w:r w:rsidR="00907D8C">
        <w:t xml:space="preserve"> </w:t>
      </w:r>
      <w:r w:rsidRPr="00036FAC">
        <w:t>local</w:t>
      </w:r>
      <w:r w:rsidR="00907D8C">
        <w:t xml:space="preserve"> </w:t>
      </w:r>
      <w:r w:rsidRPr="00036FAC">
        <w:t>Māori</w:t>
      </w:r>
      <w:r w:rsidR="00907D8C">
        <w:t xml:space="preserve"> </w:t>
      </w:r>
      <w:r w:rsidRPr="00036FAC">
        <w:t>community</w:t>
      </w:r>
      <w:r w:rsidR="00907D8C">
        <w:t xml:space="preserve"> </w:t>
      </w:r>
      <w:r w:rsidRPr="00036FAC">
        <w:t>before</w:t>
      </w:r>
      <w:r w:rsidR="00907D8C">
        <w:t xml:space="preserve"> </w:t>
      </w:r>
      <w:r w:rsidRPr="00036FAC">
        <w:t>release.</w:t>
      </w:r>
      <w:r w:rsidR="00907D8C">
        <w:t xml:space="preserve"> </w:t>
      </w:r>
      <w:r w:rsidRPr="00036FAC">
        <w:t>Whānau</w:t>
      </w:r>
      <w:r w:rsidR="00907D8C">
        <w:t xml:space="preserve"> </w:t>
      </w:r>
      <w:r w:rsidRPr="00036FAC">
        <w:t>Liaison</w:t>
      </w:r>
      <w:r w:rsidR="00907D8C">
        <w:t xml:space="preserve"> </w:t>
      </w:r>
      <w:r w:rsidRPr="00036FAC">
        <w:t>Workers</w:t>
      </w:r>
      <w:r w:rsidR="00907D8C">
        <w:t xml:space="preserve"> </w:t>
      </w:r>
      <w:r w:rsidRPr="00036FAC">
        <w:t>work</w:t>
      </w:r>
      <w:r w:rsidR="00907D8C">
        <w:t xml:space="preserve"> </w:t>
      </w:r>
      <w:r w:rsidRPr="00036FAC">
        <w:t>directly</w:t>
      </w:r>
      <w:r w:rsidR="00907D8C">
        <w:t xml:space="preserve"> </w:t>
      </w:r>
      <w:r w:rsidRPr="00036FAC">
        <w:t>with</w:t>
      </w:r>
      <w:r w:rsidR="00907D8C">
        <w:t xml:space="preserve"> </w:t>
      </w:r>
      <w:r w:rsidRPr="00036FAC">
        <w:t>an</w:t>
      </w:r>
      <w:r w:rsidR="00907D8C">
        <w:t xml:space="preserve"> </w:t>
      </w:r>
      <w:r w:rsidRPr="00036FAC">
        <w:t>offender</w:t>
      </w:r>
      <w:r w:rsidR="003E4D94">
        <w:t>’</w:t>
      </w:r>
      <w:r w:rsidRPr="00036FAC">
        <w:t>s</w:t>
      </w:r>
      <w:r w:rsidR="00907D8C">
        <w:t xml:space="preserve"> </w:t>
      </w:r>
      <w:r w:rsidRPr="00036FAC">
        <w:t>whānau</w:t>
      </w:r>
      <w:r w:rsidR="00907D8C">
        <w:t xml:space="preserve"> </w:t>
      </w:r>
      <w:r w:rsidRPr="00036FAC">
        <w:t>by</w:t>
      </w:r>
      <w:r w:rsidR="00907D8C">
        <w:t xml:space="preserve"> </w:t>
      </w:r>
      <w:r w:rsidRPr="00036FAC">
        <w:t>putting</w:t>
      </w:r>
      <w:r w:rsidR="00907D8C">
        <w:t xml:space="preserve"> </w:t>
      </w:r>
      <w:r w:rsidRPr="00036FAC">
        <w:t>in</w:t>
      </w:r>
      <w:r w:rsidR="00907D8C">
        <w:t xml:space="preserve"> </w:t>
      </w:r>
      <w:r w:rsidRPr="00036FAC">
        <w:t>place</w:t>
      </w:r>
      <w:r w:rsidR="00907D8C">
        <w:t xml:space="preserve"> </w:t>
      </w:r>
      <w:r w:rsidRPr="00036FAC">
        <w:t>strategies</w:t>
      </w:r>
      <w:r w:rsidR="00907D8C">
        <w:t xml:space="preserve"> </w:t>
      </w:r>
      <w:r w:rsidRPr="00036FAC">
        <w:t>to</w:t>
      </w:r>
      <w:r w:rsidR="00907D8C">
        <w:t xml:space="preserve"> </w:t>
      </w:r>
      <w:r w:rsidRPr="00036FAC">
        <w:t>resolve</w:t>
      </w:r>
      <w:r w:rsidR="00907D8C">
        <w:t xml:space="preserve"> </w:t>
      </w:r>
      <w:r w:rsidRPr="00036FAC">
        <w:t>or</w:t>
      </w:r>
      <w:r w:rsidR="00907D8C">
        <w:t xml:space="preserve"> </w:t>
      </w:r>
      <w:r w:rsidRPr="00036FAC">
        <w:t>manage</w:t>
      </w:r>
      <w:r w:rsidR="00907D8C">
        <w:t xml:space="preserve"> </w:t>
      </w:r>
      <w:r w:rsidRPr="00036FAC">
        <w:t>identified</w:t>
      </w:r>
      <w:r w:rsidR="00907D8C">
        <w:t xml:space="preserve"> </w:t>
      </w:r>
      <w:r w:rsidRPr="00036FAC">
        <w:t>reintegrative</w:t>
      </w:r>
      <w:r w:rsidR="00907D8C">
        <w:t xml:space="preserve"> </w:t>
      </w:r>
      <w:r w:rsidRPr="00036FAC">
        <w:t>issues.</w:t>
      </w:r>
    </w:p>
    <w:p w:rsidR="00036FAC" w:rsidRPr="00036FAC" w:rsidRDefault="00036FAC" w:rsidP="00CB1E9A">
      <w:pPr>
        <w:pStyle w:val="Bullet1G"/>
      </w:pPr>
      <w:r w:rsidRPr="009A16A2">
        <w:rPr>
          <w:i/>
        </w:rPr>
        <w:t>Kaitiaki</w:t>
      </w:r>
      <w:r w:rsidRPr="00036FAC">
        <w:t>:</w:t>
      </w:r>
      <w:r w:rsidR="00907D8C">
        <w:t xml:space="preserve"> </w:t>
      </w:r>
      <w:r w:rsidRPr="00036FAC">
        <w:t>Kaitiaki</w:t>
      </w:r>
      <w:r w:rsidR="00907D8C">
        <w:t xml:space="preserve"> </w:t>
      </w:r>
      <w:r w:rsidRPr="00036FAC">
        <w:t>(guardians)</w:t>
      </w:r>
      <w:r w:rsidR="00907D8C">
        <w:t xml:space="preserve"> </w:t>
      </w:r>
      <w:r w:rsidRPr="00036FAC">
        <w:t>are</w:t>
      </w:r>
      <w:r w:rsidR="00907D8C">
        <w:t xml:space="preserve"> </w:t>
      </w:r>
      <w:r w:rsidRPr="00036FAC">
        <w:t>Māori</w:t>
      </w:r>
      <w:r w:rsidR="00907D8C">
        <w:t xml:space="preserve"> </w:t>
      </w:r>
      <w:r w:rsidRPr="00036FAC">
        <w:t>groups</w:t>
      </w:r>
      <w:r w:rsidR="00907D8C">
        <w:t xml:space="preserve"> </w:t>
      </w:r>
      <w:r w:rsidRPr="00036FAC">
        <w:t>from</w:t>
      </w:r>
      <w:r w:rsidR="00907D8C">
        <w:t xml:space="preserve"> </w:t>
      </w:r>
      <w:r w:rsidRPr="00036FAC">
        <w:t>the</w:t>
      </w:r>
      <w:r w:rsidR="00907D8C">
        <w:t xml:space="preserve"> </w:t>
      </w:r>
      <w:r w:rsidRPr="00036FAC">
        <w:t>areas</w:t>
      </w:r>
      <w:r w:rsidR="00907D8C">
        <w:t xml:space="preserve"> </w:t>
      </w:r>
      <w:r w:rsidRPr="00036FAC">
        <w:t>in</w:t>
      </w:r>
      <w:r w:rsidR="00907D8C">
        <w:t xml:space="preserve"> </w:t>
      </w:r>
      <w:r w:rsidRPr="00036FAC">
        <w:t>which</w:t>
      </w:r>
      <w:r w:rsidR="00907D8C">
        <w:t xml:space="preserve"> </w:t>
      </w:r>
      <w:r w:rsidRPr="00036FAC">
        <w:t>four</w:t>
      </w:r>
      <w:r w:rsidR="00907D8C">
        <w:t xml:space="preserve"> </w:t>
      </w:r>
      <w:r w:rsidRPr="00036FAC">
        <w:t>new</w:t>
      </w:r>
      <w:r w:rsidR="00907D8C">
        <w:t xml:space="preserve"> </w:t>
      </w:r>
      <w:r w:rsidRPr="00036FAC">
        <w:t>regional</w:t>
      </w:r>
      <w:r w:rsidR="00907D8C">
        <w:t xml:space="preserve"> </w:t>
      </w:r>
      <w:r w:rsidRPr="00036FAC">
        <w:t>corrections</w:t>
      </w:r>
      <w:r w:rsidR="00907D8C">
        <w:t xml:space="preserve"> </w:t>
      </w:r>
      <w:r w:rsidRPr="00036FAC">
        <w:t>facilities</w:t>
      </w:r>
      <w:r w:rsidR="00907D8C">
        <w:t xml:space="preserve"> </w:t>
      </w:r>
      <w:r w:rsidRPr="00036FAC">
        <w:t>have</w:t>
      </w:r>
      <w:r w:rsidR="00907D8C">
        <w:t xml:space="preserve"> </w:t>
      </w:r>
      <w:r w:rsidRPr="00036FAC">
        <w:t>been</w:t>
      </w:r>
      <w:r w:rsidR="00907D8C">
        <w:t xml:space="preserve"> </w:t>
      </w:r>
      <w:r w:rsidRPr="00036FAC">
        <w:t>established.</w:t>
      </w:r>
      <w:r w:rsidR="00907D8C">
        <w:t xml:space="preserve"> </w:t>
      </w:r>
      <w:r w:rsidRPr="00036FAC">
        <w:t>Kaitiaki</w:t>
      </w:r>
      <w:r w:rsidR="00907D8C">
        <w:t xml:space="preserve"> </w:t>
      </w:r>
      <w:r w:rsidRPr="00036FAC">
        <w:t>are</w:t>
      </w:r>
      <w:r w:rsidR="00907D8C">
        <w:t xml:space="preserve"> </w:t>
      </w:r>
      <w:r w:rsidRPr="00036FAC">
        <w:t>actively</w:t>
      </w:r>
      <w:r w:rsidR="00907D8C">
        <w:t xml:space="preserve"> </w:t>
      </w:r>
      <w:r w:rsidRPr="00036FAC">
        <w:t>involved</w:t>
      </w:r>
      <w:r w:rsidR="00907D8C">
        <w:t xml:space="preserve"> </w:t>
      </w:r>
      <w:r w:rsidRPr="00036FAC">
        <w:t>in</w:t>
      </w:r>
      <w:r w:rsidR="00907D8C">
        <w:t xml:space="preserve"> </w:t>
      </w:r>
      <w:r w:rsidRPr="00036FAC">
        <w:t>supporting</w:t>
      </w:r>
      <w:r w:rsidR="00907D8C">
        <w:t xml:space="preserve"> </w:t>
      </w:r>
      <w:r w:rsidRPr="00036FAC">
        <w:t>the</w:t>
      </w:r>
      <w:r w:rsidR="00907D8C">
        <w:t xml:space="preserve"> </w:t>
      </w:r>
      <w:r w:rsidRPr="00036FAC">
        <w:t>reception,</w:t>
      </w:r>
      <w:r w:rsidR="00907D8C">
        <w:t xml:space="preserve"> </w:t>
      </w:r>
      <w:r w:rsidRPr="00036FAC">
        <w:t>rehabilitation,</w:t>
      </w:r>
      <w:r w:rsidR="00907D8C">
        <w:t xml:space="preserve"> </w:t>
      </w:r>
      <w:r w:rsidRPr="00036FAC">
        <w:t>and</w:t>
      </w:r>
      <w:r w:rsidR="00907D8C">
        <w:t xml:space="preserve"> </w:t>
      </w:r>
      <w:r w:rsidRPr="00036FAC">
        <w:t>reintegration</w:t>
      </w:r>
      <w:r w:rsidR="00907D8C">
        <w:t xml:space="preserve"> </w:t>
      </w:r>
      <w:r w:rsidRPr="00036FAC">
        <w:t>of</w:t>
      </w:r>
      <w:r w:rsidR="00907D8C">
        <w:t xml:space="preserve"> </w:t>
      </w:r>
      <w:r w:rsidRPr="00036FAC">
        <w:t>Māori</w:t>
      </w:r>
      <w:r w:rsidR="00907D8C">
        <w:t xml:space="preserve"> </w:t>
      </w:r>
      <w:r w:rsidRPr="00036FAC">
        <w:t>prisoners,</w:t>
      </w:r>
      <w:r w:rsidR="00907D8C">
        <w:t xml:space="preserve"> </w:t>
      </w:r>
      <w:r w:rsidRPr="00036FAC">
        <w:t>including</w:t>
      </w:r>
      <w:r w:rsidR="00907D8C">
        <w:t xml:space="preserve"> </w:t>
      </w:r>
      <w:r w:rsidRPr="00036FAC">
        <w:t>the</w:t>
      </w:r>
      <w:r w:rsidR="00907D8C">
        <w:t xml:space="preserve"> </w:t>
      </w:r>
      <w:r w:rsidRPr="00036FAC">
        <w:t>involvement</w:t>
      </w:r>
      <w:r w:rsidR="00907D8C">
        <w:t xml:space="preserve"> </w:t>
      </w:r>
      <w:r w:rsidRPr="00036FAC">
        <w:t>of</w:t>
      </w:r>
      <w:r w:rsidR="00907D8C">
        <w:t xml:space="preserve"> </w:t>
      </w:r>
      <w:r w:rsidRPr="00036FAC">
        <w:t>prisoners</w:t>
      </w:r>
      <w:r w:rsidR="003E4D94">
        <w:t>’</w:t>
      </w:r>
      <w:r w:rsidR="00907D8C">
        <w:t xml:space="preserve"> </w:t>
      </w:r>
      <w:r w:rsidRPr="00036FAC">
        <w:t>families.</w:t>
      </w:r>
      <w:r w:rsidR="00907D8C">
        <w:t xml:space="preserve"> </w:t>
      </w:r>
      <w:r w:rsidRPr="00036FAC">
        <w:t>Kaitiaki</w:t>
      </w:r>
      <w:r w:rsidR="00907D8C">
        <w:t xml:space="preserve"> </w:t>
      </w:r>
      <w:r w:rsidRPr="00036FAC">
        <w:t>also</w:t>
      </w:r>
      <w:r w:rsidR="00907D8C">
        <w:t xml:space="preserve"> </w:t>
      </w:r>
      <w:r w:rsidRPr="00036FAC">
        <w:t>take</w:t>
      </w:r>
      <w:r w:rsidR="00907D8C">
        <w:t xml:space="preserve"> </w:t>
      </w:r>
      <w:r w:rsidRPr="00036FAC">
        <w:t>part</w:t>
      </w:r>
      <w:r w:rsidR="00907D8C">
        <w:t xml:space="preserve"> </w:t>
      </w:r>
      <w:r w:rsidRPr="00036FAC">
        <w:t>in</w:t>
      </w:r>
      <w:r w:rsidR="00907D8C">
        <w:t xml:space="preserve"> </w:t>
      </w:r>
      <w:r w:rsidRPr="00036FAC">
        <w:t>the</w:t>
      </w:r>
      <w:r w:rsidR="00907D8C">
        <w:t xml:space="preserve"> </w:t>
      </w:r>
      <w:r w:rsidRPr="00036FAC">
        <w:t>recruitment</w:t>
      </w:r>
      <w:r w:rsidR="00907D8C">
        <w:t xml:space="preserve"> </w:t>
      </w:r>
      <w:r w:rsidRPr="00036FAC">
        <w:t>and</w:t>
      </w:r>
      <w:r w:rsidR="00907D8C">
        <w:t xml:space="preserve"> </w:t>
      </w:r>
      <w:r w:rsidRPr="00036FAC">
        <w:t>training</w:t>
      </w:r>
      <w:r w:rsidR="00907D8C">
        <w:t xml:space="preserve"> </w:t>
      </w:r>
      <w:r w:rsidRPr="00036FAC">
        <w:t>of</w:t>
      </w:r>
      <w:r w:rsidR="00907D8C">
        <w:t xml:space="preserve"> </w:t>
      </w:r>
      <w:r w:rsidRPr="00036FAC">
        <w:t>Corrections</w:t>
      </w:r>
      <w:r w:rsidR="00907D8C">
        <w:t xml:space="preserve"> </w:t>
      </w:r>
      <w:r w:rsidR="00CB1E9A">
        <w:t>staff.</w:t>
      </w:r>
    </w:p>
    <w:p w:rsidR="006703B8" w:rsidRDefault="00036FAC" w:rsidP="00CB1E9A">
      <w:pPr>
        <w:pStyle w:val="Bullet1G"/>
      </w:pPr>
      <w:r w:rsidRPr="009A16A2">
        <w:rPr>
          <w:i/>
        </w:rPr>
        <w:t>Kōwhiritanga</w:t>
      </w:r>
      <w:r w:rsidRPr="00036FAC">
        <w:t>:</w:t>
      </w:r>
      <w:r w:rsidR="00907D8C">
        <w:t xml:space="preserve"> </w:t>
      </w:r>
      <w:r w:rsidRPr="00036FAC">
        <w:t>The</w:t>
      </w:r>
      <w:r w:rsidR="00907D8C">
        <w:t xml:space="preserve"> </w:t>
      </w:r>
      <w:r w:rsidRPr="00036FAC">
        <w:t>Kōwhiritanga</w:t>
      </w:r>
      <w:r w:rsidR="00907D8C">
        <w:t xml:space="preserve"> </w:t>
      </w:r>
      <w:r w:rsidRPr="00036FAC">
        <w:t>(making</w:t>
      </w:r>
      <w:r w:rsidR="00907D8C">
        <w:t xml:space="preserve"> </w:t>
      </w:r>
      <w:r w:rsidRPr="00036FAC">
        <w:t>choices)</w:t>
      </w:r>
      <w:r w:rsidR="00907D8C">
        <w:t xml:space="preserve"> </w:t>
      </w:r>
      <w:r w:rsidRPr="00036FAC">
        <w:t>programme</w:t>
      </w:r>
      <w:r w:rsidR="00907D8C">
        <w:t xml:space="preserve"> </w:t>
      </w:r>
      <w:r w:rsidRPr="00036FAC">
        <w:t>is</w:t>
      </w:r>
      <w:r w:rsidR="00907D8C">
        <w:t xml:space="preserve"> </w:t>
      </w:r>
      <w:r w:rsidRPr="00036FAC">
        <w:t>designed</w:t>
      </w:r>
      <w:r w:rsidR="00907D8C">
        <w:t xml:space="preserve"> </w:t>
      </w:r>
      <w:r w:rsidRPr="00036FAC">
        <w:t>to</w:t>
      </w:r>
      <w:r w:rsidR="00907D8C">
        <w:t xml:space="preserve"> </w:t>
      </w:r>
      <w:r w:rsidRPr="00036FAC">
        <w:t>help</w:t>
      </w:r>
      <w:r w:rsidR="00907D8C">
        <w:t xml:space="preserve"> </w:t>
      </w:r>
      <w:r w:rsidRPr="00036FAC">
        <w:t>women</w:t>
      </w:r>
      <w:r w:rsidR="00907D8C">
        <w:t xml:space="preserve"> </w:t>
      </w:r>
      <w:r w:rsidRPr="00036FAC">
        <w:t>offenders</w:t>
      </w:r>
      <w:r w:rsidR="00907D8C">
        <w:t xml:space="preserve"> </w:t>
      </w:r>
      <w:r w:rsidRPr="00036FAC">
        <w:t>examine</w:t>
      </w:r>
      <w:r w:rsidR="00907D8C">
        <w:t xml:space="preserve"> </w:t>
      </w:r>
      <w:r w:rsidRPr="00036FAC">
        <w:t>the</w:t>
      </w:r>
      <w:r w:rsidR="00907D8C">
        <w:t xml:space="preserve"> </w:t>
      </w:r>
      <w:r w:rsidRPr="00036FAC">
        <w:t>causes</w:t>
      </w:r>
      <w:r w:rsidR="00907D8C">
        <w:t xml:space="preserve"> </w:t>
      </w:r>
      <w:r w:rsidRPr="00036FAC">
        <w:t>of</w:t>
      </w:r>
      <w:r w:rsidR="00907D8C">
        <w:t xml:space="preserve"> </w:t>
      </w:r>
      <w:r w:rsidRPr="00036FAC">
        <w:t>their</w:t>
      </w:r>
      <w:r w:rsidR="00907D8C">
        <w:t xml:space="preserve"> </w:t>
      </w:r>
      <w:r w:rsidRPr="00036FAC">
        <w:t>offending</w:t>
      </w:r>
      <w:r w:rsidR="00907D8C">
        <w:t xml:space="preserve"> </w:t>
      </w:r>
      <w:r w:rsidRPr="00036FAC">
        <w:t>and</w:t>
      </w:r>
      <w:r w:rsidR="00907D8C">
        <w:t xml:space="preserve"> </w:t>
      </w:r>
      <w:r w:rsidRPr="00036FAC">
        <w:t>develop</w:t>
      </w:r>
      <w:r w:rsidR="00907D8C">
        <w:t xml:space="preserve"> </w:t>
      </w:r>
      <w:r w:rsidRPr="00036FAC">
        <w:t>specific</w:t>
      </w:r>
      <w:r w:rsidR="00907D8C">
        <w:t xml:space="preserve"> </w:t>
      </w:r>
      <w:r w:rsidRPr="00036FAC">
        <w:t>skills</w:t>
      </w:r>
      <w:r w:rsidR="00907D8C">
        <w:t xml:space="preserve"> </w:t>
      </w:r>
      <w:r w:rsidRPr="00036FAC">
        <w:t>to</w:t>
      </w:r>
      <w:r w:rsidR="00907D8C">
        <w:t xml:space="preserve"> </w:t>
      </w:r>
      <w:r w:rsidRPr="00036FAC">
        <w:t>prevent</w:t>
      </w:r>
      <w:r w:rsidR="00907D8C">
        <w:t xml:space="preserve"> </w:t>
      </w:r>
      <w:r w:rsidRPr="00036FAC">
        <w:t>them</w:t>
      </w:r>
      <w:r w:rsidR="00907D8C">
        <w:t xml:space="preserve"> </w:t>
      </w:r>
      <w:r w:rsidRPr="00036FAC">
        <w:t>from</w:t>
      </w:r>
      <w:r w:rsidR="00907D8C">
        <w:t xml:space="preserve"> </w:t>
      </w:r>
      <w:r w:rsidRPr="00036FAC">
        <w:t>re-offending.</w:t>
      </w:r>
      <w:r w:rsidR="00907D8C">
        <w:t xml:space="preserve"> </w:t>
      </w:r>
      <w:r w:rsidRPr="00036FAC">
        <w:t>The</w:t>
      </w:r>
      <w:r w:rsidR="00907D8C">
        <w:t xml:space="preserve"> </w:t>
      </w:r>
      <w:r w:rsidRPr="00036FAC">
        <w:t>programme</w:t>
      </w:r>
      <w:r w:rsidR="00907D8C">
        <w:t xml:space="preserve"> </w:t>
      </w:r>
      <w:r w:rsidRPr="00036FAC">
        <w:t>draws</w:t>
      </w:r>
      <w:r w:rsidR="00907D8C">
        <w:t xml:space="preserve"> </w:t>
      </w:r>
      <w:r w:rsidRPr="00036FAC">
        <w:t>on</w:t>
      </w:r>
      <w:r w:rsidR="00907D8C">
        <w:t xml:space="preserve"> </w:t>
      </w:r>
      <w:r w:rsidRPr="00036FAC">
        <w:t>western</w:t>
      </w:r>
      <w:r w:rsidR="00907D8C">
        <w:t xml:space="preserve"> </w:t>
      </w:r>
      <w:r w:rsidRPr="00036FAC">
        <w:t>therapies</w:t>
      </w:r>
      <w:r w:rsidR="00907D8C">
        <w:t xml:space="preserve"> </w:t>
      </w:r>
      <w:r w:rsidRPr="00036FAC">
        <w:t>and</w:t>
      </w:r>
      <w:r w:rsidR="00907D8C">
        <w:t xml:space="preserve"> </w:t>
      </w:r>
      <w:r w:rsidRPr="00036FAC">
        <w:t>is</w:t>
      </w:r>
      <w:r w:rsidR="00907D8C">
        <w:t xml:space="preserve"> </w:t>
      </w:r>
      <w:r w:rsidRPr="00036FAC">
        <w:t>designed</w:t>
      </w:r>
      <w:r w:rsidR="00907D8C">
        <w:t xml:space="preserve"> </w:t>
      </w:r>
      <w:r w:rsidRPr="00036FAC">
        <w:t>to</w:t>
      </w:r>
      <w:r w:rsidR="00907D8C">
        <w:t xml:space="preserve"> </w:t>
      </w:r>
      <w:r w:rsidRPr="00036FAC">
        <w:t>be</w:t>
      </w:r>
      <w:r w:rsidR="00907D8C">
        <w:t xml:space="preserve"> </w:t>
      </w:r>
      <w:r w:rsidRPr="00036FAC">
        <w:t>responsive</w:t>
      </w:r>
      <w:r w:rsidR="00907D8C">
        <w:t xml:space="preserve"> </w:t>
      </w:r>
      <w:r w:rsidRPr="00036FAC">
        <w:t>to</w:t>
      </w:r>
      <w:r w:rsidR="00907D8C">
        <w:t xml:space="preserve"> </w:t>
      </w:r>
      <w:r w:rsidRPr="00036FAC">
        <w:t>Māori</w:t>
      </w:r>
      <w:r w:rsidR="00907D8C">
        <w:t xml:space="preserve"> </w:t>
      </w:r>
      <w:r w:rsidRPr="00036FAC">
        <w:t>wo</w:t>
      </w:r>
      <w:r w:rsidR="00CB1E9A">
        <w:t>men.</w:t>
      </w:r>
    </w:p>
    <w:p w:rsidR="00FD2A47" w:rsidRDefault="00FD2A47" w:rsidP="00FD2A47">
      <w:pPr>
        <w:pStyle w:val="SingleTxtG"/>
        <w:sectPr w:rsidR="00FD2A47" w:rsidSect="002656B8">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1701" w:right="1134" w:bottom="2268" w:left="1134" w:header="1134" w:footer="1701" w:gutter="0"/>
          <w:cols w:space="720"/>
          <w:titlePg/>
          <w:docGrid w:linePitch="272"/>
        </w:sectPr>
      </w:pPr>
    </w:p>
    <w:p w:rsidR="00925259" w:rsidRDefault="00925259" w:rsidP="00925259">
      <w:pPr>
        <w:pStyle w:val="HChG"/>
      </w:pPr>
      <w:r>
        <w:t>Annex</w:t>
      </w:r>
    </w:p>
    <w:p w:rsidR="00925259" w:rsidRDefault="00925259" w:rsidP="007B3F5F">
      <w:pPr>
        <w:pStyle w:val="HChG"/>
      </w:pPr>
      <w:r>
        <w:tab/>
      </w:r>
      <w:r>
        <w:tab/>
        <w:t>Status of ratification of international instruments related to human rights</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83"/>
        <w:gridCol w:w="35"/>
        <w:gridCol w:w="10841"/>
      </w:tblGrid>
      <w:tr w:rsidR="00925259" w:rsidRPr="00115CCB" w:rsidTr="00396CD4">
        <w:tblPrEx>
          <w:tblCellMar>
            <w:top w:w="0" w:type="dxa"/>
            <w:bottom w:w="0" w:type="dxa"/>
          </w:tblCellMar>
        </w:tblPrEx>
        <w:trPr>
          <w:trHeight w:val="240"/>
          <w:tblHeader/>
        </w:trPr>
        <w:tc>
          <w:tcPr>
            <w:tcW w:w="5000" w:type="pct"/>
            <w:gridSpan w:val="3"/>
            <w:tcBorders>
              <w:top w:val="single" w:sz="4" w:space="0" w:color="auto"/>
              <w:bottom w:val="single" w:sz="12" w:space="0" w:color="auto"/>
            </w:tcBorders>
            <w:shd w:val="clear" w:color="auto" w:fill="auto"/>
            <w:vAlign w:val="bottom"/>
          </w:tcPr>
          <w:p w:rsidR="00925259" w:rsidRPr="00115CCB" w:rsidRDefault="00305792" w:rsidP="00D005CF">
            <w:pPr>
              <w:suppressAutoHyphens w:val="0"/>
              <w:spacing w:before="80" w:after="80" w:line="200" w:lineRule="exact"/>
              <w:ind w:right="113"/>
              <w:rPr>
                <w:i/>
                <w:sz w:val="16"/>
              </w:rPr>
            </w:pPr>
            <w:r>
              <w:rPr>
                <w:i/>
                <w:sz w:val="16"/>
              </w:rPr>
              <w:t>International human rights norms</w:t>
            </w:r>
          </w:p>
        </w:tc>
      </w:tr>
      <w:tr w:rsidR="002E1B32" w:rsidRPr="00115CCB" w:rsidTr="00396CD4">
        <w:tblPrEx>
          <w:tblCellMar>
            <w:top w:w="0" w:type="dxa"/>
            <w:bottom w:w="0" w:type="dxa"/>
          </w:tblCellMar>
        </w:tblPrEx>
        <w:trPr>
          <w:trHeight w:hRule="exact" w:val="113"/>
          <w:tblHeader/>
        </w:trPr>
        <w:tc>
          <w:tcPr>
            <w:tcW w:w="5000" w:type="pct"/>
            <w:gridSpan w:val="3"/>
            <w:tcBorders>
              <w:top w:val="single" w:sz="12" w:space="0" w:color="auto"/>
              <w:bottom w:val="nil"/>
            </w:tcBorders>
            <w:shd w:val="clear" w:color="auto" w:fill="auto"/>
          </w:tcPr>
          <w:p w:rsidR="002E1B32" w:rsidRDefault="002E1B32" w:rsidP="00305792">
            <w:pPr>
              <w:tabs>
                <w:tab w:val="left" w:pos="2713"/>
              </w:tabs>
              <w:suppressAutoHyphens w:val="0"/>
              <w:spacing w:before="40" w:after="120" w:line="220" w:lineRule="exact"/>
              <w:ind w:right="113"/>
              <w:jc w:val="both"/>
              <w:rPr>
                <w:i/>
                <w:sz w:val="16"/>
              </w:rPr>
            </w:pPr>
          </w:p>
        </w:tc>
      </w:tr>
      <w:tr w:rsidR="00305792" w:rsidRPr="00115CCB" w:rsidTr="002E1B32">
        <w:tblPrEx>
          <w:tblCellMar>
            <w:top w:w="0" w:type="dxa"/>
            <w:bottom w:w="0" w:type="dxa"/>
          </w:tblCellMar>
        </w:tblPrEx>
        <w:trPr>
          <w:trHeight w:val="240"/>
        </w:trPr>
        <w:tc>
          <w:tcPr>
            <w:tcW w:w="5000" w:type="pct"/>
            <w:gridSpan w:val="3"/>
            <w:tcBorders>
              <w:top w:val="nil"/>
            </w:tcBorders>
            <w:shd w:val="clear" w:color="auto" w:fill="auto"/>
          </w:tcPr>
          <w:p w:rsidR="00305792" w:rsidRPr="00B448C7" w:rsidRDefault="00305792" w:rsidP="00305792">
            <w:pPr>
              <w:tabs>
                <w:tab w:val="left" w:pos="2713"/>
              </w:tabs>
              <w:suppressAutoHyphens w:val="0"/>
              <w:spacing w:before="40" w:after="120" w:line="220" w:lineRule="exact"/>
              <w:ind w:right="113"/>
              <w:jc w:val="both"/>
            </w:pPr>
            <w:r w:rsidRPr="00B448C7">
              <w:rPr>
                <w:i/>
              </w:rPr>
              <w:t>International Covenant on Economic, Social and Cultural Rights</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9D3EB1">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9D3EB1">
            <w:pPr>
              <w:tabs>
                <w:tab w:val="left" w:pos="2713"/>
              </w:tabs>
              <w:suppressAutoHyphens w:val="0"/>
              <w:spacing w:before="40" w:after="120" w:line="220" w:lineRule="exact"/>
              <w:ind w:right="113"/>
              <w:jc w:val="both"/>
            </w:pPr>
            <w:r w:rsidRPr="00115CCB">
              <w:t>Signed 1968. Ratified 1978.</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9D3EB1">
            <w:pPr>
              <w:suppressAutoHyphens w:val="0"/>
              <w:spacing w:before="40" w:after="120" w:line="220" w:lineRule="exact"/>
              <w:ind w:right="113"/>
            </w:pPr>
            <w:r w:rsidRPr="00115CCB">
              <w:t>Reservation</w:t>
            </w:r>
          </w:p>
        </w:tc>
        <w:tc>
          <w:tcPr>
            <w:tcW w:w="4386" w:type="pct"/>
            <w:shd w:val="clear" w:color="auto" w:fill="auto"/>
          </w:tcPr>
          <w:p w:rsidR="00305792" w:rsidRPr="00115CCB" w:rsidRDefault="00305792" w:rsidP="009D3EB1">
            <w:pPr>
              <w:suppressAutoHyphens w:val="0"/>
              <w:spacing w:before="40" w:after="120" w:line="220" w:lineRule="exact"/>
              <w:ind w:right="113"/>
              <w:jc w:val="both"/>
            </w:pPr>
            <w:r w:rsidRPr="00115CCB">
              <w:t>The Government of New Zealand reserves the right not to apply article 8 to the extent that existing legislative measures, enacted to ensure effective trade union representation and encourage orderly industrial relations, may not be compatible with that article.</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New Zealand entered this reservation due to incompatibility with provisions of the Industrial Relations Act 1973</w:t>
            </w:r>
            <w:r>
              <w:t xml:space="preserve">. </w:t>
            </w:r>
            <w:r w:rsidRPr="00115CCB">
              <w:t>New Zealand</w:t>
            </w:r>
            <w:r>
              <w:t>’</w:t>
            </w:r>
            <w:r w:rsidRPr="00115CCB">
              <w:t>s employment relations law and policy are now very different.</w:t>
            </w:r>
          </w:p>
        </w:tc>
      </w:tr>
      <w:tr w:rsidR="00305792" w:rsidRPr="00115CCB" w:rsidTr="00396CD4">
        <w:tblPrEx>
          <w:tblCellMar>
            <w:top w:w="0" w:type="dxa"/>
            <w:bottom w:w="0" w:type="dxa"/>
          </w:tblCellMar>
        </w:tblPrEx>
        <w:trPr>
          <w:trHeight w:val="1132"/>
        </w:trPr>
        <w:tc>
          <w:tcPr>
            <w:tcW w:w="614" w:type="pct"/>
            <w:gridSpan w:val="2"/>
            <w:vMerge w:val="restart"/>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To date, progress on both reservations has been linked to ratifying the Freedom of Association and Protection of the</w:t>
            </w:r>
            <w:r>
              <w:t xml:space="preserve"> </w:t>
            </w:r>
            <w:r w:rsidRPr="00115CCB">
              <w:t>Rights to Organise Convention, 1948 (No. 87), article 3, which promotes workers</w:t>
            </w:r>
            <w:r>
              <w:t>’</w:t>
            </w:r>
            <w:r w:rsidRPr="00115CCB">
              <w:t xml:space="preserve"> ability to participate lawfully in sympathy and protest strikes. According to the International Labour Organisation (ILO), section 86 of New</w:t>
            </w:r>
            <w:r>
              <w:t xml:space="preserve"> </w:t>
            </w:r>
            <w:r w:rsidRPr="00115CCB">
              <w:t>Zealand</w:t>
            </w:r>
            <w:r>
              <w:t>’</w:t>
            </w:r>
            <w:r w:rsidRPr="00115CCB">
              <w:t>s Employment Relations Act</w:t>
            </w:r>
            <w:r>
              <w:t xml:space="preserve"> </w:t>
            </w:r>
            <w:r w:rsidRPr="00115CCB">
              <w:t>2000 (which provides for a penalty against workers participating in such strikes) means that New</w:t>
            </w:r>
            <w:r>
              <w:t xml:space="preserve"> </w:t>
            </w:r>
            <w:r w:rsidRPr="00115CCB">
              <w:t>Zealand cannot ratify the Convention</w:t>
            </w:r>
            <w:r>
              <w:t xml:space="preserve">. </w:t>
            </w:r>
            <w:r w:rsidRPr="00115CCB">
              <w:t>The Government does not want at this time to make sympathy and protest strikes lawful by removing such penalties.</w:t>
            </w:r>
          </w:p>
        </w:tc>
      </w:tr>
      <w:tr w:rsidR="00305792" w:rsidRPr="00115CCB" w:rsidTr="00396CD4">
        <w:tblPrEx>
          <w:tblCellMar>
            <w:top w:w="0" w:type="dxa"/>
            <w:bottom w:w="0" w:type="dxa"/>
          </w:tblCellMar>
        </w:tblPrEx>
        <w:tc>
          <w:tcPr>
            <w:tcW w:w="614" w:type="pct"/>
            <w:gridSpan w:val="2"/>
            <w:vMerge/>
            <w:shd w:val="clear" w:color="auto" w:fill="auto"/>
          </w:tcPr>
          <w:p w:rsidR="00305792" w:rsidRPr="00115CCB" w:rsidRDefault="00305792" w:rsidP="00D005CF">
            <w:pPr>
              <w:suppressAutoHyphens w:val="0"/>
              <w:spacing w:before="40" w:after="120" w:line="220" w:lineRule="exact"/>
              <w:ind w:right="113"/>
            </w:pP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While it is not, in and of itself, necessary to ratify ILO Convention No. 87 in order to lift this reservation, New</w:t>
            </w:r>
            <w:r>
              <w:t xml:space="preserve"> </w:t>
            </w:r>
            <w:r w:rsidRPr="00115CCB">
              <w:t>Zealand believes that ILO jurisprudence will be persuasive in determining the extent of the right to strike under</w:t>
            </w:r>
            <w:r>
              <w:t xml:space="preserve"> </w:t>
            </w:r>
            <w:r w:rsidRPr="00115CCB">
              <w:t>the International Covenant on Economic, Social and Cultural Rights.</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B448C7" w:rsidRDefault="00305792" w:rsidP="00D005CF">
            <w:pPr>
              <w:suppressAutoHyphens w:val="0"/>
              <w:spacing w:before="40" w:after="120" w:line="220" w:lineRule="exact"/>
              <w:ind w:right="113"/>
              <w:jc w:val="both"/>
              <w:rPr>
                <w:i/>
              </w:rPr>
            </w:pPr>
            <w:r w:rsidRPr="00B448C7">
              <w:rPr>
                <w:i/>
              </w:rPr>
              <w:t xml:space="preserve">International Covenant on Civil and Political Rights </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1968</w:t>
            </w:r>
            <w:r>
              <w:t xml:space="preserve">. </w:t>
            </w:r>
            <w:r w:rsidRPr="00115CCB">
              <w:t>Ratified 1978.</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Declaration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The Government of New</w:t>
            </w:r>
            <w:r>
              <w:t xml:space="preserve"> </w:t>
            </w:r>
            <w:r w:rsidRPr="00115CCB">
              <w:t>Zealand declares under article 41 of the International Covenant on Civil and Political Rights that it recognises the competence of the Human Rights Committee to receive and consider communications from another State party, which has similarly declared under article 41 its recognition of the Committee</w:t>
            </w:r>
            <w:r>
              <w:t>’</w:t>
            </w:r>
            <w:r w:rsidRPr="00115CCB">
              <w:t>s competence in respect to itself except where the declaration by such a State party was made less than 12 hours before the submission by it of a complaint relating to New</w:t>
            </w:r>
            <w:r>
              <w:t xml:space="preserve"> </w:t>
            </w:r>
            <w:r w:rsidRPr="00115CCB">
              <w:t>Zealand.</w:t>
            </w:r>
          </w:p>
        </w:tc>
      </w:tr>
      <w:tr w:rsidR="00305792" w:rsidRPr="00115CCB" w:rsidTr="000E4B7F">
        <w:tblPrEx>
          <w:tblCellMar>
            <w:top w:w="0" w:type="dxa"/>
            <w:bottom w:w="0" w:type="dxa"/>
          </w:tblCellMar>
        </w:tblPrEx>
        <w:trPr>
          <w:trHeight w:val="240"/>
        </w:trPr>
        <w:tc>
          <w:tcPr>
            <w:tcW w:w="614" w:type="pct"/>
            <w:gridSpan w:val="2"/>
            <w:tcBorders>
              <w:bottom w:val="nil"/>
            </w:tcBorders>
            <w:shd w:val="clear" w:color="auto" w:fill="auto"/>
          </w:tcPr>
          <w:p w:rsidR="00305792" w:rsidRPr="00115CCB" w:rsidRDefault="00305792" w:rsidP="00D005CF">
            <w:pPr>
              <w:keepNext/>
              <w:suppressAutoHyphens w:val="0"/>
              <w:spacing w:before="40" w:after="120" w:line="220" w:lineRule="exact"/>
              <w:ind w:right="113"/>
            </w:pPr>
            <w:r w:rsidRPr="00115CCB">
              <w:t>Reservation</w:t>
            </w:r>
          </w:p>
        </w:tc>
        <w:tc>
          <w:tcPr>
            <w:tcW w:w="4386" w:type="pct"/>
            <w:tcBorders>
              <w:bottom w:val="nil"/>
            </w:tcBorders>
            <w:shd w:val="clear" w:color="auto" w:fill="auto"/>
          </w:tcPr>
          <w:p w:rsidR="00305792" w:rsidRPr="00115CCB" w:rsidRDefault="00305792" w:rsidP="00D005CF">
            <w:pPr>
              <w:keepNext/>
              <w:suppressAutoHyphens w:val="0"/>
              <w:spacing w:before="40" w:after="120" w:line="220" w:lineRule="exact"/>
              <w:ind w:right="113"/>
              <w:jc w:val="both"/>
            </w:pPr>
            <w:r w:rsidRPr="00115CCB">
              <w:t>The Government of New Zealand reserves the right not to apply article 10</w:t>
            </w:r>
            <w:r>
              <w:t xml:space="preserve"> </w:t>
            </w:r>
            <w:r w:rsidRPr="00115CCB">
              <w:t>(2)</w:t>
            </w:r>
            <w:r>
              <w:t xml:space="preserve"> </w:t>
            </w:r>
            <w:r w:rsidRPr="00115CCB">
              <w:t>(b) or article 10</w:t>
            </w:r>
            <w:r>
              <w:t xml:space="preserve"> </w:t>
            </w:r>
            <w:r w:rsidRPr="00115CCB">
              <w:t>(3) in circumstances where the shortages of suitable facilities make the mixing of juveniles and adults unavoidable; and further reserves the right not to apply article 10</w:t>
            </w:r>
            <w:r>
              <w:t xml:space="preserve"> </w:t>
            </w:r>
            <w:r w:rsidRPr="00115CCB">
              <w:t>(3) where the interests of other juveniles in an establishment require the removal of a particular juvenile offender or where mixing is considered to be of benefit to the persons concerned.</w:t>
            </w:r>
          </w:p>
        </w:tc>
      </w:tr>
      <w:tr w:rsidR="00305792" w:rsidRPr="00115CCB" w:rsidTr="000E4B7F">
        <w:tblPrEx>
          <w:tblCellMar>
            <w:top w:w="0" w:type="dxa"/>
            <w:bottom w:w="0" w:type="dxa"/>
          </w:tblCellMar>
        </w:tblPrEx>
        <w:trPr>
          <w:trHeight w:val="240"/>
        </w:trPr>
        <w:tc>
          <w:tcPr>
            <w:tcW w:w="614" w:type="pct"/>
            <w:gridSpan w:val="2"/>
            <w:tcBorders>
              <w:top w:val="nil"/>
              <w:bottom w:val="nil"/>
            </w:tcBorders>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tcBorders>
              <w:top w:val="nil"/>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New Zealand entered this reservation, and a similar one to article 37 on the Convention on the Rights of the Child, because it had a shortage of juvenile-only detention facilities, which precluded compliance</w:t>
            </w:r>
            <w:r>
              <w:t xml:space="preserve">. </w:t>
            </w:r>
            <w:r w:rsidRPr="00115CCB">
              <w:t>New Zealand also had other concerns, including that it might not always be in the best interests of juveniles to be segregated from adult prisoners, especially where that would mean they had to be separated from family.</w:t>
            </w:r>
          </w:p>
        </w:tc>
      </w:tr>
      <w:tr w:rsidR="00305792" w:rsidRPr="00115CCB" w:rsidTr="000E4B7F">
        <w:tblPrEx>
          <w:tblCellMar>
            <w:top w:w="0" w:type="dxa"/>
            <w:bottom w:w="0" w:type="dxa"/>
          </w:tblCellMar>
        </w:tblPrEx>
        <w:tc>
          <w:tcPr>
            <w:tcW w:w="614" w:type="pct"/>
            <w:gridSpan w:val="2"/>
            <w:vMerge w:val="restart"/>
            <w:tcBorders>
              <w:top w:val="nil"/>
            </w:tcBorders>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tcBorders>
              <w:top w:val="nil"/>
            </w:tcBorders>
            <w:shd w:val="clear" w:color="auto" w:fill="auto"/>
          </w:tcPr>
          <w:p w:rsidR="00305792" w:rsidRPr="00115CCB" w:rsidRDefault="00305792" w:rsidP="00D005CF">
            <w:pPr>
              <w:suppressAutoHyphens w:val="0"/>
              <w:spacing w:before="40" w:after="120" w:line="220" w:lineRule="exact"/>
              <w:ind w:right="113"/>
              <w:jc w:val="both"/>
            </w:pPr>
            <w:r w:rsidRPr="00115CCB">
              <w:t>In September 2003, the Committee on the Rights of the Child advised New Zealand that including vulnerable 18</w:t>
            </w:r>
            <w:r>
              <w:t xml:space="preserve"> </w:t>
            </w:r>
            <w:r w:rsidRPr="00115CCB">
              <w:t>and</w:t>
            </w:r>
            <w:r>
              <w:t xml:space="preserve"> </w:t>
            </w:r>
            <w:r w:rsidRPr="00115CCB">
              <w:t>19 year</w:t>
            </w:r>
            <w:r>
              <w:t xml:space="preserve"> </w:t>
            </w:r>
            <w:r w:rsidRPr="00115CCB">
              <w:t>olds in young offender units would not breach obligations under article 37</w:t>
            </w:r>
            <w:r>
              <w:t xml:space="preserve"> </w:t>
            </w:r>
            <w:r w:rsidRPr="00115CCB">
              <w:t>(c), were the reservation to be</w:t>
            </w:r>
            <w:r>
              <w:t xml:space="preserve"> lifted.</w:t>
            </w:r>
          </w:p>
        </w:tc>
      </w:tr>
      <w:tr w:rsidR="00305792" w:rsidRPr="00115CCB" w:rsidTr="00396CD4">
        <w:tblPrEx>
          <w:tblCellMar>
            <w:top w:w="0" w:type="dxa"/>
            <w:bottom w:w="0" w:type="dxa"/>
          </w:tblCellMar>
        </w:tblPrEx>
        <w:trPr>
          <w:trHeight w:val="1240"/>
        </w:trPr>
        <w:tc>
          <w:tcPr>
            <w:tcW w:w="614" w:type="pct"/>
            <w:gridSpan w:val="2"/>
            <w:vMerge/>
            <w:shd w:val="clear" w:color="auto" w:fill="auto"/>
          </w:tcPr>
          <w:p w:rsidR="00305792" w:rsidRPr="00115CCB" w:rsidRDefault="00305792" w:rsidP="00D005CF">
            <w:pPr>
              <w:suppressAutoHyphens w:val="0"/>
              <w:spacing w:before="40" w:after="120" w:line="220" w:lineRule="exact"/>
              <w:ind w:right="113"/>
            </w:pP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New youth offender units were completed in 2005</w:t>
            </w:r>
            <w:r>
              <w:t xml:space="preserve">. </w:t>
            </w:r>
            <w:r w:rsidRPr="00115CCB">
              <w:t>Further, in July 2005, new Corrections legislation and regulations came into force, lowering the age of a young offender to 18 years and stipulating that there be no age mixing unless the Chief Executive determines it is in the best interests of the person concerned</w:t>
            </w:r>
            <w:r>
              <w:t xml:space="preserve">. </w:t>
            </w:r>
            <w:r w:rsidRPr="00115CCB">
              <w:t>Substantial improvements have been made to prisons to ensure compliance with this provision. However, further work is required regarding other custodial facilities, especially court cells and Police transportation, to ensure full compliance with the obligation</w:t>
            </w:r>
            <w:r>
              <w:t xml:space="preserve">. </w:t>
            </w:r>
            <w:r w:rsidRPr="00115CCB">
              <w:t>Prisoners aged seventeen and under are generally held separate from adults when being transported or held in court cells</w:t>
            </w:r>
            <w:r>
              <w:t xml:space="preserve">. </w:t>
            </w:r>
            <w:r w:rsidRPr="00115CCB">
              <w:t>This is not always possible because of the limitation of existing facilities, particularly in small, remote courthouses</w:t>
            </w:r>
            <w:r>
              <w:t xml:space="preserve">. </w:t>
            </w:r>
            <w:r w:rsidRPr="00115CCB">
              <w:t>New Zealand is therefore</w:t>
            </w:r>
            <w:r>
              <w:t xml:space="preserve"> </w:t>
            </w:r>
            <w:r w:rsidRPr="00115CCB">
              <w:t>not in a position to remove the reservation at this stage.</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reserves the right not to apply article 14</w:t>
            </w:r>
            <w:r>
              <w:t xml:space="preserve"> </w:t>
            </w:r>
            <w:r w:rsidRPr="00115CCB">
              <w:t>(6) to the extent that it is not satisfied by the existing system for ex</w:t>
            </w:r>
            <w:r>
              <w:t xml:space="preserve"> </w:t>
            </w:r>
            <w:r w:rsidRPr="00115CCB">
              <w:t>gratia payments to persons who suffer as a result of a miscarriage of justice.</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This reservation was entered because New Zealand</w:t>
            </w:r>
            <w:r>
              <w:t>’</w:t>
            </w:r>
            <w:r w:rsidRPr="00115CCB">
              <w:t>s system of ex</w:t>
            </w:r>
            <w:r>
              <w:t xml:space="preserve"> </w:t>
            </w:r>
            <w:r w:rsidRPr="00115CCB">
              <w:t>gratia payments for wrongful conviction does not fulfil the article 14</w:t>
            </w:r>
            <w:r>
              <w:t xml:space="preserve"> </w:t>
            </w:r>
            <w:r w:rsidRPr="00115CCB">
              <w:t xml:space="preserve">(6) requirement of </w:t>
            </w:r>
            <w:r>
              <w:t>“</w:t>
            </w:r>
            <w:r w:rsidRPr="00115CCB">
              <w:t>compensation according to law</w:t>
            </w:r>
            <w:r>
              <w:t xml:space="preserve">”. </w:t>
            </w:r>
            <w:r w:rsidRPr="00115CCB">
              <w:t>No statutory scheme is in place</w:t>
            </w:r>
            <w:r>
              <w:t xml:space="preserve">. </w:t>
            </w:r>
            <w:r w:rsidRPr="00115CCB">
              <w:t>The Crown may make an ex gratia payment to a person who has been pardoned by the Queen or Governor-General, or whose conviction has been quashed following referral under section 406 of the Crimes Act 1961, but these payments are entirely at the discretion of the Crown and not pursuant to any legal obligation.</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In 2001, Cabinet revised the guidelines for the executive to follow when considering a claim for compensation</w:t>
            </w:r>
            <w:r>
              <w:t xml:space="preserve">. </w:t>
            </w:r>
            <w:r w:rsidRPr="00115CCB">
              <w:t>The</w:t>
            </w:r>
            <w:r>
              <w:t xml:space="preserve"> </w:t>
            </w:r>
            <w:r w:rsidRPr="00115CCB">
              <w:t>revised guidelines contain eligibility criteria and list factors to be taken into account in determining the size of payments</w:t>
            </w:r>
            <w:r>
              <w:t xml:space="preserve">. </w:t>
            </w:r>
            <w:r w:rsidRPr="00115CCB">
              <w:t>They are very detailed, use mandatory language, and instruct the Minister of Justice to refer eligible cases to a Queen</w:t>
            </w:r>
            <w:r>
              <w:t>’</w:t>
            </w:r>
            <w:r w:rsidRPr="00115CCB">
              <w:t>s Counsel for further assessment</w:t>
            </w:r>
            <w:r>
              <w:t xml:space="preserve">. </w:t>
            </w:r>
            <w:r w:rsidRPr="00115CCB">
              <w:t>The revised guidelines thus bring more certainty and transparency to the process</w:t>
            </w:r>
            <w:r>
              <w:t xml:space="preserve">. </w:t>
            </w:r>
            <w:r w:rsidRPr="00115CCB">
              <w:t>However, they are not law and cannot be used as the basis for a claim of compensation</w:t>
            </w:r>
            <w:r>
              <w:t xml:space="preserve">. </w:t>
            </w:r>
            <w:r w:rsidRPr="00115CCB">
              <w:t>New</w:t>
            </w:r>
            <w:r>
              <w:t xml:space="preserve"> </w:t>
            </w:r>
            <w:r w:rsidRPr="00115CCB">
              <w:t>Zealand will therefore maintain its reservation for the time being.</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having legislated in the areas of advocacy of national and racial hatred and the exciting of hostility or ill will against any group or persons and having regard to the right to freedom of speech, reserves the right not to introduce further legislation with regard to article 20.</w:t>
            </w:r>
          </w:p>
        </w:tc>
      </w:tr>
      <w:tr w:rsidR="00305792" w:rsidRPr="00115CCB" w:rsidTr="000E4B7F">
        <w:tblPrEx>
          <w:tblCellMar>
            <w:top w:w="0" w:type="dxa"/>
            <w:bottom w:w="0" w:type="dxa"/>
          </w:tblCellMar>
        </w:tblPrEx>
        <w:trPr>
          <w:trHeight w:val="240"/>
        </w:trPr>
        <w:tc>
          <w:tcPr>
            <w:tcW w:w="614" w:type="pct"/>
            <w:gridSpan w:val="2"/>
            <w:tcBorders>
              <w:bottom w:val="nil"/>
            </w:tcBorders>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tcBorders>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New Zealand law does not specifically prohibit propaganda for war or advocacy of religious hatred</w:t>
            </w:r>
            <w:r>
              <w:t xml:space="preserve">. </w:t>
            </w:r>
            <w:r w:rsidRPr="00115CCB">
              <w:t>The Crimes Act 1963 prohibits the excitement of hostility or ill will between different classes of persons that may endanger public safety</w:t>
            </w:r>
            <w:r>
              <w:t xml:space="preserve">. </w:t>
            </w:r>
            <w:r w:rsidRPr="00115CCB">
              <w:t>The Human Rights Act 1993 forbids the excitement of hostility against any group of persons on the grounds of colour, race, ethnic, or national origins.</w:t>
            </w:r>
          </w:p>
        </w:tc>
      </w:tr>
      <w:tr w:rsidR="00305792" w:rsidRPr="00115CCB" w:rsidTr="000E4B7F">
        <w:tblPrEx>
          <w:tblCellMar>
            <w:top w:w="0" w:type="dxa"/>
            <w:bottom w:w="0" w:type="dxa"/>
          </w:tblCellMar>
        </w:tblPrEx>
        <w:trPr>
          <w:trHeight w:val="240"/>
        </w:trPr>
        <w:tc>
          <w:tcPr>
            <w:tcW w:w="614" w:type="pct"/>
            <w:gridSpan w:val="2"/>
            <w:tcBorders>
              <w:top w:val="nil"/>
              <w:bottom w:val="nil"/>
            </w:tcBorders>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tcBorders>
              <w:top w:val="nil"/>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The Human Rights Committee expressed concern that the Human Rights Act 1993 did not prohibit advocating religious hatred when it considered New Zealand</w:t>
            </w:r>
            <w:r>
              <w:t>’</w:t>
            </w:r>
            <w:r w:rsidRPr="00115CCB">
              <w:t>s third report under the International Covenant on Civil and Political Rights. In response to the Committee</w:t>
            </w:r>
            <w:r>
              <w:t>’</w:t>
            </w:r>
            <w:r w:rsidRPr="00115CCB">
              <w:t>s concerns, the New Zealand Human Rights Commission looked into the issue, but found no evidence of a problem. Issues of religion that had been investigated by the Commission tended to be related to the issue of accommodation of religious differences, rather than to overt discrimination on this ground</w:t>
            </w:r>
            <w:r>
              <w:t xml:space="preserve">. </w:t>
            </w:r>
            <w:r w:rsidRPr="00115CCB">
              <w:t>The Commission is not currently advocating any amendment to the Act – rather, it is maintaining a watching brief for the possible emergence of problems in this context.</w:t>
            </w:r>
          </w:p>
        </w:tc>
      </w:tr>
      <w:tr w:rsidR="00305792" w:rsidRPr="00115CCB" w:rsidTr="000E4B7F">
        <w:tblPrEx>
          <w:tblCellMar>
            <w:top w:w="0" w:type="dxa"/>
            <w:bottom w:w="0" w:type="dxa"/>
          </w:tblCellMar>
        </w:tblPrEx>
        <w:trPr>
          <w:trHeight w:val="240"/>
        </w:trPr>
        <w:tc>
          <w:tcPr>
            <w:tcW w:w="614" w:type="pct"/>
            <w:gridSpan w:val="2"/>
            <w:tcBorders>
              <w:top w:val="nil"/>
            </w:tcBorders>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tcBorders>
              <w:top w:val="nil"/>
            </w:tcBorders>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reserves the right not to apply article 22 as it relates to trade unions to the extent that existing legislative measures, enacted to ensure effective trade union representation and encourage orderly industrial relations, may not be fully compatible with that article.</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See information above on New</w:t>
            </w:r>
            <w:r>
              <w:t xml:space="preserve"> </w:t>
            </w:r>
            <w:r w:rsidRPr="00115CCB">
              <w:t>Zealand</w:t>
            </w:r>
            <w:r>
              <w:t>’</w:t>
            </w:r>
            <w:r w:rsidRPr="00115CCB">
              <w:t>s reservation to article 8 of the International Covenant on Economic, Social and Cultural Rights.</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See information above on New</w:t>
            </w:r>
            <w:r>
              <w:t xml:space="preserve"> </w:t>
            </w:r>
            <w:r w:rsidRPr="00115CCB">
              <w:t>Zealand</w:t>
            </w:r>
            <w:r>
              <w:t>’</w:t>
            </w:r>
            <w:r w:rsidRPr="00115CCB">
              <w:t>s reservation to article 8 of the International Covenant on Economic, Social and Cultural Rights.</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B448C7" w:rsidRDefault="00305792" w:rsidP="00925259">
            <w:pPr>
              <w:suppressAutoHyphens w:val="0"/>
              <w:spacing w:before="40" w:after="120" w:line="220" w:lineRule="exact"/>
              <w:ind w:right="113"/>
              <w:rPr>
                <w:i/>
              </w:rPr>
            </w:pPr>
            <w:r w:rsidRPr="00B448C7">
              <w:rPr>
                <w:i/>
              </w:rPr>
              <w:t>Optional Protocol to the International Covenant on Civil and Political Rights (Individual Petition)</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Acceded 1989.</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EE3FBD" w:rsidRDefault="00305792" w:rsidP="00D005CF">
            <w:pPr>
              <w:suppressAutoHyphens w:val="0"/>
              <w:spacing w:before="40" w:after="120" w:line="220" w:lineRule="exact"/>
              <w:ind w:right="113"/>
              <w:rPr>
                <w:i/>
              </w:rPr>
            </w:pPr>
            <w:r w:rsidRPr="00EE3FBD">
              <w:rPr>
                <w:i/>
              </w:rPr>
              <w:t>Second Optional Protocol to the International Covenant on Civil and Political Rights (Abolition of Death Penalty)</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1990</w:t>
            </w:r>
            <w:r>
              <w:t xml:space="preserve">. </w:t>
            </w:r>
            <w:r w:rsidRPr="00115CCB">
              <w:t>Ratified 1990.</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B448C7" w:rsidRDefault="00305792" w:rsidP="00D005CF">
            <w:pPr>
              <w:suppressAutoHyphens w:val="0"/>
              <w:spacing w:before="40" w:after="120" w:line="220" w:lineRule="exact"/>
              <w:ind w:right="113"/>
              <w:jc w:val="both"/>
              <w:rPr>
                <w:i/>
              </w:rPr>
            </w:pPr>
            <w:r w:rsidRPr="00B448C7">
              <w:rPr>
                <w:i/>
              </w:rPr>
              <w:t>International Convention on the Elimination of All Forms of Racial Discrimination</w:t>
            </w:r>
          </w:p>
        </w:tc>
      </w:tr>
      <w:tr w:rsidR="00305792" w:rsidRPr="00115CCB" w:rsidTr="00396CD4">
        <w:tblPrEx>
          <w:tblCellMar>
            <w:top w:w="0" w:type="dxa"/>
            <w:bottom w:w="0" w:type="dxa"/>
          </w:tblCellMar>
        </w:tblPrEx>
        <w:tc>
          <w:tcPr>
            <w:tcW w:w="614" w:type="pct"/>
            <w:gridSpan w:val="2"/>
            <w:vMerge w:val="restart"/>
            <w:shd w:val="clear" w:color="auto" w:fill="auto"/>
          </w:tcPr>
          <w:p w:rsidR="00305792" w:rsidRPr="00115CCB" w:rsidRDefault="00305792" w:rsidP="00D005CF">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1966</w:t>
            </w:r>
            <w:r>
              <w:t xml:space="preserve">. </w:t>
            </w:r>
            <w:r w:rsidRPr="00115CCB">
              <w:t>Ratified 1972.</w:t>
            </w:r>
          </w:p>
        </w:tc>
      </w:tr>
      <w:tr w:rsidR="00305792" w:rsidRPr="00115CCB" w:rsidTr="00396CD4">
        <w:tblPrEx>
          <w:tblCellMar>
            <w:top w:w="0" w:type="dxa"/>
            <w:bottom w:w="0" w:type="dxa"/>
          </w:tblCellMar>
        </w:tblPrEx>
        <w:tc>
          <w:tcPr>
            <w:tcW w:w="614" w:type="pct"/>
            <w:gridSpan w:val="2"/>
            <w:vMerge/>
            <w:shd w:val="clear" w:color="auto" w:fill="auto"/>
          </w:tcPr>
          <w:p w:rsidR="00305792" w:rsidRPr="00115CCB" w:rsidRDefault="00305792" w:rsidP="00D005CF">
            <w:pPr>
              <w:suppressAutoHyphens w:val="0"/>
              <w:spacing w:before="40" w:after="120" w:line="220" w:lineRule="exact"/>
              <w:ind w:right="113"/>
            </w:pP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New</w:t>
            </w:r>
            <w:r>
              <w:t xml:space="preserve"> </w:t>
            </w:r>
            <w:r w:rsidRPr="00115CCB">
              <w:t>Zealand deposited its acceptance of the 1992 Amendments with the Secretary-General on</w:t>
            </w:r>
            <w:r>
              <w:t xml:space="preserve"> </w:t>
            </w:r>
            <w:r w:rsidRPr="00115CCB">
              <w:t>8</w:t>
            </w:r>
            <w:r>
              <w:t xml:space="preserve"> </w:t>
            </w:r>
            <w:r w:rsidRPr="00115CCB">
              <w:t>October</w:t>
            </w:r>
            <w:r>
              <w:t xml:space="preserve"> </w:t>
            </w:r>
            <w:r w:rsidRPr="00115CCB">
              <w:t>1993.</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B448C7" w:rsidRDefault="00305792" w:rsidP="00D005CF">
            <w:pPr>
              <w:suppressAutoHyphens w:val="0"/>
              <w:spacing w:before="40" w:after="120" w:line="220" w:lineRule="exact"/>
              <w:ind w:right="113"/>
              <w:jc w:val="both"/>
              <w:rPr>
                <w:i/>
              </w:rPr>
            </w:pPr>
            <w:r w:rsidRPr="00B448C7">
              <w:rPr>
                <w:i/>
              </w:rPr>
              <w:t xml:space="preserve">Convention on the Elimination of All Forms of Discrimination against Women </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1980</w:t>
            </w:r>
            <w:r>
              <w:t xml:space="preserve">. </w:t>
            </w:r>
            <w:r w:rsidRPr="00115CCB">
              <w:t>Ratified 1985.</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B448C7" w:rsidRDefault="00305792" w:rsidP="00D005CF">
            <w:pPr>
              <w:suppressAutoHyphens w:val="0"/>
              <w:spacing w:before="40" w:after="120" w:line="220" w:lineRule="exact"/>
              <w:ind w:right="113"/>
              <w:jc w:val="both"/>
              <w:rPr>
                <w:i/>
              </w:rPr>
            </w:pPr>
            <w:r w:rsidRPr="00B448C7">
              <w:rPr>
                <w:i/>
              </w:rPr>
              <w:t xml:space="preserve">Optional Protocol to the Convention on the Elimination of All Forms of Discrimination against Women </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jc w:val="both"/>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2000</w:t>
            </w:r>
            <w:r>
              <w:t xml:space="preserve">. </w:t>
            </w:r>
            <w:r w:rsidRPr="00115CCB">
              <w:t>Ratified 2000.</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 xml:space="preserve">Convention against Torture and Other Cruel, Inhuman or Degrading Treatment or Punishment </w:t>
            </w:r>
          </w:p>
        </w:tc>
      </w:tr>
      <w:tr w:rsidR="00305792" w:rsidRPr="00115CCB" w:rsidTr="00396CD4">
        <w:tblPrEx>
          <w:tblCellMar>
            <w:top w:w="0" w:type="dxa"/>
            <w:bottom w:w="0" w:type="dxa"/>
          </w:tblCellMar>
        </w:tblPrEx>
        <w:tc>
          <w:tcPr>
            <w:tcW w:w="614" w:type="pct"/>
            <w:gridSpan w:val="2"/>
            <w:vMerge w:val="restart"/>
            <w:shd w:val="clear" w:color="auto" w:fill="auto"/>
          </w:tcPr>
          <w:p w:rsidR="00305792" w:rsidRPr="00115CCB" w:rsidRDefault="00305792" w:rsidP="00D005CF">
            <w:pPr>
              <w:keepNext/>
              <w:suppressAutoHyphens w:val="0"/>
              <w:spacing w:before="40" w:after="120" w:line="220" w:lineRule="exact"/>
              <w:ind w:right="113"/>
              <w:jc w:val="both"/>
            </w:pPr>
            <w:r w:rsidRPr="00115CCB">
              <w:t>Status</w:t>
            </w:r>
          </w:p>
        </w:tc>
        <w:tc>
          <w:tcPr>
            <w:tcW w:w="4386" w:type="pct"/>
            <w:shd w:val="clear" w:color="auto" w:fill="auto"/>
          </w:tcPr>
          <w:p w:rsidR="00305792" w:rsidRPr="00115CCB" w:rsidRDefault="00305792" w:rsidP="00D005CF">
            <w:pPr>
              <w:keepNext/>
              <w:suppressAutoHyphens w:val="0"/>
              <w:spacing w:before="40" w:after="120" w:line="220" w:lineRule="exact"/>
              <w:ind w:right="113"/>
              <w:jc w:val="both"/>
            </w:pPr>
            <w:r w:rsidRPr="00115CCB">
              <w:t>Signed 1986</w:t>
            </w:r>
            <w:r>
              <w:t xml:space="preserve">. </w:t>
            </w:r>
            <w:r w:rsidRPr="00115CCB">
              <w:t>Ratified 1989.</w:t>
            </w:r>
          </w:p>
        </w:tc>
      </w:tr>
      <w:tr w:rsidR="00305792" w:rsidRPr="00115CCB" w:rsidTr="000E4B7F">
        <w:tblPrEx>
          <w:tblCellMar>
            <w:top w:w="0" w:type="dxa"/>
            <w:bottom w:w="0" w:type="dxa"/>
          </w:tblCellMar>
        </w:tblPrEx>
        <w:tc>
          <w:tcPr>
            <w:tcW w:w="614" w:type="pct"/>
            <w:gridSpan w:val="2"/>
            <w:vMerge/>
            <w:tcBorders>
              <w:bottom w:val="nil"/>
            </w:tcBorders>
            <w:shd w:val="clear" w:color="auto" w:fill="auto"/>
          </w:tcPr>
          <w:p w:rsidR="00305792" w:rsidRPr="00115CCB" w:rsidRDefault="00305792" w:rsidP="00D005CF">
            <w:pPr>
              <w:keepNext/>
              <w:suppressAutoHyphens w:val="0"/>
              <w:spacing w:before="40" w:after="120" w:line="220" w:lineRule="exact"/>
              <w:ind w:right="113"/>
              <w:jc w:val="both"/>
            </w:pPr>
          </w:p>
        </w:tc>
        <w:tc>
          <w:tcPr>
            <w:tcW w:w="4386" w:type="pct"/>
            <w:tcBorders>
              <w:bottom w:val="nil"/>
            </w:tcBorders>
            <w:shd w:val="clear" w:color="auto" w:fill="auto"/>
          </w:tcPr>
          <w:p w:rsidR="00305792" w:rsidRPr="00115CCB" w:rsidRDefault="00305792" w:rsidP="00D005CF">
            <w:pPr>
              <w:keepNext/>
              <w:suppressAutoHyphens w:val="0"/>
              <w:spacing w:before="40" w:after="120" w:line="220" w:lineRule="exact"/>
              <w:ind w:right="113"/>
              <w:jc w:val="both"/>
            </w:pPr>
            <w:r w:rsidRPr="00115CCB">
              <w:t>New</w:t>
            </w:r>
            <w:r>
              <w:t xml:space="preserve"> </w:t>
            </w:r>
            <w:r w:rsidRPr="00115CCB">
              <w:t>Zealand deposited its acceptance of the 1992 amendments with the Secretary-General on 8</w:t>
            </w:r>
            <w:r>
              <w:t xml:space="preserve"> </w:t>
            </w:r>
            <w:r w:rsidRPr="00115CCB">
              <w:t>October</w:t>
            </w:r>
            <w:r>
              <w:t xml:space="preserve"> </w:t>
            </w:r>
            <w:r w:rsidRPr="00115CCB">
              <w:t>1993.</w:t>
            </w:r>
          </w:p>
        </w:tc>
      </w:tr>
      <w:tr w:rsidR="00305792" w:rsidRPr="00115CCB" w:rsidTr="000E4B7F">
        <w:tblPrEx>
          <w:tblCellMar>
            <w:top w:w="0" w:type="dxa"/>
            <w:bottom w:w="0" w:type="dxa"/>
          </w:tblCellMar>
        </w:tblPrEx>
        <w:trPr>
          <w:trHeight w:val="240"/>
        </w:trPr>
        <w:tc>
          <w:tcPr>
            <w:tcW w:w="614" w:type="pct"/>
            <w:gridSpan w:val="2"/>
            <w:tcBorders>
              <w:top w:val="nil"/>
              <w:bottom w:val="nil"/>
            </w:tcBorders>
            <w:shd w:val="clear" w:color="auto" w:fill="auto"/>
          </w:tcPr>
          <w:p w:rsidR="00305792" w:rsidRPr="00115CCB" w:rsidRDefault="00305792" w:rsidP="00D005CF">
            <w:pPr>
              <w:suppressAutoHyphens w:val="0"/>
              <w:spacing w:before="40" w:after="120" w:line="220" w:lineRule="exact"/>
              <w:ind w:right="113"/>
            </w:pPr>
            <w:r w:rsidRPr="00115CCB">
              <w:t>Declaration</w:t>
            </w:r>
          </w:p>
        </w:tc>
        <w:tc>
          <w:tcPr>
            <w:tcW w:w="4386" w:type="pct"/>
            <w:tcBorders>
              <w:top w:val="nil"/>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In accordance with article 21, paragraph 1, of the Convention, the Government of New</w:t>
            </w:r>
            <w:r>
              <w:t xml:space="preserve"> </w:t>
            </w:r>
            <w:r w:rsidRPr="00115CCB">
              <w:t>Zealand declares that it recogni</w:t>
            </w:r>
            <w:r>
              <w:t>z</w:t>
            </w:r>
            <w:r w:rsidRPr="00115CCB">
              <w:t>es the competence of the Committee against Torture to receive and consider communications to the effect that a State party claims that another State party is not fulfilling its obligations under the Convention; and in accordance with article 22, paragraph 1, of the Convention, the Government of New</w:t>
            </w:r>
            <w:r>
              <w:t xml:space="preserve"> </w:t>
            </w:r>
            <w:r w:rsidRPr="00115CCB">
              <w:t>Zealand recogni</w:t>
            </w:r>
            <w:r>
              <w:t>z</w:t>
            </w:r>
            <w:r w:rsidRPr="00115CCB">
              <w:t>es the competence of the Committee against Torture to receive and consider communications from or on behalf of individuals subject to its jurisdiction who claim to be victims of a violation by a State party of the provisions of the Convention.</w:t>
            </w:r>
          </w:p>
        </w:tc>
      </w:tr>
      <w:tr w:rsidR="00305792" w:rsidRPr="00115CCB" w:rsidTr="000E4B7F">
        <w:tblPrEx>
          <w:tblCellMar>
            <w:top w:w="0" w:type="dxa"/>
            <w:bottom w:w="0" w:type="dxa"/>
          </w:tblCellMar>
        </w:tblPrEx>
        <w:trPr>
          <w:trHeight w:val="240"/>
        </w:trPr>
        <w:tc>
          <w:tcPr>
            <w:tcW w:w="614" w:type="pct"/>
            <w:gridSpan w:val="2"/>
            <w:tcBorders>
              <w:top w:val="nil"/>
            </w:tcBorders>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tcBorders>
              <w:top w:val="nil"/>
            </w:tcBorders>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reserves the right to award compensation to torture victims referred to in article</w:t>
            </w:r>
            <w:r>
              <w:t xml:space="preserve"> </w:t>
            </w:r>
            <w:r w:rsidRPr="00115CCB">
              <w:t>14 only at the discretion of the Attorney-General of New Zealand.</w:t>
            </w:r>
          </w:p>
        </w:tc>
      </w:tr>
      <w:tr w:rsidR="00305792" w:rsidRPr="00115CCB" w:rsidTr="00396CD4">
        <w:tblPrEx>
          <w:tblCellMar>
            <w:top w:w="0" w:type="dxa"/>
            <w:bottom w:w="0" w:type="dxa"/>
          </w:tblCellMar>
        </w:tblPrEx>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New Zealand entered this reservation because compensation to victims of torture is solely at the discretion of the Crown rather than an enforceable right under law.</w:t>
            </w:r>
          </w:p>
        </w:tc>
      </w:tr>
      <w:tr w:rsidR="00305792" w:rsidRPr="00115CCB" w:rsidTr="00396CD4">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Other remedies are available to victims of torture, including compensation under sections 69(b) and (c) of the Injury Prevention, Rehabilitation, and Compensation Act 2001 or monetary damages from the Crown under section</w:t>
            </w:r>
            <w:r>
              <w:t xml:space="preserve"> </w:t>
            </w:r>
            <w:r w:rsidRPr="00115CCB">
              <w:t>9 of the New</w:t>
            </w:r>
            <w:r>
              <w:t xml:space="preserve"> </w:t>
            </w:r>
            <w:r w:rsidRPr="00115CCB">
              <w:t>Zealand Bill of Rights Act 1990</w:t>
            </w:r>
            <w:r>
              <w:t xml:space="preserve">. </w:t>
            </w:r>
            <w:r w:rsidRPr="00115CCB">
              <w:t>The Government is considering whether these and future proposed changes are sufficient to enable removal of the reservation.</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Optional Protocol to the Convention against Torture and Other Cruel, Inhuman or Degrading Treatment or Punishment</w:t>
            </w:r>
          </w:p>
        </w:tc>
      </w:tr>
      <w:tr w:rsidR="00305792" w:rsidRPr="00115CCB" w:rsidTr="00566DE3">
        <w:tblPrEx>
          <w:tblCellMar>
            <w:top w:w="0" w:type="dxa"/>
            <w:bottom w:w="0" w:type="dxa"/>
          </w:tblCellMar>
        </w:tblPrEx>
        <w:trPr>
          <w:trHeight w:val="240"/>
        </w:trPr>
        <w:tc>
          <w:tcPr>
            <w:tcW w:w="600" w:type="pct"/>
            <w:shd w:val="clear" w:color="auto" w:fill="auto"/>
          </w:tcPr>
          <w:p w:rsidR="00305792" w:rsidRPr="00115CCB" w:rsidRDefault="00305792" w:rsidP="00D005CF">
            <w:pPr>
              <w:suppressAutoHyphens w:val="0"/>
              <w:spacing w:before="40" w:after="120" w:line="220" w:lineRule="exact"/>
              <w:ind w:right="113"/>
            </w:pPr>
            <w:r w:rsidRPr="00115CCB">
              <w:t>Status</w:t>
            </w:r>
          </w:p>
        </w:tc>
        <w:tc>
          <w:tcPr>
            <w:tcW w:w="4400" w:type="pct"/>
            <w:gridSpan w:val="2"/>
            <w:shd w:val="clear" w:color="auto" w:fill="auto"/>
          </w:tcPr>
          <w:p w:rsidR="00305792" w:rsidRPr="009440AE" w:rsidRDefault="00305792" w:rsidP="00D005CF">
            <w:pPr>
              <w:suppressAutoHyphens w:val="0"/>
              <w:spacing w:before="40" w:after="120" w:line="220" w:lineRule="exact"/>
              <w:ind w:right="113"/>
              <w:jc w:val="both"/>
            </w:pPr>
            <w:r w:rsidRPr="009440AE">
              <w:t>Signed 2003. Ratified 2007.</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 xml:space="preserve">Convention on the Rights of the Child </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9440AE" w:rsidRDefault="00305792" w:rsidP="00D005CF">
            <w:pPr>
              <w:suppressAutoHyphens w:val="0"/>
              <w:spacing w:before="40" w:after="120" w:line="220" w:lineRule="exact"/>
              <w:ind w:right="113"/>
            </w:pPr>
            <w:r w:rsidRPr="009440AE">
              <w:t>Status</w:t>
            </w:r>
          </w:p>
        </w:tc>
        <w:tc>
          <w:tcPr>
            <w:tcW w:w="4386" w:type="pct"/>
            <w:shd w:val="clear" w:color="auto" w:fill="auto"/>
          </w:tcPr>
          <w:p w:rsidR="00305792" w:rsidRPr="009440AE" w:rsidRDefault="00305792" w:rsidP="00D005CF">
            <w:pPr>
              <w:suppressAutoHyphens w:val="0"/>
              <w:spacing w:before="40" w:after="120" w:line="220" w:lineRule="exact"/>
              <w:ind w:right="113"/>
              <w:jc w:val="both"/>
            </w:pPr>
            <w:r w:rsidRPr="009440AE">
              <w:t>Signed 1990. Ratified 1993.</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Nothing in this Convention shall affect the right of the Government of New Zealand to continue to distinguish as it considers appropriate in its laws and practice between persons according to the nature of their authority to be in New</w:t>
            </w:r>
            <w:r>
              <w:t xml:space="preserve"> </w:t>
            </w:r>
            <w:r w:rsidRPr="00115CCB">
              <w:t>Zealand, including but not limited to their entitlement to benefits and other protections described in the Convention, and the Government of New</w:t>
            </w:r>
            <w:r>
              <w:t xml:space="preserve"> </w:t>
            </w:r>
            <w:r w:rsidRPr="00115CCB">
              <w:t>Zealand reserves the right to interpret the Convention accordingly.</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New Zealand entered this reservation on the basis of the internationally accepted principle that a sovereign State must be able to manage and control its borders, and that it can prioritise people habitually resident in its territory in the allocation of scarce social resources.</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This reservation is under review</w:t>
            </w:r>
            <w:r>
              <w:t>.</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pPr>
            <w:r w:rsidRPr="00115CCB">
              <w:t>Reservation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considers that the rights of the child provided for in article 32</w:t>
            </w:r>
            <w:r>
              <w:t xml:space="preserve"> </w:t>
            </w:r>
            <w:r w:rsidRPr="00115CCB">
              <w:t>(1) are adequately protected by its existing law</w:t>
            </w:r>
            <w:r>
              <w:t xml:space="preserve">. </w:t>
            </w:r>
            <w:r w:rsidRPr="00115CCB">
              <w:t>It therefore reserves the right not to legislate further or to take additional measures as may be envisaged in article 32</w:t>
            </w:r>
            <w:r>
              <w:t xml:space="preserve"> </w:t>
            </w:r>
            <w:r w:rsidRPr="00115CCB">
              <w:t>(2).</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jc w:val="both"/>
            </w:pPr>
            <w:r w:rsidRPr="00115CCB">
              <w:t>Reason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This reservation was entered because it was felt that existing law adequately protected children and young people from exploitation, hazardous or harmful situations, or interference with their studies</w:t>
            </w:r>
            <w:r>
              <w:t xml:space="preserve">. </w:t>
            </w:r>
            <w:r w:rsidRPr="00115CCB">
              <w:t>Further, this article was considered to restrict young people from gaining work experience.</w:t>
            </w:r>
          </w:p>
        </w:tc>
      </w:tr>
      <w:tr w:rsidR="00305792" w:rsidRPr="00115CCB" w:rsidTr="000C1E49">
        <w:tblPrEx>
          <w:tblCellMar>
            <w:top w:w="0" w:type="dxa"/>
            <w:bottom w:w="0" w:type="dxa"/>
          </w:tblCellMar>
        </w:tblPrEx>
        <w:trPr>
          <w:trHeight w:val="240"/>
        </w:trPr>
        <w:tc>
          <w:tcPr>
            <w:tcW w:w="614" w:type="pct"/>
            <w:gridSpan w:val="2"/>
            <w:tcBorders>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Action</w:t>
            </w:r>
          </w:p>
        </w:tc>
        <w:tc>
          <w:tcPr>
            <w:tcW w:w="4386" w:type="pct"/>
            <w:tcBorders>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In 2003, the Government decided to defer consideration of this reservation until it had assessed the steps required to ratify the ILO Minimum Age Convention, 1973 (No. 138)</w:t>
            </w:r>
            <w:r>
              <w:t xml:space="preserve">. </w:t>
            </w:r>
            <w:r w:rsidRPr="00115CCB">
              <w:t>As a response to the Committee</w:t>
            </w:r>
            <w:r>
              <w:t>’</w:t>
            </w:r>
            <w:r w:rsidRPr="00115CCB">
              <w:t>s concerns about the adequacy of measures to protect children in employment, the Government of New</w:t>
            </w:r>
            <w:r>
              <w:t xml:space="preserve"> </w:t>
            </w:r>
            <w:r w:rsidRPr="00115CCB">
              <w:t>Zealand approved a work programme to be led by the Department of Labour to raise awareness of children</w:t>
            </w:r>
            <w:r>
              <w:t>’</w:t>
            </w:r>
            <w:r w:rsidRPr="00115CCB">
              <w:t>s employment rights and to identify options for monitoring children</w:t>
            </w:r>
            <w:r>
              <w:t>’</w:t>
            </w:r>
            <w:r w:rsidRPr="00115CCB">
              <w:t>s participation in the workplace</w:t>
            </w:r>
            <w:r>
              <w:t>.</w:t>
            </w:r>
          </w:p>
        </w:tc>
      </w:tr>
      <w:tr w:rsidR="00305792" w:rsidRPr="00115CCB" w:rsidTr="000C1E49">
        <w:tblPrEx>
          <w:tblCellMar>
            <w:top w:w="0" w:type="dxa"/>
            <w:bottom w:w="0" w:type="dxa"/>
          </w:tblCellMar>
        </w:tblPrEx>
        <w:trPr>
          <w:trHeight w:val="240"/>
        </w:trPr>
        <w:tc>
          <w:tcPr>
            <w:tcW w:w="614" w:type="pct"/>
            <w:gridSpan w:val="2"/>
            <w:tcBorders>
              <w:top w:val="nil"/>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Reservation</w:t>
            </w:r>
          </w:p>
        </w:tc>
        <w:tc>
          <w:tcPr>
            <w:tcW w:w="4386" w:type="pct"/>
            <w:tcBorders>
              <w:top w:val="nil"/>
              <w:bottom w:val="nil"/>
            </w:tcBorders>
            <w:shd w:val="clear" w:color="auto" w:fill="auto"/>
          </w:tcPr>
          <w:p w:rsidR="00305792" w:rsidRPr="00115CCB" w:rsidRDefault="00305792" w:rsidP="00D005CF">
            <w:pPr>
              <w:suppressAutoHyphens w:val="0"/>
              <w:spacing w:before="40" w:after="120" w:line="220" w:lineRule="exact"/>
              <w:ind w:right="113"/>
              <w:jc w:val="both"/>
            </w:pPr>
            <w:r w:rsidRPr="00115CCB">
              <w:t>The Government of New Zealand reserves the right not to apply article 37</w:t>
            </w:r>
            <w:r>
              <w:t xml:space="preserve"> </w:t>
            </w:r>
            <w:r w:rsidRPr="00115CCB">
              <w:t>(c) in circumstances where the shortage of suitable facilities makes the mixing of juveniles and adults unavoidable; and further reserves the right not to apply article 37(c) where the interests of other juveniles in an establishment require the removal of a particular juvenile offender or where mixing is considered to be of benefit to the persons concerned.</w:t>
            </w:r>
          </w:p>
        </w:tc>
      </w:tr>
      <w:tr w:rsidR="00305792" w:rsidRPr="00115CCB" w:rsidTr="000C1E49">
        <w:tblPrEx>
          <w:tblCellMar>
            <w:top w:w="0" w:type="dxa"/>
            <w:bottom w:w="0" w:type="dxa"/>
          </w:tblCellMar>
        </w:tblPrEx>
        <w:trPr>
          <w:trHeight w:val="240"/>
        </w:trPr>
        <w:tc>
          <w:tcPr>
            <w:tcW w:w="614" w:type="pct"/>
            <w:gridSpan w:val="2"/>
            <w:tcBorders>
              <w:top w:val="nil"/>
            </w:tcBorders>
            <w:shd w:val="clear" w:color="auto" w:fill="auto"/>
          </w:tcPr>
          <w:p w:rsidR="00305792" w:rsidRPr="00115CCB" w:rsidRDefault="00305792" w:rsidP="00D005CF">
            <w:pPr>
              <w:suppressAutoHyphens w:val="0"/>
              <w:spacing w:before="40" w:after="120" w:line="220" w:lineRule="exact"/>
              <w:ind w:right="113"/>
              <w:jc w:val="both"/>
            </w:pPr>
            <w:r w:rsidRPr="00115CCB">
              <w:t>Reason</w:t>
            </w:r>
          </w:p>
        </w:tc>
        <w:tc>
          <w:tcPr>
            <w:tcW w:w="4386" w:type="pct"/>
            <w:tcBorders>
              <w:top w:val="nil"/>
            </w:tcBorders>
            <w:shd w:val="clear" w:color="auto" w:fill="auto"/>
          </w:tcPr>
          <w:p w:rsidR="00305792" w:rsidRPr="00115CCB" w:rsidRDefault="00305792" w:rsidP="00D005CF">
            <w:pPr>
              <w:suppressAutoHyphens w:val="0"/>
              <w:spacing w:before="40" w:after="120" w:line="220" w:lineRule="exact"/>
              <w:ind w:right="113"/>
              <w:jc w:val="both"/>
            </w:pPr>
            <w:r w:rsidRPr="00115CCB">
              <w:t>See information above on New</w:t>
            </w:r>
            <w:r>
              <w:t xml:space="preserve"> </w:t>
            </w:r>
            <w:r w:rsidRPr="00115CCB">
              <w:t>Zealand</w:t>
            </w:r>
            <w:r>
              <w:t>’</w:t>
            </w:r>
            <w:r w:rsidRPr="00115CCB">
              <w:t>s reservation to articles 10</w:t>
            </w:r>
            <w:r>
              <w:t xml:space="preserve"> </w:t>
            </w:r>
            <w:r w:rsidRPr="00115CCB">
              <w:t>(2)</w:t>
            </w:r>
            <w:r>
              <w:t xml:space="preserve"> </w:t>
            </w:r>
            <w:r w:rsidRPr="00115CCB">
              <w:t>(b) and 10</w:t>
            </w:r>
            <w:r>
              <w:t xml:space="preserve"> </w:t>
            </w:r>
            <w:r w:rsidRPr="00115CCB">
              <w:t>(3) of the International Covenant on Civil and Political Rights.</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jc w:val="both"/>
            </w:pPr>
            <w:r w:rsidRPr="00115CCB">
              <w:t>Action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See information above on New</w:t>
            </w:r>
            <w:r>
              <w:t xml:space="preserve"> </w:t>
            </w:r>
            <w:r w:rsidRPr="00115CCB">
              <w:t>Zealand</w:t>
            </w:r>
            <w:r>
              <w:t>’</w:t>
            </w:r>
            <w:r w:rsidRPr="00115CCB">
              <w:t>s reservation to articles 10</w:t>
            </w:r>
            <w:r>
              <w:t xml:space="preserve"> </w:t>
            </w:r>
            <w:r w:rsidRPr="00115CCB">
              <w:t>(2)</w:t>
            </w:r>
            <w:r>
              <w:t xml:space="preserve"> </w:t>
            </w:r>
            <w:r w:rsidRPr="00115CCB">
              <w:t>(b) and 10</w:t>
            </w:r>
            <w:r>
              <w:t xml:space="preserve"> </w:t>
            </w:r>
            <w:r w:rsidRPr="00115CCB">
              <w:t>(3) of the International Covenant on Civil and Political Rights.</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Optional Protocol to the Convention on the Rights of the Child on the involvement of children in armed conflict</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jc w:val="both"/>
            </w:pPr>
            <w:r w:rsidRPr="00115CCB">
              <w:t>Status</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Signed 2000</w:t>
            </w:r>
            <w:r>
              <w:t xml:space="preserve">. </w:t>
            </w:r>
            <w:r w:rsidRPr="00115CCB">
              <w:t>Ratified 2001.</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115CCB" w:rsidRDefault="00305792" w:rsidP="00D005CF">
            <w:pPr>
              <w:suppressAutoHyphens w:val="0"/>
              <w:spacing w:before="40" w:after="120" w:line="220" w:lineRule="exact"/>
              <w:ind w:right="113"/>
              <w:jc w:val="both"/>
            </w:pPr>
            <w:r w:rsidRPr="00115CCB">
              <w:t>Declaration</w:t>
            </w:r>
          </w:p>
        </w:tc>
        <w:tc>
          <w:tcPr>
            <w:tcW w:w="4386" w:type="pct"/>
            <w:shd w:val="clear" w:color="auto" w:fill="auto"/>
          </w:tcPr>
          <w:p w:rsidR="00305792" w:rsidRPr="00115CCB" w:rsidRDefault="00305792" w:rsidP="00D005CF">
            <w:pPr>
              <w:suppressAutoHyphens w:val="0"/>
              <w:spacing w:before="40" w:after="120" w:line="220" w:lineRule="exact"/>
              <w:ind w:right="113"/>
              <w:jc w:val="both"/>
            </w:pPr>
            <w:r w:rsidRPr="00115CCB">
              <w:t>The Government of New</w:t>
            </w:r>
            <w:r>
              <w:t xml:space="preserve"> </w:t>
            </w:r>
            <w:r w:rsidRPr="00115CCB">
              <w:t>Zealand declares that the minimum age at which New</w:t>
            </w:r>
            <w:r>
              <w:t xml:space="preserve"> </w:t>
            </w:r>
            <w:r w:rsidRPr="00115CCB">
              <w:t>Zealand will permit voluntary recruitment into its national armed forces shall be 17 years</w:t>
            </w:r>
            <w:r>
              <w:t xml:space="preserve">. </w:t>
            </w:r>
            <w:r w:rsidRPr="00115CCB">
              <w:t>The Government of New</w:t>
            </w:r>
            <w:r>
              <w:t xml:space="preserve"> </w:t>
            </w:r>
            <w:r w:rsidRPr="00115CCB">
              <w:t>Zealand further declares that the safeguards which it has adopted to ensure that recruitment is not forced or coerced include the following:</w:t>
            </w:r>
          </w:p>
          <w:p w:rsidR="00305792" w:rsidRPr="00115CCB" w:rsidRDefault="00305792" w:rsidP="00D005CF">
            <w:pPr>
              <w:suppressAutoHyphens w:val="0"/>
              <w:spacing w:before="40" w:after="120" w:line="220" w:lineRule="exact"/>
              <w:ind w:right="113"/>
              <w:jc w:val="both"/>
            </w:pPr>
            <w:r>
              <w:tab/>
            </w:r>
            <w:r w:rsidRPr="00115CCB">
              <w:t>(a)</w:t>
            </w:r>
            <w:r w:rsidRPr="00115CCB">
              <w:tab/>
              <w:t>Defence Force recruitment procedures requiring that persons responsible for recruitment ensure that such recruitment is genuinely voluntary;</w:t>
            </w:r>
          </w:p>
          <w:p w:rsidR="00305792" w:rsidRPr="00115CCB" w:rsidRDefault="00305792" w:rsidP="00D005CF">
            <w:pPr>
              <w:suppressAutoHyphens w:val="0"/>
              <w:spacing w:before="40" w:after="120" w:line="220" w:lineRule="exact"/>
              <w:ind w:right="113"/>
              <w:jc w:val="both"/>
            </w:pPr>
            <w:r>
              <w:tab/>
            </w:r>
            <w:r w:rsidRPr="00115CCB">
              <w:t>(b)</w:t>
            </w:r>
            <w:r w:rsidRPr="00115CCB">
              <w:tab/>
              <w:t>Legislative requirements that the consent of the parent or guardian is obtained for enlistment where such consent is necessary under New</w:t>
            </w:r>
            <w:r>
              <w:t xml:space="preserve"> </w:t>
            </w:r>
            <w:r w:rsidRPr="00115CCB">
              <w:t>Zealand law</w:t>
            </w:r>
            <w:r>
              <w:t xml:space="preserve">. </w:t>
            </w:r>
            <w:r w:rsidRPr="00115CCB">
              <w:t>The parent or guardian must also acknowledge that the person enlisting will be liable for active service after reaching the age of 18 years;</w:t>
            </w:r>
          </w:p>
          <w:p w:rsidR="00305792" w:rsidRPr="00115CCB" w:rsidRDefault="00305792" w:rsidP="00D005CF">
            <w:pPr>
              <w:suppressAutoHyphens w:val="0"/>
              <w:spacing w:before="40" w:after="120" w:line="220" w:lineRule="exact"/>
              <w:ind w:right="113"/>
              <w:jc w:val="both"/>
            </w:pPr>
            <w:r>
              <w:tab/>
            </w:r>
            <w:r w:rsidRPr="00115CCB">
              <w:t>(c)</w:t>
            </w:r>
            <w:r w:rsidRPr="00115CCB">
              <w:tab/>
              <w:t>A detailed and informative enlistment process, which ensures that all persons are fully informed of the duties involved in military service before taking an oath of allegiance; and</w:t>
            </w:r>
          </w:p>
          <w:p w:rsidR="00305792" w:rsidRPr="00115CCB" w:rsidRDefault="00305792" w:rsidP="00D005CF">
            <w:pPr>
              <w:suppressAutoHyphens w:val="0"/>
              <w:spacing w:before="40" w:after="120" w:line="220" w:lineRule="exact"/>
              <w:ind w:right="113"/>
              <w:jc w:val="both"/>
            </w:pPr>
            <w:r>
              <w:tab/>
            </w:r>
            <w:r w:rsidRPr="00115CCB">
              <w:t>(d)</w:t>
            </w:r>
            <w:r w:rsidRPr="00115CCB">
              <w:tab/>
              <w:t>A recruiting procedure that requires enlistees to produce their birth certificates as reliable proof of age.</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Second Optional Protocol to the Convention on the Rights of the Child on the sale of children, child prostitution and child pornography</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9440AE" w:rsidRDefault="00305792" w:rsidP="00D005CF">
            <w:pPr>
              <w:suppressAutoHyphens w:val="0"/>
              <w:spacing w:before="40" w:after="120" w:line="220" w:lineRule="exact"/>
              <w:ind w:right="113"/>
              <w:jc w:val="both"/>
            </w:pPr>
            <w:r w:rsidRPr="009440AE">
              <w:t>Status</w:t>
            </w:r>
          </w:p>
        </w:tc>
        <w:tc>
          <w:tcPr>
            <w:tcW w:w="4386" w:type="pct"/>
            <w:shd w:val="clear" w:color="auto" w:fill="auto"/>
          </w:tcPr>
          <w:p w:rsidR="00305792" w:rsidRPr="009440AE" w:rsidRDefault="00305792" w:rsidP="00D005CF">
            <w:pPr>
              <w:suppressAutoHyphens w:val="0"/>
              <w:spacing w:before="40" w:after="120" w:line="220" w:lineRule="exact"/>
              <w:ind w:right="113"/>
              <w:jc w:val="both"/>
            </w:pPr>
            <w:r w:rsidRPr="009440AE">
              <w:t>Signed 2000. Ratification under active consideration.</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rPr>
                <w:i/>
              </w:rPr>
            </w:pPr>
            <w:r w:rsidRPr="009440AE">
              <w:rPr>
                <w:i/>
              </w:rPr>
              <w:t>International Convention on the Protection of the Rights of All Migrant Workers and Members of Their Families</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9440AE" w:rsidRDefault="00305792" w:rsidP="00D005CF">
            <w:pPr>
              <w:suppressAutoHyphens w:val="0"/>
              <w:spacing w:before="40" w:after="120" w:line="220" w:lineRule="exact"/>
              <w:ind w:right="113"/>
            </w:pPr>
            <w:r w:rsidRPr="009440AE">
              <w:t>Status</w:t>
            </w:r>
          </w:p>
        </w:tc>
        <w:tc>
          <w:tcPr>
            <w:tcW w:w="4386" w:type="pct"/>
            <w:shd w:val="clear" w:color="auto" w:fill="auto"/>
          </w:tcPr>
          <w:p w:rsidR="00305792" w:rsidRPr="009440AE" w:rsidRDefault="00305792" w:rsidP="00D005CF">
            <w:pPr>
              <w:suppressAutoHyphens w:val="0"/>
              <w:spacing w:before="40" w:after="120" w:line="220" w:lineRule="exact"/>
              <w:ind w:right="113"/>
              <w:jc w:val="both"/>
            </w:pPr>
            <w:r w:rsidRPr="009440AE">
              <w:t>Accession was considered and decided against in 2003.</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Convention on the Rights of Persons with Disabilities</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9440AE" w:rsidRDefault="00305792" w:rsidP="00D005CF">
            <w:pPr>
              <w:suppressAutoHyphens w:val="0"/>
              <w:spacing w:before="40" w:after="120" w:line="220" w:lineRule="exact"/>
              <w:ind w:right="113"/>
            </w:pPr>
            <w:r w:rsidRPr="009440AE">
              <w:t>Status</w:t>
            </w:r>
          </w:p>
        </w:tc>
        <w:tc>
          <w:tcPr>
            <w:tcW w:w="4386" w:type="pct"/>
            <w:shd w:val="clear" w:color="auto" w:fill="auto"/>
          </w:tcPr>
          <w:p w:rsidR="00305792" w:rsidRPr="009440AE" w:rsidRDefault="00305792" w:rsidP="00D005CF">
            <w:pPr>
              <w:suppressAutoHyphens w:val="0"/>
              <w:spacing w:before="40" w:after="120" w:line="220" w:lineRule="exact"/>
              <w:ind w:right="113"/>
              <w:jc w:val="both"/>
            </w:pPr>
            <w:r w:rsidRPr="009440AE">
              <w:t>Signed 2007. Ratified 25 September 2008.</w:t>
            </w:r>
          </w:p>
        </w:tc>
      </w:tr>
      <w:tr w:rsidR="00305792" w:rsidRPr="00115CCB" w:rsidTr="00D005CF">
        <w:tblPrEx>
          <w:tblCellMar>
            <w:top w:w="0" w:type="dxa"/>
            <w:bottom w:w="0" w:type="dxa"/>
          </w:tblCellMar>
        </w:tblPrEx>
        <w:trPr>
          <w:trHeight w:val="240"/>
        </w:trPr>
        <w:tc>
          <w:tcPr>
            <w:tcW w:w="5000" w:type="pct"/>
            <w:gridSpan w:val="3"/>
            <w:shd w:val="clear" w:color="auto" w:fill="auto"/>
          </w:tcPr>
          <w:p w:rsidR="00305792" w:rsidRPr="009440AE" w:rsidRDefault="00305792" w:rsidP="00D005CF">
            <w:pPr>
              <w:suppressAutoHyphens w:val="0"/>
              <w:spacing w:before="40" w:after="120" w:line="220" w:lineRule="exact"/>
              <w:ind w:right="113"/>
              <w:jc w:val="both"/>
              <w:rPr>
                <w:i/>
              </w:rPr>
            </w:pPr>
            <w:r w:rsidRPr="009440AE">
              <w:rPr>
                <w:i/>
              </w:rPr>
              <w:t>Optional Protocol to the Convention on the Rights of Persons with Disabilities</w:t>
            </w:r>
          </w:p>
        </w:tc>
      </w:tr>
      <w:tr w:rsidR="00305792" w:rsidRPr="00115CCB" w:rsidTr="00566DE3">
        <w:tblPrEx>
          <w:tblCellMar>
            <w:top w:w="0" w:type="dxa"/>
            <w:bottom w:w="0" w:type="dxa"/>
          </w:tblCellMar>
        </w:tblPrEx>
        <w:trPr>
          <w:trHeight w:val="240"/>
        </w:trPr>
        <w:tc>
          <w:tcPr>
            <w:tcW w:w="614" w:type="pct"/>
            <w:gridSpan w:val="2"/>
            <w:shd w:val="clear" w:color="auto" w:fill="auto"/>
          </w:tcPr>
          <w:p w:rsidR="00305792" w:rsidRPr="009440AE" w:rsidRDefault="00305792" w:rsidP="00D005CF">
            <w:pPr>
              <w:suppressAutoHyphens w:val="0"/>
              <w:spacing w:before="40" w:after="120" w:line="220" w:lineRule="exact"/>
              <w:ind w:right="113"/>
            </w:pPr>
          </w:p>
        </w:tc>
        <w:tc>
          <w:tcPr>
            <w:tcW w:w="4386" w:type="pct"/>
            <w:shd w:val="clear" w:color="auto" w:fill="auto"/>
          </w:tcPr>
          <w:p w:rsidR="00305792" w:rsidRPr="009440AE" w:rsidRDefault="00305792" w:rsidP="00D005CF">
            <w:pPr>
              <w:suppressAutoHyphens w:val="0"/>
              <w:spacing w:before="40" w:after="120" w:line="220" w:lineRule="exact"/>
              <w:ind w:right="113"/>
              <w:jc w:val="both"/>
            </w:pPr>
            <w:r w:rsidRPr="009440AE">
              <w:t>Not party.</w:t>
            </w:r>
          </w:p>
        </w:tc>
      </w:tr>
    </w:tbl>
    <w:p w:rsidR="00925259" w:rsidRPr="00715D3B" w:rsidRDefault="00715D3B" w:rsidP="00254AA7">
      <w:pPr>
        <w:pStyle w:val="H1G"/>
      </w:pPr>
      <w:r>
        <w:tab/>
      </w:r>
      <w:r>
        <w:tab/>
      </w:r>
      <w:r w:rsidRPr="00715D3B">
        <w:t>Other United Nations and related conventions</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484"/>
        <w:gridCol w:w="1300"/>
        <w:gridCol w:w="1787"/>
        <w:gridCol w:w="1788"/>
      </w:tblGrid>
      <w:tr w:rsidR="00925259" w:rsidRPr="00846C6F" w:rsidTr="002036E3">
        <w:tblPrEx>
          <w:tblCellMar>
            <w:top w:w="0" w:type="dxa"/>
            <w:bottom w:w="0" w:type="dxa"/>
          </w:tblCellMar>
        </w:tblPrEx>
        <w:trPr>
          <w:trHeight w:val="240"/>
          <w:tblHeader/>
        </w:trPr>
        <w:tc>
          <w:tcPr>
            <w:tcW w:w="7484" w:type="dxa"/>
            <w:tcBorders>
              <w:top w:val="single" w:sz="4" w:space="0" w:color="auto"/>
              <w:bottom w:val="single" w:sz="12" w:space="0" w:color="auto"/>
            </w:tcBorders>
            <w:shd w:val="clear" w:color="auto" w:fill="auto"/>
            <w:vAlign w:val="bottom"/>
          </w:tcPr>
          <w:p w:rsidR="00925259" w:rsidRPr="00846C6F" w:rsidRDefault="00715D3B" w:rsidP="00925259">
            <w:pPr>
              <w:keepNext/>
              <w:suppressAutoHyphens w:val="0"/>
              <w:spacing w:before="80" w:after="80" w:line="200" w:lineRule="exact"/>
              <w:ind w:right="113"/>
              <w:rPr>
                <w:i/>
                <w:sz w:val="16"/>
              </w:rPr>
            </w:pPr>
            <w:r w:rsidRPr="00605334">
              <w:rPr>
                <w:i/>
                <w:sz w:val="18"/>
                <w:szCs w:val="18"/>
              </w:rPr>
              <w:t>Other United Nations human rights and related conventions</w:t>
            </w:r>
          </w:p>
        </w:tc>
        <w:tc>
          <w:tcPr>
            <w:tcW w:w="1300" w:type="dxa"/>
            <w:tcBorders>
              <w:top w:val="single" w:sz="4" w:space="0" w:color="auto"/>
              <w:bottom w:val="single" w:sz="12" w:space="0" w:color="auto"/>
            </w:tcBorders>
            <w:shd w:val="clear" w:color="auto" w:fill="auto"/>
            <w:vAlign w:val="bottom"/>
          </w:tcPr>
          <w:p w:rsidR="00925259" w:rsidRPr="00846C6F" w:rsidRDefault="00925259" w:rsidP="00D148AD">
            <w:pPr>
              <w:keepNext/>
              <w:suppressAutoHyphens w:val="0"/>
              <w:spacing w:before="80" w:after="80" w:line="200" w:lineRule="exact"/>
              <w:ind w:right="113"/>
              <w:jc w:val="right"/>
              <w:rPr>
                <w:i/>
                <w:sz w:val="16"/>
              </w:rPr>
            </w:pPr>
            <w:r w:rsidRPr="00846C6F">
              <w:rPr>
                <w:i/>
                <w:sz w:val="16"/>
              </w:rPr>
              <w:t>Signature</w:t>
            </w:r>
          </w:p>
        </w:tc>
        <w:tc>
          <w:tcPr>
            <w:tcW w:w="1787" w:type="dxa"/>
            <w:tcBorders>
              <w:top w:val="single" w:sz="4" w:space="0" w:color="auto"/>
              <w:bottom w:val="single" w:sz="12" w:space="0" w:color="auto"/>
            </w:tcBorders>
            <w:shd w:val="clear" w:color="auto" w:fill="auto"/>
            <w:vAlign w:val="bottom"/>
          </w:tcPr>
          <w:p w:rsidR="00925259" w:rsidRPr="00846C6F" w:rsidRDefault="00925259" w:rsidP="00D148AD">
            <w:pPr>
              <w:keepNext/>
              <w:suppressAutoHyphens w:val="0"/>
              <w:spacing w:before="80" w:after="80" w:line="200" w:lineRule="exact"/>
              <w:ind w:right="113"/>
              <w:jc w:val="right"/>
              <w:rPr>
                <w:i/>
                <w:sz w:val="16"/>
              </w:rPr>
            </w:pPr>
            <w:r w:rsidRPr="00846C6F">
              <w:rPr>
                <w:i/>
                <w:sz w:val="16"/>
              </w:rPr>
              <w:t>Ratification</w:t>
            </w:r>
          </w:p>
        </w:tc>
        <w:tc>
          <w:tcPr>
            <w:tcW w:w="1788" w:type="dxa"/>
            <w:tcBorders>
              <w:top w:val="single" w:sz="4" w:space="0" w:color="auto"/>
              <w:bottom w:val="single" w:sz="12" w:space="0" w:color="auto"/>
            </w:tcBorders>
            <w:shd w:val="clear" w:color="auto" w:fill="auto"/>
            <w:vAlign w:val="bottom"/>
          </w:tcPr>
          <w:p w:rsidR="00925259" w:rsidRPr="00846C6F" w:rsidRDefault="00925259" w:rsidP="00D148AD">
            <w:pPr>
              <w:keepNext/>
              <w:suppressAutoHyphens w:val="0"/>
              <w:spacing w:before="80" w:after="80" w:line="200" w:lineRule="exact"/>
              <w:ind w:right="113"/>
              <w:jc w:val="right"/>
              <w:rPr>
                <w:i/>
                <w:sz w:val="16"/>
              </w:rPr>
            </w:pPr>
            <w:r w:rsidRPr="00846C6F">
              <w:rPr>
                <w:i/>
                <w:sz w:val="16"/>
              </w:rPr>
              <w:t>Accession</w:t>
            </w:r>
          </w:p>
        </w:tc>
      </w:tr>
      <w:tr w:rsidR="00925259" w:rsidRPr="008C08AA" w:rsidTr="002036E3">
        <w:tblPrEx>
          <w:tblCellMar>
            <w:top w:w="0" w:type="dxa"/>
            <w:bottom w:w="0" w:type="dxa"/>
          </w:tblCellMar>
        </w:tblPrEx>
        <w:trPr>
          <w:trHeight w:val="360"/>
        </w:trPr>
        <w:tc>
          <w:tcPr>
            <w:tcW w:w="7484" w:type="dxa"/>
            <w:tcBorders>
              <w:top w:val="nil"/>
            </w:tcBorders>
            <w:shd w:val="clear" w:color="auto" w:fill="auto"/>
          </w:tcPr>
          <w:p w:rsidR="00925259" w:rsidRPr="008C08AA" w:rsidRDefault="00925259" w:rsidP="00925259">
            <w:pPr>
              <w:keepNext/>
              <w:suppressAutoHyphens w:val="0"/>
              <w:spacing w:before="40" w:after="120" w:line="220" w:lineRule="exact"/>
              <w:ind w:right="113"/>
            </w:pPr>
            <w:r w:rsidRPr="008C08AA">
              <w:t>Convention on the Prevention and Punishment of the Crime of Genocide</w:t>
            </w:r>
          </w:p>
        </w:tc>
        <w:tc>
          <w:tcPr>
            <w:tcW w:w="1300" w:type="dxa"/>
            <w:tcBorders>
              <w:top w:val="nil"/>
            </w:tcBorders>
            <w:shd w:val="clear" w:color="auto" w:fill="auto"/>
          </w:tcPr>
          <w:p w:rsidR="00925259" w:rsidRPr="008C08AA" w:rsidRDefault="00925259" w:rsidP="00C70CA3">
            <w:pPr>
              <w:keepNext/>
              <w:suppressAutoHyphens w:val="0"/>
              <w:spacing w:before="40" w:after="120" w:line="220" w:lineRule="exact"/>
              <w:ind w:right="113"/>
              <w:jc w:val="right"/>
            </w:pPr>
            <w:r w:rsidRPr="008C08AA">
              <w:t>25/11/1949</w:t>
            </w:r>
          </w:p>
        </w:tc>
        <w:tc>
          <w:tcPr>
            <w:tcW w:w="1787" w:type="dxa"/>
            <w:tcBorders>
              <w:top w:val="nil"/>
              <w:bottom w:val="nil"/>
            </w:tcBorders>
            <w:shd w:val="clear" w:color="auto" w:fill="auto"/>
          </w:tcPr>
          <w:p w:rsidR="00925259" w:rsidRPr="008C08AA" w:rsidRDefault="00925259" w:rsidP="00C70CA3">
            <w:pPr>
              <w:keepNext/>
              <w:suppressAutoHyphens w:val="0"/>
              <w:spacing w:before="40" w:after="120" w:line="220" w:lineRule="exact"/>
              <w:ind w:right="113"/>
              <w:jc w:val="right"/>
            </w:pPr>
            <w:r w:rsidRPr="008C08AA">
              <w:t>28/12/1978</w:t>
            </w:r>
            <w:r w:rsidR="003708CF">
              <w:br/>
            </w:r>
            <w:r w:rsidR="003708CF" w:rsidRPr="008C08AA">
              <w:t>28/3/1979 (</w:t>
            </w:r>
            <w:proofErr w:type="spellStart"/>
            <w:r w:rsidR="003708CF" w:rsidRPr="008C08AA">
              <w:t>EIF</w:t>
            </w:r>
            <w:proofErr w:type="spellEnd"/>
            <w:r w:rsidR="003708CF" w:rsidRPr="008C08AA">
              <w:t>)</w:t>
            </w:r>
          </w:p>
        </w:tc>
        <w:tc>
          <w:tcPr>
            <w:tcW w:w="1788" w:type="dxa"/>
            <w:tcBorders>
              <w:top w:val="nil"/>
            </w:tcBorders>
            <w:shd w:val="clear" w:color="auto" w:fill="auto"/>
          </w:tcPr>
          <w:p w:rsidR="00925259" w:rsidRPr="008C08AA" w:rsidRDefault="00925259" w:rsidP="00C70CA3">
            <w:pPr>
              <w:keepNext/>
              <w:suppressAutoHyphens w:val="0"/>
              <w:spacing w:before="40" w:after="120" w:line="220" w:lineRule="exact"/>
              <w:ind w:right="113"/>
              <w:jc w:val="right"/>
            </w:pPr>
          </w:p>
        </w:tc>
      </w:tr>
      <w:tr w:rsidR="00925259" w:rsidRPr="008C08AA" w:rsidTr="002036E3">
        <w:tblPrEx>
          <w:tblCellMar>
            <w:top w:w="0" w:type="dxa"/>
            <w:bottom w:w="0" w:type="dxa"/>
          </w:tblCellMar>
        </w:tblPrEx>
        <w:tc>
          <w:tcPr>
            <w:tcW w:w="7484" w:type="dxa"/>
            <w:shd w:val="clear" w:color="auto" w:fill="auto"/>
          </w:tcPr>
          <w:p w:rsidR="00925259" w:rsidRPr="008C08AA" w:rsidRDefault="00925259" w:rsidP="00D005CF">
            <w:pPr>
              <w:suppressAutoHyphens w:val="0"/>
              <w:spacing w:before="40" w:after="120" w:line="220" w:lineRule="exact"/>
              <w:ind w:right="113"/>
            </w:pPr>
            <w:r w:rsidRPr="008C08AA">
              <w:t>Slavery Convention 1926 as amended 1955</w:t>
            </w:r>
          </w:p>
        </w:tc>
        <w:tc>
          <w:tcPr>
            <w:tcW w:w="1300" w:type="dxa"/>
            <w:shd w:val="clear" w:color="auto" w:fill="auto"/>
          </w:tcPr>
          <w:p w:rsidR="00925259" w:rsidRPr="008C08AA" w:rsidRDefault="00925259" w:rsidP="00C70CA3">
            <w:pPr>
              <w:suppressAutoHyphens w:val="0"/>
              <w:spacing w:before="40" w:after="120" w:line="220" w:lineRule="exact"/>
              <w:ind w:right="113"/>
              <w:jc w:val="right"/>
            </w:pPr>
            <w:r w:rsidRPr="008C08AA">
              <w:t>25/9/1926</w:t>
            </w:r>
          </w:p>
        </w:tc>
        <w:tc>
          <w:tcPr>
            <w:tcW w:w="1787" w:type="dxa"/>
            <w:shd w:val="clear" w:color="auto" w:fill="auto"/>
          </w:tcPr>
          <w:p w:rsidR="00925259" w:rsidRPr="008C08AA" w:rsidRDefault="00925259" w:rsidP="00C70CA3">
            <w:pPr>
              <w:suppressAutoHyphens w:val="0"/>
              <w:spacing w:before="40" w:after="120" w:line="220" w:lineRule="exact"/>
              <w:ind w:right="113"/>
              <w:jc w:val="right"/>
            </w:pPr>
            <w:r w:rsidRPr="008C08AA">
              <w:t>18/6/1927</w:t>
            </w:r>
            <w:r w:rsidR="003708CF">
              <w:br/>
            </w:r>
            <w:r w:rsidR="003708CF" w:rsidRPr="008C08AA">
              <w:t>18/6/1927 (</w:t>
            </w:r>
            <w:proofErr w:type="spellStart"/>
            <w:r w:rsidR="003708CF" w:rsidRPr="008C08AA">
              <w:t>EIF</w:t>
            </w:r>
            <w:proofErr w:type="spellEnd"/>
            <w:r w:rsidR="003708CF" w:rsidRPr="008C08AA">
              <w:t>)</w:t>
            </w:r>
          </w:p>
        </w:tc>
        <w:tc>
          <w:tcPr>
            <w:tcW w:w="1788" w:type="dxa"/>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Protocol amending the Slavery Convention signed at Geneva on 25 September 1926</w:t>
            </w:r>
          </w:p>
        </w:tc>
        <w:tc>
          <w:tcPr>
            <w:tcW w:w="1300" w:type="dxa"/>
            <w:shd w:val="clear" w:color="auto" w:fill="auto"/>
          </w:tcPr>
          <w:p w:rsidR="00925259" w:rsidRPr="008C08AA" w:rsidRDefault="00925259" w:rsidP="00C70CA3">
            <w:pPr>
              <w:suppressAutoHyphens w:val="0"/>
              <w:spacing w:before="40" w:after="120" w:line="220" w:lineRule="exact"/>
              <w:ind w:right="113"/>
              <w:jc w:val="right"/>
            </w:pP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r w:rsidRPr="008C08AA">
              <w:t>16/12/1953</w:t>
            </w:r>
            <w:r w:rsidR="003708CF">
              <w:br/>
            </w:r>
            <w:r w:rsidR="003708CF" w:rsidRPr="008C08AA">
              <w:t>16/12/1953 (</w:t>
            </w:r>
            <w:proofErr w:type="spellStart"/>
            <w:r w:rsidR="003708CF" w:rsidRPr="008C08AA">
              <w:t>EIF</w:t>
            </w:r>
            <w:proofErr w:type="spellEnd"/>
            <w:r w:rsidR="003708CF" w:rsidRPr="008C08AA">
              <w:t>)</w:t>
            </w: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Supplementary Convention on the Abolition of Slavery, the Slave Trade, and Institutions and Practices Similar to Slavery</w:t>
            </w:r>
          </w:p>
        </w:tc>
        <w:tc>
          <w:tcPr>
            <w:tcW w:w="1300" w:type="dxa"/>
            <w:shd w:val="clear" w:color="auto" w:fill="auto"/>
          </w:tcPr>
          <w:p w:rsidR="00925259" w:rsidRPr="008C08AA" w:rsidRDefault="00925259" w:rsidP="00C70CA3">
            <w:pPr>
              <w:suppressAutoHyphens w:val="0"/>
              <w:spacing w:before="40" w:after="120" w:line="220" w:lineRule="exact"/>
              <w:ind w:right="113"/>
              <w:jc w:val="right"/>
            </w:pP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r w:rsidRPr="008C08AA">
              <w:t>26/04/1962</w:t>
            </w:r>
            <w:r w:rsidR="003708CF">
              <w:br/>
            </w:r>
            <w:r w:rsidR="003708CF" w:rsidRPr="008C08AA">
              <w:t>26/04/1962 (</w:t>
            </w:r>
            <w:proofErr w:type="spellStart"/>
            <w:r w:rsidR="003708CF" w:rsidRPr="008C08AA">
              <w:t>EIF</w:t>
            </w:r>
            <w:proofErr w:type="spellEnd"/>
            <w:r w:rsidR="003708CF" w:rsidRPr="008C08AA">
              <w:t>)</w:t>
            </w:r>
          </w:p>
        </w:tc>
      </w:tr>
      <w:tr w:rsidR="00925259" w:rsidRPr="008C08AA" w:rsidTr="002036E3">
        <w:tblPrEx>
          <w:tblCellMar>
            <w:top w:w="0" w:type="dxa"/>
            <w:bottom w:w="0" w:type="dxa"/>
          </w:tblCellMar>
        </w:tblPrEx>
        <w:trPr>
          <w:trHeight w:val="24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 xml:space="preserve">Convention for the Suppression of the Traffic in Persons and of the Exploitation of the Prostitution of Others </w:t>
            </w:r>
          </w:p>
        </w:tc>
        <w:tc>
          <w:tcPr>
            <w:tcW w:w="1300" w:type="dxa"/>
            <w:shd w:val="clear" w:color="auto" w:fill="auto"/>
          </w:tcPr>
          <w:p w:rsidR="00925259" w:rsidRPr="008C08AA" w:rsidRDefault="00925259" w:rsidP="00C70CA3">
            <w:pPr>
              <w:suppressAutoHyphens w:val="0"/>
              <w:spacing w:before="40" w:after="120" w:line="220" w:lineRule="exact"/>
              <w:ind w:right="113"/>
              <w:jc w:val="right"/>
            </w:pPr>
            <w:bookmarkStart w:id="283" w:name="OLE_LINK1"/>
            <w:r w:rsidRPr="008C08AA">
              <w:t>Not party</w:t>
            </w:r>
            <w:bookmarkEnd w:id="283"/>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Convention relating to the Status of Refugees, 1951</w:t>
            </w:r>
          </w:p>
        </w:tc>
        <w:tc>
          <w:tcPr>
            <w:tcW w:w="1300" w:type="dxa"/>
            <w:shd w:val="clear" w:color="auto" w:fill="auto"/>
          </w:tcPr>
          <w:p w:rsidR="00925259" w:rsidRPr="008C08AA" w:rsidRDefault="00925259" w:rsidP="00C70CA3">
            <w:pPr>
              <w:suppressAutoHyphens w:val="0"/>
              <w:spacing w:before="40" w:after="120" w:line="220" w:lineRule="exact"/>
              <w:ind w:right="113"/>
              <w:jc w:val="right"/>
            </w:pP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r w:rsidRPr="008C08AA">
              <w:t>30/6/1960</w:t>
            </w:r>
            <w:r w:rsidR="003708CF">
              <w:br/>
            </w:r>
            <w:r w:rsidR="003708CF" w:rsidRPr="008C08AA">
              <w:t>28/9/1960 (</w:t>
            </w:r>
            <w:proofErr w:type="spellStart"/>
            <w:r w:rsidR="003708CF" w:rsidRPr="008C08AA">
              <w:t>EIF</w:t>
            </w:r>
            <w:proofErr w:type="spellEnd"/>
            <w:r w:rsidR="003708CF" w:rsidRPr="008C08AA">
              <w:t>)</w:t>
            </w: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Protocol relating to the Status of Refugees</w:t>
            </w:r>
          </w:p>
        </w:tc>
        <w:tc>
          <w:tcPr>
            <w:tcW w:w="1300" w:type="dxa"/>
            <w:shd w:val="clear" w:color="auto" w:fill="auto"/>
          </w:tcPr>
          <w:p w:rsidR="00925259" w:rsidRPr="008C08AA" w:rsidRDefault="00925259" w:rsidP="00C70CA3">
            <w:pPr>
              <w:suppressAutoHyphens w:val="0"/>
              <w:spacing w:before="40" w:after="120" w:line="220" w:lineRule="exact"/>
              <w:ind w:right="113"/>
              <w:jc w:val="right"/>
            </w:pP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r w:rsidRPr="008C08AA">
              <w:t>6/8/1973</w:t>
            </w:r>
            <w:r w:rsidR="003708CF">
              <w:br/>
            </w:r>
            <w:r w:rsidR="003708CF" w:rsidRPr="008C08AA">
              <w:t>6/8/1973 (</w:t>
            </w:r>
            <w:proofErr w:type="spellStart"/>
            <w:r w:rsidR="003708CF" w:rsidRPr="008C08AA">
              <w:t>EIF</w:t>
            </w:r>
            <w:proofErr w:type="spellEnd"/>
            <w:r w:rsidR="003708CF" w:rsidRPr="008C08AA">
              <w:t>)</w:t>
            </w:r>
          </w:p>
        </w:tc>
      </w:tr>
      <w:tr w:rsidR="00925259" w:rsidRPr="008C08AA" w:rsidTr="002036E3">
        <w:tblPrEx>
          <w:tblCellMar>
            <w:top w:w="0" w:type="dxa"/>
            <w:bottom w:w="0" w:type="dxa"/>
          </w:tblCellMar>
        </w:tblPrEx>
        <w:trPr>
          <w:trHeight w:val="24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Convention relating to the Status of Stateless Persons, 1954</w:t>
            </w:r>
          </w:p>
        </w:tc>
        <w:tc>
          <w:tcPr>
            <w:tcW w:w="1300" w:type="dxa"/>
            <w:shd w:val="clear" w:color="auto" w:fill="auto"/>
          </w:tcPr>
          <w:p w:rsidR="00925259" w:rsidRPr="008C08AA" w:rsidRDefault="00925259" w:rsidP="00C70CA3">
            <w:pPr>
              <w:suppressAutoHyphens w:val="0"/>
              <w:spacing w:before="40" w:after="120" w:line="220" w:lineRule="exact"/>
              <w:ind w:right="113"/>
              <w:jc w:val="right"/>
            </w:pPr>
            <w:r w:rsidRPr="008C08AA">
              <w:t>Not party</w:t>
            </w: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Convention on the Reduction of Statelessness, 1961</w:t>
            </w:r>
          </w:p>
        </w:tc>
        <w:tc>
          <w:tcPr>
            <w:tcW w:w="1300" w:type="dxa"/>
            <w:shd w:val="clear" w:color="auto" w:fill="auto"/>
          </w:tcPr>
          <w:p w:rsidR="00925259" w:rsidRPr="008C08AA" w:rsidRDefault="00925259" w:rsidP="00C70CA3">
            <w:pPr>
              <w:suppressAutoHyphens w:val="0"/>
              <w:spacing w:before="40" w:after="120" w:line="220" w:lineRule="exact"/>
              <w:ind w:right="113"/>
              <w:jc w:val="right"/>
            </w:pPr>
          </w:p>
        </w:tc>
        <w:tc>
          <w:tcPr>
            <w:tcW w:w="1787" w:type="dxa"/>
            <w:shd w:val="clear" w:color="auto" w:fill="auto"/>
          </w:tcPr>
          <w:p w:rsidR="00925259" w:rsidRPr="008C08AA" w:rsidRDefault="00925259" w:rsidP="00C70CA3">
            <w:pPr>
              <w:suppressAutoHyphens w:val="0"/>
              <w:spacing w:before="40" w:after="120" w:line="220" w:lineRule="exact"/>
              <w:ind w:right="113"/>
              <w:jc w:val="right"/>
            </w:pPr>
          </w:p>
        </w:tc>
        <w:tc>
          <w:tcPr>
            <w:tcW w:w="1788" w:type="dxa"/>
            <w:shd w:val="clear" w:color="auto" w:fill="auto"/>
          </w:tcPr>
          <w:p w:rsidR="00925259" w:rsidRPr="008C08AA" w:rsidRDefault="00925259" w:rsidP="00C70CA3">
            <w:pPr>
              <w:suppressAutoHyphens w:val="0"/>
              <w:spacing w:before="40" w:after="120" w:line="220" w:lineRule="exact"/>
              <w:ind w:right="113"/>
              <w:jc w:val="right"/>
            </w:pPr>
            <w:r w:rsidRPr="008C08AA">
              <w:t>20/09/2006</w:t>
            </w:r>
            <w:r w:rsidR="003708CF">
              <w:br/>
            </w:r>
            <w:r w:rsidR="003708CF" w:rsidRPr="008C08AA">
              <w:t>19/12/2006 (</w:t>
            </w:r>
            <w:proofErr w:type="spellStart"/>
            <w:r w:rsidR="003708CF" w:rsidRPr="008C08AA">
              <w:t>EIF</w:t>
            </w:r>
            <w:proofErr w:type="spellEnd"/>
            <w:r w:rsidR="003708CF" w:rsidRPr="008C08AA">
              <w:t>)</w:t>
            </w: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Rome Statute of the International Criminal Court, 1998</w:t>
            </w:r>
          </w:p>
        </w:tc>
        <w:tc>
          <w:tcPr>
            <w:tcW w:w="1300" w:type="dxa"/>
            <w:shd w:val="clear" w:color="auto" w:fill="auto"/>
          </w:tcPr>
          <w:p w:rsidR="00925259" w:rsidRPr="008C08AA" w:rsidRDefault="00925259" w:rsidP="00C70CA3">
            <w:pPr>
              <w:suppressAutoHyphens w:val="0"/>
              <w:spacing w:before="40" w:after="120" w:line="220" w:lineRule="exact"/>
              <w:ind w:right="113"/>
              <w:jc w:val="right"/>
            </w:pPr>
            <w:r w:rsidRPr="008C08AA">
              <w:t>7/10/1998</w:t>
            </w:r>
          </w:p>
        </w:tc>
        <w:tc>
          <w:tcPr>
            <w:tcW w:w="1787" w:type="dxa"/>
            <w:shd w:val="clear" w:color="auto" w:fill="auto"/>
          </w:tcPr>
          <w:p w:rsidR="00925259" w:rsidRPr="008C08AA" w:rsidRDefault="00925259" w:rsidP="00C70CA3">
            <w:pPr>
              <w:suppressAutoHyphens w:val="0"/>
              <w:spacing w:before="40" w:after="120" w:line="220" w:lineRule="exact"/>
              <w:ind w:right="113"/>
              <w:jc w:val="right"/>
            </w:pPr>
            <w:r w:rsidRPr="008C08AA">
              <w:t>7/9/2000</w:t>
            </w:r>
            <w:r w:rsidR="003708CF">
              <w:br/>
            </w:r>
            <w:r w:rsidR="003708CF" w:rsidRPr="008C08AA">
              <w:t>1/7/2002 (</w:t>
            </w:r>
            <w:proofErr w:type="spellStart"/>
            <w:r w:rsidR="003708CF" w:rsidRPr="008C08AA">
              <w:t>EIF</w:t>
            </w:r>
            <w:proofErr w:type="spellEnd"/>
            <w:r w:rsidR="003708CF" w:rsidRPr="008C08AA">
              <w:t>)</w:t>
            </w:r>
          </w:p>
        </w:tc>
        <w:tc>
          <w:tcPr>
            <w:tcW w:w="1788" w:type="dxa"/>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360"/>
        </w:trPr>
        <w:tc>
          <w:tcPr>
            <w:tcW w:w="7484" w:type="dxa"/>
            <w:shd w:val="clear" w:color="auto" w:fill="auto"/>
          </w:tcPr>
          <w:p w:rsidR="00925259" w:rsidRPr="008C08AA" w:rsidRDefault="00925259" w:rsidP="00D005CF">
            <w:pPr>
              <w:suppressAutoHyphens w:val="0"/>
              <w:spacing w:before="40" w:after="120" w:line="220" w:lineRule="exact"/>
              <w:ind w:right="113"/>
            </w:pPr>
            <w:r w:rsidRPr="008C08AA">
              <w:t xml:space="preserve">United Nations Convention Against Transnational Organized Crime, 2000 </w:t>
            </w:r>
          </w:p>
        </w:tc>
        <w:tc>
          <w:tcPr>
            <w:tcW w:w="1300" w:type="dxa"/>
            <w:shd w:val="clear" w:color="auto" w:fill="auto"/>
          </w:tcPr>
          <w:p w:rsidR="00925259" w:rsidRPr="008C08AA" w:rsidRDefault="00925259" w:rsidP="00C70CA3">
            <w:pPr>
              <w:suppressAutoHyphens w:val="0"/>
              <w:spacing w:before="40" w:after="120" w:line="220" w:lineRule="exact"/>
              <w:ind w:right="113"/>
              <w:jc w:val="right"/>
            </w:pPr>
            <w:r w:rsidRPr="008C08AA">
              <w:t>14/12/2000</w:t>
            </w:r>
          </w:p>
        </w:tc>
        <w:tc>
          <w:tcPr>
            <w:tcW w:w="1787" w:type="dxa"/>
            <w:shd w:val="clear" w:color="auto" w:fill="auto"/>
          </w:tcPr>
          <w:p w:rsidR="00925259" w:rsidRPr="008C08AA" w:rsidRDefault="00925259" w:rsidP="00C70CA3">
            <w:pPr>
              <w:suppressAutoHyphens w:val="0"/>
              <w:spacing w:before="40" w:after="120" w:line="220" w:lineRule="exact"/>
              <w:ind w:right="113"/>
              <w:jc w:val="right"/>
            </w:pPr>
            <w:r w:rsidRPr="008C08AA">
              <w:t>19/7/2002</w:t>
            </w:r>
            <w:r w:rsidR="003708CF">
              <w:br/>
            </w:r>
            <w:r w:rsidR="003708CF" w:rsidRPr="008C08AA">
              <w:t>29/9/2003 (</w:t>
            </w:r>
            <w:proofErr w:type="spellStart"/>
            <w:r w:rsidR="003708CF" w:rsidRPr="008C08AA">
              <w:t>EIF</w:t>
            </w:r>
            <w:proofErr w:type="spellEnd"/>
            <w:r w:rsidR="003708CF" w:rsidRPr="008C08AA">
              <w:t>)</w:t>
            </w:r>
          </w:p>
        </w:tc>
        <w:tc>
          <w:tcPr>
            <w:tcW w:w="1788" w:type="dxa"/>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412"/>
        </w:trPr>
        <w:tc>
          <w:tcPr>
            <w:tcW w:w="7484" w:type="dxa"/>
            <w:tcBorders>
              <w:top w:val="nil"/>
              <w:bottom w:val="nil"/>
            </w:tcBorders>
            <w:shd w:val="clear" w:color="auto" w:fill="auto"/>
          </w:tcPr>
          <w:p w:rsidR="00925259" w:rsidRPr="008C08AA" w:rsidRDefault="00925259" w:rsidP="00D005CF">
            <w:pPr>
              <w:suppressAutoHyphens w:val="0"/>
              <w:spacing w:before="40" w:after="120" w:line="220" w:lineRule="exact"/>
              <w:ind w:right="113"/>
            </w:pPr>
            <w:r w:rsidRPr="008C08AA">
              <w:t>Protocol to Prevent, Suppress and Punish Trafficking in Persons, Especially Women and Children, supplementing the United Nations Convention against Transnational Organized Crime</w:t>
            </w:r>
          </w:p>
        </w:tc>
        <w:tc>
          <w:tcPr>
            <w:tcW w:w="1300" w:type="dxa"/>
            <w:tcBorders>
              <w:top w:val="nil"/>
              <w:bottom w:val="nil"/>
            </w:tcBorders>
            <w:shd w:val="clear" w:color="auto" w:fill="auto"/>
          </w:tcPr>
          <w:p w:rsidR="00925259" w:rsidRPr="008C08AA" w:rsidRDefault="00925259" w:rsidP="00C70CA3">
            <w:pPr>
              <w:suppressAutoHyphens w:val="0"/>
              <w:spacing w:before="40" w:after="120" w:line="220" w:lineRule="exact"/>
              <w:ind w:right="113"/>
              <w:jc w:val="right"/>
            </w:pPr>
            <w:r w:rsidRPr="008C08AA">
              <w:t>14/12/2000</w:t>
            </w:r>
          </w:p>
        </w:tc>
        <w:tc>
          <w:tcPr>
            <w:tcW w:w="1787" w:type="dxa"/>
            <w:tcBorders>
              <w:top w:val="nil"/>
              <w:bottom w:val="nil"/>
            </w:tcBorders>
            <w:shd w:val="clear" w:color="auto" w:fill="auto"/>
          </w:tcPr>
          <w:p w:rsidR="00925259" w:rsidRPr="008C08AA" w:rsidRDefault="00925259" w:rsidP="00C70CA3">
            <w:pPr>
              <w:suppressAutoHyphens w:val="0"/>
              <w:spacing w:before="40" w:after="120" w:line="220" w:lineRule="exact"/>
              <w:ind w:right="113"/>
              <w:jc w:val="right"/>
            </w:pPr>
            <w:r w:rsidRPr="008C08AA">
              <w:t>19/7/2002</w:t>
            </w:r>
            <w:r w:rsidR="003708CF">
              <w:br/>
            </w:r>
            <w:r w:rsidR="003708CF" w:rsidRPr="008C08AA">
              <w:t>25/12/2003 (</w:t>
            </w:r>
            <w:proofErr w:type="spellStart"/>
            <w:r w:rsidR="003708CF" w:rsidRPr="008C08AA">
              <w:t>EIF</w:t>
            </w:r>
            <w:proofErr w:type="spellEnd"/>
            <w:r w:rsidR="003708CF" w:rsidRPr="008C08AA">
              <w:t>)</w:t>
            </w:r>
          </w:p>
        </w:tc>
        <w:tc>
          <w:tcPr>
            <w:tcW w:w="1788" w:type="dxa"/>
            <w:tcBorders>
              <w:top w:val="nil"/>
              <w:bottom w:val="nil"/>
            </w:tcBorders>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360"/>
        </w:trPr>
        <w:tc>
          <w:tcPr>
            <w:tcW w:w="7484" w:type="dxa"/>
            <w:tcBorders>
              <w:top w:val="nil"/>
            </w:tcBorders>
            <w:shd w:val="clear" w:color="auto" w:fill="auto"/>
          </w:tcPr>
          <w:p w:rsidR="00925259" w:rsidRPr="008C08AA" w:rsidRDefault="00925259" w:rsidP="00D005CF">
            <w:pPr>
              <w:suppressAutoHyphens w:val="0"/>
              <w:spacing w:before="40" w:after="120" w:line="220" w:lineRule="exact"/>
              <w:ind w:right="113"/>
            </w:pPr>
            <w:r w:rsidRPr="008C08AA">
              <w:t>Protocol against the Smuggling of Migrants by Land, Sea and Air, supplementing the United Nations Convention against Transnational Organized Crime</w:t>
            </w:r>
          </w:p>
        </w:tc>
        <w:tc>
          <w:tcPr>
            <w:tcW w:w="1300" w:type="dxa"/>
            <w:tcBorders>
              <w:top w:val="nil"/>
            </w:tcBorders>
            <w:shd w:val="clear" w:color="auto" w:fill="auto"/>
          </w:tcPr>
          <w:p w:rsidR="00925259" w:rsidRPr="008C08AA" w:rsidRDefault="00925259" w:rsidP="00C70CA3">
            <w:pPr>
              <w:suppressAutoHyphens w:val="0"/>
              <w:spacing w:before="40" w:after="120" w:line="220" w:lineRule="exact"/>
              <w:ind w:right="113"/>
              <w:jc w:val="right"/>
            </w:pPr>
            <w:r w:rsidRPr="008C08AA">
              <w:t>14/12/2000</w:t>
            </w:r>
          </w:p>
        </w:tc>
        <w:tc>
          <w:tcPr>
            <w:tcW w:w="1787" w:type="dxa"/>
            <w:tcBorders>
              <w:top w:val="nil"/>
            </w:tcBorders>
            <w:shd w:val="clear" w:color="auto" w:fill="auto"/>
          </w:tcPr>
          <w:p w:rsidR="00925259" w:rsidRPr="008C08AA" w:rsidRDefault="00925259" w:rsidP="00C70CA3">
            <w:pPr>
              <w:suppressAutoHyphens w:val="0"/>
              <w:spacing w:before="40" w:after="120" w:line="220" w:lineRule="exact"/>
              <w:ind w:right="113"/>
              <w:jc w:val="right"/>
            </w:pPr>
            <w:r w:rsidRPr="008C08AA">
              <w:t>19/7/2002</w:t>
            </w:r>
            <w:r w:rsidR="00DF2569">
              <w:br/>
            </w:r>
            <w:r w:rsidR="00DF2569" w:rsidRPr="008C08AA">
              <w:t>28/01/2004 (</w:t>
            </w:r>
            <w:proofErr w:type="spellStart"/>
            <w:r w:rsidR="00DF2569" w:rsidRPr="008C08AA">
              <w:t>EIF</w:t>
            </w:r>
            <w:proofErr w:type="spellEnd"/>
            <w:r w:rsidR="00DF2569" w:rsidRPr="008C08AA">
              <w:t>)</w:t>
            </w:r>
          </w:p>
        </w:tc>
        <w:tc>
          <w:tcPr>
            <w:tcW w:w="1788" w:type="dxa"/>
            <w:tcBorders>
              <w:top w:val="nil"/>
            </w:tcBorders>
            <w:shd w:val="clear" w:color="auto" w:fill="auto"/>
          </w:tcPr>
          <w:p w:rsidR="00925259" w:rsidRPr="008C08AA" w:rsidRDefault="00925259" w:rsidP="00C70CA3">
            <w:pPr>
              <w:suppressAutoHyphens w:val="0"/>
              <w:spacing w:before="40" w:after="120" w:line="220" w:lineRule="exact"/>
              <w:ind w:right="113"/>
              <w:jc w:val="right"/>
            </w:pPr>
          </w:p>
        </w:tc>
      </w:tr>
      <w:tr w:rsidR="00925259" w:rsidRPr="008C08AA" w:rsidTr="002036E3">
        <w:tblPrEx>
          <w:tblCellMar>
            <w:top w:w="0" w:type="dxa"/>
            <w:bottom w:w="0" w:type="dxa"/>
          </w:tblCellMar>
        </w:tblPrEx>
        <w:trPr>
          <w:trHeight w:val="240"/>
        </w:trPr>
        <w:tc>
          <w:tcPr>
            <w:tcW w:w="7484" w:type="dxa"/>
            <w:tcBorders>
              <w:bottom w:val="nil"/>
            </w:tcBorders>
            <w:shd w:val="clear" w:color="auto" w:fill="auto"/>
          </w:tcPr>
          <w:p w:rsidR="00925259" w:rsidRPr="008C08AA" w:rsidRDefault="00925259" w:rsidP="00D005CF">
            <w:pPr>
              <w:suppressAutoHyphens w:val="0"/>
              <w:spacing w:before="40" w:after="120" w:line="220" w:lineRule="exact"/>
              <w:ind w:right="113"/>
            </w:pPr>
            <w:r w:rsidRPr="008C08AA">
              <w:t>Protocol against the Illicit Manufacturing of and Trafficking in Firearms, Their Parts and Components and Ammunition, supplementing the United Nations Convention against Transnational Organized Crime</w:t>
            </w:r>
          </w:p>
        </w:tc>
        <w:tc>
          <w:tcPr>
            <w:tcW w:w="1300" w:type="dxa"/>
            <w:tcBorders>
              <w:bottom w:val="nil"/>
            </w:tcBorders>
            <w:shd w:val="clear" w:color="auto" w:fill="auto"/>
          </w:tcPr>
          <w:p w:rsidR="00925259" w:rsidRPr="008C08AA" w:rsidRDefault="00925259" w:rsidP="00C70CA3">
            <w:pPr>
              <w:suppressAutoHyphens w:val="0"/>
              <w:spacing w:before="40" w:after="120" w:line="220" w:lineRule="exact"/>
              <w:ind w:right="113"/>
              <w:jc w:val="right"/>
            </w:pPr>
            <w:r w:rsidRPr="008C08AA">
              <w:t>Not party</w:t>
            </w:r>
          </w:p>
        </w:tc>
        <w:tc>
          <w:tcPr>
            <w:tcW w:w="1787" w:type="dxa"/>
            <w:tcBorders>
              <w:bottom w:val="nil"/>
            </w:tcBorders>
            <w:shd w:val="clear" w:color="auto" w:fill="auto"/>
          </w:tcPr>
          <w:p w:rsidR="00925259" w:rsidRPr="008C08AA" w:rsidRDefault="00925259" w:rsidP="00C70CA3">
            <w:pPr>
              <w:suppressAutoHyphens w:val="0"/>
              <w:spacing w:before="40" w:after="120" w:line="220" w:lineRule="exact"/>
              <w:ind w:right="113"/>
              <w:jc w:val="right"/>
            </w:pPr>
          </w:p>
        </w:tc>
        <w:tc>
          <w:tcPr>
            <w:tcW w:w="1788" w:type="dxa"/>
            <w:tcBorders>
              <w:bottom w:val="nil"/>
            </w:tcBorders>
            <w:shd w:val="clear" w:color="auto" w:fill="auto"/>
          </w:tcPr>
          <w:p w:rsidR="00925259" w:rsidRPr="008C08AA" w:rsidRDefault="00925259" w:rsidP="00C70CA3">
            <w:pPr>
              <w:suppressAutoHyphens w:val="0"/>
              <w:spacing w:before="40" w:after="120" w:line="220" w:lineRule="exact"/>
              <w:ind w:right="113"/>
              <w:jc w:val="right"/>
            </w:pPr>
          </w:p>
        </w:tc>
      </w:tr>
      <w:tr w:rsidR="00E13660" w:rsidRPr="008C08AA" w:rsidTr="002036E3">
        <w:tblPrEx>
          <w:tblCellMar>
            <w:top w:w="0" w:type="dxa"/>
            <w:bottom w:w="0" w:type="dxa"/>
          </w:tblCellMar>
        </w:tblPrEx>
        <w:trPr>
          <w:trHeight w:val="360"/>
        </w:trPr>
        <w:tc>
          <w:tcPr>
            <w:tcW w:w="7484" w:type="dxa"/>
            <w:tcBorders>
              <w:top w:val="nil"/>
              <w:bottom w:val="single" w:sz="12" w:space="0" w:color="auto"/>
            </w:tcBorders>
            <w:shd w:val="clear" w:color="auto" w:fill="auto"/>
          </w:tcPr>
          <w:p w:rsidR="00E13660" w:rsidRPr="008C08AA" w:rsidRDefault="00E13660" w:rsidP="00D005CF">
            <w:pPr>
              <w:suppressAutoHyphens w:val="0"/>
              <w:spacing w:before="40" w:after="120" w:line="220" w:lineRule="exact"/>
              <w:ind w:right="113"/>
            </w:pPr>
            <w:r w:rsidRPr="008C08AA">
              <w:t>Convention on Consent to Marriage, Minimum Age for Marriage and Registration of Marriages</w:t>
            </w:r>
          </w:p>
        </w:tc>
        <w:tc>
          <w:tcPr>
            <w:tcW w:w="1300" w:type="dxa"/>
            <w:tcBorders>
              <w:top w:val="nil"/>
              <w:bottom w:val="single" w:sz="12" w:space="0" w:color="auto"/>
            </w:tcBorders>
            <w:shd w:val="clear" w:color="auto" w:fill="auto"/>
          </w:tcPr>
          <w:p w:rsidR="00E13660" w:rsidRPr="008C08AA" w:rsidRDefault="00E13660" w:rsidP="00C70CA3">
            <w:pPr>
              <w:suppressAutoHyphens w:val="0"/>
              <w:spacing w:before="40" w:after="120" w:line="220" w:lineRule="exact"/>
              <w:ind w:right="113"/>
              <w:jc w:val="right"/>
            </w:pPr>
            <w:r w:rsidRPr="008C08AA">
              <w:t>23/12/1963</w:t>
            </w:r>
          </w:p>
        </w:tc>
        <w:tc>
          <w:tcPr>
            <w:tcW w:w="1787" w:type="dxa"/>
            <w:tcBorders>
              <w:top w:val="nil"/>
              <w:bottom w:val="single" w:sz="12" w:space="0" w:color="auto"/>
            </w:tcBorders>
            <w:shd w:val="clear" w:color="auto" w:fill="auto"/>
          </w:tcPr>
          <w:p w:rsidR="00E13660" w:rsidRPr="008C08AA" w:rsidRDefault="00E13660" w:rsidP="00C70CA3">
            <w:pPr>
              <w:suppressAutoHyphens w:val="0"/>
              <w:spacing w:before="40" w:after="120" w:line="220" w:lineRule="exact"/>
              <w:ind w:right="113"/>
              <w:jc w:val="right"/>
            </w:pPr>
            <w:r w:rsidRPr="008C08AA">
              <w:t>12/06/1964</w:t>
            </w:r>
            <w:r w:rsidR="008A0841">
              <w:br/>
            </w:r>
            <w:r w:rsidR="008A0841" w:rsidRPr="008C08AA">
              <w:t>09/12/1964 (</w:t>
            </w:r>
            <w:proofErr w:type="spellStart"/>
            <w:r w:rsidR="008A0841" w:rsidRPr="008C08AA">
              <w:t>EIF</w:t>
            </w:r>
            <w:proofErr w:type="spellEnd"/>
            <w:r w:rsidR="008A0841" w:rsidRPr="008C08AA">
              <w:t>)</w:t>
            </w:r>
          </w:p>
        </w:tc>
        <w:tc>
          <w:tcPr>
            <w:tcW w:w="1788" w:type="dxa"/>
            <w:tcBorders>
              <w:top w:val="nil"/>
              <w:bottom w:val="single" w:sz="12" w:space="0" w:color="auto"/>
            </w:tcBorders>
            <w:shd w:val="clear" w:color="auto" w:fill="auto"/>
          </w:tcPr>
          <w:p w:rsidR="00E13660" w:rsidRPr="008C08AA" w:rsidRDefault="00E13660" w:rsidP="00C70CA3">
            <w:pPr>
              <w:suppressAutoHyphens w:val="0"/>
              <w:spacing w:before="40" w:after="120" w:line="220" w:lineRule="exact"/>
              <w:ind w:right="113"/>
              <w:jc w:val="right"/>
            </w:pPr>
          </w:p>
        </w:tc>
      </w:tr>
    </w:tbl>
    <w:p w:rsidR="00925259" w:rsidRPr="00360B42" w:rsidRDefault="00925259" w:rsidP="006C436C">
      <w:pPr>
        <w:pStyle w:val="H23G"/>
      </w:pPr>
      <w:r w:rsidRPr="00605334">
        <w:tab/>
      </w:r>
      <w:r w:rsidRPr="00936283">
        <w:tab/>
        <w:t>Relevant Conventions of the International Labour Organization</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14"/>
        <w:gridCol w:w="1265"/>
        <w:gridCol w:w="1740"/>
        <w:gridCol w:w="1740"/>
      </w:tblGrid>
      <w:tr w:rsidR="00925259" w:rsidRPr="00605334" w:rsidTr="00E637C9">
        <w:tblPrEx>
          <w:tblCellMar>
            <w:top w:w="0" w:type="dxa"/>
            <w:bottom w:w="0" w:type="dxa"/>
          </w:tblCellMar>
        </w:tblPrEx>
        <w:trPr>
          <w:trHeight w:val="240"/>
          <w:tblHeader/>
        </w:trPr>
        <w:tc>
          <w:tcPr>
            <w:tcW w:w="7817" w:type="dxa"/>
            <w:tcBorders>
              <w:top w:val="single" w:sz="4" w:space="0" w:color="auto"/>
              <w:bottom w:val="single" w:sz="12" w:space="0" w:color="auto"/>
            </w:tcBorders>
            <w:shd w:val="clear" w:color="auto" w:fill="auto"/>
            <w:vAlign w:val="bottom"/>
          </w:tcPr>
          <w:p w:rsidR="00925259" w:rsidRPr="00605334" w:rsidRDefault="00925259" w:rsidP="00D005CF">
            <w:pPr>
              <w:suppressAutoHyphens w:val="0"/>
              <w:spacing w:before="80" w:after="80" w:line="200" w:lineRule="exact"/>
              <w:ind w:right="113"/>
              <w:rPr>
                <w:i/>
                <w:sz w:val="18"/>
                <w:szCs w:val="18"/>
              </w:rPr>
            </w:pPr>
            <w:r w:rsidRPr="00605334">
              <w:rPr>
                <w:i/>
                <w:sz w:val="18"/>
                <w:szCs w:val="18"/>
              </w:rPr>
              <w:t>Conventions of the International Labour Organization</w:t>
            </w:r>
          </w:p>
        </w:tc>
        <w:tc>
          <w:tcPr>
            <w:tcW w:w="1298" w:type="dxa"/>
            <w:tcBorders>
              <w:top w:val="single" w:sz="4" w:space="0" w:color="auto"/>
              <w:bottom w:val="single" w:sz="12" w:space="0" w:color="auto"/>
            </w:tcBorders>
            <w:shd w:val="clear" w:color="auto" w:fill="auto"/>
            <w:vAlign w:val="bottom"/>
          </w:tcPr>
          <w:p w:rsidR="00925259" w:rsidRPr="00605334" w:rsidRDefault="00925259" w:rsidP="00D148AD">
            <w:pPr>
              <w:suppressAutoHyphens w:val="0"/>
              <w:spacing w:before="80" w:after="80" w:line="200" w:lineRule="exact"/>
              <w:ind w:right="113"/>
              <w:jc w:val="right"/>
              <w:rPr>
                <w:i/>
                <w:sz w:val="18"/>
                <w:szCs w:val="18"/>
              </w:rPr>
            </w:pPr>
            <w:r w:rsidRPr="00605334">
              <w:rPr>
                <w:i/>
                <w:sz w:val="18"/>
                <w:szCs w:val="18"/>
              </w:rPr>
              <w:t>Signature</w:t>
            </w:r>
          </w:p>
        </w:tc>
        <w:tc>
          <w:tcPr>
            <w:tcW w:w="1786" w:type="dxa"/>
            <w:tcBorders>
              <w:top w:val="single" w:sz="4" w:space="0" w:color="auto"/>
              <w:bottom w:val="single" w:sz="12" w:space="0" w:color="auto"/>
            </w:tcBorders>
            <w:shd w:val="clear" w:color="auto" w:fill="auto"/>
            <w:vAlign w:val="bottom"/>
          </w:tcPr>
          <w:p w:rsidR="00925259" w:rsidRPr="00605334" w:rsidRDefault="00925259" w:rsidP="00D148AD">
            <w:pPr>
              <w:suppressAutoHyphens w:val="0"/>
              <w:spacing w:before="80" w:after="80" w:line="200" w:lineRule="exact"/>
              <w:ind w:right="113"/>
              <w:jc w:val="right"/>
              <w:rPr>
                <w:i/>
                <w:sz w:val="18"/>
                <w:szCs w:val="18"/>
              </w:rPr>
            </w:pPr>
            <w:r w:rsidRPr="00605334">
              <w:rPr>
                <w:i/>
                <w:sz w:val="18"/>
                <w:szCs w:val="18"/>
              </w:rPr>
              <w:t>Ratification</w:t>
            </w:r>
          </w:p>
        </w:tc>
        <w:tc>
          <w:tcPr>
            <w:tcW w:w="1786" w:type="dxa"/>
            <w:tcBorders>
              <w:top w:val="single" w:sz="4" w:space="0" w:color="auto"/>
              <w:bottom w:val="single" w:sz="12" w:space="0" w:color="auto"/>
            </w:tcBorders>
            <w:shd w:val="clear" w:color="auto" w:fill="auto"/>
            <w:vAlign w:val="bottom"/>
          </w:tcPr>
          <w:p w:rsidR="00925259" w:rsidRPr="00605334" w:rsidRDefault="00925259" w:rsidP="00D148AD">
            <w:pPr>
              <w:suppressAutoHyphens w:val="0"/>
              <w:spacing w:before="80" w:after="80" w:line="200" w:lineRule="exact"/>
              <w:ind w:right="113"/>
              <w:jc w:val="right"/>
              <w:rPr>
                <w:i/>
                <w:sz w:val="18"/>
                <w:szCs w:val="18"/>
              </w:rPr>
            </w:pPr>
            <w:r w:rsidRPr="00605334">
              <w:rPr>
                <w:i/>
                <w:sz w:val="18"/>
                <w:szCs w:val="18"/>
              </w:rPr>
              <w:t>Accession</w:t>
            </w:r>
          </w:p>
        </w:tc>
      </w:tr>
      <w:tr w:rsidR="00925259" w:rsidRPr="00605334" w:rsidTr="00E637C9">
        <w:tblPrEx>
          <w:tblCellMar>
            <w:top w:w="0" w:type="dxa"/>
            <w:bottom w:w="0" w:type="dxa"/>
          </w:tblCellMar>
        </w:tblPrEx>
        <w:trPr>
          <w:trHeight w:val="360"/>
        </w:trPr>
        <w:tc>
          <w:tcPr>
            <w:tcW w:w="7817" w:type="dxa"/>
            <w:tcBorders>
              <w:top w:val="nil"/>
            </w:tcBorders>
            <w:shd w:val="clear" w:color="auto" w:fill="auto"/>
          </w:tcPr>
          <w:p w:rsidR="00925259" w:rsidRPr="00E64594" w:rsidRDefault="00925259" w:rsidP="00D005CF">
            <w:pPr>
              <w:suppressAutoHyphens w:val="0"/>
              <w:spacing w:before="40" w:after="120" w:line="220" w:lineRule="exact"/>
              <w:ind w:right="113"/>
            </w:pPr>
            <w:r w:rsidRPr="00E64594">
              <w:t>Weekly Rest (Industry) Convention, 1921 (No. 14)</w:t>
            </w:r>
          </w:p>
        </w:tc>
        <w:tc>
          <w:tcPr>
            <w:tcW w:w="1298" w:type="dxa"/>
            <w:tcBorders>
              <w:top w:val="nil"/>
            </w:tcBorders>
            <w:shd w:val="clear" w:color="auto" w:fill="auto"/>
          </w:tcPr>
          <w:p w:rsidR="00925259" w:rsidRPr="00E64594" w:rsidRDefault="00925259" w:rsidP="00C70CA3">
            <w:pPr>
              <w:suppressAutoHyphens w:val="0"/>
              <w:spacing w:before="40" w:after="120" w:line="220" w:lineRule="exact"/>
              <w:ind w:right="113"/>
              <w:jc w:val="right"/>
            </w:pPr>
          </w:p>
        </w:tc>
        <w:tc>
          <w:tcPr>
            <w:tcW w:w="1786" w:type="dxa"/>
            <w:tcBorders>
              <w:top w:val="nil"/>
              <w:bottom w:val="nil"/>
            </w:tcBorders>
            <w:shd w:val="clear" w:color="auto" w:fill="auto"/>
          </w:tcPr>
          <w:p w:rsidR="003708CF" w:rsidRPr="00E64594" w:rsidRDefault="00925259" w:rsidP="00C70CA3">
            <w:pPr>
              <w:suppressAutoHyphens w:val="0"/>
              <w:spacing w:before="40" w:after="120" w:line="220" w:lineRule="exact"/>
              <w:ind w:right="113"/>
              <w:jc w:val="right"/>
            </w:pPr>
            <w:r w:rsidRPr="00E64594">
              <w:t>29/3/1938</w:t>
            </w:r>
            <w:r w:rsidR="008A0841">
              <w:br/>
            </w:r>
            <w:r w:rsidR="008A0841" w:rsidRPr="00E64594">
              <w:t>29/3/1938 (</w:t>
            </w:r>
            <w:proofErr w:type="spellStart"/>
            <w:r w:rsidR="008A0841" w:rsidRPr="00E64594">
              <w:t>EIF</w:t>
            </w:r>
            <w:proofErr w:type="spellEnd"/>
            <w:r w:rsidR="008A0841" w:rsidRPr="00E64594">
              <w:t>)</w:t>
            </w:r>
          </w:p>
        </w:tc>
        <w:tc>
          <w:tcPr>
            <w:tcW w:w="1786" w:type="dxa"/>
            <w:tcBorders>
              <w:top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Forced Labour Convention, 1930 (No. 29)</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suppressAutoHyphens w:val="0"/>
              <w:spacing w:before="40" w:after="120" w:line="220" w:lineRule="exact"/>
              <w:ind w:right="113"/>
              <w:jc w:val="right"/>
            </w:pPr>
            <w:r w:rsidRPr="00E64594">
              <w:t>29/3/1938</w:t>
            </w:r>
            <w:r w:rsidR="008A0841">
              <w:br/>
            </w:r>
            <w:r w:rsidR="008A0841" w:rsidRPr="00E64594">
              <w:t>29/3/1939 (</w:t>
            </w:r>
            <w:proofErr w:type="spellStart"/>
            <w:r w:rsidR="008A0841" w:rsidRPr="00E64594">
              <w:t>EIF</w:t>
            </w:r>
            <w:proofErr w:type="spellEnd"/>
            <w:r w:rsidR="008A0841"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keepNext/>
              <w:suppressAutoHyphens w:val="0"/>
              <w:spacing w:before="40" w:after="120" w:line="220" w:lineRule="exact"/>
              <w:ind w:right="113"/>
            </w:pPr>
            <w:r w:rsidRPr="00E64594">
              <w:t>Labour Inspection Convention, 1947 (No. 81)</w:t>
            </w:r>
          </w:p>
        </w:tc>
        <w:tc>
          <w:tcPr>
            <w:tcW w:w="1298" w:type="dxa"/>
            <w:shd w:val="clear" w:color="auto" w:fill="auto"/>
          </w:tcPr>
          <w:p w:rsidR="00925259" w:rsidRPr="00E64594" w:rsidRDefault="00925259" w:rsidP="00C70CA3">
            <w:pPr>
              <w:keepNext/>
              <w:suppressAutoHyphens w:val="0"/>
              <w:spacing w:before="40" w:after="120" w:line="220" w:lineRule="exact"/>
              <w:ind w:right="113"/>
              <w:jc w:val="right"/>
            </w:pPr>
          </w:p>
        </w:tc>
        <w:tc>
          <w:tcPr>
            <w:tcW w:w="1786" w:type="dxa"/>
            <w:shd w:val="clear" w:color="auto" w:fill="auto"/>
          </w:tcPr>
          <w:p w:rsidR="00925259" w:rsidRPr="00E64594" w:rsidRDefault="00925259" w:rsidP="00C70CA3">
            <w:pPr>
              <w:keepNext/>
              <w:suppressAutoHyphens w:val="0"/>
              <w:spacing w:before="40" w:after="120" w:line="220" w:lineRule="exact"/>
              <w:ind w:right="113"/>
              <w:jc w:val="right"/>
            </w:pPr>
            <w:r w:rsidRPr="00E64594">
              <w:t>30/11/1959</w:t>
            </w:r>
            <w:r w:rsidR="008A0841">
              <w:br/>
            </w:r>
            <w:r w:rsidR="008A0841" w:rsidRPr="00E64594">
              <w:t>30/11/1960 (</w:t>
            </w:r>
            <w:proofErr w:type="spellStart"/>
            <w:r w:rsidR="008A0841" w:rsidRPr="00E64594">
              <w:t>EIF</w:t>
            </w:r>
            <w:proofErr w:type="spellEnd"/>
            <w:r w:rsidR="008A0841" w:rsidRPr="00E64594">
              <w:t>)</w:t>
            </w:r>
          </w:p>
        </w:tc>
        <w:tc>
          <w:tcPr>
            <w:tcW w:w="1786" w:type="dxa"/>
            <w:shd w:val="clear" w:color="auto" w:fill="auto"/>
          </w:tcPr>
          <w:p w:rsidR="00925259" w:rsidRPr="00605334" w:rsidRDefault="00925259" w:rsidP="00D005CF">
            <w:pPr>
              <w:keepNext/>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Freedom of Association and Protection of the Right to Organize Convention, 1948 (No. 87)</w:t>
            </w:r>
          </w:p>
        </w:tc>
        <w:tc>
          <w:tcPr>
            <w:tcW w:w="1298" w:type="dxa"/>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Migration for Employment Convention (Revised), 1949 (No. 97)</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suppressAutoHyphens w:val="0"/>
              <w:spacing w:before="40" w:after="120" w:line="220" w:lineRule="exact"/>
              <w:ind w:right="113"/>
              <w:jc w:val="right"/>
            </w:pPr>
            <w:r w:rsidRPr="00E64594">
              <w:t>10/11/1950</w:t>
            </w:r>
            <w:r w:rsidR="008A0841">
              <w:br/>
            </w:r>
            <w:r w:rsidR="008A0841" w:rsidRPr="00E64594">
              <w:t>22/1/1952 (</w:t>
            </w:r>
            <w:proofErr w:type="spellStart"/>
            <w:r w:rsidR="008A0841" w:rsidRPr="00E64594">
              <w:t>EIF</w:t>
            </w:r>
            <w:proofErr w:type="spellEnd"/>
            <w:r w:rsidR="008A0841"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Right to Organise and Collective Bargaining Convention, 1949 (No. 98)</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suppressAutoHyphens w:val="0"/>
              <w:spacing w:before="40" w:after="120" w:line="220" w:lineRule="exact"/>
              <w:ind w:right="113"/>
              <w:jc w:val="right"/>
            </w:pPr>
            <w:r w:rsidRPr="00E64594">
              <w:t>9/6/2003</w:t>
            </w:r>
            <w:r w:rsidR="008A0841">
              <w:br/>
            </w:r>
            <w:r w:rsidR="008A0841" w:rsidRPr="00E64594">
              <w:t>9/6/2004 (</w:t>
            </w:r>
            <w:proofErr w:type="spellStart"/>
            <w:r w:rsidR="008A0841" w:rsidRPr="00E64594">
              <w:t>EIF</w:t>
            </w:r>
            <w:proofErr w:type="spellEnd"/>
            <w:r w:rsidR="008A0841"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CE4D6C">
            <w:pPr>
              <w:suppressAutoHyphens w:val="0"/>
              <w:spacing w:before="40" w:after="120" w:line="220" w:lineRule="exact"/>
              <w:ind w:right="113"/>
            </w:pPr>
            <w:r w:rsidRPr="00E64594">
              <w:t>Equal Remuneration Convention, 1951 (No. 100)</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tabs>
                <w:tab w:val="right" w:pos="1796"/>
              </w:tabs>
              <w:suppressAutoHyphens w:val="0"/>
              <w:spacing w:before="40" w:after="120" w:line="220" w:lineRule="exact"/>
              <w:ind w:right="113"/>
              <w:jc w:val="right"/>
            </w:pPr>
            <w:r w:rsidRPr="00E64594">
              <w:t>3/6/1983</w:t>
            </w:r>
            <w:r w:rsidR="008A0841">
              <w:br/>
            </w:r>
            <w:r w:rsidR="008A0841" w:rsidRPr="00E64594">
              <w:t>3/6/1984 (</w:t>
            </w:r>
            <w:proofErr w:type="spellStart"/>
            <w:r w:rsidR="008A0841" w:rsidRPr="00E64594">
              <w:t>EIF</w:t>
            </w:r>
            <w:proofErr w:type="spellEnd"/>
            <w:r w:rsidR="008A0841"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tcBorders>
              <w:top w:val="nil"/>
              <w:bottom w:val="nil"/>
            </w:tcBorders>
            <w:shd w:val="clear" w:color="auto" w:fill="auto"/>
          </w:tcPr>
          <w:p w:rsidR="00925259" w:rsidRPr="00E64594" w:rsidRDefault="00925259" w:rsidP="00D005CF">
            <w:pPr>
              <w:suppressAutoHyphens w:val="0"/>
              <w:spacing w:before="40" w:after="120" w:line="220" w:lineRule="exact"/>
              <w:ind w:right="113"/>
            </w:pPr>
            <w:r w:rsidRPr="00E64594">
              <w:t>Abolition of Forced Labour Convention, 1957 (No. 105)</w:t>
            </w:r>
          </w:p>
        </w:tc>
        <w:tc>
          <w:tcPr>
            <w:tcW w:w="1298" w:type="dxa"/>
            <w:tcBorders>
              <w:top w:val="nil"/>
              <w:bottom w:val="nil"/>
            </w:tcBorders>
            <w:shd w:val="clear" w:color="auto" w:fill="auto"/>
          </w:tcPr>
          <w:p w:rsidR="00925259" w:rsidRPr="00E64594" w:rsidRDefault="00925259" w:rsidP="00C70CA3">
            <w:pPr>
              <w:suppressAutoHyphens w:val="0"/>
              <w:spacing w:before="40" w:after="120" w:line="220" w:lineRule="exact"/>
              <w:ind w:right="113"/>
              <w:jc w:val="right"/>
            </w:pPr>
          </w:p>
        </w:tc>
        <w:tc>
          <w:tcPr>
            <w:tcW w:w="1786" w:type="dxa"/>
            <w:tcBorders>
              <w:top w:val="nil"/>
              <w:bottom w:val="nil"/>
            </w:tcBorders>
            <w:shd w:val="clear" w:color="auto" w:fill="auto"/>
          </w:tcPr>
          <w:p w:rsidR="00925259" w:rsidRPr="00E64594" w:rsidRDefault="00925259" w:rsidP="00C70CA3">
            <w:pPr>
              <w:suppressAutoHyphens w:val="0"/>
              <w:spacing w:before="40" w:after="120" w:line="220" w:lineRule="exact"/>
              <w:ind w:right="113"/>
              <w:jc w:val="right"/>
            </w:pPr>
            <w:r w:rsidRPr="00E64594">
              <w:t>14/6/1968</w:t>
            </w:r>
            <w:r w:rsidR="008A0841">
              <w:br/>
            </w:r>
            <w:r w:rsidR="008A0841" w:rsidRPr="00E64594">
              <w:t>14/6/1969 (</w:t>
            </w:r>
            <w:proofErr w:type="spellStart"/>
            <w:r w:rsidR="008A0841" w:rsidRPr="00E64594">
              <w:t>EIF</w:t>
            </w:r>
            <w:proofErr w:type="spellEnd"/>
            <w:r w:rsidR="008A0841" w:rsidRPr="00E64594">
              <w:t>)</w:t>
            </w:r>
          </w:p>
        </w:tc>
        <w:tc>
          <w:tcPr>
            <w:tcW w:w="1786" w:type="dxa"/>
            <w:tcBorders>
              <w:top w:val="nil"/>
              <w:bottom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tcBorders>
              <w:top w:val="nil"/>
            </w:tcBorders>
            <w:shd w:val="clear" w:color="auto" w:fill="auto"/>
          </w:tcPr>
          <w:p w:rsidR="00925259" w:rsidRPr="00E64594" w:rsidRDefault="00925259" w:rsidP="00D005CF">
            <w:pPr>
              <w:suppressAutoHyphens w:val="0"/>
              <w:spacing w:before="40" w:after="120" w:line="220" w:lineRule="exact"/>
              <w:ind w:right="113"/>
            </w:pPr>
            <w:r w:rsidRPr="00E64594">
              <w:t>Weekly Rest (Commerce and Offices) Convention, 1957 (No. 106)</w:t>
            </w:r>
          </w:p>
        </w:tc>
        <w:tc>
          <w:tcPr>
            <w:tcW w:w="1298" w:type="dxa"/>
            <w:tcBorders>
              <w:top w:val="nil"/>
            </w:tcBorders>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tcBorders>
              <w:top w:val="nil"/>
            </w:tcBorders>
            <w:shd w:val="clear" w:color="auto" w:fill="auto"/>
          </w:tcPr>
          <w:p w:rsidR="00925259" w:rsidRPr="00E64594" w:rsidRDefault="00925259" w:rsidP="00C70CA3">
            <w:pPr>
              <w:suppressAutoHyphens w:val="0"/>
              <w:spacing w:before="40" w:after="120" w:line="220" w:lineRule="exact"/>
              <w:ind w:right="113"/>
              <w:jc w:val="right"/>
            </w:pPr>
          </w:p>
        </w:tc>
        <w:tc>
          <w:tcPr>
            <w:tcW w:w="1786" w:type="dxa"/>
            <w:tcBorders>
              <w:top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Discrimination (Employment and Occupation) Convention, 1958 (No. 111)</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suppressAutoHyphens w:val="0"/>
              <w:spacing w:before="40" w:after="120" w:line="220" w:lineRule="exact"/>
              <w:ind w:right="113"/>
              <w:jc w:val="right"/>
            </w:pPr>
            <w:r w:rsidRPr="00E64594">
              <w:t>3/6/1983</w:t>
            </w:r>
            <w:r w:rsidR="00802EBF">
              <w:br/>
            </w:r>
            <w:r w:rsidR="00802EBF" w:rsidRPr="00E64594">
              <w:t>3/6/1984 (</w:t>
            </w:r>
            <w:proofErr w:type="spellStart"/>
            <w:r w:rsidR="00802EBF" w:rsidRPr="00E64594">
              <w:t>EIF</w:t>
            </w:r>
            <w:proofErr w:type="spellEnd"/>
            <w:r w:rsidR="00802EBF"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Employment Policy Convention, 1964 (No. 122)</w:t>
            </w:r>
          </w:p>
        </w:tc>
        <w:tc>
          <w:tcPr>
            <w:tcW w:w="1298" w:type="dxa"/>
            <w:shd w:val="clear" w:color="auto" w:fill="auto"/>
          </w:tcPr>
          <w:p w:rsidR="00925259" w:rsidRPr="00E64594" w:rsidRDefault="00925259" w:rsidP="001D4E1C">
            <w:pPr>
              <w:suppressAutoHyphens w:val="0"/>
              <w:spacing w:before="40" w:after="120" w:line="220" w:lineRule="exact"/>
              <w:ind w:right="113"/>
              <w:jc w:val="right"/>
            </w:pPr>
          </w:p>
        </w:tc>
        <w:tc>
          <w:tcPr>
            <w:tcW w:w="1786" w:type="dxa"/>
            <w:shd w:val="clear" w:color="auto" w:fill="auto"/>
          </w:tcPr>
          <w:p w:rsidR="00925259" w:rsidRPr="00E64594" w:rsidRDefault="00925259" w:rsidP="001D4E1C">
            <w:pPr>
              <w:suppressAutoHyphens w:val="0"/>
              <w:spacing w:before="40" w:after="120" w:line="220" w:lineRule="exact"/>
              <w:ind w:right="113"/>
              <w:jc w:val="right"/>
            </w:pPr>
            <w:r w:rsidRPr="00E64594">
              <w:t>15/7/1965</w:t>
            </w:r>
            <w:r w:rsidR="00802EBF">
              <w:br/>
            </w:r>
            <w:r w:rsidR="00802EBF" w:rsidRPr="00E64594">
              <w:t>15/7/1966 (</w:t>
            </w:r>
            <w:proofErr w:type="spellStart"/>
            <w:r w:rsidR="00802EBF" w:rsidRPr="00E64594">
              <w:t>EIF</w:t>
            </w:r>
            <w:proofErr w:type="spellEnd"/>
            <w:r w:rsidR="00802EBF"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Labour Inspection (Agriculture) Convention, 1969 (No. 129)</w:t>
            </w:r>
          </w:p>
        </w:tc>
        <w:tc>
          <w:tcPr>
            <w:tcW w:w="1298" w:type="dxa"/>
            <w:shd w:val="clear" w:color="auto" w:fill="auto"/>
          </w:tcPr>
          <w:p w:rsidR="00925259" w:rsidRPr="00E64594" w:rsidRDefault="00925259" w:rsidP="001D4E1C">
            <w:pPr>
              <w:suppressAutoHyphens w:val="0"/>
              <w:spacing w:before="40" w:after="120" w:line="220" w:lineRule="exact"/>
              <w:ind w:right="113"/>
              <w:jc w:val="right"/>
            </w:pPr>
            <w:r w:rsidRPr="00E64594">
              <w:t>Not party</w:t>
            </w:r>
          </w:p>
        </w:tc>
        <w:tc>
          <w:tcPr>
            <w:tcW w:w="1786" w:type="dxa"/>
            <w:shd w:val="clear" w:color="auto" w:fill="auto"/>
          </w:tcPr>
          <w:p w:rsidR="00925259" w:rsidRPr="00E64594" w:rsidRDefault="00925259" w:rsidP="001D4E1C">
            <w:pPr>
              <w:suppressAutoHyphens w:val="0"/>
              <w:spacing w:before="40" w:after="120" w:line="220" w:lineRule="exact"/>
              <w:ind w:right="113"/>
              <w:jc w:val="right"/>
            </w:pP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tcBorders>
              <w:bottom w:val="nil"/>
            </w:tcBorders>
            <w:shd w:val="clear" w:color="auto" w:fill="auto"/>
          </w:tcPr>
          <w:p w:rsidR="00925259" w:rsidRPr="00E64594" w:rsidRDefault="00925259" w:rsidP="00D005CF">
            <w:pPr>
              <w:suppressAutoHyphens w:val="0"/>
              <w:spacing w:before="40" w:after="120" w:line="220" w:lineRule="exact"/>
              <w:ind w:right="113"/>
            </w:pPr>
            <w:r w:rsidRPr="00E64594">
              <w:t>Minimum Wage Fixing Convention, 1970 (No. 131)</w:t>
            </w:r>
          </w:p>
        </w:tc>
        <w:tc>
          <w:tcPr>
            <w:tcW w:w="1298" w:type="dxa"/>
            <w:tcBorders>
              <w:bottom w:val="nil"/>
            </w:tcBorders>
            <w:shd w:val="clear" w:color="auto" w:fill="auto"/>
          </w:tcPr>
          <w:p w:rsidR="00925259" w:rsidRPr="00E64594" w:rsidRDefault="00925259" w:rsidP="001D4E1C">
            <w:pPr>
              <w:suppressAutoHyphens w:val="0"/>
              <w:spacing w:before="40" w:after="120" w:line="220" w:lineRule="exact"/>
              <w:ind w:right="113"/>
              <w:jc w:val="right"/>
            </w:pPr>
            <w:r w:rsidRPr="00E64594">
              <w:t>Not party</w:t>
            </w:r>
          </w:p>
        </w:tc>
        <w:tc>
          <w:tcPr>
            <w:tcW w:w="1786" w:type="dxa"/>
            <w:tcBorders>
              <w:bottom w:val="nil"/>
            </w:tcBorders>
            <w:shd w:val="clear" w:color="auto" w:fill="auto"/>
          </w:tcPr>
          <w:p w:rsidR="00925259" w:rsidRPr="00E64594" w:rsidRDefault="00925259" w:rsidP="001D4E1C">
            <w:pPr>
              <w:suppressAutoHyphens w:val="0"/>
              <w:spacing w:before="40" w:after="120" w:line="220" w:lineRule="exact"/>
              <w:ind w:right="113"/>
              <w:jc w:val="right"/>
            </w:pPr>
          </w:p>
        </w:tc>
        <w:tc>
          <w:tcPr>
            <w:tcW w:w="1786" w:type="dxa"/>
            <w:tcBorders>
              <w:bottom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tcBorders>
              <w:top w:val="nil"/>
              <w:bottom w:val="nil"/>
            </w:tcBorders>
            <w:shd w:val="clear" w:color="auto" w:fill="auto"/>
          </w:tcPr>
          <w:p w:rsidR="00925259" w:rsidRPr="00E64594" w:rsidRDefault="00925259" w:rsidP="00D005CF">
            <w:pPr>
              <w:suppressAutoHyphens w:val="0"/>
              <w:spacing w:before="40" w:after="120" w:line="220" w:lineRule="exact"/>
              <w:ind w:right="113"/>
            </w:pPr>
            <w:r w:rsidRPr="00E64594">
              <w:t>Holidays with Pay Convention (Revised), 1970 (No. 132)</w:t>
            </w:r>
          </w:p>
        </w:tc>
        <w:tc>
          <w:tcPr>
            <w:tcW w:w="1298" w:type="dxa"/>
            <w:tcBorders>
              <w:top w:val="nil"/>
              <w:bottom w:val="nil"/>
            </w:tcBorders>
            <w:shd w:val="clear" w:color="auto" w:fill="auto"/>
          </w:tcPr>
          <w:p w:rsidR="00925259" w:rsidRPr="00E64594" w:rsidRDefault="00925259" w:rsidP="001D4E1C">
            <w:pPr>
              <w:suppressAutoHyphens w:val="0"/>
              <w:spacing w:before="40" w:after="120" w:line="220" w:lineRule="exact"/>
              <w:ind w:right="113"/>
              <w:jc w:val="right"/>
            </w:pPr>
            <w:r w:rsidRPr="00E64594">
              <w:t>Not party</w:t>
            </w:r>
          </w:p>
        </w:tc>
        <w:tc>
          <w:tcPr>
            <w:tcW w:w="1786" w:type="dxa"/>
            <w:tcBorders>
              <w:top w:val="nil"/>
              <w:bottom w:val="nil"/>
            </w:tcBorders>
            <w:shd w:val="clear" w:color="auto" w:fill="auto"/>
          </w:tcPr>
          <w:p w:rsidR="00925259" w:rsidRPr="00E64594" w:rsidRDefault="00925259" w:rsidP="001D4E1C">
            <w:pPr>
              <w:suppressAutoHyphens w:val="0"/>
              <w:spacing w:before="40" w:after="120" w:line="220" w:lineRule="exact"/>
              <w:ind w:right="113"/>
              <w:jc w:val="right"/>
            </w:pPr>
          </w:p>
        </w:tc>
        <w:tc>
          <w:tcPr>
            <w:tcW w:w="1786" w:type="dxa"/>
            <w:tcBorders>
              <w:top w:val="nil"/>
              <w:bottom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tcBorders>
              <w:top w:val="nil"/>
            </w:tcBorders>
            <w:shd w:val="clear" w:color="auto" w:fill="auto"/>
          </w:tcPr>
          <w:p w:rsidR="00925259" w:rsidRPr="00E64594" w:rsidRDefault="00925259" w:rsidP="00D005CF">
            <w:pPr>
              <w:suppressAutoHyphens w:val="0"/>
              <w:spacing w:before="40" w:after="120" w:line="220" w:lineRule="exact"/>
              <w:ind w:right="113"/>
            </w:pPr>
            <w:r w:rsidRPr="00E64594">
              <w:t>Minimum Age Convention, 1973 (No. 138)</w:t>
            </w:r>
          </w:p>
        </w:tc>
        <w:tc>
          <w:tcPr>
            <w:tcW w:w="1298" w:type="dxa"/>
            <w:tcBorders>
              <w:top w:val="nil"/>
            </w:tcBorders>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tcBorders>
              <w:top w:val="nil"/>
            </w:tcBorders>
            <w:shd w:val="clear" w:color="auto" w:fill="auto"/>
          </w:tcPr>
          <w:p w:rsidR="00925259" w:rsidRPr="00E64594" w:rsidRDefault="00925259" w:rsidP="00C70CA3">
            <w:pPr>
              <w:suppressAutoHyphens w:val="0"/>
              <w:spacing w:before="40" w:after="120" w:line="220" w:lineRule="exact"/>
              <w:ind w:right="113"/>
              <w:jc w:val="right"/>
            </w:pPr>
          </w:p>
        </w:tc>
        <w:tc>
          <w:tcPr>
            <w:tcW w:w="1786" w:type="dxa"/>
            <w:tcBorders>
              <w:top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Migrant Workers (Supplementary Provisions) Convention, 1975 (No. 143)</w:t>
            </w:r>
          </w:p>
        </w:tc>
        <w:tc>
          <w:tcPr>
            <w:tcW w:w="1298" w:type="dxa"/>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Labour Relations (Public Service) Convention, 1978 (No. 151)</w:t>
            </w:r>
          </w:p>
        </w:tc>
        <w:tc>
          <w:tcPr>
            <w:tcW w:w="1298" w:type="dxa"/>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36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Occupational Safety and Health Convention, 1981 (No. 155)</w:t>
            </w:r>
          </w:p>
        </w:tc>
        <w:tc>
          <w:tcPr>
            <w:tcW w:w="1298"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E64594" w:rsidRDefault="00925259" w:rsidP="00C70CA3">
            <w:pPr>
              <w:suppressAutoHyphens w:val="0"/>
              <w:spacing w:before="40" w:after="120" w:line="220" w:lineRule="exact"/>
              <w:ind w:right="113"/>
              <w:jc w:val="right"/>
            </w:pPr>
            <w:r w:rsidRPr="00E64594">
              <w:t>12/6/2007</w:t>
            </w:r>
            <w:r w:rsidR="00856427">
              <w:br/>
            </w:r>
            <w:r w:rsidR="00856427" w:rsidRPr="00E64594">
              <w:t>12/6/2008 (</w:t>
            </w:r>
            <w:proofErr w:type="spellStart"/>
            <w:r w:rsidR="00856427" w:rsidRPr="00E64594">
              <w:t>EIF</w:t>
            </w:r>
            <w:proofErr w:type="spellEnd"/>
            <w:r w:rsidR="00856427" w:rsidRPr="00E64594">
              <w:t>)</w:t>
            </w: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shd w:val="clear" w:color="auto" w:fill="auto"/>
          </w:tcPr>
          <w:p w:rsidR="00925259" w:rsidRPr="00E64594" w:rsidRDefault="00925259" w:rsidP="00D005CF">
            <w:pPr>
              <w:suppressAutoHyphens w:val="0"/>
              <w:spacing w:before="40" w:after="120" w:line="220" w:lineRule="exact"/>
              <w:ind w:right="113"/>
            </w:pPr>
            <w:r w:rsidRPr="00E64594">
              <w:t>Workers with Family Responsibilities Convention, 1981 (No. 156)</w:t>
            </w:r>
          </w:p>
        </w:tc>
        <w:tc>
          <w:tcPr>
            <w:tcW w:w="1298" w:type="dxa"/>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shd w:val="clear" w:color="auto" w:fill="auto"/>
          </w:tcPr>
          <w:p w:rsidR="00925259" w:rsidRPr="00E64594" w:rsidRDefault="00925259" w:rsidP="00C70CA3">
            <w:pPr>
              <w:suppressAutoHyphens w:val="0"/>
              <w:spacing w:before="40" w:after="120" w:line="220" w:lineRule="exact"/>
              <w:ind w:right="113"/>
              <w:jc w:val="right"/>
            </w:pPr>
          </w:p>
        </w:tc>
        <w:tc>
          <w:tcPr>
            <w:tcW w:w="1786" w:type="dxa"/>
            <w:shd w:val="clear" w:color="auto" w:fill="auto"/>
          </w:tcPr>
          <w:p w:rsidR="00925259" w:rsidRPr="00605334" w:rsidRDefault="00925259" w:rsidP="00D005CF">
            <w:pPr>
              <w:suppressAutoHyphens w:val="0"/>
              <w:spacing w:before="40" w:after="120" w:line="220" w:lineRule="exact"/>
              <w:ind w:right="113"/>
              <w:rPr>
                <w:sz w:val="18"/>
                <w:szCs w:val="18"/>
              </w:rPr>
            </w:pPr>
          </w:p>
        </w:tc>
      </w:tr>
      <w:tr w:rsidR="00925259" w:rsidRPr="00605334" w:rsidTr="00E637C9">
        <w:tblPrEx>
          <w:tblCellMar>
            <w:top w:w="0" w:type="dxa"/>
            <w:bottom w:w="0" w:type="dxa"/>
          </w:tblCellMar>
        </w:tblPrEx>
        <w:trPr>
          <w:trHeight w:val="240"/>
        </w:trPr>
        <w:tc>
          <w:tcPr>
            <w:tcW w:w="7817" w:type="dxa"/>
            <w:tcBorders>
              <w:bottom w:val="nil"/>
            </w:tcBorders>
            <w:shd w:val="clear" w:color="auto" w:fill="auto"/>
          </w:tcPr>
          <w:p w:rsidR="00925259" w:rsidRPr="00E64594" w:rsidRDefault="00925259" w:rsidP="00D005CF">
            <w:pPr>
              <w:suppressAutoHyphens w:val="0"/>
              <w:spacing w:before="40" w:after="120" w:line="220" w:lineRule="exact"/>
              <w:ind w:right="113"/>
            </w:pPr>
            <w:r w:rsidRPr="00E64594">
              <w:t>Indigenous and Tribal Peoples Convention, 1989 (No. 169)</w:t>
            </w:r>
          </w:p>
        </w:tc>
        <w:tc>
          <w:tcPr>
            <w:tcW w:w="1298" w:type="dxa"/>
            <w:tcBorders>
              <w:bottom w:val="nil"/>
            </w:tcBorders>
            <w:shd w:val="clear" w:color="auto" w:fill="auto"/>
          </w:tcPr>
          <w:p w:rsidR="00925259" w:rsidRPr="00E64594" w:rsidRDefault="00925259" w:rsidP="00C70CA3">
            <w:pPr>
              <w:suppressAutoHyphens w:val="0"/>
              <w:spacing w:before="40" w:after="120" w:line="220" w:lineRule="exact"/>
              <w:ind w:right="113"/>
              <w:jc w:val="right"/>
            </w:pPr>
            <w:r w:rsidRPr="00E64594">
              <w:t>Not party</w:t>
            </w:r>
          </w:p>
        </w:tc>
        <w:tc>
          <w:tcPr>
            <w:tcW w:w="1786" w:type="dxa"/>
            <w:tcBorders>
              <w:bottom w:val="nil"/>
            </w:tcBorders>
            <w:shd w:val="clear" w:color="auto" w:fill="auto"/>
          </w:tcPr>
          <w:p w:rsidR="00925259" w:rsidRPr="00E64594" w:rsidRDefault="00925259" w:rsidP="00C70CA3">
            <w:pPr>
              <w:suppressAutoHyphens w:val="0"/>
              <w:spacing w:before="40" w:after="120" w:line="220" w:lineRule="exact"/>
              <w:ind w:right="113"/>
              <w:jc w:val="right"/>
            </w:pPr>
          </w:p>
        </w:tc>
        <w:tc>
          <w:tcPr>
            <w:tcW w:w="1786" w:type="dxa"/>
            <w:tcBorders>
              <w:bottom w:val="nil"/>
            </w:tcBorders>
            <w:shd w:val="clear" w:color="auto" w:fill="auto"/>
          </w:tcPr>
          <w:p w:rsidR="00925259" w:rsidRPr="00605334" w:rsidRDefault="00925259" w:rsidP="00D005CF">
            <w:pPr>
              <w:suppressAutoHyphens w:val="0"/>
              <w:spacing w:before="40" w:after="120" w:line="220" w:lineRule="exact"/>
              <w:ind w:right="113"/>
              <w:rPr>
                <w:sz w:val="18"/>
                <w:szCs w:val="18"/>
              </w:rPr>
            </w:pPr>
          </w:p>
        </w:tc>
      </w:tr>
      <w:tr w:rsidR="005214E5" w:rsidRPr="00605334" w:rsidTr="00E637C9">
        <w:tblPrEx>
          <w:tblCellMar>
            <w:top w:w="0" w:type="dxa"/>
            <w:bottom w:w="0" w:type="dxa"/>
          </w:tblCellMar>
        </w:tblPrEx>
        <w:trPr>
          <w:trHeight w:val="360"/>
        </w:trPr>
        <w:tc>
          <w:tcPr>
            <w:tcW w:w="7817" w:type="dxa"/>
            <w:tcBorders>
              <w:top w:val="nil"/>
              <w:bottom w:val="single" w:sz="12" w:space="0" w:color="auto"/>
            </w:tcBorders>
            <w:shd w:val="clear" w:color="auto" w:fill="auto"/>
          </w:tcPr>
          <w:p w:rsidR="005214E5" w:rsidRPr="00E64594" w:rsidRDefault="005214E5" w:rsidP="00D005CF">
            <w:pPr>
              <w:suppressAutoHyphens w:val="0"/>
              <w:spacing w:before="40" w:after="120" w:line="220" w:lineRule="exact"/>
              <w:ind w:right="113"/>
            </w:pPr>
            <w:r w:rsidRPr="00E64594">
              <w:t>Worst Forms of Child Labour Convention, 1999 (No. 182)</w:t>
            </w:r>
          </w:p>
        </w:tc>
        <w:tc>
          <w:tcPr>
            <w:tcW w:w="1298" w:type="dxa"/>
            <w:tcBorders>
              <w:top w:val="nil"/>
              <w:bottom w:val="single" w:sz="12" w:space="0" w:color="auto"/>
            </w:tcBorders>
            <w:shd w:val="clear" w:color="auto" w:fill="auto"/>
          </w:tcPr>
          <w:p w:rsidR="005214E5" w:rsidRPr="00E64594" w:rsidRDefault="005214E5" w:rsidP="00C70CA3">
            <w:pPr>
              <w:suppressAutoHyphens w:val="0"/>
              <w:spacing w:before="40" w:after="120" w:line="220" w:lineRule="exact"/>
              <w:ind w:right="113"/>
              <w:jc w:val="right"/>
            </w:pPr>
          </w:p>
        </w:tc>
        <w:tc>
          <w:tcPr>
            <w:tcW w:w="1786" w:type="dxa"/>
            <w:tcBorders>
              <w:top w:val="nil"/>
              <w:bottom w:val="single" w:sz="12" w:space="0" w:color="auto"/>
            </w:tcBorders>
            <w:shd w:val="clear" w:color="auto" w:fill="auto"/>
          </w:tcPr>
          <w:p w:rsidR="005214E5" w:rsidRPr="00E64594" w:rsidRDefault="005214E5" w:rsidP="00C70CA3">
            <w:pPr>
              <w:suppressAutoHyphens w:val="0"/>
              <w:spacing w:before="40" w:after="120" w:line="220" w:lineRule="exact"/>
              <w:ind w:right="113"/>
              <w:jc w:val="right"/>
            </w:pPr>
            <w:r w:rsidRPr="00E64594">
              <w:t>14/6/2001</w:t>
            </w:r>
            <w:r w:rsidR="00856427">
              <w:br/>
            </w:r>
            <w:r w:rsidR="00856427" w:rsidRPr="00E64594">
              <w:t>14/6/2001 (</w:t>
            </w:r>
            <w:proofErr w:type="spellStart"/>
            <w:r w:rsidR="00856427" w:rsidRPr="00E64594">
              <w:t>EIF</w:t>
            </w:r>
            <w:proofErr w:type="spellEnd"/>
            <w:r w:rsidR="00856427" w:rsidRPr="00E64594">
              <w:t>)</w:t>
            </w:r>
          </w:p>
        </w:tc>
        <w:tc>
          <w:tcPr>
            <w:tcW w:w="1786" w:type="dxa"/>
            <w:tcBorders>
              <w:top w:val="nil"/>
              <w:bottom w:val="single" w:sz="12" w:space="0" w:color="auto"/>
            </w:tcBorders>
            <w:shd w:val="clear" w:color="auto" w:fill="auto"/>
          </w:tcPr>
          <w:p w:rsidR="005214E5" w:rsidRPr="00605334" w:rsidRDefault="005214E5" w:rsidP="00D005CF">
            <w:pPr>
              <w:suppressAutoHyphens w:val="0"/>
              <w:spacing w:before="40" w:after="120" w:line="220" w:lineRule="exact"/>
              <w:ind w:right="113"/>
              <w:rPr>
                <w:sz w:val="18"/>
                <w:szCs w:val="18"/>
              </w:rPr>
            </w:pPr>
          </w:p>
        </w:tc>
      </w:tr>
    </w:tbl>
    <w:p w:rsidR="00925259" w:rsidRPr="00605334" w:rsidRDefault="00925259" w:rsidP="006C436C">
      <w:pPr>
        <w:pStyle w:val="H23G"/>
      </w:pPr>
      <w:r w:rsidRPr="00605334">
        <w:tab/>
      </w:r>
      <w:r w:rsidRPr="00605334">
        <w:tab/>
        <w:t>Relevant Conventions of the United Nations Educational, Scientific and Cultural Organization</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563"/>
        <w:gridCol w:w="1280"/>
        <w:gridCol w:w="1758"/>
        <w:gridCol w:w="1758"/>
      </w:tblGrid>
      <w:tr w:rsidR="00925259" w:rsidRPr="00605334" w:rsidTr="00E637C9">
        <w:tblPrEx>
          <w:tblCellMar>
            <w:top w:w="0" w:type="dxa"/>
            <w:bottom w:w="0" w:type="dxa"/>
          </w:tblCellMar>
        </w:tblPrEx>
        <w:trPr>
          <w:trHeight w:val="240"/>
          <w:tblHeader/>
        </w:trPr>
        <w:tc>
          <w:tcPr>
            <w:tcW w:w="7684" w:type="dxa"/>
            <w:tcBorders>
              <w:top w:val="single" w:sz="4" w:space="0" w:color="auto"/>
              <w:bottom w:val="single" w:sz="12" w:space="0" w:color="auto"/>
            </w:tcBorders>
            <w:shd w:val="clear" w:color="auto" w:fill="auto"/>
            <w:vAlign w:val="bottom"/>
          </w:tcPr>
          <w:p w:rsidR="00925259" w:rsidRPr="00605334" w:rsidRDefault="00925259" w:rsidP="00D005CF">
            <w:pPr>
              <w:suppressAutoHyphens w:val="0"/>
              <w:spacing w:before="80" w:after="80" w:line="200" w:lineRule="exact"/>
              <w:ind w:right="113"/>
              <w:rPr>
                <w:i/>
                <w:sz w:val="18"/>
                <w:szCs w:val="18"/>
              </w:rPr>
            </w:pPr>
            <w:r w:rsidRPr="00605334">
              <w:rPr>
                <w:i/>
                <w:sz w:val="18"/>
                <w:szCs w:val="18"/>
              </w:rPr>
              <w:t>Relevant Conventions of the United Nations Educational, Scientific and Cultural Organization</w:t>
            </w:r>
          </w:p>
        </w:tc>
        <w:tc>
          <w:tcPr>
            <w:tcW w:w="1300" w:type="dxa"/>
            <w:tcBorders>
              <w:top w:val="single" w:sz="4" w:space="0" w:color="auto"/>
              <w:bottom w:val="single" w:sz="12" w:space="0" w:color="auto"/>
            </w:tcBorders>
            <w:shd w:val="clear" w:color="auto" w:fill="auto"/>
            <w:vAlign w:val="bottom"/>
          </w:tcPr>
          <w:p w:rsidR="00925259" w:rsidRPr="00605334" w:rsidRDefault="00925259" w:rsidP="00D24B71">
            <w:pPr>
              <w:suppressAutoHyphens w:val="0"/>
              <w:spacing w:before="80" w:after="80" w:line="200" w:lineRule="exact"/>
              <w:ind w:right="113"/>
              <w:jc w:val="right"/>
              <w:rPr>
                <w:i/>
                <w:sz w:val="18"/>
                <w:szCs w:val="18"/>
              </w:rPr>
            </w:pPr>
            <w:r w:rsidRPr="00605334">
              <w:rPr>
                <w:i/>
                <w:sz w:val="18"/>
                <w:szCs w:val="18"/>
              </w:rPr>
              <w:t>Signature</w:t>
            </w:r>
          </w:p>
        </w:tc>
        <w:tc>
          <w:tcPr>
            <w:tcW w:w="1786" w:type="dxa"/>
            <w:tcBorders>
              <w:top w:val="single" w:sz="4" w:space="0" w:color="auto"/>
              <w:bottom w:val="single" w:sz="12" w:space="0" w:color="auto"/>
            </w:tcBorders>
            <w:shd w:val="clear" w:color="auto" w:fill="auto"/>
            <w:vAlign w:val="bottom"/>
          </w:tcPr>
          <w:p w:rsidR="00925259" w:rsidRPr="00605334" w:rsidRDefault="00925259" w:rsidP="00D24B71">
            <w:pPr>
              <w:suppressAutoHyphens w:val="0"/>
              <w:spacing w:before="80" w:after="80" w:line="200" w:lineRule="exact"/>
              <w:ind w:right="113"/>
              <w:jc w:val="right"/>
              <w:rPr>
                <w:i/>
                <w:sz w:val="18"/>
                <w:szCs w:val="18"/>
              </w:rPr>
            </w:pPr>
            <w:r w:rsidRPr="00605334">
              <w:rPr>
                <w:i/>
                <w:sz w:val="18"/>
                <w:szCs w:val="18"/>
              </w:rPr>
              <w:t>Ratification</w:t>
            </w:r>
          </w:p>
        </w:tc>
        <w:tc>
          <w:tcPr>
            <w:tcW w:w="1786" w:type="dxa"/>
            <w:tcBorders>
              <w:top w:val="single" w:sz="4" w:space="0" w:color="auto"/>
              <w:bottom w:val="single" w:sz="12" w:space="0" w:color="auto"/>
            </w:tcBorders>
            <w:shd w:val="clear" w:color="auto" w:fill="auto"/>
            <w:vAlign w:val="bottom"/>
          </w:tcPr>
          <w:p w:rsidR="00925259" w:rsidRPr="00605334" w:rsidRDefault="00925259" w:rsidP="00D24B71">
            <w:pPr>
              <w:suppressAutoHyphens w:val="0"/>
              <w:spacing w:before="80" w:after="80" w:line="200" w:lineRule="exact"/>
              <w:ind w:right="113"/>
              <w:jc w:val="right"/>
              <w:rPr>
                <w:i/>
                <w:sz w:val="18"/>
                <w:szCs w:val="18"/>
              </w:rPr>
            </w:pPr>
            <w:r w:rsidRPr="00605334">
              <w:rPr>
                <w:i/>
                <w:sz w:val="18"/>
                <w:szCs w:val="18"/>
              </w:rPr>
              <w:t>Accession</w:t>
            </w:r>
          </w:p>
        </w:tc>
      </w:tr>
      <w:tr w:rsidR="00925259" w:rsidRPr="00605334" w:rsidTr="00E637C9">
        <w:tblPrEx>
          <w:tblCellMar>
            <w:top w:w="0" w:type="dxa"/>
            <w:bottom w:w="0" w:type="dxa"/>
          </w:tblCellMar>
        </w:tblPrEx>
        <w:trPr>
          <w:trHeight w:val="360"/>
        </w:trPr>
        <w:tc>
          <w:tcPr>
            <w:tcW w:w="7684" w:type="dxa"/>
            <w:tcBorders>
              <w:top w:val="single" w:sz="12" w:space="0" w:color="auto"/>
              <w:bottom w:val="nil"/>
            </w:tcBorders>
            <w:shd w:val="clear" w:color="auto" w:fill="auto"/>
          </w:tcPr>
          <w:p w:rsidR="00925259" w:rsidRPr="00C958DE" w:rsidRDefault="00925259" w:rsidP="00D005CF">
            <w:pPr>
              <w:suppressAutoHyphens w:val="0"/>
              <w:spacing w:before="40" w:after="120" w:line="220" w:lineRule="exact"/>
              <w:ind w:right="113"/>
            </w:pPr>
            <w:r w:rsidRPr="00C958DE">
              <w:t>Convention against Discrimination in Education</w:t>
            </w:r>
          </w:p>
        </w:tc>
        <w:tc>
          <w:tcPr>
            <w:tcW w:w="1300" w:type="dxa"/>
            <w:tcBorders>
              <w:top w:val="single" w:sz="12" w:space="0" w:color="auto"/>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top w:val="single" w:sz="12" w:space="0" w:color="auto"/>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12/2/1963</w:t>
            </w:r>
            <w:r w:rsidR="00847FF1">
              <w:br/>
            </w:r>
            <w:r w:rsidR="00847FF1" w:rsidRPr="00C958DE">
              <w:t>12/5/1963 (</w:t>
            </w:r>
            <w:proofErr w:type="spellStart"/>
            <w:r w:rsidR="00847FF1" w:rsidRPr="00C958DE">
              <w:t>EIF</w:t>
            </w:r>
            <w:proofErr w:type="spellEnd"/>
            <w:r w:rsidR="00847FF1" w:rsidRPr="00C958DE">
              <w:t>)</w:t>
            </w:r>
          </w:p>
        </w:tc>
        <w:tc>
          <w:tcPr>
            <w:tcW w:w="1786" w:type="dxa"/>
            <w:tcBorders>
              <w:top w:val="single" w:sz="12" w:space="0" w:color="auto"/>
              <w:bottom w:val="nil"/>
            </w:tcBorders>
            <w:shd w:val="clear" w:color="auto" w:fill="auto"/>
          </w:tcPr>
          <w:p w:rsidR="00925259" w:rsidRPr="00605334" w:rsidRDefault="00925259" w:rsidP="00C70CA3">
            <w:pPr>
              <w:suppressAutoHyphens w:val="0"/>
              <w:spacing w:before="40" w:after="120" w:line="220" w:lineRule="exact"/>
              <w:ind w:right="113"/>
              <w:jc w:val="right"/>
              <w:rPr>
                <w:sz w:val="18"/>
                <w:szCs w:val="18"/>
              </w:rPr>
            </w:pPr>
          </w:p>
        </w:tc>
      </w:tr>
      <w:tr w:rsidR="00925259" w:rsidRPr="00605334" w:rsidTr="00E637C9">
        <w:tblPrEx>
          <w:tblCellMar>
            <w:top w:w="0" w:type="dxa"/>
            <w:bottom w:w="0" w:type="dxa"/>
          </w:tblCellMar>
        </w:tblPrEx>
        <w:trPr>
          <w:trHeight w:val="360"/>
        </w:trPr>
        <w:tc>
          <w:tcPr>
            <w:tcW w:w="7684" w:type="dxa"/>
            <w:tcBorders>
              <w:top w:val="nil"/>
            </w:tcBorders>
            <w:shd w:val="clear" w:color="auto" w:fill="auto"/>
          </w:tcPr>
          <w:p w:rsidR="00925259" w:rsidRPr="00C958DE" w:rsidRDefault="00925259" w:rsidP="00BC359C">
            <w:pPr>
              <w:keepNext/>
              <w:suppressAutoHyphens w:val="0"/>
              <w:spacing w:before="40" w:after="120" w:line="220" w:lineRule="exact"/>
              <w:ind w:right="113"/>
            </w:pPr>
            <w:r w:rsidRPr="00C958DE">
              <w:t>Convention on the Protection and Promotion of the Diversity of Cultural Expressions</w:t>
            </w:r>
          </w:p>
        </w:tc>
        <w:tc>
          <w:tcPr>
            <w:tcW w:w="1300"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r w:rsidRPr="00C958DE">
              <w:t>5/10/2007</w:t>
            </w:r>
            <w:r w:rsidR="00847FF1">
              <w:br/>
            </w:r>
            <w:r w:rsidR="00847FF1" w:rsidRPr="00C958DE">
              <w:t>2/01/2008 (</w:t>
            </w:r>
            <w:proofErr w:type="spellStart"/>
            <w:r w:rsidR="00847FF1" w:rsidRPr="00C958DE">
              <w:t>EIF</w:t>
            </w:r>
            <w:proofErr w:type="spellEnd"/>
            <w:r w:rsidR="00847FF1" w:rsidRPr="00C958DE">
              <w:t>)</w:t>
            </w:r>
          </w:p>
        </w:tc>
      </w:tr>
      <w:tr w:rsidR="00925259" w:rsidRPr="00605334" w:rsidTr="00E637C9">
        <w:tblPrEx>
          <w:tblCellMar>
            <w:top w:w="0" w:type="dxa"/>
            <w:bottom w:w="0" w:type="dxa"/>
          </w:tblCellMar>
        </w:tblPrEx>
        <w:trPr>
          <w:trHeight w:val="240"/>
        </w:trPr>
        <w:tc>
          <w:tcPr>
            <w:tcW w:w="7684" w:type="dxa"/>
            <w:shd w:val="clear" w:color="auto" w:fill="auto"/>
          </w:tcPr>
          <w:p w:rsidR="00925259" w:rsidRPr="00C958DE" w:rsidRDefault="00925259" w:rsidP="00D005CF">
            <w:pPr>
              <w:suppressAutoHyphens w:val="0"/>
              <w:spacing w:before="40" w:after="120" w:line="220" w:lineRule="exact"/>
              <w:ind w:right="113"/>
            </w:pPr>
            <w:r w:rsidRPr="00C958DE">
              <w:t>Convention for the Safeguarding of the Intangible Cultural Heritage, 2003</w:t>
            </w:r>
          </w:p>
        </w:tc>
        <w:tc>
          <w:tcPr>
            <w:tcW w:w="1300"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bl>
    <w:p w:rsidR="00925259" w:rsidRPr="00605334" w:rsidRDefault="00925259" w:rsidP="006C436C">
      <w:pPr>
        <w:pStyle w:val="H23G"/>
      </w:pPr>
      <w:r w:rsidRPr="00605334">
        <w:tab/>
      </w:r>
      <w:r w:rsidRPr="00605334">
        <w:tab/>
        <w:t>Conventions of the Hague Conference on Private International Law</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558"/>
        <w:gridCol w:w="1272"/>
        <w:gridCol w:w="1749"/>
        <w:gridCol w:w="1749"/>
        <w:gridCol w:w="31"/>
      </w:tblGrid>
      <w:tr w:rsidR="00925259" w:rsidRPr="00605334" w:rsidTr="00CC5539">
        <w:tblPrEx>
          <w:tblCellMar>
            <w:top w:w="0" w:type="dxa"/>
            <w:bottom w:w="0" w:type="dxa"/>
          </w:tblCellMar>
        </w:tblPrEx>
        <w:trPr>
          <w:gridAfter w:val="1"/>
          <w:wAfter w:w="44" w:type="dxa"/>
          <w:trHeight w:val="240"/>
          <w:tblHeader/>
        </w:trPr>
        <w:tc>
          <w:tcPr>
            <w:tcW w:w="7717" w:type="dxa"/>
            <w:tcBorders>
              <w:top w:val="single" w:sz="4" w:space="0" w:color="auto"/>
              <w:bottom w:val="single" w:sz="12" w:space="0" w:color="auto"/>
            </w:tcBorders>
            <w:shd w:val="clear" w:color="auto" w:fill="auto"/>
            <w:vAlign w:val="bottom"/>
          </w:tcPr>
          <w:p w:rsidR="00925259" w:rsidRPr="00605334" w:rsidRDefault="00925259" w:rsidP="00D005CF">
            <w:pPr>
              <w:suppressAutoHyphens w:val="0"/>
              <w:spacing w:before="80" w:after="80" w:line="200" w:lineRule="exact"/>
              <w:ind w:right="113"/>
              <w:rPr>
                <w:i/>
                <w:sz w:val="18"/>
                <w:szCs w:val="18"/>
              </w:rPr>
            </w:pPr>
            <w:r w:rsidRPr="00605334">
              <w:rPr>
                <w:i/>
                <w:sz w:val="18"/>
                <w:szCs w:val="18"/>
              </w:rPr>
              <w:t>Conventions of the Hague Conference on Private International Law</w:t>
            </w:r>
          </w:p>
        </w:tc>
        <w:tc>
          <w:tcPr>
            <w:tcW w:w="1298" w:type="dxa"/>
            <w:tcBorders>
              <w:top w:val="single" w:sz="4" w:space="0" w:color="auto"/>
              <w:bottom w:val="single" w:sz="12" w:space="0" w:color="auto"/>
            </w:tcBorders>
            <w:shd w:val="clear" w:color="auto" w:fill="auto"/>
            <w:vAlign w:val="bottom"/>
          </w:tcPr>
          <w:p w:rsidR="00925259" w:rsidRPr="00605334" w:rsidRDefault="00925259" w:rsidP="00C70CA3">
            <w:pPr>
              <w:suppressAutoHyphens w:val="0"/>
              <w:spacing w:before="80" w:after="80" w:line="200" w:lineRule="exact"/>
              <w:ind w:right="113"/>
              <w:jc w:val="right"/>
              <w:rPr>
                <w:i/>
                <w:sz w:val="18"/>
                <w:szCs w:val="18"/>
              </w:rPr>
            </w:pPr>
            <w:r w:rsidRPr="00605334">
              <w:rPr>
                <w:i/>
                <w:sz w:val="18"/>
                <w:szCs w:val="18"/>
              </w:rPr>
              <w:t>Signature</w:t>
            </w:r>
          </w:p>
        </w:tc>
        <w:tc>
          <w:tcPr>
            <w:tcW w:w="1786" w:type="dxa"/>
            <w:tcBorders>
              <w:top w:val="single" w:sz="4" w:space="0" w:color="auto"/>
              <w:bottom w:val="single" w:sz="12" w:space="0" w:color="auto"/>
            </w:tcBorders>
            <w:shd w:val="clear" w:color="auto" w:fill="auto"/>
            <w:vAlign w:val="bottom"/>
          </w:tcPr>
          <w:p w:rsidR="00925259" w:rsidRPr="00605334" w:rsidRDefault="00925259" w:rsidP="00C70CA3">
            <w:pPr>
              <w:suppressAutoHyphens w:val="0"/>
              <w:spacing w:before="80" w:after="80" w:line="200" w:lineRule="exact"/>
              <w:ind w:right="113"/>
              <w:jc w:val="right"/>
              <w:rPr>
                <w:i/>
                <w:sz w:val="18"/>
                <w:szCs w:val="18"/>
              </w:rPr>
            </w:pPr>
            <w:r w:rsidRPr="00605334">
              <w:rPr>
                <w:i/>
                <w:sz w:val="18"/>
                <w:szCs w:val="18"/>
              </w:rPr>
              <w:t>Ratification</w:t>
            </w:r>
          </w:p>
        </w:tc>
        <w:tc>
          <w:tcPr>
            <w:tcW w:w="1786" w:type="dxa"/>
            <w:tcBorders>
              <w:top w:val="single" w:sz="4" w:space="0" w:color="auto"/>
              <w:bottom w:val="single" w:sz="12" w:space="0" w:color="auto"/>
            </w:tcBorders>
            <w:shd w:val="clear" w:color="auto" w:fill="auto"/>
            <w:vAlign w:val="bottom"/>
          </w:tcPr>
          <w:p w:rsidR="00925259" w:rsidRPr="00605334" w:rsidRDefault="00925259" w:rsidP="00C70CA3">
            <w:pPr>
              <w:suppressAutoHyphens w:val="0"/>
              <w:spacing w:before="80" w:after="80" w:line="200" w:lineRule="exact"/>
              <w:ind w:right="113"/>
              <w:jc w:val="right"/>
              <w:rPr>
                <w:i/>
                <w:sz w:val="18"/>
                <w:szCs w:val="18"/>
              </w:rPr>
            </w:pPr>
            <w:r w:rsidRPr="00605334">
              <w:rPr>
                <w:i/>
                <w:sz w:val="18"/>
                <w:szCs w:val="18"/>
              </w:rPr>
              <w:t>Accession</w:t>
            </w:r>
          </w:p>
        </w:tc>
      </w:tr>
      <w:tr w:rsidR="00925259" w:rsidRPr="00C958DE" w:rsidTr="00CC5539">
        <w:tblPrEx>
          <w:tblCellMar>
            <w:top w:w="0" w:type="dxa"/>
            <w:bottom w:w="0" w:type="dxa"/>
          </w:tblCellMar>
        </w:tblPrEx>
        <w:trPr>
          <w:gridAfter w:val="1"/>
          <w:wAfter w:w="44" w:type="dxa"/>
          <w:trHeight w:val="240"/>
        </w:trPr>
        <w:tc>
          <w:tcPr>
            <w:tcW w:w="7717" w:type="dxa"/>
            <w:tcBorders>
              <w:top w:val="nil"/>
            </w:tcBorders>
            <w:shd w:val="clear" w:color="auto" w:fill="auto"/>
          </w:tcPr>
          <w:p w:rsidR="00925259" w:rsidRPr="00C958DE" w:rsidRDefault="00925259" w:rsidP="00D005CF">
            <w:pPr>
              <w:suppressAutoHyphens w:val="0"/>
              <w:spacing w:before="40" w:after="120" w:line="220" w:lineRule="exact"/>
              <w:ind w:right="113"/>
            </w:pPr>
            <w:r w:rsidRPr="00C958DE">
              <w:t>Convention relating to the settlement of the conflicts between the law of nationality and the law of domicile, 1955</w:t>
            </w:r>
          </w:p>
        </w:tc>
        <w:tc>
          <w:tcPr>
            <w:tcW w:w="1298" w:type="dxa"/>
            <w:tcBorders>
              <w:top w:val="nil"/>
            </w:tcBorders>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tcBorders>
              <w:top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top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360"/>
        </w:trPr>
        <w:tc>
          <w:tcPr>
            <w:tcW w:w="7717" w:type="dxa"/>
            <w:tcBorders>
              <w:bottom w:val="nil"/>
            </w:tcBorders>
            <w:shd w:val="clear" w:color="auto" w:fill="auto"/>
          </w:tcPr>
          <w:p w:rsidR="00925259" w:rsidRPr="00C958DE" w:rsidRDefault="00925259" w:rsidP="00D005CF">
            <w:pPr>
              <w:suppressAutoHyphens w:val="0"/>
              <w:spacing w:before="40" w:after="120" w:line="220" w:lineRule="exact"/>
              <w:ind w:right="113"/>
            </w:pPr>
            <w:r w:rsidRPr="00C958DE">
              <w:t>Convention on the recovery abroad of maintenance, 1956</w:t>
            </w:r>
          </w:p>
        </w:tc>
        <w:tc>
          <w:tcPr>
            <w:tcW w:w="1298"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26/2/1986</w:t>
            </w:r>
            <w:r w:rsidR="00847FF1">
              <w:br/>
            </w:r>
            <w:r w:rsidR="00847FF1" w:rsidRPr="00C958DE">
              <w:t>28/3/1986 (</w:t>
            </w:r>
            <w:proofErr w:type="spellStart"/>
            <w:r w:rsidR="00847FF1" w:rsidRPr="00C958DE">
              <w:t>EIF</w:t>
            </w:r>
            <w:proofErr w:type="spellEnd"/>
            <w:r w:rsidR="00847FF1" w:rsidRPr="00C958DE">
              <w:t>)</w:t>
            </w:r>
          </w:p>
        </w:tc>
      </w:tr>
      <w:tr w:rsidR="00925259" w:rsidRPr="00C958DE" w:rsidTr="00CC5539">
        <w:tblPrEx>
          <w:tblCellMar>
            <w:top w:w="0" w:type="dxa"/>
            <w:bottom w:w="0" w:type="dxa"/>
          </w:tblCellMar>
        </w:tblPrEx>
        <w:trPr>
          <w:gridAfter w:val="1"/>
          <w:wAfter w:w="44" w:type="dxa"/>
          <w:trHeight w:val="240"/>
        </w:trPr>
        <w:tc>
          <w:tcPr>
            <w:tcW w:w="7717" w:type="dxa"/>
            <w:tcBorders>
              <w:top w:val="nil"/>
              <w:bottom w:val="nil"/>
            </w:tcBorders>
            <w:shd w:val="clear" w:color="auto" w:fill="auto"/>
          </w:tcPr>
          <w:p w:rsidR="00925259" w:rsidRPr="00C958DE" w:rsidRDefault="00925259" w:rsidP="00D005CF">
            <w:pPr>
              <w:suppressAutoHyphens w:val="0"/>
              <w:spacing w:before="40" w:after="120" w:line="220" w:lineRule="exact"/>
              <w:ind w:right="113"/>
            </w:pPr>
            <w:r w:rsidRPr="00C958DE">
              <w:t>Convention concerning the recognition and enforcement of decisions relating to maintenance obligations towards children, 1958</w:t>
            </w:r>
          </w:p>
        </w:tc>
        <w:tc>
          <w:tcPr>
            <w:tcW w:w="1298"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tcBorders>
              <w:top w:val="nil"/>
            </w:tcBorders>
            <w:shd w:val="clear" w:color="auto" w:fill="auto"/>
          </w:tcPr>
          <w:p w:rsidR="00925259" w:rsidRPr="00C958DE" w:rsidRDefault="00925259" w:rsidP="00D005CF">
            <w:pPr>
              <w:keepNext/>
              <w:suppressAutoHyphens w:val="0"/>
              <w:spacing w:before="40" w:after="120" w:line="220" w:lineRule="exact"/>
              <w:ind w:right="113"/>
            </w:pPr>
            <w:r w:rsidRPr="00C958DE">
              <w:t>Convention concerning the powers of authorities and the law applicable in respect of the protection of minors, 1961</w:t>
            </w:r>
          </w:p>
        </w:tc>
        <w:tc>
          <w:tcPr>
            <w:tcW w:w="1298"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r w:rsidRPr="00C958DE">
              <w:t>Not party</w:t>
            </w: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Jurisdiction, Applicable Law and Recognition of Decrees relating to Adoptions, 1965</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the Law Applicable to Maintenance Obligations, 1973</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the Recognition of Divorces and Legal Separations, 1970</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the Recognition and Enforcement of Decisions relating to Maintenance Obligations, 1973</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36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the Civil Aspects of International Child Abduction, 1980</w:t>
            </w:r>
          </w:p>
        </w:tc>
        <w:tc>
          <w:tcPr>
            <w:tcW w:w="1298"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r w:rsidRPr="00C958DE">
              <w:t>31/5/1991</w:t>
            </w:r>
            <w:r w:rsidR="00E103D3">
              <w:br/>
            </w:r>
            <w:r w:rsidR="00E103D3" w:rsidRPr="00C958DE">
              <w:t>1/8/1991 (</w:t>
            </w:r>
            <w:proofErr w:type="spellStart"/>
            <w:r w:rsidR="00E103D3" w:rsidRPr="00C958DE">
              <w:t>EIF</w:t>
            </w:r>
            <w:proofErr w:type="spellEnd"/>
            <w:r w:rsidR="00E103D3" w:rsidRPr="00C958DE">
              <w:t>)</w:t>
            </w:r>
          </w:p>
        </w:tc>
      </w:tr>
      <w:tr w:rsidR="00925259" w:rsidRPr="00C958DE" w:rsidTr="00CC5539">
        <w:tblPrEx>
          <w:tblCellMar>
            <w:top w:w="0" w:type="dxa"/>
            <w:bottom w:w="0" w:type="dxa"/>
          </w:tblCellMar>
        </w:tblPrEx>
        <w:trPr>
          <w:gridAfter w:val="1"/>
          <w:wAfter w:w="44" w:type="dxa"/>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Celebration and Recognition of the Validity of Marriages, 1978</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tcBorders>
              <w:bottom w:val="nil"/>
            </w:tcBorders>
            <w:shd w:val="clear" w:color="auto" w:fill="auto"/>
          </w:tcPr>
          <w:p w:rsidR="00925259" w:rsidRPr="00C958DE" w:rsidRDefault="00925259" w:rsidP="00D005CF">
            <w:pPr>
              <w:suppressAutoHyphens w:val="0"/>
              <w:spacing w:before="40" w:after="120" w:line="220" w:lineRule="exact"/>
              <w:ind w:right="113"/>
            </w:pPr>
            <w:r w:rsidRPr="00C958DE">
              <w:t>Convention on the Law Applicable to Matrimonial Property Regimes, 1978</w:t>
            </w:r>
          </w:p>
        </w:tc>
        <w:tc>
          <w:tcPr>
            <w:tcW w:w="1298"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tcBorders>
              <w:top w:val="nil"/>
              <w:bottom w:val="nil"/>
            </w:tcBorders>
            <w:shd w:val="clear" w:color="auto" w:fill="auto"/>
          </w:tcPr>
          <w:p w:rsidR="00925259" w:rsidRPr="00C958DE" w:rsidRDefault="00925259" w:rsidP="002434AC">
            <w:pPr>
              <w:suppressAutoHyphens w:val="0"/>
              <w:spacing w:before="40" w:after="120" w:line="220" w:lineRule="exact"/>
              <w:ind w:right="113"/>
            </w:pPr>
            <w:r w:rsidRPr="00C958DE">
              <w:t>Convention on International Access to Justice, 1980</w:t>
            </w:r>
          </w:p>
        </w:tc>
        <w:tc>
          <w:tcPr>
            <w:tcW w:w="1298"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44" w:type="dxa"/>
          <w:trHeight w:val="240"/>
        </w:trPr>
        <w:tc>
          <w:tcPr>
            <w:tcW w:w="7717" w:type="dxa"/>
            <w:tcBorders>
              <w:top w:val="nil"/>
            </w:tcBorders>
            <w:shd w:val="clear" w:color="auto" w:fill="auto"/>
          </w:tcPr>
          <w:p w:rsidR="00925259" w:rsidRPr="00C958DE" w:rsidRDefault="00925259" w:rsidP="00C958DE">
            <w:pPr>
              <w:keepNext/>
              <w:suppressAutoHyphens w:val="0"/>
              <w:spacing w:before="40" w:after="120" w:line="220" w:lineRule="exact"/>
              <w:ind w:right="113"/>
            </w:pPr>
            <w:r w:rsidRPr="00C958DE">
              <w:t>Convention on the Law Applicable to Succession to the Estates of Deceased Persons, 1989</w:t>
            </w:r>
          </w:p>
        </w:tc>
        <w:tc>
          <w:tcPr>
            <w:tcW w:w="1298"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r w:rsidRPr="00C958DE">
              <w:t>Not party</w:t>
            </w: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c>
          <w:tcPr>
            <w:tcW w:w="1786" w:type="dxa"/>
            <w:tcBorders>
              <w:top w:val="nil"/>
            </w:tcBorders>
            <w:shd w:val="clear" w:color="auto" w:fill="auto"/>
          </w:tcPr>
          <w:p w:rsidR="00925259" w:rsidRPr="00C958DE" w:rsidRDefault="00925259" w:rsidP="00C70CA3">
            <w:pPr>
              <w:keepNext/>
              <w:suppressAutoHyphens w:val="0"/>
              <w:spacing w:before="40" w:after="120" w:line="220" w:lineRule="exact"/>
              <w:ind w:right="113"/>
              <w:jc w:val="right"/>
            </w:pPr>
          </w:p>
        </w:tc>
      </w:tr>
      <w:tr w:rsidR="00925259" w:rsidRPr="00C958DE" w:rsidTr="00CC5539">
        <w:tblPrEx>
          <w:tblCellMar>
            <w:top w:w="0" w:type="dxa"/>
            <w:bottom w:w="0" w:type="dxa"/>
          </w:tblCellMar>
        </w:tblPrEx>
        <w:trPr>
          <w:gridAfter w:val="1"/>
          <w:wAfter w:w="32" w:type="dxa"/>
          <w:trHeight w:val="36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Protection of Children and Cooperation in Respect of Intercountry Adoption, 1993</w:t>
            </w:r>
          </w:p>
        </w:tc>
        <w:tc>
          <w:tcPr>
            <w:tcW w:w="1298"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shd w:val="clear" w:color="auto" w:fill="auto"/>
          </w:tcPr>
          <w:p w:rsidR="00925259" w:rsidRPr="00C958DE" w:rsidRDefault="00925259" w:rsidP="00C70CA3">
            <w:pPr>
              <w:suppressAutoHyphens w:val="0"/>
              <w:spacing w:before="40" w:after="120" w:line="220" w:lineRule="exact"/>
              <w:ind w:right="113"/>
              <w:jc w:val="right"/>
            </w:pPr>
            <w:r w:rsidRPr="00C958DE">
              <w:t>18/9/1998</w:t>
            </w:r>
            <w:r w:rsidR="00847FF1">
              <w:br/>
            </w:r>
            <w:r w:rsidR="00847FF1" w:rsidRPr="00C958DE">
              <w:t>1/1/1999 (</w:t>
            </w:r>
            <w:proofErr w:type="spellStart"/>
            <w:r w:rsidR="00847FF1" w:rsidRPr="00C958DE">
              <w:t>EIF</w:t>
            </w:r>
            <w:proofErr w:type="spellEnd"/>
            <w:r w:rsidR="00847FF1" w:rsidRPr="00C958DE">
              <w:t>)</w:t>
            </w:r>
          </w:p>
        </w:tc>
      </w:tr>
      <w:tr w:rsidR="00925259" w:rsidRPr="00605334" w:rsidTr="00CC5539">
        <w:tblPrEx>
          <w:tblCellMar>
            <w:top w:w="0" w:type="dxa"/>
            <w:bottom w:w="0" w:type="dxa"/>
          </w:tblCellMar>
        </w:tblPrEx>
        <w:trPr>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Jurisdiction, Applicable Law, Recognition, Enforcement and Co-operation in Respect of Parental Responsibility and Measures for the Protection of Children, 1996</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gridSpan w:val="2"/>
            <w:shd w:val="clear" w:color="auto" w:fill="auto"/>
          </w:tcPr>
          <w:p w:rsidR="00925259" w:rsidRPr="00C958DE" w:rsidRDefault="00925259" w:rsidP="00C70CA3">
            <w:pPr>
              <w:suppressAutoHyphens w:val="0"/>
              <w:spacing w:before="40" w:after="120" w:line="220" w:lineRule="exact"/>
              <w:ind w:right="113"/>
              <w:jc w:val="right"/>
            </w:pPr>
          </w:p>
        </w:tc>
      </w:tr>
      <w:tr w:rsidR="00925259" w:rsidRPr="00605334" w:rsidTr="00CC5539">
        <w:tblPrEx>
          <w:tblCellMar>
            <w:top w:w="0" w:type="dxa"/>
            <w:bottom w:w="0" w:type="dxa"/>
          </w:tblCellMar>
        </w:tblPrEx>
        <w:trPr>
          <w:trHeight w:val="240"/>
        </w:trPr>
        <w:tc>
          <w:tcPr>
            <w:tcW w:w="7717" w:type="dxa"/>
            <w:shd w:val="clear" w:color="auto" w:fill="auto"/>
          </w:tcPr>
          <w:p w:rsidR="00925259" w:rsidRPr="00C958DE" w:rsidRDefault="00925259" w:rsidP="00D005CF">
            <w:pPr>
              <w:suppressAutoHyphens w:val="0"/>
              <w:spacing w:before="40" w:after="120" w:line="220" w:lineRule="exact"/>
              <w:ind w:right="113"/>
            </w:pPr>
            <w:r w:rsidRPr="00C958DE">
              <w:t>Convention on the International Protection of Adults, 2000</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Not party</w:t>
            </w:r>
          </w:p>
        </w:tc>
        <w:tc>
          <w:tcPr>
            <w:tcW w:w="1786" w:type="dxa"/>
            <w:shd w:val="clear" w:color="auto" w:fill="auto"/>
          </w:tcPr>
          <w:p w:rsidR="00925259" w:rsidRPr="00C958DE" w:rsidRDefault="00925259" w:rsidP="00C70CA3">
            <w:pPr>
              <w:suppressAutoHyphens w:val="0"/>
              <w:spacing w:before="40" w:after="120" w:line="220" w:lineRule="exact"/>
              <w:ind w:right="113"/>
              <w:jc w:val="right"/>
            </w:pPr>
          </w:p>
        </w:tc>
        <w:tc>
          <w:tcPr>
            <w:tcW w:w="1786" w:type="dxa"/>
            <w:gridSpan w:val="2"/>
            <w:shd w:val="clear" w:color="auto" w:fill="auto"/>
          </w:tcPr>
          <w:p w:rsidR="00925259" w:rsidRPr="00C958DE" w:rsidRDefault="00925259" w:rsidP="00C70CA3">
            <w:pPr>
              <w:suppressAutoHyphens w:val="0"/>
              <w:spacing w:before="40" w:after="120" w:line="220" w:lineRule="exact"/>
              <w:ind w:right="113"/>
              <w:jc w:val="right"/>
            </w:pPr>
          </w:p>
        </w:tc>
      </w:tr>
    </w:tbl>
    <w:p w:rsidR="00925259" w:rsidRPr="004B4D9B" w:rsidRDefault="00925259" w:rsidP="006C436C">
      <w:pPr>
        <w:pStyle w:val="H23G"/>
      </w:pPr>
      <w:r w:rsidRPr="004B4D9B">
        <w:tab/>
      </w:r>
      <w:r w:rsidRPr="004B4D9B">
        <w:tab/>
        <w:t>Geneva conventions and treaties on international humanitarian law</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576"/>
        <w:gridCol w:w="1275"/>
        <w:gridCol w:w="1754"/>
        <w:gridCol w:w="1754"/>
      </w:tblGrid>
      <w:tr w:rsidR="00925259" w:rsidRPr="00605334" w:rsidTr="00CC5539">
        <w:tblPrEx>
          <w:tblCellMar>
            <w:top w:w="0" w:type="dxa"/>
            <w:bottom w:w="0" w:type="dxa"/>
          </w:tblCellMar>
        </w:tblPrEx>
        <w:trPr>
          <w:trHeight w:val="240"/>
          <w:tblHeader/>
        </w:trPr>
        <w:tc>
          <w:tcPr>
            <w:tcW w:w="7717" w:type="dxa"/>
            <w:tcBorders>
              <w:top w:val="single" w:sz="4" w:space="0" w:color="auto"/>
              <w:bottom w:val="single" w:sz="12" w:space="0" w:color="auto"/>
            </w:tcBorders>
            <w:shd w:val="clear" w:color="auto" w:fill="auto"/>
            <w:vAlign w:val="bottom"/>
          </w:tcPr>
          <w:p w:rsidR="00925259" w:rsidRPr="00605334" w:rsidRDefault="00943310" w:rsidP="00D005CF">
            <w:pPr>
              <w:suppressAutoHyphens w:val="0"/>
              <w:spacing w:before="80" w:after="80" w:line="200" w:lineRule="exact"/>
              <w:ind w:right="113"/>
              <w:rPr>
                <w:i/>
                <w:sz w:val="18"/>
                <w:szCs w:val="18"/>
              </w:rPr>
            </w:pPr>
            <w:r w:rsidRPr="00605334">
              <w:rPr>
                <w:i/>
                <w:sz w:val="18"/>
                <w:szCs w:val="18"/>
              </w:rPr>
              <w:t>Geneva conventions and other treaties on international humanitarian law</w:t>
            </w:r>
          </w:p>
        </w:tc>
        <w:tc>
          <w:tcPr>
            <w:tcW w:w="1298" w:type="dxa"/>
            <w:tcBorders>
              <w:top w:val="single" w:sz="4" w:space="0" w:color="auto"/>
              <w:bottom w:val="single" w:sz="12" w:space="0" w:color="auto"/>
            </w:tcBorders>
            <w:shd w:val="clear" w:color="auto" w:fill="auto"/>
            <w:vAlign w:val="bottom"/>
          </w:tcPr>
          <w:p w:rsidR="00925259" w:rsidRPr="00605334" w:rsidRDefault="00925259" w:rsidP="009A7E2C">
            <w:pPr>
              <w:suppressAutoHyphens w:val="0"/>
              <w:spacing w:before="80" w:after="80" w:line="200" w:lineRule="exact"/>
              <w:ind w:right="113"/>
              <w:jc w:val="right"/>
              <w:rPr>
                <w:i/>
                <w:sz w:val="18"/>
                <w:szCs w:val="18"/>
              </w:rPr>
            </w:pPr>
            <w:r w:rsidRPr="00605334">
              <w:rPr>
                <w:i/>
                <w:sz w:val="18"/>
                <w:szCs w:val="18"/>
              </w:rPr>
              <w:t>Signature</w:t>
            </w:r>
          </w:p>
        </w:tc>
        <w:tc>
          <w:tcPr>
            <w:tcW w:w="1786" w:type="dxa"/>
            <w:tcBorders>
              <w:top w:val="single" w:sz="4" w:space="0" w:color="auto"/>
              <w:bottom w:val="single" w:sz="12" w:space="0" w:color="auto"/>
            </w:tcBorders>
            <w:shd w:val="clear" w:color="auto" w:fill="auto"/>
            <w:vAlign w:val="bottom"/>
          </w:tcPr>
          <w:p w:rsidR="00925259" w:rsidRPr="00605334" w:rsidRDefault="00925259" w:rsidP="009A7E2C">
            <w:pPr>
              <w:suppressAutoHyphens w:val="0"/>
              <w:spacing w:before="80" w:after="80" w:line="200" w:lineRule="exact"/>
              <w:ind w:right="113"/>
              <w:jc w:val="right"/>
              <w:rPr>
                <w:i/>
                <w:sz w:val="18"/>
                <w:szCs w:val="18"/>
              </w:rPr>
            </w:pPr>
            <w:r w:rsidRPr="00605334">
              <w:rPr>
                <w:i/>
                <w:sz w:val="18"/>
                <w:szCs w:val="18"/>
              </w:rPr>
              <w:t>Ratification</w:t>
            </w:r>
          </w:p>
        </w:tc>
        <w:tc>
          <w:tcPr>
            <w:tcW w:w="1786" w:type="dxa"/>
            <w:tcBorders>
              <w:top w:val="single" w:sz="4" w:space="0" w:color="auto"/>
              <w:bottom w:val="single" w:sz="12" w:space="0" w:color="auto"/>
            </w:tcBorders>
            <w:shd w:val="clear" w:color="auto" w:fill="auto"/>
            <w:vAlign w:val="bottom"/>
          </w:tcPr>
          <w:p w:rsidR="00925259" w:rsidRPr="00605334" w:rsidRDefault="00925259" w:rsidP="009A7E2C">
            <w:pPr>
              <w:suppressAutoHyphens w:val="0"/>
              <w:spacing w:before="80" w:after="80" w:line="200" w:lineRule="exact"/>
              <w:ind w:right="113"/>
              <w:jc w:val="right"/>
              <w:rPr>
                <w:i/>
                <w:sz w:val="18"/>
                <w:szCs w:val="18"/>
              </w:rPr>
            </w:pPr>
            <w:r w:rsidRPr="00605334">
              <w:rPr>
                <w:i/>
                <w:sz w:val="18"/>
                <w:szCs w:val="18"/>
              </w:rPr>
              <w:t>Accession</w:t>
            </w:r>
          </w:p>
        </w:tc>
      </w:tr>
      <w:tr w:rsidR="00925259" w:rsidRPr="00605334" w:rsidTr="00CC5539">
        <w:tblPrEx>
          <w:tblCellMar>
            <w:top w:w="0" w:type="dxa"/>
            <w:bottom w:w="0" w:type="dxa"/>
          </w:tblCellMar>
        </w:tblPrEx>
        <w:trPr>
          <w:trHeight w:val="360"/>
        </w:trPr>
        <w:tc>
          <w:tcPr>
            <w:tcW w:w="7717" w:type="dxa"/>
            <w:tcBorders>
              <w:top w:val="nil"/>
              <w:bottom w:val="nil"/>
            </w:tcBorders>
            <w:shd w:val="clear" w:color="auto" w:fill="auto"/>
          </w:tcPr>
          <w:p w:rsidR="00925259" w:rsidRPr="00C958DE" w:rsidRDefault="00925259" w:rsidP="006F0EEE">
            <w:pPr>
              <w:suppressAutoHyphens w:val="0"/>
              <w:spacing w:before="40" w:after="120" w:line="220" w:lineRule="exact"/>
              <w:ind w:right="113"/>
            </w:pPr>
            <w:r w:rsidRPr="00C958DE">
              <w:t>Geneva Convention (I) for the Amelioration of the Condition of the Wounded and Sick in Armed Forces in the Field of 12 August 1949</w:t>
            </w:r>
          </w:p>
        </w:tc>
        <w:tc>
          <w:tcPr>
            <w:tcW w:w="1298"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11/2/1950</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2/5/1959</w:t>
            </w:r>
            <w:r w:rsidR="004B4D9B">
              <w:br/>
            </w:r>
            <w:r w:rsidR="004B4D9B" w:rsidRPr="00C958DE">
              <w:t>2/11/1959 (</w:t>
            </w:r>
            <w:proofErr w:type="spellStart"/>
            <w:r w:rsidR="004B4D9B" w:rsidRPr="00C958DE">
              <w:t>EIF</w:t>
            </w:r>
            <w:proofErr w:type="spellEnd"/>
            <w:r w:rsidR="004B4D9B" w:rsidRPr="00C958DE">
              <w:t xml:space="preserve">) </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605334" w:rsidTr="00C70CA3">
        <w:tblPrEx>
          <w:tblCellMar>
            <w:top w:w="0" w:type="dxa"/>
            <w:bottom w:w="0" w:type="dxa"/>
          </w:tblCellMar>
        </w:tblPrEx>
        <w:trPr>
          <w:trHeight w:val="360"/>
        </w:trPr>
        <w:tc>
          <w:tcPr>
            <w:tcW w:w="7717" w:type="dxa"/>
            <w:tcBorders>
              <w:top w:val="nil"/>
              <w:bottom w:val="nil"/>
            </w:tcBorders>
            <w:shd w:val="clear" w:color="auto" w:fill="auto"/>
          </w:tcPr>
          <w:p w:rsidR="00925259" w:rsidRPr="00C958DE" w:rsidRDefault="00925259" w:rsidP="006F0EEE">
            <w:pPr>
              <w:suppressAutoHyphens w:val="0"/>
              <w:spacing w:before="40" w:after="120" w:line="220" w:lineRule="exact"/>
              <w:ind w:right="113"/>
            </w:pPr>
            <w:r w:rsidRPr="00C958DE">
              <w:t>Geneva Convention (II) for the Amelioration of the Condition of the Wounded, Sick and Shipwrecked Members of the Armed Forces at Sea, 1949</w:t>
            </w:r>
          </w:p>
        </w:tc>
        <w:tc>
          <w:tcPr>
            <w:tcW w:w="1298"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11/2/1950</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2/5/1959</w:t>
            </w:r>
            <w:r w:rsidR="004B4D9B">
              <w:br/>
            </w:r>
            <w:r w:rsidR="004B4D9B" w:rsidRPr="00C958DE">
              <w:t>2/11/1959 (</w:t>
            </w:r>
            <w:proofErr w:type="spellStart"/>
            <w:r w:rsidR="004B4D9B" w:rsidRPr="00C958DE">
              <w:t>EIF</w:t>
            </w:r>
            <w:proofErr w:type="spellEnd"/>
            <w:r w:rsidR="004B4D9B" w:rsidRPr="00C958DE">
              <w:t>)</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605334" w:rsidTr="00C70CA3">
        <w:tblPrEx>
          <w:tblCellMar>
            <w:top w:w="0" w:type="dxa"/>
            <w:bottom w:w="0" w:type="dxa"/>
          </w:tblCellMar>
        </w:tblPrEx>
        <w:trPr>
          <w:trHeight w:val="360"/>
        </w:trPr>
        <w:tc>
          <w:tcPr>
            <w:tcW w:w="7717" w:type="dxa"/>
            <w:tcBorders>
              <w:top w:val="nil"/>
              <w:bottom w:val="nil"/>
            </w:tcBorders>
            <w:shd w:val="clear" w:color="auto" w:fill="auto"/>
          </w:tcPr>
          <w:p w:rsidR="00925259" w:rsidRPr="00C958DE" w:rsidRDefault="00925259" w:rsidP="006F0EEE">
            <w:pPr>
              <w:suppressAutoHyphens w:val="0"/>
              <w:spacing w:before="40" w:after="120" w:line="220" w:lineRule="exact"/>
              <w:ind w:right="113"/>
            </w:pPr>
            <w:r w:rsidRPr="00C958DE">
              <w:t>Geneva Convention (III) relative to the Treatment of Prisoners of War, 1949</w:t>
            </w:r>
          </w:p>
        </w:tc>
        <w:tc>
          <w:tcPr>
            <w:tcW w:w="1298"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11/2/1950</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r w:rsidRPr="00C958DE">
              <w:t>2/5/1959</w:t>
            </w:r>
            <w:r w:rsidR="004B4D9B">
              <w:br/>
            </w:r>
            <w:r w:rsidR="00756389" w:rsidRPr="00C958DE">
              <w:t>2/11/1959 (</w:t>
            </w:r>
            <w:proofErr w:type="spellStart"/>
            <w:r w:rsidR="00756389" w:rsidRPr="00C958DE">
              <w:t>EIF</w:t>
            </w:r>
            <w:proofErr w:type="spellEnd"/>
            <w:r w:rsidR="00756389" w:rsidRPr="00C958DE">
              <w:t>)</w:t>
            </w:r>
          </w:p>
        </w:tc>
        <w:tc>
          <w:tcPr>
            <w:tcW w:w="1786" w:type="dxa"/>
            <w:tcBorders>
              <w:top w:val="nil"/>
              <w:bottom w:val="nil"/>
            </w:tcBorders>
            <w:shd w:val="clear" w:color="auto" w:fill="auto"/>
          </w:tcPr>
          <w:p w:rsidR="00925259" w:rsidRPr="00C958DE" w:rsidRDefault="00925259" w:rsidP="00C70CA3">
            <w:pPr>
              <w:suppressAutoHyphens w:val="0"/>
              <w:spacing w:before="40" w:after="120" w:line="220" w:lineRule="exact"/>
              <w:ind w:right="113"/>
              <w:jc w:val="right"/>
            </w:pPr>
          </w:p>
        </w:tc>
      </w:tr>
      <w:tr w:rsidR="00925259" w:rsidRPr="00605334" w:rsidTr="00C70CA3">
        <w:tblPrEx>
          <w:tblCellMar>
            <w:top w:w="0" w:type="dxa"/>
            <w:bottom w:w="0" w:type="dxa"/>
          </w:tblCellMar>
        </w:tblPrEx>
        <w:trPr>
          <w:trHeight w:val="360"/>
        </w:trPr>
        <w:tc>
          <w:tcPr>
            <w:tcW w:w="7717" w:type="dxa"/>
            <w:tcBorders>
              <w:top w:val="nil"/>
            </w:tcBorders>
            <w:shd w:val="clear" w:color="auto" w:fill="auto"/>
          </w:tcPr>
          <w:p w:rsidR="00925259" w:rsidRPr="00C958DE" w:rsidRDefault="00925259" w:rsidP="00D945F4">
            <w:pPr>
              <w:suppressAutoHyphens w:val="0"/>
              <w:spacing w:before="40" w:after="120" w:line="220" w:lineRule="exact"/>
              <w:ind w:right="113"/>
            </w:pPr>
            <w:r w:rsidRPr="00C958DE">
              <w:t>Geneva Convention (IV) relative to the Protection of Civilian Persons in Time of War, 1949</w:t>
            </w:r>
          </w:p>
        </w:tc>
        <w:tc>
          <w:tcPr>
            <w:tcW w:w="1298" w:type="dxa"/>
            <w:tcBorders>
              <w:top w:val="nil"/>
            </w:tcBorders>
            <w:shd w:val="clear" w:color="auto" w:fill="auto"/>
          </w:tcPr>
          <w:p w:rsidR="00925259" w:rsidRPr="00C958DE" w:rsidRDefault="00925259" w:rsidP="00C70CA3">
            <w:pPr>
              <w:suppressAutoHyphens w:val="0"/>
              <w:spacing w:before="40" w:after="120" w:line="220" w:lineRule="exact"/>
              <w:ind w:right="113"/>
              <w:jc w:val="right"/>
            </w:pPr>
            <w:r w:rsidRPr="00C958DE">
              <w:t>11/2/1950</w:t>
            </w:r>
          </w:p>
        </w:tc>
        <w:tc>
          <w:tcPr>
            <w:tcW w:w="1786" w:type="dxa"/>
            <w:tcBorders>
              <w:top w:val="nil"/>
            </w:tcBorders>
            <w:shd w:val="clear" w:color="auto" w:fill="auto"/>
          </w:tcPr>
          <w:p w:rsidR="00925259" w:rsidRPr="00C958DE" w:rsidRDefault="00925259" w:rsidP="00C70CA3">
            <w:pPr>
              <w:suppressAutoHyphens w:val="0"/>
              <w:spacing w:before="40" w:after="120" w:line="220" w:lineRule="exact"/>
              <w:ind w:right="113"/>
              <w:jc w:val="right"/>
            </w:pPr>
            <w:r w:rsidRPr="00C958DE">
              <w:t>2/5/1959</w:t>
            </w:r>
            <w:r w:rsidR="00756389">
              <w:br/>
            </w:r>
            <w:r w:rsidR="00756389" w:rsidRPr="00C958DE">
              <w:t>2/11/1959 (</w:t>
            </w:r>
            <w:proofErr w:type="spellStart"/>
            <w:r w:rsidR="00756389" w:rsidRPr="00C958DE">
              <w:t>EIF</w:t>
            </w:r>
            <w:proofErr w:type="spellEnd"/>
            <w:r w:rsidR="00756389" w:rsidRPr="00C958DE">
              <w:t>)</w:t>
            </w:r>
          </w:p>
        </w:tc>
        <w:tc>
          <w:tcPr>
            <w:tcW w:w="1786" w:type="dxa"/>
            <w:tcBorders>
              <w:top w:val="nil"/>
            </w:tcBorders>
            <w:shd w:val="clear" w:color="auto" w:fill="auto"/>
          </w:tcPr>
          <w:p w:rsidR="00925259" w:rsidRPr="00C958DE" w:rsidRDefault="00925259" w:rsidP="00D945F4">
            <w:pPr>
              <w:suppressAutoHyphens w:val="0"/>
              <w:spacing w:before="40" w:after="120" w:line="220" w:lineRule="exact"/>
              <w:ind w:right="113"/>
            </w:pPr>
          </w:p>
        </w:tc>
      </w:tr>
      <w:tr w:rsidR="00925259" w:rsidRPr="00605334" w:rsidTr="00CC5539">
        <w:tblPrEx>
          <w:tblCellMar>
            <w:top w:w="0" w:type="dxa"/>
            <w:bottom w:w="0" w:type="dxa"/>
          </w:tblCellMar>
        </w:tblPrEx>
        <w:trPr>
          <w:trHeight w:val="360"/>
        </w:trPr>
        <w:tc>
          <w:tcPr>
            <w:tcW w:w="7717" w:type="dxa"/>
            <w:shd w:val="clear" w:color="auto" w:fill="auto"/>
          </w:tcPr>
          <w:p w:rsidR="00925259" w:rsidRPr="00C958DE" w:rsidRDefault="00925259" w:rsidP="00D945F4">
            <w:pPr>
              <w:suppressAutoHyphens w:val="0"/>
              <w:spacing w:before="40" w:after="120" w:line="220" w:lineRule="exact"/>
              <w:ind w:right="113"/>
            </w:pPr>
            <w:r w:rsidRPr="00C958DE">
              <w:t>Protocol Additional to the Geneva Conventions of 12 August 1949 and Relating to the Protection of Victims of International Armed Conflicts (Protocol I), 1977</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27/11/1978</w:t>
            </w:r>
          </w:p>
        </w:tc>
        <w:tc>
          <w:tcPr>
            <w:tcW w:w="1786" w:type="dxa"/>
            <w:shd w:val="clear" w:color="auto" w:fill="auto"/>
          </w:tcPr>
          <w:p w:rsidR="00925259" w:rsidRPr="00C958DE" w:rsidRDefault="00925259" w:rsidP="00C70CA3">
            <w:pPr>
              <w:suppressAutoHyphens w:val="0"/>
              <w:spacing w:before="40" w:after="120" w:line="220" w:lineRule="exact"/>
              <w:ind w:right="113"/>
              <w:jc w:val="right"/>
            </w:pPr>
            <w:r w:rsidRPr="00C958DE">
              <w:t>8/2/1988</w:t>
            </w:r>
            <w:r w:rsidR="00756389">
              <w:br/>
            </w:r>
            <w:r w:rsidR="00756389" w:rsidRPr="00C958DE">
              <w:t>8/8/1988 (</w:t>
            </w:r>
            <w:proofErr w:type="spellStart"/>
            <w:r w:rsidR="00756389" w:rsidRPr="00C958DE">
              <w:t>EIF</w:t>
            </w:r>
            <w:proofErr w:type="spellEnd"/>
            <w:r w:rsidR="00756389" w:rsidRPr="00C958DE">
              <w:t>)</w:t>
            </w:r>
          </w:p>
        </w:tc>
        <w:tc>
          <w:tcPr>
            <w:tcW w:w="1786" w:type="dxa"/>
            <w:shd w:val="clear" w:color="auto" w:fill="auto"/>
          </w:tcPr>
          <w:p w:rsidR="00925259" w:rsidRPr="00C958DE" w:rsidRDefault="00925259" w:rsidP="00D945F4">
            <w:pPr>
              <w:suppressAutoHyphens w:val="0"/>
              <w:spacing w:before="40" w:after="120" w:line="220" w:lineRule="exact"/>
              <w:ind w:right="113"/>
            </w:pPr>
          </w:p>
        </w:tc>
      </w:tr>
      <w:tr w:rsidR="00925259" w:rsidRPr="00605334" w:rsidTr="00CC5539">
        <w:tblPrEx>
          <w:tblCellMar>
            <w:top w:w="0" w:type="dxa"/>
            <w:bottom w:w="0" w:type="dxa"/>
          </w:tblCellMar>
        </w:tblPrEx>
        <w:trPr>
          <w:trHeight w:val="360"/>
        </w:trPr>
        <w:tc>
          <w:tcPr>
            <w:tcW w:w="7717" w:type="dxa"/>
            <w:shd w:val="clear" w:color="auto" w:fill="auto"/>
          </w:tcPr>
          <w:p w:rsidR="00925259" w:rsidRPr="00C958DE" w:rsidRDefault="00925259" w:rsidP="00D945F4">
            <w:pPr>
              <w:suppressAutoHyphens w:val="0"/>
              <w:spacing w:before="40" w:after="120" w:line="220" w:lineRule="exact"/>
              <w:ind w:right="113"/>
            </w:pPr>
            <w:r w:rsidRPr="00C958DE">
              <w:t>Protocol Additional to the Geneva Conventions of 12 August 1949 and Relating to the Protection of Victims of Non-International Armed Conflicts (Protocol II), 1977</w:t>
            </w:r>
          </w:p>
        </w:tc>
        <w:tc>
          <w:tcPr>
            <w:tcW w:w="1298" w:type="dxa"/>
            <w:shd w:val="clear" w:color="auto" w:fill="auto"/>
          </w:tcPr>
          <w:p w:rsidR="00925259" w:rsidRPr="00C958DE" w:rsidRDefault="00925259" w:rsidP="00C70CA3">
            <w:pPr>
              <w:suppressAutoHyphens w:val="0"/>
              <w:spacing w:before="40" w:after="120" w:line="220" w:lineRule="exact"/>
              <w:ind w:right="113"/>
              <w:jc w:val="right"/>
            </w:pPr>
            <w:r w:rsidRPr="00C958DE">
              <w:t>27/11/1978</w:t>
            </w:r>
          </w:p>
        </w:tc>
        <w:tc>
          <w:tcPr>
            <w:tcW w:w="1786" w:type="dxa"/>
            <w:shd w:val="clear" w:color="auto" w:fill="auto"/>
          </w:tcPr>
          <w:p w:rsidR="00925259" w:rsidRPr="00C958DE" w:rsidRDefault="00925259" w:rsidP="00C70CA3">
            <w:pPr>
              <w:suppressAutoHyphens w:val="0"/>
              <w:spacing w:before="40" w:after="120" w:line="220" w:lineRule="exact"/>
              <w:ind w:right="113"/>
              <w:jc w:val="right"/>
            </w:pPr>
            <w:r w:rsidRPr="00C958DE">
              <w:t>8/2/1988</w:t>
            </w:r>
            <w:r w:rsidR="00756389">
              <w:br/>
            </w:r>
            <w:r w:rsidR="00756389" w:rsidRPr="00C958DE">
              <w:t>8/8/1988 (</w:t>
            </w:r>
            <w:proofErr w:type="spellStart"/>
            <w:r w:rsidR="00756389" w:rsidRPr="00C958DE">
              <w:t>EIF</w:t>
            </w:r>
            <w:proofErr w:type="spellEnd"/>
            <w:r w:rsidR="00756389" w:rsidRPr="00C958DE">
              <w:t>)</w:t>
            </w:r>
          </w:p>
        </w:tc>
        <w:tc>
          <w:tcPr>
            <w:tcW w:w="1786" w:type="dxa"/>
            <w:shd w:val="clear" w:color="auto" w:fill="auto"/>
          </w:tcPr>
          <w:p w:rsidR="00925259" w:rsidRPr="00C958DE" w:rsidRDefault="00925259" w:rsidP="00D945F4">
            <w:pPr>
              <w:suppressAutoHyphens w:val="0"/>
              <w:spacing w:before="40" w:after="120" w:line="220" w:lineRule="exact"/>
              <w:ind w:right="113"/>
            </w:pPr>
          </w:p>
        </w:tc>
      </w:tr>
      <w:tr w:rsidR="005F5B72" w:rsidRPr="00605334" w:rsidTr="00CC5539">
        <w:tblPrEx>
          <w:tblCellMar>
            <w:top w:w="0" w:type="dxa"/>
            <w:bottom w:w="0" w:type="dxa"/>
          </w:tblCellMar>
        </w:tblPrEx>
        <w:trPr>
          <w:trHeight w:val="360"/>
        </w:trPr>
        <w:tc>
          <w:tcPr>
            <w:tcW w:w="7717" w:type="dxa"/>
            <w:tcBorders>
              <w:bottom w:val="single" w:sz="12" w:space="0" w:color="auto"/>
            </w:tcBorders>
            <w:shd w:val="clear" w:color="auto" w:fill="auto"/>
          </w:tcPr>
          <w:p w:rsidR="005F5B72" w:rsidRPr="00C958DE" w:rsidRDefault="005F5B72" w:rsidP="00D945F4">
            <w:pPr>
              <w:suppressAutoHyphens w:val="0"/>
              <w:spacing w:before="40" w:after="120" w:line="220" w:lineRule="exact"/>
              <w:ind w:right="113"/>
            </w:pPr>
            <w:r w:rsidRPr="00C958DE">
              <w:t>Convention on the Prohibition of the Use, Stockpiling, Production and Transfer of Anti-Personnel Mines and on their Destruction,</w:t>
            </w:r>
            <w:r w:rsidR="008C5B8D">
              <w:t xml:space="preserve"> </w:t>
            </w:r>
            <w:r w:rsidRPr="00C958DE">
              <w:t>1987</w:t>
            </w:r>
          </w:p>
        </w:tc>
        <w:tc>
          <w:tcPr>
            <w:tcW w:w="1298" w:type="dxa"/>
            <w:tcBorders>
              <w:bottom w:val="single" w:sz="12" w:space="0" w:color="auto"/>
            </w:tcBorders>
            <w:shd w:val="clear" w:color="auto" w:fill="auto"/>
          </w:tcPr>
          <w:p w:rsidR="005F5B72" w:rsidRPr="00C958DE" w:rsidRDefault="005F5B72" w:rsidP="00C70CA3">
            <w:pPr>
              <w:suppressAutoHyphens w:val="0"/>
              <w:spacing w:before="40" w:after="120" w:line="220" w:lineRule="exact"/>
              <w:ind w:right="113"/>
              <w:jc w:val="right"/>
            </w:pPr>
            <w:r w:rsidRPr="00C958DE">
              <w:t>3/12/1997</w:t>
            </w:r>
          </w:p>
        </w:tc>
        <w:tc>
          <w:tcPr>
            <w:tcW w:w="1786" w:type="dxa"/>
            <w:tcBorders>
              <w:bottom w:val="single" w:sz="12" w:space="0" w:color="auto"/>
            </w:tcBorders>
            <w:shd w:val="clear" w:color="auto" w:fill="auto"/>
          </w:tcPr>
          <w:p w:rsidR="005F5B72" w:rsidRPr="00C958DE" w:rsidRDefault="005F5B72" w:rsidP="00C70CA3">
            <w:pPr>
              <w:suppressAutoHyphens w:val="0"/>
              <w:spacing w:before="40" w:after="120" w:line="220" w:lineRule="exact"/>
              <w:ind w:right="113"/>
              <w:jc w:val="right"/>
            </w:pPr>
            <w:r w:rsidRPr="00C958DE">
              <w:t>27/1/1999</w:t>
            </w:r>
            <w:r w:rsidR="00756389">
              <w:br/>
            </w:r>
            <w:r w:rsidR="008C5B8D" w:rsidRPr="00C958DE">
              <w:t>1/7/1999 (</w:t>
            </w:r>
            <w:proofErr w:type="spellStart"/>
            <w:r w:rsidR="008C5B8D" w:rsidRPr="00C958DE">
              <w:t>EIF</w:t>
            </w:r>
            <w:proofErr w:type="spellEnd"/>
            <w:r w:rsidR="008C5B8D" w:rsidRPr="00C958DE">
              <w:t>)</w:t>
            </w:r>
          </w:p>
        </w:tc>
        <w:tc>
          <w:tcPr>
            <w:tcW w:w="1786" w:type="dxa"/>
            <w:tcBorders>
              <w:bottom w:val="single" w:sz="12" w:space="0" w:color="auto"/>
            </w:tcBorders>
            <w:shd w:val="clear" w:color="auto" w:fill="auto"/>
          </w:tcPr>
          <w:p w:rsidR="005F5B72" w:rsidRPr="00C958DE" w:rsidRDefault="005F5B72" w:rsidP="00D945F4">
            <w:pPr>
              <w:suppressAutoHyphens w:val="0"/>
              <w:spacing w:before="40" w:after="120" w:line="220" w:lineRule="exact"/>
              <w:ind w:right="113"/>
            </w:pPr>
          </w:p>
        </w:tc>
      </w:tr>
    </w:tbl>
    <w:p w:rsidR="00925259" w:rsidRPr="00106A43" w:rsidRDefault="00925259" w:rsidP="000E056A">
      <w:pPr>
        <w:spacing w:before="120" w:after="120"/>
        <w:jc w:val="center"/>
        <w:rPr>
          <w:u w:val="single"/>
        </w:rPr>
      </w:pPr>
      <w:r>
        <w:rPr>
          <w:u w:val="single"/>
        </w:rPr>
        <w:tab/>
      </w:r>
      <w:r>
        <w:rPr>
          <w:u w:val="single"/>
        </w:rPr>
        <w:tab/>
      </w:r>
      <w:r>
        <w:rPr>
          <w:u w:val="single"/>
        </w:rPr>
        <w:tab/>
      </w:r>
    </w:p>
    <w:sectPr w:rsidR="00925259" w:rsidRPr="00106A43" w:rsidSect="00FD2A47">
      <w:headerReference w:type="even" r:id="rId33"/>
      <w:headerReference w:type="default" r:id="rId34"/>
      <w:footerReference w:type="even" r:id="rId35"/>
      <w:footerReference w:type="default" r:id="rId36"/>
      <w:headerReference w:type="first" r:id="rId37"/>
      <w:endnotePr>
        <w:numFmt w:val="decimal"/>
      </w:endnotePr>
      <w:pgSz w:w="16838" w:h="11906"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CD" w:rsidRDefault="00011ECD"/>
  </w:endnote>
  <w:endnote w:type="continuationSeparator" w:id="0">
    <w:p w:rsidR="00011ECD" w:rsidRDefault="00011ECD"/>
  </w:endnote>
  <w:endnote w:type="continuationNotice" w:id="1">
    <w:p w:rsidR="00011ECD" w:rsidRDefault="00011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6703B8" w:rsidRDefault="006C436C" w:rsidP="006703B8">
    <w:pPr>
      <w:pStyle w:val="Footer"/>
      <w:tabs>
        <w:tab w:val="right" w:pos="9598"/>
      </w:tabs>
    </w:pPr>
    <w:r w:rsidRPr="006703B8">
      <w:rPr>
        <w:b/>
        <w:sz w:val="18"/>
      </w:rPr>
      <w:fldChar w:fldCharType="begin"/>
    </w:r>
    <w:r w:rsidRPr="006703B8">
      <w:rPr>
        <w:b/>
        <w:sz w:val="18"/>
      </w:rPr>
      <w:instrText xml:space="preserve"> PAGE  \* MERGEFORMAT </w:instrText>
    </w:r>
    <w:r w:rsidRPr="006703B8">
      <w:rPr>
        <w:b/>
        <w:sz w:val="18"/>
      </w:rPr>
      <w:fldChar w:fldCharType="separate"/>
    </w:r>
    <w:r w:rsidR="00057348">
      <w:rPr>
        <w:b/>
        <w:noProof/>
        <w:sz w:val="18"/>
      </w:rPr>
      <w:t>36</w:t>
    </w:r>
    <w:r w:rsidRPr="006703B8">
      <w:rPr>
        <w:b/>
        <w:sz w:val="18"/>
      </w:rPr>
      <w:fldChar w:fldCharType="end"/>
    </w:r>
    <w:r>
      <w:rPr>
        <w:sz w:val="18"/>
      </w:rPr>
      <w:tab/>
    </w:r>
    <w:r>
      <w:t>GE.11-41617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6703B8" w:rsidRDefault="006C436C" w:rsidP="006703B8">
    <w:pPr>
      <w:pStyle w:val="Footer"/>
      <w:tabs>
        <w:tab w:val="right" w:pos="9598"/>
      </w:tabs>
      <w:rPr>
        <w:b/>
        <w:sz w:val="18"/>
      </w:rPr>
    </w:pPr>
    <w:r>
      <w:t>GE.11-41617</w:t>
    </w:r>
    <w:r>
      <w:tab/>
    </w:r>
    <w:r w:rsidRPr="006703B8">
      <w:rPr>
        <w:b/>
        <w:sz w:val="18"/>
      </w:rPr>
      <w:fldChar w:fldCharType="begin"/>
    </w:r>
    <w:r w:rsidRPr="006703B8">
      <w:rPr>
        <w:b/>
        <w:sz w:val="18"/>
      </w:rPr>
      <w:instrText xml:space="preserve"> PAGE  \* MERGEFORMAT </w:instrText>
    </w:r>
    <w:r w:rsidRPr="006703B8">
      <w:rPr>
        <w:b/>
        <w:sz w:val="18"/>
      </w:rPr>
      <w:fldChar w:fldCharType="separate"/>
    </w:r>
    <w:r w:rsidR="00057348">
      <w:rPr>
        <w:b/>
        <w:noProof/>
        <w:sz w:val="18"/>
      </w:rPr>
      <w:t>61</w:t>
    </w:r>
    <w:r w:rsidRPr="006703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Default="006C436C">
    <w:pPr>
      <w:pStyle w:val="Footer"/>
    </w:pPr>
    <w:r>
      <w:rPr>
        <w:sz w:val="20"/>
      </w:rPr>
      <w:t>GE.11-41617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C13EE7">
      <w:rPr>
        <w:sz w:val="20"/>
      </w:rPr>
      <w:t xml:space="preserve">    240311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FD2A47" w:rsidRDefault="006C436C" w:rsidP="00FD2A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FD2A47" w:rsidRDefault="006C436C" w:rsidP="00FD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CD" w:rsidRPr="000B175B" w:rsidRDefault="00011ECD" w:rsidP="000B175B">
      <w:pPr>
        <w:tabs>
          <w:tab w:val="right" w:pos="2155"/>
        </w:tabs>
        <w:spacing w:after="80"/>
        <w:ind w:left="680"/>
        <w:rPr>
          <w:u w:val="single"/>
        </w:rPr>
      </w:pPr>
      <w:r>
        <w:rPr>
          <w:u w:val="single"/>
        </w:rPr>
        <w:tab/>
      </w:r>
    </w:p>
  </w:footnote>
  <w:footnote w:type="continuationSeparator" w:id="0">
    <w:p w:rsidR="00011ECD" w:rsidRPr="00FC68B7" w:rsidRDefault="00011ECD" w:rsidP="00FC68B7">
      <w:pPr>
        <w:tabs>
          <w:tab w:val="left" w:pos="2155"/>
        </w:tabs>
        <w:spacing w:after="80"/>
        <w:ind w:left="680"/>
        <w:rPr>
          <w:u w:val="single"/>
        </w:rPr>
      </w:pPr>
      <w:r>
        <w:rPr>
          <w:u w:val="single"/>
        </w:rPr>
        <w:tab/>
      </w:r>
    </w:p>
  </w:footnote>
  <w:footnote w:type="continuationNotice" w:id="1">
    <w:p w:rsidR="00011ECD" w:rsidRDefault="00011ECD"/>
  </w:footnote>
  <w:footnote w:id="2">
    <w:p w:rsidR="006C436C" w:rsidRDefault="006C436C">
      <w:pPr>
        <w:pStyle w:val="FootnoteText"/>
      </w:pPr>
      <w:r>
        <w:tab/>
      </w:r>
      <w:r w:rsidRPr="006703B8">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translations services.</w:t>
      </w:r>
    </w:p>
  </w:footnote>
  <w:footnote w:id="3">
    <w:p w:rsidR="006C436C" w:rsidRPr="007B10C4" w:rsidRDefault="006C436C" w:rsidP="00A21D29">
      <w:pPr>
        <w:pStyle w:val="FootnoteText"/>
      </w:pPr>
      <w:r w:rsidRPr="007B10C4">
        <w:tab/>
      </w:r>
      <w:r w:rsidRPr="00A21D29">
        <w:rPr>
          <w:rStyle w:val="FootnoteReference"/>
        </w:rPr>
        <w:footnoteRef/>
      </w:r>
      <w:r w:rsidRPr="007B10C4">
        <w:tab/>
      </w:r>
      <w:r>
        <w:t>“</w:t>
      </w:r>
      <w:r w:rsidRPr="007B10C4">
        <w:t>Pacific</w:t>
      </w:r>
      <w:r>
        <w:t xml:space="preserve"> </w:t>
      </w:r>
      <w:r w:rsidRPr="007B10C4">
        <w:t>peoples</w:t>
      </w:r>
      <w:r>
        <w:t xml:space="preserve">” </w:t>
      </w:r>
      <w:r w:rsidRPr="007B10C4">
        <w:t>refers</w:t>
      </w:r>
      <w:r>
        <w:t xml:space="preserve"> </w:t>
      </w:r>
      <w:r w:rsidRPr="007B10C4">
        <w:t>to</w:t>
      </w:r>
      <w:r>
        <w:t xml:space="preserve"> </w:t>
      </w:r>
      <w:r w:rsidRPr="007B10C4">
        <w:t>people</w:t>
      </w:r>
      <w:r>
        <w:t xml:space="preserve"> </w:t>
      </w:r>
      <w:r w:rsidRPr="007B10C4">
        <w:t>who</w:t>
      </w:r>
      <w:r>
        <w:t xml:space="preserve"> </w:t>
      </w:r>
      <w:r w:rsidRPr="007B10C4">
        <w:t>identify</w:t>
      </w:r>
      <w:r>
        <w:t xml:space="preserve"> </w:t>
      </w:r>
      <w:r w:rsidRPr="007B10C4">
        <w:t>with</w:t>
      </w:r>
      <w:r>
        <w:t xml:space="preserve"> </w:t>
      </w:r>
      <w:r w:rsidRPr="007B10C4">
        <w:t>Pacific</w:t>
      </w:r>
      <w:r>
        <w:t xml:space="preserve"> </w:t>
      </w:r>
      <w:r w:rsidRPr="007B10C4">
        <w:t>Island</w:t>
      </w:r>
      <w:r>
        <w:t xml:space="preserve"> </w:t>
      </w:r>
      <w:r w:rsidRPr="007B10C4">
        <w:t>countri</w:t>
      </w:r>
      <w:r>
        <w:t>es.</w:t>
      </w:r>
    </w:p>
  </w:footnote>
  <w:footnote w:id="4">
    <w:p w:rsidR="006C436C" w:rsidRPr="007B10C4" w:rsidRDefault="006C436C" w:rsidP="00036FAC">
      <w:pPr>
        <w:pStyle w:val="FootnoteText"/>
      </w:pPr>
      <w:r w:rsidRPr="007B10C4">
        <w:rPr>
          <w:b/>
        </w:rPr>
        <w:tab/>
      </w:r>
      <w:r w:rsidRPr="006F7CDF">
        <w:rPr>
          <w:rStyle w:val="FootnoteReference"/>
        </w:rPr>
        <w:footnoteRef/>
      </w:r>
      <w:r w:rsidRPr="007B10C4">
        <w:rPr>
          <w:b/>
        </w:rPr>
        <w:tab/>
      </w:r>
      <w:r w:rsidRPr="007B10C4">
        <w:t>All</w:t>
      </w:r>
      <w:r>
        <w:t xml:space="preserve"> </w:t>
      </w:r>
      <w:r w:rsidRPr="007B10C4">
        <w:t>dollar</w:t>
      </w:r>
      <w:r>
        <w:t xml:space="preserve"> </w:t>
      </w:r>
      <w:r w:rsidRPr="007B10C4">
        <w:t>amounts</w:t>
      </w:r>
      <w:r>
        <w:t xml:space="preserve"> </w:t>
      </w:r>
      <w:r w:rsidRPr="007B10C4">
        <w:t>are</w:t>
      </w:r>
      <w:r>
        <w:t xml:space="preserve"> </w:t>
      </w:r>
      <w:r w:rsidRPr="007B10C4">
        <w:t>New</w:t>
      </w:r>
      <w:r>
        <w:t xml:space="preserve"> </w:t>
      </w:r>
      <w:r w:rsidRPr="007B10C4">
        <w:t>Zealand</w:t>
      </w:r>
      <w:r>
        <w:t xml:space="preserve"> </w:t>
      </w:r>
      <w:r w:rsidRPr="007B10C4">
        <w:t>dollars</w:t>
      </w:r>
      <w:r>
        <w:t xml:space="preserve"> </w:t>
      </w:r>
      <w:r w:rsidRPr="007B10C4">
        <w:t>unless</w:t>
      </w:r>
      <w:r>
        <w:t xml:space="preserve"> </w:t>
      </w:r>
      <w:r w:rsidRPr="007B10C4">
        <w:t>specifically</w:t>
      </w:r>
      <w:r>
        <w:t xml:space="preserve"> </w:t>
      </w:r>
      <w:r w:rsidRPr="007B10C4">
        <w:t>described</w:t>
      </w:r>
      <w:r>
        <w:t xml:space="preserve"> </w:t>
      </w:r>
      <w:r w:rsidRPr="007B10C4">
        <w:t>in</w:t>
      </w:r>
      <w:r>
        <w:t xml:space="preserve"> </w:t>
      </w:r>
      <w:r w:rsidRPr="007B10C4">
        <w:t>another</w:t>
      </w:r>
      <w:r>
        <w:t xml:space="preserve"> </w:t>
      </w:r>
      <w:r w:rsidRPr="007B10C4">
        <w:t>way.</w:t>
      </w:r>
    </w:p>
  </w:footnote>
  <w:footnote w:id="5">
    <w:p w:rsidR="006C436C" w:rsidRPr="007B10C4" w:rsidRDefault="006C436C" w:rsidP="00036FAC">
      <w:pPr>
        <w:pStyle w:val="FootnoteText"/>
      </w:pPr>
      <w:r w:rsidRPr="007B10C4">
        <w:tab/>
      </w:r>
      <w:r w:rsidRPr="007B10C4">
        <w:rPr>
          <w:rStyle w:val="FootnoteReference"/>
        </w:rPr>
        <w:footnoteRef/>
      </w:r>
      <w:r w:rsidRPr="007B10C4">
        <w:tab/>
        <w:t>The</w:t>
      </w:r>
      <w:r>
        <w:t xml:space="preserve"> </w:t>
      </w:r>
      <w:r w:rsidRPr="007B10C4">
        <w:t>Domestic</w:t>
      </w:r>
      <w:r>
        <w:t xml:space="preserve"> </w:t>
      </w:r>
      <w:r w:rsidRPr="007B10C4">
        <w:t>Purposes</w:t>
      </w:r>
      <w:r>
        <w:t xml:space="preserve"> </w:t>
      </w:r>
      <w:r w:rsidRPr="007B10C4">
        <w:t>Benefit</w:t>
      </w:r>
      <w:r>
        <w:t xml:space="preserve"> </w:t>
      </w:r>
      <w:r w:rsidRPr="007B10C4">
        <w:t>is</w:t>
      </w:r>
      <w:r>
        <w:t xml:space="preserve"> </w:t>
      </w:r>
      <w:r w:rsidRPr="007B10C4">
        <w:t>a</w:t>
      </w:r>
      <w:r>
        <w:t xml:space="preserve"> </w:t>
      </w:r>
      <w:r w:rsidRPr="007B10C4">
        <w:t>weekly</w:t>
      </w:r>
      <w:r>
        <w:t xml:space="preserve"> </w:t>
      </w:r>
      <w:r w:rsidRPr="007B10C4">
        <w:t>payment</w:t>
      </w:r>
      <w:r>
        <w:t xml:space="preserve"> </w:t>
      </w:r>
      <w:r w:rsidRPr="007B10C4">
        <w:t>made</w:t>
      </w:r>
      <w:r>
        <w:t xml:space="preserve"> </w:t>
      </w:r>
      <w:r w:rsidRPr="007B10C4">
        <w:t>by</w:t>
      </w:r>
      <w:r>
        <w:t xml:space="preserve"> </w:t>
      </w:r>
      <w:r w:rsidRPr="007B10C4">
        <w:t>the</w:t>
      </w:r>
      <w:r>
        <w:t xml:space="preserve"> </w:t>
      </w:r>
      <w:r w:rsidRPr="007B10C4">
        <w:t>Government</w:t>
      </w:r>
      <w:r>
        <w:t xml:space="preserve"> </w:t>
      </w:r>
      <w:r w:rsidRPr="007B10C4">
        <w:t>to</w:t>
      </w:r>
      <w:r>
        <w:t xml:space="preserve"> </w:t>
      </w:r>
      <w:r w:rsidRPr="007B10C4">
        <w:t>sole</w:t>
      </w:r>
      <w:r>
        <w:t xml:space="preserve"> </w:t>
      </w:r>
      <w:r w:rsidRPr="007B10C4">
        <w:t>parents</w:t>
      </w:r>
      <w:r>
        <w:t xml:space="preserve"> </w:t>
      </w:r>
      <w:r w:rsidRPr="007B10C4">
        <w:t>with</w:t>
      </w:r>
      <w:r>
        <w:t xml:space="preserve"> </w:t>
      </w:r>
      <w:r w:rsidRPr="007B10C4">
        <w:t>dependant</w:t>
      </w:r>
      <w:r>
        <w:t xml:space="preserve"> </w:t>
      </w:r>
      <w:r w:rsidRPr="007B10C4">
        <w:t>children</w:t>
      </w:r>
      <w:r>
        <w:t xml:space="preserve"> </w:t>
      </w:r>
      <w:r w:rsidRPr="007B10C4">
        <w:t>and</w:t>
      </w:r>
      <w:r>
        <w:t xml:space="preserve"> </w:t>
      </w:r>
      <w:r w:rsidRPr="007B10C4">
        <w:t>no</w:t>
      </w:r>
      <w:r>
        <w:t xml:space="preserve"> </w:t>
      </w:r>
      <w:r w:rsidRPr="007B10C4">
        <w:t>other</w:t>
      </w:r>
      <w:r>
        <w:t xml:space="preserve"> </w:t>
      </w:r>
      <w:r w:rsidRPr="007B10C4">
        <w:t>adequate</w:t>
      </w:r>
      <w:r>
        <w:t xml:space="preserve"> </w:t>
      </w:r>
      <w:r w:rsidRPr="007B10C4">
        <w:t>source</w:t>
      </w:r>
      <w:r>
        <w:t xml:space="preserve"> </w:t>
      </w:r>
      <w:r w:rsidRPr="007B10C4">
        <w:t>of</w:t>
      </w:r>
      <w:r>
        <w:t xml:space="preserve"> </w:t>
      </w:r>
      <w:r w:rsidRPr="007B10C4">
        <w:t>income.</w:t>
      </w:r>
    </w:p>
  </w:footnote>
  <w:footnote w:id="6">
    <w:p w:rsidR="006C436C" w:rsidRPr="007B10C4" w:rsidRDefault="006C436C" w:rsidP="00036FAC">
      <w:pPr>
        <w:pStyle w:val="FootnoteText"/>
        <w:rPr>
          <w:sz w:val="16"/>
          <w:szCs w:val="16"/>
        </w:rPr>
      </w:pPr>
      <w:r w:rsidRPr="007B10C4">
        <w:rPr>
          <w:b/>
        </w:rPr>
        <w:tab/>
      </w:r>
      <w:r w:rsidRPr="007B10C4">
        <w:rPr>
          <w:rStyle w:val="FootnoteReference"/>
        </w:rPr>
        <w:footnoteRef/>
      </w:r>
      <w:r w:rsidRPr="007B10C4">
        <w:rPr>
          <w:b/>
        </w:rPr>
        <w:tab/>
      </w:r>
      <w:r w:rsidRPr="007B10C4">
        <w:t>Household</w:t>
      </w:r>
      <w:r>
        <w:t xml:space="preserve"> </w:t>
      </w:r>
      <w:r w:rsidRPr="007B10C4">
        <w:t>incomes</w:t>
      </w:r>
      <w:r>
        <w:t xml:space="preserve"> </w:t>
      </w:r>
      <w:r w:rsidRPr="007B10C4">
        <w:t>in</w:t>
      </w:r>
      <w:r>
        <w:t xml:space="preserve"> </w:t>
      </w:r>
      <w:r w:rsidRPr="007B10C4">
        <w:t>New</w:t>
      </w:r>
      <w:r>
        <w:t xml:space="preserve"> </w:t>
      </w:r>
      <w:r w:rsidRPr="007B10C4">
        <w:t>Zealand:</w:t>
      </w:r>
      <w:r>
        <w:t xml:space="preserve"> </w:t>
      </w:r>
      <w:r w:rsidRPr="007B10C4">
        <w:t>trends</w:t>
      </w:r>
      <w:r>
        <w:t xml:space="preserve"> </w:t>
      </w:r>
      <w:r w:rsidRPr="007B10C4">
        <w:t>in</w:t>
      </w:r>
      <w:r>
        <w:t xml:space="preserve"> </w:t>
      </w:r>
      <w:r w:rsidRPr="007B10C4">
        <w:t>indicators</w:t>
      </w:r>
      <w:r>
        <w:t xml:space="preserve"> </w:t>
      </w:r>
      <w:r w:rsidRPr="007B10C4">
        <w:t>of</w:t>
      </w:r>
      <w:r>
        <w:t xml:space="preserve"> </w:t>
      </w:r>
      <w:r w:rsidRPr="007B10C4">
        <w:t>inequality</w:t>
      </w:r>
      <w:r>
        <w:t xml:space="preserve"> </w:t>
      </w:r>
      <w:r w:rsidRPr="007B10C4">
        <w:t>and</w:t>
      </w:r>
      <w:r>
        <w:t xml:space="preserve"> </w:t>
      </w:r>
      <w:r w:rsidRPr="007B10C4">
        <w:t>hardship</w:t>
      </w:r>
      <w:r>
        <w:t xml:space="preserve"> </w:t>
      </w:r>
      <w:r w:rsidRPr="007B10C4">
        <w:t>1982</w:t>
      </w:r>
      <w:r>
        <w:t xml:space="preserve"> </w:t>
      </w:r>
      <w:r w:rsidRPr="007B10C4">
        <w:t>to</w:t>
      </w:r>
      <w:r>
        <w:t xml:space="preserve"> </w:t>
      </w:r>
      <w:r w:rsidRPr="007B10C4">
        <w:t>2009,</w:t>
      </w:r>
      <w:r>
        <w:t xml:space="preserve"> </w:t>
      </w:r>
      <w:r w:rsidRPr="007B10C4">
        <w:t>prepared</w:t>
      </w:r>
      <w:r>
        <w:t xml:space="preserve"> </w:t>
      </w:r>
      <w:r w:rsidRPr="007B10C4">
        <w:t>by</w:t>
      </w:r>
      <w:r>
        <w:t xml:space="preserve"> </w:t>
      </w:r>
      <w:r w:rsidRPr="007B10C4">
        <w:t>Brian</w:t>
      </w:r>
      <w:r>
        <w:t xml:space="preserve"> </w:t>
      </w:r>
      <w:r w:rsidRPr="007B10C4">
        <w:t>Perry,</w:t>
      </w:r>
      <w:r>
        <w:t xml:space="preserve"> </w:t>
      </w:r>
      <w:r w:rsidRPr="007B10C4">
        <w:t>Ministry</w:t>
      </w:r>
      <w:r>
        <w:t xml:space="preserve"> </w:t>
      </w:r>
      <w:r w:rsidRPr="007B10C4">
        <w:t>of</w:t>
      </w:r>
      <w:r>
        <w:t xml:space="preserve"> </w:t>
      </w:r>
      <w:r w:rsidRPr="007B10C4">
        <w:t>Social</w:t>
      </w:r>
      <w:r>
        <w:t xml:space="preserve"> </w:t>
      </w:r>
      <w:r w:rsidRPr="007B10C4">
        <w:t>Development,</w:t>
      </w:r>
      <w:r>
        <w:t xml:space="preserve"> </w:t>
      </w:r>
      <w:r w:rsidRPr="007B10C4">
        <w:t>August</w:t>
      </w:r>
      <w:r>
        <w:t xml:space="preserve"> </w:t>
      </w:r>
      <w:r w:rsidRPr="007B10C4">
        <w:t>2010.</w:t>
      </w:r>
    </w:p>
  </w:footnote>
  <w:footnote w:id="7">
    <w:p w:rsidR="006C436C" w:rsidRPr="007B10C4" w:rsidRDefault="006C436C" w:rsidP="00036FAC">
      <w:pPr>
        <w:pStyle w:val="FootnoteText"/>
        <w:rPr>
          <w:sz w:val="16"/>
          <w:szCs w:val="16"/>
        </w:rPr>
      </w:pPr>
      <w:r w:rsidRPr="007B10C4">
        <w:tab/>
      </w:r>
      <w:r w:rsidRPr="007B10C4">
        <w:rPr>
          <w:rStyle w:val="FootnoteReference"/>
          <w:rFonts w:eastAsia="Times"/>
        </w:rPr>
        <w:footnoteRef/>
      </w:r>
      <w:r w:rsidRPr="007B10C4">
        <w:tab/>
      </w:r>
      <w:r w:rsidRPr="007B10C4">
        <w:rPr>
          <w:rFonts w:eastAsia="Batang"/>
        </w:rPr>
        <w:t>Age-standardised</w:t>
      </w:r>
      <w:r>
        <w:rPr>
          <w:rFonts w:eastAsia="Batang"/>
        </w:rPr>
        <w:t xml:space="preserve"> </w:t>
      </w:r>
      <w:r w:rsidRPr="007B10C4">
        <w:rPr>
          <w:rFonts w:eastAsia="Batang"/>
        </w:rPr>
        <w:t>rates</w:t>
      </w:r>
      <w:r>
        <w:rPr>
          <w:rFonts w:eastAsia="Batang"/>
        </w:rPr>
        <w:t xml:space="preserve"> </w:t>
      </w:r>
      <w:r w:rsidRPr="007B10C4">
        <w:rPr>
          <w:rFonts w:eastAsia="Batang"/>
        </w:rPr>
        <w:t>for</w:t>
      </w:r>
      <w:r>
        <w:rPr>
          <w:rFonts w:eastAsia="Batang"/>
        </w:rPr>
        <w:t xml:space="preserve"> </w:t>
      </w:r>
      <w:r w:rsidRPr="007B10C4">
        <w:rPr>
          <w:rFonts w:eastAsia="Batang"/>
        </w:rPr>
        <w:t>2002</w:t>
      </w:r>
      <w:r>
        <w:rPr>
          <w:rFonts w:eastAsia="Batang"/>
        </w:rPr>
        <w:t xml:space="preserve"> </w:t>
      </w:r>
      <w:r w:rsidRPr="007B10C4">
        <w:rPr>
          <w:rFonts w:eastAsia="Batang"/>
        </w:rPr>
        <w:t>to</w:t>
      </w:r>
      <w:r>
        <w:rPr>
          <w:rFonts w:eastAsia="Batang"/>
        </w:rPr>
        <w:t xml:space="preserve"> </w:t>
      </w:r>
      <w:r w:rsidRPr="007B10C4">
        <w:rPr>
          <w:rFonts w:eastAsia="Batang"/>
        </w:rPr>
        <w:t>2005</w:t>
      </w:r>
      <w:r>
        <w:rPr>
          <w:rFonts w:eastAsia="Batang"/>
        </w:rPr>
        <w:t xml:space="preserve"> </w:t>
      </w:r>
      <w:r w:rsidRPr="007B10C4">
        <w:rPr>
          <w:rFonts w:eastAsia="Batang"/>
        </w:rPr>
        <w:t>are</w:t>
      </w:r>
      <w:r>
        <w:rPr>
          <w:rFonts w:eastAsia="Batang"/>
        </w:rPr>
        <w:t xml:space="preserve"> </w:t>
      </w:r>
      <w:r w:rsidRPr="007B10C4">
        <w:rPr>
          <w:rFonts w:eastAsia="Batang"/>
        </w:rPr>
        <w:t>not</w:t>
      </w:r>
      <w:r>
        <w:rPr>
          <w:rFonts w:eastAsia="Batang"/>
        </w:rPr>
        <w:t xml:space="preserve"> </w:t>
      </w:r>
      <w:r w:rsidRPr="007B10C4">
        <w:rPr>
          <w:rFonts w:eastAsia="Batang"/>
        </w:rPr>
        <w:t>available</w:t>
      </w:r>
      <w:r>
        <w:rPr>
          <w:rFonts w:eastAsia="Batang"/>
        </w:rPr>
        <w:t xml:space="preserve"> </w:t>
      </w:r>
      <w:r w:rsidRPr="007B10C4">
        <w:rPr>
          <w:rFonts w:eastAsia="Batang"/>
        </w:rPr>
        <w:t>for</w:t>
      </w:r>
      <w:r>
        <w:rPr>
          <w:rFonts w:eastAsia="Batang"/>
        </w:rPr>
        <w:t xml:space="preserve"> </w:t>
      </w:r>
      <w:r w:rsidRPr="007B10C4">
        <w:rPr>
          <w:rFonts w:eastAsia="Batang"/>
        </w:rPr>
        <w:t>Pacific</w:t>
      </w:r>
      <w:r>
        <w:rPr>
          <w:rFonts w:eastAsia="Batang"/>
        </w:rPr>
        <w:t xml:space="preserve"> </w:t>
      </w:r>
      <w:r w:rsidRPr="007B10C4">
        <w:rPr>
          <w:rFonts w:eastAsia="Batang"/>
        </w:rPr>
        <w:t>peoples</w:t>
      </w:r>
      <w:r>
        <w:rPr>
          <w:rFonts w:eastAsia="Batang"/>
        </w:rPr>
        <w:t xml:space="preserve"> </w:t>
      </w:r>
      <w:r w:rsidRPr="007B10C4">
        <w:rPr>
          <w:rFonts w:eastAsia="Batang"/>
        </w:rPr>
        <w:t>all</w:t>
      </w:r>
      <w:r>
        <w:rPr>
          <w:rFonts w:eastAsia="Batang"/>
        </w:rPr>
        <w:t xml:space="preserve"> </w:t>
      </w:r>
      <w:r w:rsidRPr="007B10C4">
        <w:rPr>
          <w:rFonts w:eastAsia="Batang"/>
        </w:rPr>
        <w:t>causes</w:t>
      </w:r>
      <w:r>
        <w:rPr>
          <w:rFonts w:eastAsia="Batang"/>
        </w:rPr>
        <w:t xml:space="preserve"> </w:t>
      </w:r>
      <w:r w:rsidRPr="007B10C4">
        <w:rPr>
          <w:rFonts w:eastAsia="Batang"/>
        </w:rPr>
        <w:t>or</w:t>
      </w:r>
      <w:r>
        <w:rPr>
          <w:rFonts w:eastAsia="Batang"/>
        </w:rPr>
        <w:t xml:space="preserve"> </w:t>
      </w:r>
      <w:r w:rsidRPr="007B10C4">
        <w:rPr>
          <w:rFonts w:eastAsia="Batang"/>
        </w:rPr>
        <w:t>non-Māori,</w:t>
      </w:r>
      <w:r>
        <w:rPr>
          <w:rFonts w:eastAsia="Batang"/>
        </w:rPr>
        <w:t xml:space="preserve"> </w:t>
      </w:r>
      <w:r w:rsidRPr="007B10C4">
        <w:rPr>
          <w:rFonts w:eastAsia="Batang"/>
        </w:rPr>
        <w:t>non-Pacific</w:t>
      </w:r>
      <w:r>
        <w:rPr>
          <w:rFonts w:eastAsia="Batang"/>
        </w:rPr>
        <w:t xml:space="preserve"> </w:t>
      </w:r>
      <w:r w:rsidRPr="007B10C4">
        <w:rPr>
          <w:rFonts w:eastAsia="Batang"/>
        </w:rPr>
        <w:t>all</w:t>
      </w:r>
      <w:r>
        <w:rPr>
          <w:rFonts w:eastAsia="Batang"/>
        </w:rPr>
        <w:t xml:space="preserve"> </w:t>
      </w:r>
      <w:r w:rsidRPr="007B10C4">
        <w:rPr>
          <w:rFonts w:eastAsia="Batang"/>
        </w:rPr>
        <w:t>causes</w:t>
      </w:r>
      <w:r>
        <w:rPr>
          <w:rFonts w:eastAsia="Batang"/>
        </w:rPr>
        <w:t xml:space="preserve"> </w:t>
      </w:r>
      <w:r w:rsidRPr="007B10C4">
        <w:rPr>
          <w:rFonts w:eastAsia="Batang"/>
        </w:rPr>
        <w:t>of</w:t>
      </w:r>
      <w:r>
        <w:rPr>
          <w:rFonts w:eastAsia="Batang"/>
        </w:rPr>
        <w:t xml:space="preserve"> </w:t>
      </w:r>
      <w:r w:rsidRPr="007B10C4">
        <w:rPr>
          <w:rFonts w:eastAsia="Batang"/>
        </w:rPr>
        <w:t>mortality.</w:t>
      </w:r>
      <w:r>
        <w:rPr>
          <w:rFonts w:eastAsia="Batang"/>
        </w:rPr>
        <w:t xml:space="preserve"> </w:t>
      </w:r>
      <w:r w:rsidRPr="007B10C4">
        <w:rPr>
          <w:rFonts w:eastAsia="Batang"/>
        </w:rPr>
        <w:t>Data</w:t>
      </w:r>
      <w:r>
        <w:rPr>
          <w:rFonts w:eastAsia="Batang"/>
        </w:rPr>
        <w:t xml:space="preserve"> </w:t>
      </w:r>
      <w:r w:rsidRPr="007B10C4">
        <w:rPr>
          <w:rFonts w:eastAsia="Batang"/>
        </w:rPr>
        <w:t>for</w:t>
      </w:r>
      <w:r>
        <w:rPr>
          <w:rFonts w:eastAsia="Batang"/>
        </w:rPr>
        <w:t xml:space="preserve"> </w:t>
      </w:r>
      <w:r w:rsidRPr="007B10C4">
        <w:rPr>
          <w:rFonts w:eastAsia="Batang"/>
        </w:rPr>
        <w:t>2006</w:t>
      </w:r>
      <w:r>
        <w:rPr>
          <w:rFonts w:eastAsia="Batang"/>
        </w:rPr>
        <w:t xml:space="preserve"> </w:t>
      </w:r>
      <w:r w:rsidRPr="007B10C4">
        <w:rPr>
          <w:rFonts w:eastAsia="Batang"/>
        </w:rPr>
        <w:t>only</w:t>
      </w:r>
      <w:r>
        <w:rPr>
          <w:rFonts w:eastAsia="Batang"/>
        </w:rPr>
        <w:t xml:space="preserve"> </w:t>
      </w:r>
      <w:r w:rsidRPr="007B10C4">
        <w:rPr>
          <w:rFonts w:eastAsia="Batang"/>
        </w:rPr>
        <w:t>are</w:t>
      </w:r>
      <w:r>
        <w:rPr>
          <w:rFonts w:eastAsia="Batang"/>
        </w:rPr>
        <w:t xml:space="preserve"> </w:t>
      </w:r>
      <w:r w:rsidRPr="007B10C4">
        <w:rPr>
          <w:rFonts w:eastAsia="Batang"/>
        </w:rPr>
        <w:t>presented</w:t>
      </w:r>
      <w:r>
        <w:rPr>
          <w:rFonts w:eastAsia="Batang"/>
        </w:rPr>
        <w:t xml:space="preserve"> </w:t>
      </w:r>
      <w:r w:rsidRPr="007B10C4">
        <w:rPr>
          <w:rFonts w:eastAsia="Batang"/>
        </w:rPr>
        <w:t>in</w:t>
      </w:r>
      <w:r>
        <w:rPr>
          <w:rFonts w:eastAsia="Batang"/>
        </w:rPr>
        <w:t xml:space="preserve"> </w:t>
      </w:r>
      <w:r w:rsidRPr="007B10C4">
        <w:rPr>
          <w:rFonts w:eastAsia="Batang"/>
        </w:rPr>
        <w:t>this</w:t>
      </w:r>
      <w:r>
        <w:rPr>
          <w:rFonts w:eastAsia="Batang"/>
        </w:rPr>
        <w:t xml:space="preserve"> </w:t>
      </w:r>
      <w:r w:rsidRPr="007B10C4">
        <w:rPr>
          <w:rFonts w:eastAsia="Batang"/>
        </w:rPr>
        <w:t>section,</w:t>
      </w:r>
      <w:r>
        <w:rPr>
          <w:rFonts w:eastAsia="Batang"/>
        </w:rPr>
        <w:t xml:space="preserve"> </w:t>
      </w:r>
      <w:r w:rsidRPr="007B10C4">
        <w:rPr>
          <w:rFonts w:eastAsia="Batang"/>
        </w:rPr>
        <w:t>but</w:t>
      </w:r>
      <w:r>
        <w:rPr>
          <w:rFonts w:eastAsia="Batang"/>
        </w:rPr>
        <w:t xml:space="preserve"> </w:t>
      </w:r>
      <w:r w:rsidRPr="007B10C4">
        <w:rPr>
          <w:rFonts w:eastAsia="Batang"/>
        </w:rPr>
        <w:t>as</w:t>
      </w:r>
      <w:r>
        <w:rPr>
          <w:rFonts w:eastAsia="Batang"/>
        </w:rPr>
        <w:t xml:space="preserve"> </w:t>
      </w:r>
      <w:r w:rsidRPr="007B10C4">
        <w:rPr>
          <w:rFonts w:eastAsia="Batang"/>
        </w:rPr>
        <w:t>there</w:t>
      </w:r>
      <w:r>
        <w:rPr>
          <w:rFonts w:eastAsia="Batang"/>
        </w:rPr>
        <w:t xml:space="preserve"> </w:t>
      </w:r>
      <w:r w:rsidRPr="007B10C4">
        <w:rPr>
          <w:rFonts w:eastAsia="Batang"/>
        </w:rPr>
        <w:t>were</w:t>
      </w:r>
      <w:r>
        <w:rPr>
          <w:rFonts w:eastAsia="Batang"/>
        </w:rPr>
        <w:t xml:space="preserve"> </w:t>
      </w:r>
      <w:r w:rsidRPr="007B10C4">
        <w:rPr>
          <w:rFonts w:eastAsia="Batang"/>
        </w:rPr>
        <w:t>no</w:t>
      </w:r>
      <w:r>
        <w:rPr>
          <w:rFonts w:eastAsia="Batang"/>
        </w:rPr>
        <w:t xml:space="preserve"> </w:t>
      </w:r>
      <w:r w:rsidRPr="007B10C4">
        <w:rPr>
          <w:rFonts w:eastAsia="Batang"/>
        </w:rPr>
        <w:t>extreme</w:t>
      </w:r>
      <w:r>
        <w:rPr>
          <w:rFonts w:eastAsia="Batang"/>
        </w:rPr>
        <w:t xml:space="preserve"> </w:t>
      </w:r>
      <w:r w:rsidRPr="007B10C4">
        <w:rPr>
          <w:rFonts w:eastAsia="Batang"/>
        </w:rPr>
        <w:t>trends</w:t>
      </w:r>
      <w:r>
        <w:rPr>
          <w:rFonts w:eastAsia="Batang"/>
        </w:rPr>
        <w:t xml:space="preserve"> </w:t>
      </w:r>
      <w:r w:rsidRPr="007B10C4">
        <w:rPr>
          <w:rFonts w:eastAsia="Batang"/>
        </w:rPr>
        <w:t>in</w:t>
      </w:r>
      <w:r>
        <w:rPr>
          <w:rFonts w:eastAsia="Batang"/>
        </w:rPr>
        <w:t xml:space="preserve"> </w:t>
      </w:r>
      <w:r w:rsidRPr="007B10C4">
        <w:rPr>
          <w:rFonts w:eastAsia="Batang"/>
        </w:rPr>
        <w:t>the</w:t>
      </w:r>
      <w:r>
        <w:rPr>
          <w:rFonts w:eastAsia="Batang"/>
        </w:rPr>
        <w:t xml:space="preserve"> </w:t>
      </w:r>
      <w:r w:rsidRPr="007B10C4">
        <w:rPr>
          <w:rFonts w:eastAsia="Batang"/>
        </w:rPr>
        <w:t>five-year</w:t>
      </w:r>
      <w:r>
        <w:rPr>
          <w:rFonts w:eastAsia="Batang"/>
        </w:rPr>
        <w:t xml:space="preserve"> </w:t>
      </w:r>
      <w:r w:rsidRPr="007B10C4">
        <w:rPr>
          <w:rFonts w:eastAsia="Batang"/>
        </w:rPr>
        <w:t>period</w:t>
      </w:r>
      <w:r>
        <w:rPr>
          <w:rFonts w:eastAsia="Batang"/>
        </w:rPr>
        <w:t xml:space="preserve"> </w:t>
      </w:r>
      <w:r w:rsidRPr="007B10C4">
        <w:rPr>
          <w:rFonts w:eastAsia="Batang"/>
        </w:rPr>
        <w:t>further</w:t>
      </w:r>
      <w:r>
        <w:rPr>
          <w:rFonts w:eastAsia="Batang"/>
        </w:rPr>
        <w:t xml:space="preserve"> </w:t>
      </w:r>
      <w:r w:rsidRPr="007B10C4">
        <w:rPr>
          <w:rFonts w:eastAsia="Batang"/>
        </w:rPr>
        <w:t>analysis</w:t>
      </w:r>
      <w:r>
        <w:rPr>
          <w:rFonts w:eastAsia="Batang"/>
        </w:rPr>
        <w:t xml:space="preserve"> </w:t>
      </w:r>
      <w:r w:rsidRPr="007B10C4">
        <w:rPr>
          <w:rFonts w:eastAsia="Batang"/>
        </w:rPr>
        <w:t>beyond</w:t>
      </w:r>
      <w:r>
        <w:rPr>
          <w:rFonts w:eastAsia="Batang"/>
        </w:rPr>
        <w:t xml:space="preserve"> </w:t>
      </w:r>
      <w:r w:rsidRPr="007B10C4">
        <w:rPr>
          <w:rFonts w:eastAsia="Batang"/>
        </w:rPr>
        <w:t>2006</w:t>
      </w:r>
      <w:r>
        <w:rPr>
          <w:rFonts w:eastAsia="Batang"/>
        </w:rPr>
        <w:t xml:space="preserve"> </w:t>
      </w:r>
      <w:r w:rsidRPr="007B10C4">
        <w:rPr>
          <w:rFonts w:eastAsia="Batang"/>
        </w:rPr>
        <w:t>is</w:t>
      </w:r>
      <w:r>
        <w:rPr>
          <w:rFonts w:eastAsia="Batang"/>
        </w:rPr>
        <w:t xml:space="preserve"> </w:t>
      </w:r>
      <w:r w:rsidRPr="007B10C4">
        <w:rPr>
          <w:rFonts w:eastAsia="Batang"/>
        </w:rPr>
        <w:t>unlikely</w:t>
      </w:r>
      <w:r>
        <w:rPr>
          <w:rFonts w:eastAsia="Batang"/>
        </w:rPr>
        <w:t xml:space="preserve"> </w:t>
      </w:r>
      <w:r w:rsidRPr="007B10C4">
        <w:rPr>
          <w:rFonts w:eastAsia="Batang"/>
        </w:rPr>
        <w:t>to</w:t>
      </w:r>
      <w:r>
        <w:rPr>
          <w:rFonts w:eastAsia="Batang"/>
        </w:rPr>
        <w:t xml:space="preserve"> </w:t>
      </w:r>
      <w:r w:rsidRPr="007B10C4">
        <w:rPr>
          <w:rFonts w:eastAsia="Batang"/>
        </w:rPr>
        <w:t>show</w:t>
      </w:r>
      <w:r>
        <w:rPr>
          <w:rFonts w:eastAsia="Batang"/>
        </w:rPr>
        <w:t xml:space="preserve"> </w:t>
      </w:r>
      <w:r w:rsidRPr="007B10C4">
        <w:rPr>
          <w:rFonts w:eastAsia="Batang"/>
        </w:rPr>
        <w:t>any</w:t>
      </w:r>
      <w:r>
        <w:rPr>
          <w:rFonts w:eastAsia="Batang"/>
        </w:rPr>
        <w:t xml:space="preserve"> </w:t>
      </w:r>
      <w:r w:rsidRPr="007B10C4">
        <w:rPr>
          <w:rFonts w:eastAsia="Batang"/>
        </w:rPr>
        <w:t>significant</w:t>
      </w:r>
      <w:r>
        <w:rPr>
          <w:rFonts w:eastAsia="Batang"/>
        </w:rPr>
        <w:t xml:space="preserve"> </w:t>
      </w:r>
      <w:r w:rsidRPr="007B10C4">
        <w:rPr>
          <w:rFonts w:eastAsia="Batang"/>
        </w:rPr>
        <w:t>differences.</w:t>
      </w:r>
    </w:p>
  </w:footnote>
  <w:footnote w:id="8">
    <w:p w:rsidR="006C436C" w:rsidRPr="007B10C4" w:rsidRDefault="006C436C" w:rsidP="00036FAC">
      <w:pPr>
        <w:pStyle w:val="FootnoteText"/>
      </w:pPr>
      <w:r w:rsidRPr="007B10C4">
        <w:tab/>
      </w:r>
      <w:r w:rsidRPr="007B10C4">
        <w:rPr>
          <w:rStyle w:val="FootnoteReference"/>
          <w:rFonts w:eastAsia="Times"/>
        </w:rPr>
        <w:footnoteRef/>
      </w:r>
      <w:r w:rsidRPr="007B10C4">
        <w:tab/>
        <w:t>Child</w:t>
      </w:r>
      <w:r>
        <w:t xml:space="preserve"> </w:t>
      </w:r>
      <w:r w:rsidRPr="007B10C4">
        <w:t>and</w:t>
      </w:r>
      <w:r>
        <w:t xml:space="preserve"> </w:t>
      </w:r>
      <w:r w:rsidRPr="007B10C4">
        <w:t>Youth</w:t>
      </w:r>
      <w:r>
        <w:t xml:space="preserve"> </w:t>
      </w:r>
      <w:r w:rsidRPr="007B10C4">
        <w:t>Mortality</w:t>
      </w:r>
      <w:r>
        <w:t xml:space="preserve"> </w:t>
      </w:r>
      <w:r w:rsidRPr="007B10C4">
        <w:t>Review</w:t>
      </w:r>
      <w:r>
        <w:t xml:space="preserve"> </w:t>
      </w:r>
      <w:r w:rsidRPr="007B10C4">
        <w:t>Committee</w:t>
      </w:r>
      <w:r>
        <w:rPr>
          <w:color w:val="000000"/>
        </w:rPr>
        <w:t xml:space="preserve"> </w:t>
      </w:r>
      <w:r w:rsidRPr="007B10C4">
        <w:rPr>
          <w:color w:val="000000"/>
        </w:rPr>
        <w:t>(CYMRC)</w:t>
      </w:r>
      <w:r>
        <w:rPr>
          <w:color w:val="000000"/>
        </w:rPr>
        <w:t xml:space="preserve"> </w:t>
      </w:r>
      <w:r w:rsidRPr="007B10C4">
        <w:rPr>
          <w:color w:val="000000"/>
        </w:rPr>
        <w:t>data,</w:t>
      </w:r>
      <w:r>
        <w:rPr>
          <w:color w:val="000000"/>
        </w:rPr>
        <w:t xml:space="preserve"> </w:t>
      </w:r>
      <w:r w:rsidRPr="007B10C4">
        <w:rPr>
          <w:color w:val="000000"/>
        </w:rPr>
        <w:t>2009</w:t>
      </w:r>
      <w:r>
        <w:rPr>
          <w:color w:val="000000"/>
        </w:rPr>
        <w:t xml:space="preserve"> </w:t>
      </w:r>
      <w:r w:rsidRPr="007B10C4">
        <w:rPr>
          <w:color w:val="000000"/>
        </w:rPr>
        <w:t>report</w:t>
      </w:r>
      <w:r>
        <w:rPr>
          <w:color w:val="000000"/>
        </w:rPr>
        <w:t xml:space="preserve"> </w:t>
      </w:r>
      <w:hyperlink r:id="rId1" w:history="1">
        <w:r w:rsidRPr="007B10C4">
          <w:rPr>
            <w:szCs w:val="16"/>
          </w:rPr>
          <w:t>www.cymrc.govt.nz</w:t>
        </w:r>
      </w:hyperlink>
      <w:r w:rsidRPr="007B10C4">
        <w:rPr>
          <w:color w:val="000000"/>
        </w:rPr>
        <w:t>.</w:t>
      </w:r>
      <w:r>
        <w:rPr>
          <w:color w:val="000000"/>
        </w:rPr>
        <w:t xml:space="preserve"> </w:t>
      </w:r>
      <w:r w:rsidRPr="007B10C4">
        <w:t>CYMRC</w:t>
      </w:r>
      <w:r>
        <w:t xml:space="preserve"> </w:t>
      </w:r>
      <w:r w:rsidRPr="007B10C4">
        <w:t>was</w:t>
      </w:r>
      <w:r>
        <w:t xml:space="preserve"> </w:t>
      </w:r>
      <w:r w:rsidRPr="007B10C4">
        <w:t>established</w:t>
      </w:r>
      <w:r>
        <w:t xml:space="preserve"> </w:t>
      </w:r>
      <w:r w:rsidRPr="007B10C4">
        <w:t>by</w:t>
      </w:r>
      <w:r>
        <w:t xml:space="preserve"> </w:t>
      </w:r>
      <w:r w:rsidRPr="007B10C4">
        <w:t>the</w:t>
      </w:r>
      <w:r>
        <w:t xml:space="preserve"> </w:t>
      </w:r>
      <w:r w:rsidRPr="007B10C4">
        <w:t>Minister</w:t>
      </w:r>
      <w:r>
        <w:t xml:space="preserve"> </w:t>
      </w:r>
      <w:r w:rsidRPr="007B10C4">
        <w:t>of</w:t>
      </w:r>
      <w:r>
        <w:t xml:space="preserve"> </w:t>
      </w:r>
      <w:r w:rsidRPr="007B10C4">
        <w:t>Health</w:t>
      </w:r>
      <w:r>
        <w:t xml:space="preserve"> </w:t>
      </w:r>
      <w:r w:rsidRPr="007B10C4">
        <w:t>in</w:t>
      </w:r>
      <w:r>
        <w:t xml:space="preserve"> </w:t>
      </w:r>
      <w:r w:rsidRPr="007B10C4">
        <w:t>2009</w:t>
      </w:r>
      <w:r>
        <w:t xml:space="preserve"> </w:t>
      </w:r>
      <w:r w:rsidRPr="007B10C4">
        <w:t>to</w:t>
      </w:r>
      <w:r>
        <w:t xml:space="preserve"> </w:t>
      </w:r>
      <w:r w:rsidRPr="007B10C4">
        <w:t>review</w:t>
      </w:r>
      <w:r>
        <w:t xml:space="preserve"> </w:t>
      </w:r>
      <w:r w:rsidRPr="007B10C4">
        <w:t>deaths</w:t>
      </w:r>
      <w:r>
        <w:t xml:space="preserve"> </w:t>
      </w:r>
      <w:r w:rsidRPr="007B10C4">
        <w:t>of</w:t>
      </w:r>
      <w:r>
        <w:t xml:space="preserve"> </w:t>
      </w:r>
      <w:r w:rsidRPr="007B10C4">
        <w:t>ch</w:t>
      </w:r>
      <w:r>
        <w:t xml:space="preserve">ildren and young people aged 28 </w:t>
      </w:r>
      <w:r w:rsidRPr="007B10C4">
        <w:t>days</w:t>
      </w:r>
      <w:r>
        <w:t xml:space="preserve"> </w:t>
      </w:r>
      <w:r w:rsidRPr="007B10C4">
        <w:t>to</w:t>
      </w:r>
      <w:r>
        <w:t xml:space="preserve"> </w:t>
      </w:r>
      <w:r w:rsidRPr="007B10C4">
        <w:t>24</w:t>
      </w:r>
      <w:r>
        <w:t xml:space="preserve"> </w:t>
      </w:r>
      <w:r w:rsidRPr="007B10C4">
        <w:t>years.</w:t>
      </w:r>
    </w:p>
  </w:footnote>
  <w:footnote w:id="9">
    <w:p w:rsidR="006C436C" w:rsidRPr="007B10C4" w:rsidRDefault="006C436C" w:rsidP="00036FAC">
      <w:pPr>
        <w:pStyle w:val="FootnoteText"/>
      </w:pPr>
      <w:r w:rsidRPr="007B10C4">
        <w:tab/>
      </w:r>
      <w:r w:rsidRPr="007B10C4">
        <w:rPr>
          <w:rStyle w:val="FootnoteReference"/>
          <w:rFonts w:eastAsia="Times"/>
          <w:b/>
        </w:rPr>
        <w:footnoteRef/>
      </w:r>
      <w:r w:rsidRPr="007B10C4">
        <w:tab/>
      </w:r>
      <w:r w:rsidRPr="007B10C4">
        <w:rPr>
          <w:rFonts w:eastAsia="Batang"/>
          <w:spacing w:val="-2"/>
        </w:rPr>
        <w:t>Diseases</w:t>
      </w:r>
      <w:r>
        <w:rPr>
          <w:rFonts w:eastAsia="Batang"/>
          <w:spacing w:val="-2"/>
        </w:rPr>
        <w:t xml:space="preserve"> </w:t>
      </w:r>
      <w:r w:rsidRPr="007B10C4">
        <w:rPr>
          <w:rFonts w:eastAsia="Batang"/>
          <w:spacing w:val="-2"/>
        </w:rPr>
        <w:t>included</w:t>
      </w:r>
      <w:r>
        <w:rPr>
          <w:rFonts w:eastAsia="Batang"/>
          <w:spacing w:val="-2"/>
        </w:rPr>
        <w:t xml:space="preserve"> </w:t>
      </w:r>
      <w:r w:rsidRPr="007B10C4">
        <w:rPr>
          <w:rFonts w:eastAsia="Batang"/>
          <w:spacing w:val="-2"/>
        </w:rPr>
        <w:t>are:</w:t>
      </w:r>
      <w:r>
        <w:rPr>
          <w:rFonts w:eastAsia="Batang"/>
          <w:spacing w:val="-2"/>
        </w:rPr>
        <w:t xml:space="preserve"> </w:t>
      </w:r>
      <w:r w:rsidRPr="007B10C4">
        <w:rPr>
          <w:rFonts w:eastAsia="Batang"/>
          <w:spacing w:val="-2"/>
        </w:rPr>
        <w:t>acute</w:t>
      </w:r>
      <w:r>
        <w:rPr>
          <w:rFonts w:eastAsia="Batang"/>
          <w:spacing w:val="-2"/>
        </w:rPr>
        <w:t xml:space="preserve"> </w:t>
      </w:r>
      <w:r w:rsidRPr="007B10C4">
        <w:rPr>
          <w:rFonts w:eastAsia="Batang"/>
          <w:spacing w:val="-2"/>
        </w:rPr>
        <w:t>myocardial</w:t>
      </w:r>
      <w:r>
        <w:rPr>
          <w:rFonts w:eastAsia="Batang"/>
          <w:spacing w:val="-2"/>
        </w:rPr>
        <w:t xml:space="preserve"> </w:t>
      </w:r>
      <w:r w:rsidRPr="007B10C4">
        <w:rPr>
          <w:rFonts w:eastAsia="Batang"/>
          <w:spacing w:val="-2"/>
        </w:rPr>
        <w:t>infarction,</w:t>
      </w:r>
      <w:r>
        <w:rPr>
          <w:rFonts w:eastAsia="Batang"/>
          <w:spacing w:val="-2"/>
        </w:rPr>
        <w:t xml:space="preserve"> </w:t>
      </w:r>
      <w:r w:rsidRPr="007B10C4">
        <w:rPr>
          <w:rFonts w:eastAsia="Batang"/>
          <w:spacing w:val="-2"/>
        </w:rPr>
        <w:t>cerebrovascular</w:t>
      </w:r>
      <w:r>
        <w:rPr>
          <w:rFonts w:eastAsia="Batang"/>
          <w:spacing w:val="-2"/>
        </w:rPr>
        <w:t xml:space="preserve"> </w:t>
      </w:r>
      <w:r w:rsidRPr="007B10C4">
        <w:rPr>
          <w:rFonts w:eastAsia="Batang"/>
          <w:spacing w:val="-2"/>
        </w:rPr>
        <w:t>disease,</w:t>
      </w:r>
      <w:r>
        <w:rPr>
          <w:rFonts w:eastAsia="Batang"/>
          <w:spacing w:val="-2"/>
        </w:rPr>
        <w:t xml:space="preserve"> </w:t>
      </w:r>
      <w:r w:rsidRPr="007B10C4">
        <w:rPr>
          <w:rFonts w:eastAsia="Batang"/>
          <w:spacing w:val="-2"/>
        </w:rPr>
        <w:t>diabetes,</w:t>
      </w:r>
      <w:r>
        <w:rPr>
          <w:rFonts w:eastAsia="Batang"/>
          <w:spacing w:val="-2"/>
        </w:rPr>
        <w:t xml:space="preserve"> </w:t>
      </w:r>
      <w:r w:rsidRPr="007B10C4">
        <w:rPr>
          <w:rFonts w:eastAsia="Batang"/>
          <w:spacing w:val="-2"/>
        </w:rPr>
        <w:t>diarrhoeal</w:t>
      </w:r>
      <w:r>
        <w:rPr>
          <w:rFonts w:eastAsia="Batang"/>
          <w:spacing w:val="-2"/>
        </w:rPr>
        <w:t xml:space="preserve"> </w:t>
      </w:r>
      <w:r w:rsidRPr="007B10C4">
        <w:rPr>
          <w:rFonts w:eastAsia="Batang"/>
          <w:spacing w:val="-2"/>
        </w:rPr>
        <w:t>diseases,</w:t>
      </w:r>
      <w:r>
        <w:rPr>
          <w:rFonts w:eastAsia="Batang"/>
          <w:spacing w:val="-2"/>
        </w:rPr>
        <w:t xml:space="preserve"> </w:t>
      </w:r>
      <w:r w:rsidRPr="007B10C4">
        <w:rPr>
          <w:rFonts w:eastAsia="Batang"/>
          <w:spacing w:val="-2"/>
        </w:rPr>
        <w:t>hepatitis,</w:t>
      </w:r>
      <w:r>
        <w:rPr>
          <w:rFonts w:eastAsia="Batang"/>
          <w:spacing w:val="-2"/>
        </w:rPr>
        <w:t xml:space="preserve"> </w:t>
      </w:r>
      <w:r w:rsidRPr="007B10C4">
        <w:rPr>
          <w:rFonts w:eastAsia="Batang"/>
          <w:spacing w:val="-2"/>
        </w:rPr>
        <w:t>HIV/AIDS,</w:t>
      </w:r>
      <w:r>
        <w:rPr>
          <w:rFonts w:eastAsia="Batang"/>
          <w:spacing w:val="-2"/>
        </w:rPr>
        <w:t xml:space="preserve"> </w:t>
      </w:r>
      <w:r w:rsidRPr="007B10C4">
        <w:rPr>
          <w:rFonts w:eastAsia="Batang"/>
          <w:spacing w:val="-2"/>
        </w:rPr>
        <w:t>hypertensive</w:t>
      </w:r>
      <w:r>
        <w:rPr>
          <w:rFonts w:eastAsia="Batang"/>
          <w:spacing w:val="-2"/>
        </w:rPr>
        <w:t xml:space="preserve"> </w:t>
      </w:r>
      <w:r w:rsidRPr="007B10C4">
        <w:rPr>
          <w:rFonts w:eastAsia="Batang"/>
          <w:spacing w:val="-2"/>
        </w:rPr>
        <w:t>disease,</w:t>
      </w:r>
      <w:r>
        <w:rPr>
          <w:rFonts w:eastAsia="Batang"/>
          <w:spacing w:val="-2"/>
        </w:rPr>
        <w:t xml:space="preserve"> </w:t>
      </w:r>
      <w:r w:rsidRPr="007B10C4">
        <w:rPr>
          <w:rFonts w:eastAsia="Batang"/>
          <w:spacing w:val="-2"/>
        </w:rPr>
        <w:t>rheumatic</w:t>
      </w:r>
      <w:r>
        <w:rPr>
          <w:rFonts w:eastAsia="Batang"/>
          <w:spacing w:val="-2"/>
        </w:rPr>
        <w:t xml:space="preserve"> </w:t>
      </w:r>
      <w:r w:rsidRPr="007B10C4">
        <w:rPr>
          <w:rFonts w:eastAsia="Batang"/>
          <w:spacing w:val="-2"/>
        </w:rPr>
        <w:t>fever,</w:t>
      </w:r>
      <w:r>
        <w:rPr>
          <w:rFonts w:eastAsia="Batang"/>
          <w:spacing w:val="-2"/>
        </w:rPr>
        <w:t xml:space="preserve"> </w:t>
      </w:r>
      <w:r w:rsidRPr="007B10C4">
        <w:rPr>
          <w:rFonts w:eastAsia="Batang"/>
          <w:spacing w:val="-2"/>
        </w:rPr>
        <w:t>rheumatic</w:t>
      </w:r>
      <w:r>
        <w:rPr>
          <w:rFonts w:eastAsia="Batang"/>
          <w:spacing w:val="-2"/>
        </w:rPr>
        <w:t xml:space="preserve"> </w:t>
      </w:r>
      <w:r w:rsidRPr="007B10C4">
        <w:rPr>
          <w:rFonts w:eastAsia="Batang"/>
          <w:spacing w:val="-2"/>
        </w:rPr>
        <w:t>heart</w:t>
      </w:r>
      <w:r>
        <w:rPr>
          <w:rFonts w:eastAsia="Batang"/>
          <w:spacing w:val="-2"/>
        </w:rPr>
        <w:t xml:space="preserve"> </w:t>
      </w:r>
      <w:r w:rsidRPr="007B10C4">
        <w:rPr>
          <w:rFonts w:eastAsia="Batang"/>
          <w:spacing w:val="-2"/>
        </w:rPr>
        <w:t>disease,</w:t>
      </w:r>
      <w:r>
        <w:rPr>
          <w:rFonts w:eastAsia="Batang"/>
          <w:spacing w:val="-2"/>
        </w:rPr>
        <w:t xml:space="preserve"> </w:t>
      </w:r>
      <w:r w:rsidRPr="007B10C4">
        <w:rPr>
          <w:rFonts w:eastAsia="Batang"/>
          <w:spacing w:val="-2"/>
        </w:rPr>
        <w:t>tuberculosis,</w:t>
      </w:r>
      <w:r>
        <w:rPr>
          <w:rFonts w:eastAsia="Batang"/>
          <w:spacing w:val="-2"/>
        </w:rPr>
        <w:t xml:space="preserve"> </w:t>
      </w:r>
      <w:r w:rsidRPr="007B10C4">
        <w:rPr>
          <w:rFonts w:eastAsia="Batang"/>
          <w:spacing w:val="-2"/>
        </w:rPr>
        <w:t>acute</w:t>
      </w:r>
      <w:r>
        <w:rPr>
          <w:rFonts w:eastAsia="Batang"/>
          <w:spacing w:val="-2"/>
        </w:rPr>
        <w:t xml:space="preserve"> </w:t>
      </w:r>
      <w:r w:rsidRPr="007B10C4">
        <w:rPr>
          <w:rFonts w:eastAsia="Batang"/>
          <w:spacing w:val="-2"/>
        </w:rPr>
        <w:t>respiratory</w:t>
      </w:r>
      <w:r>
        <w:rPr>
          <w:rFonts w:eastAsia="Batang"/>
          <w:spacing w:val="-2"/>
        </w:rPr>
        <w:t xml:space="preserve"> </w:t>
      </w:r>
      <w:r w:rsidRPr="007B10C4">
        <w:rPr>
          <w:rFonts w:eastAsia="Batang"/>
          <w:spacing w:val="-2"/>
        </w:rPr>
        <w:t>infection.</w:t>
      </w:r>
      <w:r>
        <w:rPr>
          <w:rFonts w:eastAsia="Batang"/>
          <w:spacing w:val="-2"/>
        </w:rPr>
        <w:t xml:space="preserve"> </w:t>
      </w:r>
      <w:r w:rsidRPr="007B10C4">
        <w:rPr>
          <w:rFonts w:eastAsia="Batang"/>
          <w:spacing w:val="-2"/>
        </w:rPr>
        <w:t>The</w:t>
      </w:r>
      <w:r>
        <w:rPr>
          <w:rFonts w:eastAsia="Batang"/>
          <w:spacing w:val="-2"/>
        </w:rPr>
        <w:t xml:space="preserve"> </w:t>
      </w:r>
      <w:r w:rsidRPr="007B10C4">
        <w:rPr>
          <w:rFonts w:eastAsia="Batang"/>
          <w:spacing w:val="-2"/>
        </w:rPr>
        <w:t>latter</w:t>
      </w:r>
      <w:r>
        <w:rPr>
          <w:rFonts w:eastAsia="Batang"/>
          <w:spacing w:val="-2"/>
        </w:rPr>
        <w:t xml:space="preserve"> </w:t>
      </w:r>
      <w:r w:rsidRPr="007B10C4">
        <w:rPr>
          <w:rFonts w:eastAsia="Batang"/>
          <w:spacing w:val="-2"/>
        </w:rPr>
        <w:t>is</w:t>
      </w:r>
      <w:r>
        <w:rPr>
          <w:rFonts w:eastAsia="Batang"/>
          <w:spacing w:val="-2"/>
        </w:rPr>
        <w:t xml:space="preserve"> </w:t>
      </w:r>
      <w:r w:rsidRPr="007B10C4">
        <w:rPr>
          <w:rFonts w:eastAsia="Batang"/>
          <w:spacing w:val="-2"/>
        </w:rPr>
        <w:t>split</w:t>
      </w:r>
      <w:r>
        <w:rPr>
          <w:rFonts w:eastAsia="Batang"/>
          <w:spacing w:val="-2"/>
        </w:rPr>
        <w:t xml:space="preserve"> </w:t>
      </w:r>
      <w:r w:rsidRPr="007B10C4">
        <w:rPr>
          <w:rFonts w:eastAsia="Batang"/>
          <w:spacing w:val="-2"/>
        </w:rPr>
        <w:t>into</w:t>
      </w:r>
      <w:r>
        <w:rPr>
          <w:rFonts w:eastAsia="Batang"/>
          <w:spacing w:val="-2"/>
        </w:rPr>
        <w:t xml:space="preserve"> </w:t>
      </w:r>
      <w:r w:rsidRPr="007B10C4">
        <w:rPr>
          <w:rFonts w:eastAsia="Batang"/>
          <w:spacing w:val="-2"/>
        </w:rPr>
        <w:t>three</w:t>
      </w:r>
      <w:r>
        <w:rPr>
          <w:rFonts w:eastAsia="Batang"/>
          <w:spacing w:val="-2"/>
        </w:rPr>
        <w:t xml:space="preserve"> </w:t>
      </w:r>
      <w:r w:rsidRPr="007B10C4">
        <w:rPr>
          <w:rFonts w:eastAsia="Batang"/>
          <w:spacing w:val="-2"/>
        </w:rPr>
        <w:t>groups</w:t>
      </w:r>
      <w:r>
        <w:rPr>
          <w:rFonts w:eastAsia="Batang"/>
          <w:spacing w:val="-2"/>
        </w:rPr>
        <w:t xml:space="preserve"> </w:t>
      </w:r>
      <w:r w:rsidRPr="007B10C4">
        <w:rPr>
          <w:rFonts w:eastAsia="Batang"/>
          <w:spacing w:val="-2"/>
        </w:rPr>
        <w:t>for</w:t>
      </w:r>
      <w:r>
        <w:rPr>
          <w:rFonts w:eastAsia="Batang"/>
          <w:spacing w:val="-2"/>
        </w:rPr>
        <w:t xml:space="preserve"> </w:t>
      </w:r>
      <w:r w:rsidRPr="007B10C4">
        <w:rPr>
          <w:rFonts w:eastAsia="Batang"/>
          <w:spacing w:val="-2"/>
        </w:rPr>
        <w:t>ease</w:t>
      </w:r>
      <w:r>
        <w:rPr>
          <w:rFonts w:eastAsia="Batang"/>
          <w:spacing w:val="-2"/>
        </w:rPr>
        <w:t xml:space="preserve"> </w:t>
      </w:r>
      <w:r w:rsidRPr="007B10C4">
        <w:rPr>
          <w:rFonts w:eastAsia="Batang"/>
          <w:spacing w:val="-2"/>
        </w:rPr>
        <w:t>of</w:t>
      </w:r>
      <w:r>
        <w:rPr>
          <w:rFonts w:eastAsia="Batang"/>
          <w:spacing w:val="-2"/>
        </w:rPr>
        <w:t xml:space="preserve"> </w:t>
      </w:r>
      <w:r w:rsidRPr="007B10C4">
        <w:rPr>
          <w:rFonts w:eastAsia="Batang"/>
          <w:spacing w:val="-2"/>
        </w:rPr>
        <w:t>graphing:</w:t>
      </w:r>
      <w:r>
        <w:rPr>
          <w:rFonts w:eastAsia="Batang"/>
          <w:spacing w:val="-2"/>
        </w:rPr>
        <w:t xml:space="preserve"> </w:t>
      </w:r>
      <w:r w:rsidRPr="007B10C4">
        <w:rPr>
          <w:rFonts w:eastAsia="Batang"/>
          <w:spacing w:val="-2"/>
        </w:rPr>
        <w:t>acute</w:t>
      </w:r>
      <w:r>
        <w:rPr>
          <w:rFonts w:eastAsia="Batang"/>
          <w:spacing w:val="-2"/>
        </w:rPr>
        <w:t xml:space="preserve"> </w:t>
      </w:r>
      <w:r w:rsidRPr="007B10C4">
        <w:rPr>
          <w:rFonts w:eastAsia="Batang"/>
          <w:spacing w:val="-2"/>
        </w:rPr>
        <w:t>lower</w:t>
      </w:r>
      <w:r>
        <w:rPr>
          <w:rFonts w:eastAsia="Batang"/>
          <w:spacing w:val="-2"/>
        </w:rPr>
        <w:t xml:space="preserve"> </w:t>
      </w:r>
      <w:r w:rsidRPr="007B10C4">
        <w:rPr>
          <w:rFonts w:eastAsia="Batang"/>
          <w:spacing w:val="-2"/>
        </w:rPr>
        <w:t>respiratory</w:t>
      </w:r>
      <w:r>
        <w:rPr>
          <w:rFonts w:eastAsia="Batang"/>
          <w:spacing w:val="-2"/>
        </w:rPr>
        <w:t xml:space="preserve"> </w:t>
      </w:r>
      <w:r w:rsidRPr="007B10C4">
        <w:rPr>
          <w:rFonts w:eastAsia="Batang"/>
          <w:spacing w:val="-2"/>
        </w:rPr>
        <w:t>disease</w:t>
      </w:r>
      <w:r>
        <w:rPr>
          <w:rFonts w:eastAsia="Batang"/>
          <w:spacing w:val="-2"/>
        </w:rPr>
        <w:t xml:space="preserve"> </w:t>
      </w:r>
      <w:r w:rsidRPr="007B10C4">
        <w:rPr>
          <w:rFonts w:eastAsia="Batang"/>
          <w:spacing w:val="-2"/>
        </w:rPr>
        <w:t>(</w:t>
      </w:r>
      <w:r w:rsidRPr="007B10C4">
        <w:rPr>
          <w:spacing w:val="-2"/>
        </w:rPr>
        <w:t>diseases</w:t>
      </w:r>
      <w:r>
        <w:rPr>
          <w:spacing w:val="-2"/>
        </w:rPr>
        <w:t xml:space="preserve"> </w:t>
      </w:r>
      <w:r w:rsidRPr="007B10C4">
        <w:rPr>
          <w:spacing w:val="-2"/>
        </w:rPr>
        <w:t>affecting</w:t>
      </w:r>
      <w:r>
        <w:rPr>
          <w:spacing w:val="-2"/>
        </w:rPr>
        <w:t xml:space="preserve"> </w:t>
      </w:r>
      <w:r w:rsidRPr="007B10C4">
        <w:rPr>
          <w:spacing w:val="-2"/>
        </w:rPr>
        <w:t>the</w:t>
      </w:r>
      <w:r>
        <w:rPr>
          <w:spacing w:val="-2"/>
        </w:rPr>
        <w:t xml:space="preserve"> </w:t>
      </w:r>
      <w:r w:rsidRPr="007B10C4">
        <w:rPr>
          <w:spacing w:val="-2"/>
        </w:rPr>
        <w:t>lower</w:t>
      </w:r>
      <w:r>
        <w:rPr>
          <w:spacing w:val="-2"/>
        </w:rPr>
        <w:t xml:space="preserve"> </w:t>
      </w:r>
      <w:r w:rsidRPr="007B10C4">
        <w:rPr>
          <w:spacing w:val="-2"/>
        </w:rPr>
        <w:t>respiratory</w:t>
      </w:r>
      <w:r>
        <w:rPr>
          <w:spacing w:val="-2"/>
        </w:rPr>
        <w:t xml:space="preserve"> </w:t>
      </w:r>
      <w:r w:rsidRPr="007B10C4">
        <w:rPr>
          <w:spacing w:val="-2"/>
        </w:rPr>
        <w:t>tract</w:t>
      </w:r>
      <w:r>
        <w:rPr>
          <w:spacing w:val="-2"/>
        </w:rPr>
        <w:t xml:space="preserve"> </w:t>
      </w:r>
      <w:r w:rsidRPr="007B10C4">
        <w:rPr>
          <w:spacing w:val="-2"/>
        </w:rPr>
        <w:t>including</w:t>
      </w:r>
      <w:r>
        <w:rPr>
          <w:spacing w:val="-2"/>
        </w:rPr>
        <w:t xml:space="preserve"> </w:t>
      </w:r>
      <w:r w:rsidRPr="007B10C4">
        <w:rPr>
          <w:spacing w:val="-2"/>
        </w:rPr>
        <w:t>the</w:t>
      </w:r>
      <w:r>
        <w:rPr>
          <w:spacing w:val="-2"/>
        </w:rPr>
        <w:t xml:space="preserve"> </w:t>
      </w:r>
      <w:r w:rsidRPr="007B10C4">
        <w:rPr>
          <w:spacing w:val="-2"/>
        </w:rPr>
        <w:t>lungs</w:t>
      </w:r>
      <w:r>
        <w:rPr>
          <w:spacing w:val="-2"/>
        </w:rPr>
        <w:t xml:space="preserve"> </w:t>
      </w:r>
      <w:r w:rsidRPr="007B10C4">
        <w:rPr>
          <w:spacing w:val="-2"/>
        </w:rPr>
        <w:t>and</w:t>
      </w:r>
      <w:r>
        <w:rPr>
          <w:spacing w:val="-2"/>
        </w:rPr>
        <w:t xml:space="preserve"> </w:t>
      </w:r>
      <w:r w:rsidRPr="007B10C4">
        <w:rPr>
          <w:spacing w:val="-2"/>
        </w:rPr>
        <w:t>chronic</w:t>
      </w:r>
      <w:r>
        <w:rPr>
          <w:spacing w:val="-2"/>
        </w:rPr>
        <w:t xml:space="preserve"> </w:t>
      </w:r>
      <w:r w:rsidRPr="007B10C4">
        <w:rPr>
          <w:spacing w:val="-2"/>
        </w:rPr>
        <w:t>obstructive</w:t>
      </w:r>
      <w:r>
        <w:rPr>
          <w:spacing w:val="-2"/>
        </w:rPr>
        <w:t xml:space="preserve"> </w:t>
      </w:r>
      <w:r w:rsidRPr="007B10C4">
        <w:rPr>
          <w:spacing w:val="-2"/>
        </w:rPr>
        <w:t>pulmonary</w:t>
      </w:r>
      <w:r>
        <w:rPr>
          <w:spacing w:val="-2"/>
        </w:rPr>
        <w:t xml:space="preserve"> </w:t>
      </w:r>
      <w:r w:rsidRPr="007B10C4">
        <w:rPr>
          <w:spacing w:val="-2"/>
        </w:rPr>
        <w:t>disease</w:t>
      </w:r>
      <w:r>
        <w:rPr>
          <w:spacing w:val="-2"/>
        </w:rPr>
        <w:t xml:space="preserve"> </w:t>
      </w:r>
      <w:r w:rsidRPr="007B10C4">
        <w:rPr>
          <w:spacing w:val="-2"/>
        </w:rPr>
        <w:t>(</w:t>
      </w:r>
      <w:hyperlink r:id="rId2" w:history="1">
        <w:r w:rsidRPr="007B10C4">
          <w:rPr>
            <w:spacing w:val="-2"/>
          </w:rPr>
          <w:t>COPD</w:t>
        </w:r>
      </w:hyperlink>
      <w:r w:rsidRPr="007B10C4">
        <w:rPr>
          <w:spacing w:val="-2"/>
        </w:rPr>
        <w:t>),</w:t>
      </w:r>
      <w:r>
        <w:rPr>
          <w:spacing w:val="-2"/>
        </w:rPr>
        <w:t xml:space="preserve"> </w:t>
      </w:r>
      <w:hyperlink r:id="rId3" w:history="1">
        <w:r w:rsidRPr="007B10C4">
          <w:rPr>
            <w:spacing w:val="-2"/>
          </w:rPr>
          <w:t>emphysema</w:t>
        </w:r>
      </w:hyperlink>
      <w:r w:rsidRPr="007B10C4">
        <w:rPr>
          <w:spacing w:val="-2"/>
        </w:rPr>
        <w:t>,</w:t>
      </w:r>
      <w:r>
        <w:rPr>
          <w:spacing w:val="-2"/>
        </w:rPr>
        <w:t xml:space="preserve"> </w:t>
      </w:r>
      <w:hyperlink r:id="rId4" w:history="1">
        <w:r w:rsidRPr="007B10C4">
          <w:rPr>
            <w:spacing w:val="-2"/>
          </w:rPr>
          <w:t>bronchitis</w:t>
        </w:r>
      </w:hyperlink>
      <w:r w:rsidRPr="007B10C4">
        <w:rPr>
          <w:spacing w:val="-2"/>
        </w:rPr>
        <w:t>,</w:t>
      </w:r>
      <w:r>
        <w:rPr>
          <w:spacing w:val="-2"/>
        </w:rPr>
        <w:t xml:space="preserve"> </w:t>
      </w:r>
      <w:r w:rsidRPr="007B10C4">
        <w:rPr>
          <w:spacing w:val="-2"/>
        </w:rPr>
        <w:t>asthma,</w:t>
      </w:r>
      <w:r>
        <w:rPr>
          <w:spacing w:val="-2"/>
        </w:rPr>
        <w:t xml:space="preserve"> </w:t>
      </w:r>
      <w:hyperlink r:id="rId5" w:anchor="Tuberculosis#Tuberculosis" w:history="1">
        <w:r w:rsidRPr="007B10C4">
          <w:rPr>
            <w:spacing w:val="-2"/>
          </w:rPr>
          <w:t>tuberculosis</w:t>
        </w:r>
      </w:hyperlink>
      <w:r>
        <w:rPr>
          <w:spacing w:val="-2"/>
        </w:rPr>
        <w:t xml:space="preserve"> </w:t>
      </w:r>
      <w:r w:rsidRPr="007B10C4">
        <w:rPr>
          <w:spacing w:val="-2"/>
        </w:rPr>
        <w:t>and</w:t>
      </w:r>
      <w:r>
        <w:rPr>
          <w:spacing w:val="-2"/>
        </w:rPr>
        <w:t xml:space="preserve"> </w:t>
      </w:r>
      <w:r w:rsidRPr="007B10C4">
        <w:rPr>
          <w:spacing w:val="-2"/>
        </w:rPr>
        <w:t>also</w:t>
      </w:r>
      <w:r>
        <w:rPr>
          <w:spacing w:val="-2"/>
        </w:rPr>
        <w:t xml:space="preserve"> </w:t>
      </w:r>
      <w:r w:rsidRPr="007B10C4">
        <w:rPr>
          <w:spacing w:val="-2"/>
        </w:rPr>
        <w:t>smoking-related</w:t>
      </w:r>
      <w:r>
        <w:rPr>
          <w:spacing w:val="-2"/>
        </w:rPr>
        <w:t xml:space="preserve"> </w:t>
      </w:r>
      <w:r w:rsidRPr="007B10C4">
        <w:rPr>
          <w:spacing w:val="-2"/>
        </w:rPr>
        <w:t>disorders);</w:t>
      </w:r>
      <w:r>
        <w:rPr>
          <w:spacing w:val="-2"/>
        </w:rPr>
        <w:t xml:space="preserve"> </w:t>
      </w:r>
      <w:r w:rsidRPr="007B10C4">
        <w:rPr>
          <w:rFonts w:eastAsia="Batang"/>
          <w:spacing w:val="-2"/>
        </w:rPr>
        <w:t>acute</w:t>
      </w:r>
      <w:r>
        <w:rPr>
          <w:rFonts w:eastAsia="Batang"/>
          <w:spacing w:val="-2"/>
        </w:rPr>
        <w:t xml:space="preserve"> </w:t>
      </w:r>
      <w:r w:rsidRPr="007B10C4">
        <w:rPr>
          <w:rFonts w:eastAsia="Batang"/>
          <w:spacing w:val="-2"/>
        </w:rPr>
        <w:t>upper</w:t>
      </w:r>
      <w:r>
        <w:rPr>
          <w:rFonts w:eastAsia="Batang"/>
          <w:spacing w:val="-2"/>
        </w:rPr>
        <w:t xml:space="preserve"> </w:t>
      </w:r>
      <w:r w:rsidRPr="007B10C4">
        <w:rPr>
          <w:rFonts w:eastAsia="Batang"/>
          <w:spacing w:val="-2"/>
        </w:rPr>
        <w:t>respiratory</w:t>
      </w:r>
      <w:r>
        <w:rPr>
          <w:rFonts w:eastAsia="Batang"/>
          <w:spacing w:val="-2"/>
        </w:rPr>
        <w:t xml:space="preserve"> </w:t>
      </w:r>
      <w:r w:rsidRPr="007B10C4">
        <w:rPr>
          <w:rFonts w:eastAsia="Batang"/>
          <w:spacing w:val="-2"/>
        </w:rPr>
        <w:t>disease</w:t>
      </w:r>
      <w:r>
        <w:rPr>
          <w:rFonts w:eastAsia="Batang"/>
          <w:spacing w:val="-2"/>
        </w:rPr>
        <w:t xml:space="preserve"> </w:t>
      </w:r>
      <w:r w:rsidRPr="007B10C4">
        <w:rPr>
          <w:rFonts w:eastAsia="Batang"/>
          <w:spacing w:val="-2"/>
        </w:rPr>
        <w:t>(</w:t>
      </w:r>
      <w:r w:rsidRPr="007B10C4">
        <w:rPr>
          <w:spacing w:val="-2"/>
        </w:rPr>
        <w:t>illnesses</w:t>
      </w:r>
      <w:r>
        <w:rPr>
          <w:spacing w:val="-2"/>
        </w:rPr>
        <w:t xml:space="preserve"> </w:t>
      </w:r>
      <w:r w:rsidRPr="007B10C4">
        <w:rPr>
          <w:spacing w:val="-2"/>
        </w:rPr>
        <w:t>caused</w:t>
      </w:r>
      <w:r>
        <w:rPr>
          <w:spacing w:val="-2"/>
        </w:rPr>
        <w:t xml:space="preserve"> </w:t>
      </w:r>
      <w:r w:rsidRPr="007B10C4">
        <w:rPr>
          <w:spacing w:val="-2"/>
        </w:rPr>
        <w:t>by</w:t>
      </w:r>
      <w:r>
        <w:rPr>
          <w:spacing w:val="-2"/>
        </w:rPr>
        <w:t xml:space="preserve"> </w:t>
      </w:r>
      <w:r w:rsidRPr="007B10C4">
        <w:rPr>
          <w:spacing w:val="-2"/>
        </w:rPr>
        <w:t>an</w:t>
      </w:r>
      <w:r>
        <w:rPr>
          <w:spacing w:val="-2"/>
        </w:rPr>
        <w:t xml:space="preserve"> </w:t>
      </w:r>
      <w:r w:rsidRPr="007B10C4">
        <w:rPr>
          <w:spacing w:val="-2"/>
        </w:rPr>
        <w:t>acute</w:t>
      </w:r>
      <w:r>
        <w:rPr>
          <w:spacing w:val="-2"/>
        </w:rPr>
        <w:t xml:space="preserve"> </w:t>
      </w:r>
      <w:hyperlink r:id="rId6" w:tooltip="Infection" w:history="1">
        <w:r w:rsidRPr="007B10C4">
          <w:rPr>
            <w:spacing w:val="-2"/>
          </w:rPr>
          <w:t>infection</w:t>
        </w:r>
      </w:hyperlink>
      <w:r>
        <w:rPr>
          <w:spacing w:val="-2"/>
        </w:rPr>
        <w:t xml:space="preserve"> </w:t>
      </w:r>
      <w:r w:rsidRPr="007B10C4">
        <w:rPr>
          <w:spacing w:val="-2"/>
        </w:rPr>
        <w:t>that</w:t>
      </w:r>
      <w:r>
        <w:rPr>
          <w:spacing w:val="-2"/>
        </w:rPr>
        <w:t xml:space="preserve"> </w:t>
      </w:r>
      <w:r w:rsidRPr="007B10C4">
        <w:rPr>
          <w:spacing w:val="-2"/>
        </w:rPr>
        <w:t>involves</w:t>
      </w:r>
      <w:r>
        <w:rPr>
          <w:spacing w:val="-2"/>
        </w:rPr>
        <w:t xml:space="preserve"> </w:t>
      </w:r>
      <w:r w:rsidRPr="007B10C4">
        <w:rPr>
          <w:spacing w:val="-2"/>
        </w:rPr>
        <w:t>the</w:t>
      </w:r>
      <w:r>
        <w:rPr>
          <w:spacing w:val="-2"/>
        </w:rPr>
        <w:t xml:space="preserve"> </w:t>
      </w:r>
      <w:r w:rsidRPr="007B10C4">
        <w:rPr>
          <w:spacing w:val="-2"/>
        </w:rPr>
        <w:t>upper</w:t>
      </w:r>
      <w:r>
        <w:rPr>
          <w:spacing w:val="-2"/>
        </w:rPr>
        <w:t xml:space="preserve"> </w:t>
      </w:r>
      <w:hyperlink r:id="rId7" w:tooltip="Respiratory tract" w:history="1">
        <w:r w:rsidRPr="007B10C4">
          <w:rPr>
            <w:spacing w:val="-2"/>
          </w:rPr>
          <w:t>respiratory</w:t>
        </w:r>
        <w:r>
          <w:rPr>
            <w:spacing w:val="-2"/>
          </w:rPr>
          <w:t xml:space="preserve"> </w:t>
        </w:r>
        <w:r w:rsidRPr="007B10C4">
          <w:rPr>
            <w:spacing w:val="-2"/>
          </w:rPr>
          <w:t>tract</w:t>
        </w:r>
      </w:hyperlink>
      <w:r w:rsidRPr="007B10C4">
        <w:rPr>
          <w:spacing w:val="-2"/>
        </w:rPr>
        <w:t>:</w:t>
      </w:r>
      <w:r>
        <w:rPr>
          <w:spacing w:val="-2"/>
        </w:rPr>
        <w:t xml:space="preserve"> </w:t>
      </w:r>
      <w:hyperlink r:id="rId8" w:tooltip="Nose" w:history="1">
        <w:r w:rsidRPr="007B10C4">
          <w:rPr>
            <w:spacing w:val="-2"/>
          </w:rPr>
          <w:t>nose</w:t>
        </w:r>
      </w:hyperlink>
      <w:r w:rsidRPr="007B10C4">
        <w:rPr>
          <w:spacing w:val="-2"/>
        </w:rPr>
        <w:t>,</w:t>
      </w:r>
      <w:r>
        <w:rPr>
          <w:spacing w:val="-2"/>
        </w:rPr>
        <w:t xml:space="preserve"> </w:t>
      </w:r>
      <w:hyperlink r:id="rId9" w:tooltip="Paranasal sinus" w:history="1">
        <w:r w:rsidRPr="007B10C4">
          <w:rPr>
            <w:spacing w:val="-2"/>
          </w:rPr>
          <w:t>sinuses</w:t>
        </w:r>
      </w:hyperlink>
      <w:r w:rsidRPr="007B10C4">
        <w:rPr>
          <w:spacing w:val="-2"/>
        </w:rPr>
        <w:t>,</w:t>
      </w:r>
      <w:r>
        <w:rPr>
          <w:spacing w:val="-2"/>
        </w:rPr>
        <w:t xml:space="preserve"> </w:t>
      </w:r>
      <w:hyperlink r:id="rId10" w:tooltip="Pharynx" w:history="1">
        <w:r w:rsidRPr="007B10C4">
          <w:rPr>
            <w:spacing w:val="-2"/>
          </w:rPr>
          <w:t>pharynx</w:t>
        </w:r>
      </w:hyperlink>
      <w:r>
        <w:rPr>
          <w:spacing w:val="-2"/>
        </w:rPr>
        <w:t xml:space="preserve"> </w:t>
      </w:r>
      <w:r w:rsidRPr="007B10C4">
        <w:rPr>
          <w:spacing w:val="-2"/>
        </w:rPr>
        <w:t>or</w:t>
      </w:r>
      <w:r>
        <w:rPr>
          <w:spacing w:val="-2"/>
        </w:rPr>
        <w:t xml:space="preserve"> </w:t>
      </w:r>
      <w:hyperlink r:id="rId11" w:tooltip="Larynx" w:history="1">
        <w:r w:rsidRPr="007B10C4">
          <w:rPr>
            <w:spacing w:val="-2"/>
          </w:rPr>
          <w:t>larynx</w:t>
        </w:r>
      </w:hyperlink>
      <w:r w:rsidRPr="007B10C4">
        <w:rPr>
          <w:spacing w:val="-2"/>
        </w:rPr>
        <w:t>);</w:t>
      </w:r>
      <w:r>
        <w:rPr>
          <w:spacing w:val="-2"/>
        </w:rPr>
        <w:t xml:space="preserve"> </w:t>
      </w:r>
      <w:r w:rsidRPr="007B10C4">
        <w:rPr>
          <w:rFonts w:eastAsia="Batang"/>
          <w:spacing w:val="-2"/>
        </w:rPr>
        <w:t>influenza</w:t>
      </w:r>
      <w:r>
        <w:rPr>
          <w:rFonts w:eastAsia="Batang"/>
          <w:spacing w:val="-2"/>
        </w:rPr>
        <w:t xml:space="preserve"> </w:t>
      </w:r>
      <w:r w:rsidRPr="007B10C4">
        <w:rPr>
          <w:rFonts w:eastAsia="Batang"/>
          <w:spacing w:val="-2"/>
        </w:rPr>
        <w:t>and</w:t>
      </w:r>
      <w:r>
        <w:rPr>
          <w:rFonts w:eastAsia="Batang"/>
          <w:spacing w:val="-2"/>
        </w:rPr>
        <w:t xml:space="preserve"> </w:t>
      </w:r>
      <w:r w:rsidRPr="007B10C4">
        <w:rPr>
          <w:rFonts w:eastAsia="Batang"/>
          <w:spacing w:val="-2"/>
        </w:rPr>
        <w:t>pneumonia.</w:t>
      </w:r>
    </w:p>
  </w:footnote>
  <w:footnote w:id="10">
    <w:p w:rsidR="006C436C" w:rsidRPr="007B10C4" w:rsidRDefault="006C436C" w:rsidP="00036FAC">
      <w:pPr>
        <w:pStyle w:val="FootnoteText"/>
      </w:pPr>
      <w:r w:rsidRPr="007B10C4">
        <w:tab/>
      </w:r>
      <w:r w:rsidRPr="007B10C4">
        <w:rPr>
          <w:rStyle w:val="FootnoteReference"/>
          <w:rFonts w:eastAsia="Times"/>
        </w:rPr>
        <w:footnoteRef/>
      </w:r>
      <w:r w:rsidRPr="007B10C4">
        <w:tab/>
      </w:r>
      <w:r w:rsidRPr="007B10C4">
        <w:rPr>
          <w:i/>
        </w:rPr>
        <w:t>Family</w:t>
      </w:r>
      <w:r>
        <w:rPr>
          <w:i/>
        </w:rPr>
        <w:t xml:space="preserve"> </w:t>
      </w:r>
      <w:r w:rsidRPr="007B10C4">
        <w:rPr>
          <w:i/>
        </w:rPr>
        <w:t>Doctors:</w:t>
      </w:r>
      <w:r>
        <w:rPr>
          <w:i/>
        </w:rPr>
        <w:t xml:space="preserve"> </w:t>
      </w:r>
      <w:r w:rsidRPr="007B10C4">
        <w:rPr>
          <w:i/>
        </w:rPr>
        <w:t>Methodology</w:t>
      </w:r>
      <w:r>
        <w:rPr>
          <w:i/>
        </w:rPr>
        <w:t xml:space="preserve"> </w:t>
      </w:r>
      <w:r w:rsidRPr="007B10C4">
        <w:rPr>
          <w:i/>
        </w:rPr>
        <w:t>and</w:t>
      </w:r>
      <w:r>
        <w:rPr>
          <w:i/>
        </w:rPr>
        <w:t xml:space="preserve"> </w:t>
      </w:r>
      <w:r w:rsidRPr="007B10C4">
        <w:rPr>
          <w:i/>
        </w:rPr>
        <w:t>description</w:t>
      </w:r>
      <w:r>
        <w:rPr>
          <w:i/>
        </w:rPr>
        <w:t xml:space="preserve"> </w:t>
      </w:r>
      <w:r w:rsidRPr="007B10C4">
        <w:rPr>
          <w:i/>
        </w:rPr>
        <w:t>of</w:t>
      </w:r>
      <w:r>
        <w:rPr>
          <w:i/>
        </w:rPr>
        <w:t xml:space="preserve"> </w:t>
      </w:r>
      <w:r w:rsidRPr="007B10C4">
        <w:rPr>
          <w:i/>
        </w:rPr>
        <w:t>the</w:t>
      </w:r>
      <w:r>
        <w:rPr>
          <w:i/>
        </w:rPr>
        <w:t xml:space="preserve"> </w:t>
      </w:r>
      <w:r w:rsidRPr="007B10C4">
        <w:rPr>
          <w:i/>
        </w:rPr>
        <w:t>activity</w:t>
      </w:r>
      <w:r>
        <w:rPr>
          <w:i/>
        </w:rPr>
        <w:t xml:space="preserve"> </w:t>
      </w:r>
      <w:r w:rsidRPr="007B10C4">
        <w:rPr>
          <w:i/>
        </w:rPr>
        <w:t>of</w:t>
      </w:r>
      <w:r>
        <w:rPr>
          <w:i/>
        </w:rPr>
        <w:t xml:space="preserve"> </w:t>
      </w:r>
      <w:r w:rsidRPr="007B10C4">
        <w:rPr>
          <w:i/>
        </w:rPr>
        <w:t>private</w:t>
      </w:r>
      <w:r>
        <w:rPr>
          <w:i/>
        </w:rPr>
        <w:t xml:space="preserve"> </w:t>
      </w:r>
      <w:r w:rsidRPr="007B10C4">
        <w:rPr>
          <w:i/>
        </w:rPr>
        <w:t>GPs:</w:t>
      </w:r>
      <w:r>
        <w:rPr>
          <w:i/>
        </w:rPr>
        <w:t xml:space="preserve"> </w:t>
      </w:r>
      <w:r w:rsidRPr="007B10C4">
        <w:rPr>
          <w:i/>
        </w:rPr>
        <w:t>The</w:t>
      </w:r>
      <w:r>
        <w:rPr>
          <w:i/>
        </w:rPr>
        <w:t xml:space="preserve"> </w:t>
      </w:r>
      <w:r w:rsidRPr="007B10C4">
        <w:rPr>
          <w:i/>
        </w:rPr>
        <w:t>National</w:t>
      </w:r>
      <w:r>
        <w:rPr>
          <w:i/>
        </w:rPr>
        <w:t xml:space="preserve"> </w:t>
      </w:r>
      <w:r w:rsidRPr="007B10C4">
        <w:rPr>
          <w:i/>
        </w:rPr>
        <w:t>Primary</w:t>
      </w:r>
      <w:r>
        <w:rPr>
          <w:i/>
        </w:rPr>
        <w:t xml:space="preserve"> </w:t>
      </w:r>
      <w:r w:rsidRPr="007B10C4">
        <w:rPr>
          <w:i/>
        </w:rPr>
        <w:t>Medical</w:t>
      </w:r>
      <w:r>
        <w:rPr>
          <w:i/>
        </w:rPr>
        <w:t xml:space="preserve"> </w:t>
      </w:r>
      <w:r w:rsidRPr="007B10C4">
        <w:rPr>
          <w:i/>
        </w:rPr>
        <w:t>Care</w:t>
      </w:r>
      <w:r>
        <w:rPr>
          <w:i/>
        </w:rPr>
        <w:t xml:space="preserve"> </w:t>
      </w:r>
      <w:r w:rsidRPr="007B10C4">
        <w:rPr>
          <w:i/>
        </w:rPr>
        <w:t>Survey</w:t>
      </w:r>
      <w:r>
        <w:rPr>
          <w:i/>
        </w:rPr>
        <w:t xml:space="preserve"> </w:t>
      </w:r>
      <w:r w:rsidRPr="007B10C4">
        <w:t>(NatMedCa):</w:t>
      </w:r>
      <w:r>
        <w:t xml:space="preserve"> </w:t>
      </w:r>
      <w:r w:rsidRPr="007B10C4">
        <w:t>2001/02.</w:t>
      </w:r>
      <w:r>
        <w:t xml:space="preserve"> </w:t>
      </w:r>
      <w:r w:rsidRPr="007B10C4">
        <w:t>Report</w:t>
      </w:r>
      <w:r>
        <w:t xml:space="preserve"> </w:t>
      </w:r>
      <w:r w:rsidRPr="007B10C4">
        <w:t>1.</w:t>
      </w:r>
      <w:r>
        <w:t xml:space="preserve"> </w:t>
      </w:r>
      <w:smartTag w:uri="urn:schemas-microsoft-com:office:smarttags" w:element="City">
        <w:smartTag w:uri="urn:schemas-microsoft-com:office:smarttags" w:element="place">
          <w:r w:rsidRPr="007B10C4">
            <w:t>Wellington</w:t>
          </w:r>
        </w:smartTag>
      </w:smartTag>
      <w:r w:rsidRPr="007B10C4">
        <w:t>:</w:t>
      </w:r>
      <w:r>
        <w:t xml:space="preserve"> </w:t>
      </w:r>
      <w:r w:rsidRPr="007B10C4">
        <w:t>Ministry</w:t>
      </w:r>
      <w:r>
        <w:t xml:space="preserve"> </w:t>
      </w:r>
      <w:r w:rsidRPr="007B10C4">
        <w:t>of</w:t>
      </w:r>
      <w:r>
        <w:t xml:space="preserve"> </w:t>
      </w:r>
      <w:r w:rsidRPr="007B10C4">
        <w:t>Health.</w:t>
      </w:r>
      <w:r>
        <w:t xml:space="preserve"> </w:t>
      </w:r>
      <w:r w:rsidRPr="007B10C4">
        <w:t>This</w:t>
      </w:r>
      <w:r>
        <w:t xml:space="preserve"> </w:t>
      </w:r>
      <w:r w:rsidRPr="007B10C4">
        <w:t>is</w:t>
      </w:r>
      <w:r>
        <w:t xml:space="preserve"> </w:t>
      </w:r>
      <w:r w:rsidRPr="007B10C4">
        <w:t>based</w:t>
      </w:r>
      <w:r>
        <w:t xml:space="preserve"> </w:t>
      </w:r>
      <w:r w:rsidRPr="007B10C4">
        <w:t>on</w:t>
      </w:r>
      <w:r>
        <w:t xml:space="preserve"> </w:t>
      </w:r>
      <w:r w:rsidRPr="007B10C4">
        <w:t>data</w:t>
      </w:r>
      <w:r>
        <w:t xml:space="preserve"> </w:t>
      </w:r>
      <w:r w:rsidRPr="007B10C4">
        <w:t>contributed</w:t>
      </w:r>
      <w:r>
        <w:t xml:space="preserve"> </w:t>
      </w:r>
      <w:r w:rsidRPr="007B10C4">
        <w:t>by</w:t>
      </w:r>
      <w:r>
        <w:t xml:space="preserve"> </w:t>
      </w:r>
      <w:r w:rsidRPr="007B10C4">
        <w:t>199</w:t>
      </w:r>
      <w:r>
        <w:t xml:space="preserve"> </w:t>
      </w:r>
      <w:r w:rsidRPr="007B10C4">
        <w:t>private</w:t>
      </w:r>
      <w:r>
        <w:t xml:space="preserve"> </w:t>
      </w:r>
      <w:r w:rsidRPr="007B10C4">
        <w:t>GPs</w:t>
      </w:r>
      <w:r>
        <w:t xml:space="preserve"> </w:t>
      </w:r>
      <w:r w:rsidRPr="007B10C4">
        <w:t>who</w:t>
      </w:r>
      <w:r>
        <w:t xml:space="preserve"> </w:t>
      </w:r>
      <w:r w:rsidRPr="007B10C4">
        <w:t>logged</w:t>
      </w:r>
      <w:r>
        <w:t xml:space="preserve"> </w:t>
      </w:r>
      <w:r w:rsidRPr="007B10C4">
        <w:t>36,211</w:t>
      </w:r>
      <w:r>
        <w:t xml:space="preserve"> </w:t>
      </w:r>
      <w:r w:rsidRPr="007B10C4">
        <w:t>visits</w:t>
      </w:r>
      <w:r>
        <w:t xml:space="preserve"> </w:t>
      </w:r>
      <w:r w:rsidRPr="007B10C4">
        <w:t>and</w:t>
      </w:r>
      <w:r>
        <w:t xml:space="preserve"> </w:t>
      </w:r>
      <w:r w:rsidRPr="007B10C4">
        <w:t>provided</w:t>
      </w:r>
      <w:r>
        <w:t xml:space="preserve"> </w:t>
      </w:r>
      <w:r w:rsidRPr="007B10C4">
        <w:t>detailed</w:t>
      </w:r>
      <w:r>
        <w:t xml:space="preserve"> </w:t>
      </w:r>
      <w:r w:rsidRPr="007B10C4">
        <w:t>information</w:t>
      </w:r>
      <w:r>
        <w:t xml:space="preserve"> </w:t>
      </w:r>
      <w:r w:rsidRPr="007B10C4">
        <w:t>on</w:t>
      </w:r>
      <w:r>
        <w:t xml:space="preserve"> </w:t>
      </w:r>
      <w:r w:rsidRPr="007B10C4">
        <w:t>8,258</w:t>
      </w:r>
      <w:r>
        <w:t xml:space="preserve"> </w:t>
      </w:r>
      <w:r w:rsidRPr="007B10C4">
        <w:t>of</w:t>
      </w:r>
      <w:r>
        <w:t xml:space="preserve"> </w:t>
      </w:r>
      <w:r w:rsidRPr="007B10C4">
        <w:t>those</w:t>
      </w:r>
      <w:r>
        <w:t xml:space="preserve"> </w:t>
      </w:r>
      <w:r w:rsidRPr="007B10C4">
        <w:t>visits.</w:t>
      </w:r>
    </w:p>
  </w:footnote>
  <w:footnote w:id="11">
    <w:p w:rsidR="006C436C" w:rsidRPr="007B10C4" w:rsidRDefault="006C436C" w:rsidP="00036FAC">
      <w:pPr>
        <w:pStyle w:val="FootnoteText"/>
      </w:pPr>
      <w:r w:rsidRPr="007B10C4">
        <w:rPr>
          <w:b/>
          <w:szCs w:val="24"/>
        </w:rPr>
        <w:tab/>
      </w:r>
      <w:r w:rsidRPr="007B10C4">
        <w:rPr>
          <w:rStyle w:val="FootnoteReference"/>
          <w:rFonts w:eastAsia="Times"/>
          <w:szCs w:val="24"/>
        </w:rPr>
        <w:footnoteRef/>
      </w:r>
      <w:r w:rsidRPr="007B10C4">
        <w:rPr>
          <w:b/>
          <w:szCs w:val="24"/>
        </w:rPr>
        <w:tab/>
      </w:r>
      <w:r w:rsidRPr="007B10C4">
        <w:rPr>
          <w:rFonts w:eastAsia="Batang"/>
          <w:lang w:eastAsia="ko-KR"/>
        </w:rPr>
        <w:t>HIV/AIDS</w:t>
      </w:r>
      <w:r>
        <w:rPr>
          <w:rFonts w:eastAsia="Batang"/>
          <w:lang w:eastAsia="ko-KR"/>
        </w:rPr>
        <w:t xml:space="preserve"> </w:t>
      </w:r>
      <w:r w:rsidRPr="007B10C4">
        <w:rPr>
          <w:rFonts w:eastAsia="Batang"/>
          <w:lang w:eastAsia="ko-KR"/>
        </w:rPr>
        <w:t>data</w:t>
      </w:r>
      <w:r>
        <w:rPr>
          <w:rFonts w:eastAsia="Batang"/>
          <w:lang w:eastAsia="ko-KR"/>
        </w:rPr>
        <w:t xml:space="preserve"> </w:t>
      </w:r>
      <w:r w:rsidRPr="007B10C4">
        <w:rPr>
          <w:rFonts w:eastAsia="Batang"/>
          <w:lang w:eastAsia="ko-KR"/>
        </w:rPr>
        <w:t>are</w:t>
      </w:r>
      <w:r>
        <w:rPr>
          <w:rFonts w:eastAsia="Batang"/>
          <w:lang w:eastAsia="ko-KR"/>
        </w:rPr>
        <w:t xml:space="preserve"> </w:t>
      </w:r>
      <w:r w:rsidRPr="007B10C4">
        <w:rPr>
          <w:rFonts w:eastAsia="Batang"/>
          <w:lang w:eastAsia="ko-KR"/>
        </w:rPr>
        <w:t>collected</w:t>
      </w:r>
      <w:r>
        <w:rPr>
          <w:rFonts w:eastAsia="Batang"/>
          <w:lang w:eastAsia="ko-KR"/>
        </w:rPr>
        <w:t xml:space="preserve"> </w:t>
      </w:r>
      <w:r w:rsidRPr="007B10C4">
        <w:rPr>
          <w:rFonts w:eastAsia="Batang"/>
          <w:lang w:eastAsia="ko-KR"/>
        </w:rPr>
        <w:t>by</w:t>
      </w:r>
      <w:r>
        <w:rPr>
          <w:rFonts w:eastAsia="Batang"/>
          <w:lang w:eastAsia="ko-KR"/>
        </w:rPr>
        <w:t xml:space="preserve"> </w:t>
      </w:r>
      <w:r w:rsidRPr="007B10C4">
        <w:rPr>
          <w:rFonts w:eastAsia="Batang"/>
          <w:lang w:eastAsia="ko-KR"/>
        </w:rPr>
        <w:t>the</w:t>
      </w:r>
      <w:r>
        <w:rPr>
          <w:rFonts w:eastAsia="Batang"/>
          <w:lang w:eastAsia="ko-KR"/>
        </w:rPr>
        <w:t xml:space="preserve"> </w:t>
      </w:r>
      <w:r w:rsidRPr="007B10C4">
        <w:rPr>
          <w:rFonts w:eastAsia="Batang"/>
          <w:lang w:eastAsia="ko-KR"/>
        </w:rPr>
        <w:t>AIDS</w:t>
      </w:r>
      <w:r>
        <w:rPr>
          <w:rFonts w:eastAsia="Batang"/>
          <w:lang w:eastAsia="ko-KR"/>
        </w:rPr>
        <w:t xml:space="preserve"> </w:t>
      </w:r>
      <w:r w:rsidRPr="007B10C4">
        <w:rPr>
          <w:rFonts w:eastAsia="Batang"/>
          <w:lang w:eastAsia="ko-KR"/>
        </w:rPr>
        <w:t>Epidemiology</w:t>
      </w:r>
      <w:r>
        <w:rPr>
          <w:rFonts w:eastAsia="Batang"/>
          <w:lang w:eastAsia="ko-KR"/>
        </w:rPr>
        <w:t xml:space="preserve"> </w:t>
      </w:r>
      <w:r w:rsidRPr="007B10C4">
        <w:rPr>
          <w:rFonts w:eastAsia="Batang"/>
          <w:lang w:eastAsia="ko-KR"/>
        </w:rPr>
        <w:t>Group</w:t>
      </w:r>
      <w:r>
        <w:rPr>
          <w:rFonts w:eastAsia="Batang"/>
          <w:lang w:eastAsia="ko-KR"/>
        </w:rPr>
        <w:t xml:space="preserve"> </w:t>
      </w:r>
      <w:r w:rsidRPr="007B10C4">
        <w:rPr>
          <w:rFonts w:eastAsia="Batang"/>
          <w:lang w:eastAsia="ko-KR"/>
        </w:rPr>
        <w:t>at</w:t>
      </w:r>
      <w:r>
        <w:rPr>
          <w:rFonts w:eastAsia="Batang"/>
          <w:lang w:eastAsia="ko-KR"/>
        </w:rPr>
        <w:t xml:space="preserve"> </w:t>
      </w:r>
      <w:r w:rsidRPr="007B10C4">
        <w:rPr>
          <w:rFonts w:eastAsia="Batang"/>
          <w:lang w:eastAsia="ko-KR"/>
        </w:rPr>
        <w:t>Otago</w:t>
      </w:r>
      <w:r>
        <w:rPr>
          <w:rFonts w:eastAsia="Batang"/>
          <w:lang w:eastAsia="ko-KR"/>
        </w:rPr>
        <w:t xml:space="preserve"> </w:t>
      </w:r>
      <w:r w:rsidRPr="007B10C4">
        <w:rPr>
          <w:rFonts w:eastAsia="Batang"/>
          <w:lang w:eastAsia="ko-KR"/>
        </w:rPr>
        <w:t>University</w:t>
      </w:r>
      <w:r>
        <w:rPr>
          <w:rFonts w:eastAsia="Batang"/>
          <w:lang w:eastAsia="ko-KR"/>
        </w:rPr>
        <w:t xml:space="preserve"> </w:t>
      </w:r>
      <w:r w:rsidRPr="007B10C4">
        <w:rPr>
          <w:rFonts w:eastAsia="Batang"/>
        </w:rPr>
        <w:t>(</w:t>
      </w:r>
      <w:hyperlink r:id="rId12" w:history="1">
        <w:r w:rsidRPr="007B10C4">
          <w:rPr>
            <w:rFonts w:eastAsia="Batang"/>
          </w:rPr>
          <w:t>http://dnmeds.otago.ac.nz/departments/psm/research/aids/index.html</w:t>
        </w:r>
      </w:hyperlink>
      <w:r w:rsidRPr="007B10C4">
        <w:rPr>
          <w:rFonts w:eastAsia="Batang"/>
        </w:rPr>
        <w:t>;</w:t>
      </w:r>
      <w:r>
        <w:rPr>
          <w:rFonts w:eastAsia="Batang"/>
        </w:rPr>
        <w:t xml:space="preserve"> </w:t>
      </w:r>
      <w:r w:rsidRPr="007B10C4">
        <w:rPr>
          <w:rFonts w:eastAsia="Batang"/>
        </w:rPr>
        <w:t>email:</w:t>
      </w:r>
      <w:r>
        <w:rPr>
          <w:rFonts w:eastAsia="Batang"/>
        </w:rPr>
        <w:t xml:space="preserve"> </w:t>
      </w:r>
      <w:hyperlink r:id="rId13" w:history="1">
        <w:r w:rsidRPr="007B10C4">
          <w:rPr>
            <w:rFonts w:eastAsia="Batang"/>
          </w:rPr>
          <w:t>aidsepigroup@otago.ac.nz</w:t>
        </w:r>
      </w:hyperlink>
      <w:r w:rsidRPr="007B10C4">
        <w:rPr>
          <w:rFonts w:eastAsia="Batang"/>
        </w:rPr>
        <w:t>).</w:t>
      </w:r>
    </w:p>
  </w:footnote>
  <w:footnote w:id="12">
    <w:p w:rsidR="006C436C" w:rsidRPr="007B10C4" w:rsidRDefault="006C436C" w:rsidP="00036FAC">
      <w:pPr>
        <w:pStyle w:val="FootnoteText"/>
        <w:rPr>
          <w:szCs w:val="18"/>
        </w:rPr>
      </w:pPr>
      <w:r w:rsidRPr="007B10C4">
        <w:rPr>
          <w:b/>
          <w:szCs w:val="22"/>
        </w:rPr>
        <w:tab/>
      </w:r>
      <w:r w:rsidRPr="007B10C4">
        <w:rPr>
          <w:rStyle w:val="FootnoteReference"/>
          <w:szCs w:val="22"/>
        </w:rPr>
        <w:footnoteRef/>
      </w:r>
      <w:r w:rsidRPr="007B10C4">
        <w:rPr>
          <w:szCs w:val="22"/>
        </w:rPr>
        <w:tab/>
      </w:r>
      <w:r w:rsidRPr="007B10C4">
        <w:rPr>
          <w:i/>
          <w:iCs/>
          <w:szCs w:val="18"/>
        </w:rPr>
        <w:t>Simpson</w:t>
      </w:r>
      <w:r>
        <w:rPr>
          <w:i/>
          <w:iCs/>
          <w:szCs w:val="18"/>
        </w:rPr>
        <w:t xml:space="preserve"> v. </w:t>
      </w:r>
      <w:r w:rsidRPr="007B10C4">
        <w:rPr>
          <w:i/>
          <w:iCs/>
          <w:szCs w:val="18"/>
        </w:rPr>
        <w:t>Attorney-General</w:t>
      </w:r>
      <w:r>
        <w:rPr>
          <w:szCs w:val="18"/>
        </w:rPr>
        <w:t xml:space="preserve"> </w:t>
      </w:r>
      <w:r w:rsidRPr="007B10C4">
        <w:rPr>
          <w:szCs w:val="18"/>
        </w:rPr>
        <w:t>[1994]</w:t>
      </w:r>
      <w:r>
        <w:rPr>
          <w:szCs w:val="18"/>
        </w:rPr>
        <w:t xml:space="preserve"> </w:t>
      </w:r>
      <w:r w:rsidRPr="007B10C4">
        <w:rPr>
          <w:szCs w:val="18"/>
        </w:rPr>
        <w:t>3</w:t>
      </w:r>
      <w:r>
        <w:rPr>
          <w:szCs w:val="18"/>
        </w:rPr>
        <w:t xml:space="preserve"> </w:t>
      </w:r>
      <w:r w:rsidRPr="007B10C4">
        <w:rPr>
          <w:szCs w:val="18"/>
        </w:rPr>
        <w:t>NZLR</w:t>
      </w:r>
      <w:r>
        <w:rPr>
          <w:szCs w:val="18"/>
        </w:rPr>
        <w:t xml:space="preserve"> </w:t>
      </w:r>
      <w:r w:rsidRPr="007B10C4">
        <w:rPr>
          <w:szCs w:val="18"/>
        </w:rPr>
        <w:t>667</w:t>
      </w:r>
      <w:r>
        <w:rPr>
          <w:szCs w:val="18"/>
        </w:rPr>
        <w:t xml:space="preserve"> </w:t>
      </w:r>
      <w:r w:rsidRPr="007B10C4">
        <w:rPr>
          <w:szCs w:val="18"/>
        </w:rPr>
        <w:t>(Baigent</w:t>
      </w:r>
      <w:r>
        <w:rPr>
          <w:szCs w:val="18"/>
        </w:rPr>
        <w:t>’</w:t>
      </w:r>
      <w:r w:rsidRPr="007B10C4">
        <w:rPr>
          <w:szCs w:val="18"/>
        </w:rPr>
        <w:t>s</w:t>
      </w:r>
      <w:r>
        <w:rPr>
          <w:szCs w:val="18"/>
        </w:rPr>
        <w:t xml:space="preserve"> </w:t>
      </w:r>
      <w:r w:rsidRPr="007B10C4">
        <w:rPr>
          <w:szCs w:val="18"/>
        </w:rPr>
        <w:t>Case).</w:t>
      </w:r>
    </w:p>
  </w:footnote>
  <w:footnote w:id="13">
    <w:p w:rsidR="006C436C" w:rsidRPr="007B10C4" w:rsidRDefault="006C436C" w:rsidP="00036FAC">
      <w:pPr>
        <w:pStyle w:val="FootnoteText"/>
        <w:rPr>
          <w:sz w:val="16"/>
          <w:szCs w:val="16"/>
        </w:rPr>
      </w:pPr>
      <w:r w:rsidRPr="007B10C4">
        <w:rPr>
          <w:b/>
          <w:sz w:val="16"/>
          <w:szCs w:val="16"/>
        </w:rPr>
        <w:tab/>
      </w:r>
      <w:r w:rsidRPr="00A864D7">
        <w:rPr>
          <w:rStyle w:val="FootnoteReference"/>
          <w:sz w:val="16"/>
          <w:szCs w:val="16"/>
        </w:rPr>
        <w:footnoteRef/>
      </w:r>
      <w:r w:rsidRPr="007B10C4">
        <w:rPr>
          <w:b/>
          <w:sz w:val="16"/>
          <w:szCs w:val="16"/>
        </w:rPr>
        <w:tab/>
      </w:r>
      <w:r w:rsidRPr="007B10C4">
        <w:rPr>
          <w:i/>
          <w:iCs/>
          <w:sz w:val="16"/>
          <w:szCs w:val="16"/>
        </w:rPr>
        <w:t>Martin</w:t>
      </w:r>
      <w:r>
        <w:rPr>
          <w:i/>
          <w:iCs/>
          <w:sz w:val="16"/>
          <w:szCs w:val="16"/>
        </w:rPr>
        <w:t xml:space="preserve"> </w:t>
      </w:r>
      <w:r w:rsidRPr="007B10C4">
        <w:rPr>
          <w:i/>
          <w:iCs/>
          <w:sz w:val="16"/>
          <w:szCs w:val="16"/>
        </w:rPr>
        <w:t>v</w:t>
      </w:r>
      <w:r>
        <w:rPr>
          <w:i/>
          <w:iCs/>
          <w:sz w:val="16"/>
          <w:szCs w:val="16"/>
        </w:rPr>
        <w:t xml:space="preserve">. </w:t>
      </w:r>
      <w:r w:rsidRPr="007B10C4">
        <w:rPr>
          <w:i/>
          <w:iCs/>
          <w:sz w:val="16"/>
          <w:szCs w:val="16"/>
        </w:rPr>
        <w:t>Tauranga</w:t>
      </w:r>
      <w:r>
        <w:rPr>
          <w:i/>
          <w:iCs/>
          <w:sz w:val="16"/>
          <w:szCs w:val="16"/>
        </w:rPr>
        <w:t xml:space="preserve"> </w:t>
      </w:r>
      <w:r w:rsidRPr="007B10C4">
        <w:rPr>
          <w:i/>
          <w:iCs/>
          <w:sz w:val="16"/>
          <w:szCs w:val="16"/>
        </w:rPr>
        <w:t>District</w:t>
      </w:r>
      <w:r>
        <w:rPr>
          <w:i/>
          <w:iCs/>
          <w:sz w:val="16"/>
          <w:szCs w:val="16"/>
        </w:rPr>
        <w:t xml:space="preserve"> </w:t>
      </w:r>
      <w:r w:rsidRPr="007B10C4">
        <w:rPr>
          <w:i/>
          <w:iCs/>
          <w:sz w:val="16"/>
          <w:szCs w:val="16"/>
        </w:rPr>
        <w:t>Court</w:t>
      </w:r>
      <w:r>
        <w:rPr>
          <w:sz w:val="16"/>
          <w:szCs w:val="16"/>
        </w:rPr>
        <w:t xml:space="preserve"> </w:t>
      </w:r>
      <w:r w:rsidRPr="007B10C4">
        <w:rPr>
          <w:sz w:val="16"/>
          <w:szCs w:val="16"/>
        </w:rPr>
        <w:t>[1995]</w:t>
      </w:r>
      <w:r>
        <w:rPr>
          <w:sz w:val="16"/>
          <w:szCs w:val="16"/>
        </w:rPr>
        <w:t xml:space="preserve"> </w:t>
      </w:r>
      <w:r w:rsidRPr="007B10C4">
        <w:rPr>
          <w:sz w:val="16"/>
          <w:szCs w:val="16"/>
        </w:rPr>
        <w:t>2</w:t>
      </w:r>
      <w:r>
        <w:rPr>
          <w:sz w:val="16"/>
          <w:szCs w:val="16"/>
        </w:rPr>
        <w:t xml:space="preserve"> </w:t>
      </w:r>
      <w:r w:rsidRPr="007B10C4">
        <w:rPr>
          <w:sz w:val="16"/>
          <w:szCs w:val="16"/>
        </w:rPr>
        <w:t>NZLR</w:t>
      </w:r>
      <w:r>
        <w:rPr>
          <w:sz w:val="16"/>
          <w:szCs w:val="16"/>
        </w:rPr>
        <w:t xml:space="preserve"> </w:t>
      </w:r>
      <w:r w:rsidRPr="007B10C4">
        <w:rPr>
          <w:sz w:val="16"/>
          <w:szCs w:val="16"/>
        </w:rPr>
        <w:t>419.</w:t>
      </w:r>
    </w:p>
  </w:footnote>
  <w:footnote w:id="14">
    <w:p w:rsidR="006C436C" w:rsidRPr="007B10C4" w:rsidRDefault="006C436C" w:rsidP="00036FAC">
      <w:pPr>
        <w:pStyle w:val="FootnoteText"/>
        <w:rPr>
          <w:sz w:val="16"/>
          <w:szCs w:val="16"/>
        </w:rPr>
      </w:pPr>
      <w:r w:rsidRPr="007B10C4">
        <w:rPr>
          <w:sz w:val="16"/>
          <w:szCs w:val="16"/>
        </w:rPr>
        <w:tab/>
      </w:r>
      <w:r w:rsidRPr="007B10C4">
        <w:rPr>
          <w:rStyle w:val="FootnoteReference"/>
          <w:sz w:val="16"/>
          <w:szCs w:val="16"/>
        </w:rPr>
        <w:footnoteRef/>
      </w:r>
      <w:r w:rsidRPr="007B10C4">
        <w:rPr>
          <w:sz w:val="16"/>
          <w:szCs w:val="16"/>
        </w:rPr>
        <w:tab/>
      </w:r>
      <w:r w:rsidRPr="007B10C4">
        <w:rPr>
          <w:i/>
          <w:iCs/>
          <w:sz w:val="16"/>
          <w:szCs w:val="16"/>
        </w:rPr>
        <w:t>Moonen</w:t>
      </w:r>
      <w:r>
        <w:rPr>
          <w:i/>
          <w:iCs/>
          <w:sz w:val="16"/>
          <w:szCs w:val="16"/>
        </w:rPr>
        <w:t xml:space="preserve"> </w:t>
      </w:r>
      <w:r w:rsidRPr="007B10C4">
        <w:rPr>
          <w:i/>
          <w:iCs/>
          <w:sz w:val="16"/>
          <w:szCs w:val="16"/>
        </w:rPr>
        <w:t>v</w:t>
      </w:r>
      <w:r>
        <w:rPr>
          <w:i/>
          <w:iCs/>
          <w:sz w:val="16"/>
          <w:szCs w:val="16"/>
        </w:rPr>
        <w:t xml:space="preserve">. </w:t>
      </w:r>
      <w:r w:rsidRPr="007B10C4">
        <w:rPr>
          <w:i/>
          <w:iCs/>
          <w:sz w:val="16"/>
          <w:szCs w:val="16"/>
        </w:rPr>
        <w:t>Film</w:t>
      </w:r>
      <w:r>
        <w:rPr>
          <w:i/>
          <w:iCs/>
          <w:sz w:val="16"/>
          <w:szCs w:val="16"/>
        </w:rPr>
        <w:t xml:space="preserve"> </w:t>
      </w:r>
      <w:r w:rsidRPr="007B10C4">
        <w:rPr>
          <w:i/>
          <w:iCs/>
          <w:sz w:val="16"/>
          <w:szCs w:val="16"/>
        </w:rPr>
        <w:t>and</w:t>
      </w:r>
      <w:r>
        <w:rPr>
          <w:i/>
          <w:iCs/>
          <w:sz w:val="16"/>
          <w:szCs w:val="16"/>
        </w:rPr>
        <w:t xml:space="preserve"> </w:t>
      </w:r>
      <w:r w:rsidRPr="007B10C4">
        <w:rPr>
          <w:i/>
          <w:iCs/>
          <w:sz w:val="16"/>
          <w:szCs w:val="16"/>
        </w:rPr>
        <w:t>Literature</w:t>
      </w:r>
      <w:r>
        <w:rPr>
          <w:i/>
          <w:iCs/>
          <w:sz w:val="16"/>
          <w:szCs w:val="16"/>
        </w:rPr>
        <w:t xml:space="preserve"> </w:t>
      </w:r>
      <w:r w:rsidRPr="007B10C4">
        <w:rPr>
          <w:i/>
          <w:iCs/>
          <w:sz w:val="16"/>
          <w:szCs w:val="16"/>
        </w:rPr>
        <w:t>Board</w:t>
      </w:r>
      <w:r>
        <w:rPr>
          <w:i/>
          <w:iCs/>
          <w:sz w:val="16"/>
          <w:szCs w:val="16"/>
        </w:rPr>
        <w:t xml:space="preserve"> </w:t>
      </w:r>
      <w:r w:rsidRPr="007B10C4">
        <w:rPr>
          <w:i/>
          <w:iCs/>
          <w:sz w:val="16"/>
          <w:szCs w:val="16"/>
        </w:rPr>
        <w:t>of</w:t>
      </w:r>
      <w:r>
        <w:rPr>
          <w:i/>
          <w:iCs/>
          <w:sz w:val="16"/>
          <w:szCs w:val="16"/>
        </w:rPr>
        <w:t xml:space="preserve"> </w:t>
      </w:r>
      <w:r w:rsidRPr="007B10C4">
        <w:rPr>
          <w:i/>
          <w:iCs/>
          <w:sz w:val="16"/>
          <w:szCs w:val="16"/>
        </w:rPr>
        <w:t>Review</w:t>
      </w:r>
      <w:r>
        <w:rPr>
          <w:sz w:val="16"/>
          <w:szCs w:val="16"/>
        </w:rPr>
        <w:t xml:space="preserve"> </w:t>
      </w:r>
      <w:r w:rsidRPr="007B10C4">
        <w:rPr>
          <w:sz w:val="16"/>
          <w:szCs w:val="16"/>
        </w:rPr>
        <w:t>[2000]</w:t>
      </w:r>
      <w:r>
        <w:rPr>
          <w:sz w:val="16"/>
          <w:szCs w:val="16"/>
        </w:rPr>
        <w:t xml:space="preserve"> </w:t>
      </w:r>
      <w:r w:rsidRPr="007B10C4">
        <w:rPr>
          <w:sz w:val="16"/>
          <w:szCs w:val="16"/>
        </w:rPr>
        <w:t>2</w:t>
      </w:r>
      <w:r>
        <w:rPr>
          <w:sz w:val="16"/>
          <w:szCs w:val="16"/>
        </w:rPr>
        <w:t xml:space="preserve"> </w:t>
      </w:r>
      <w:r w:rsidRPr="007B10C4">
        <w:rPr>
          <w:sz w:val="16"/>
          <w:szCs w:val="16"/>
        </w:rPr>
        <w:t>NZLR</w:t>
      </w:r>
      <w:r>
        <w:rPr>
          <w:sz w:val="16"/>
          <w:szCs w:val="16"/>
        </w:rPr>
        <w:t xml:space="preserve"> </w:t>
      </w:r>
      <w:r w:rsidRPr="007B10C4">
        <w:rPr>
          <w:sz w:val="16"/>
          <w:szCs w:val="16"/>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6703B8" w:rsidRDefault="006C436C" w:rsidP="006703B8">
    <w:pPr>
      <w:pStyle w:val="Header"/>
    </w:pPr>
    <w:r w:rsidRPr="006703B8">
      <w:t>HRI/CORE/NZL/2010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6703B8" w:rsidRDefault="006C436C" w:rsidP="006703B8">
    <w:pPr>
      <w:pStyle w:val="Header"/>
      <w:jc w:val="right"/>
    </w:pPr>
    <w:r w:rsidRPr="006703B8">
      <w:t>HRI/CORE/NZL/2010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FD2A47" w:rsidRDefault="006C436C" w:rsidP="00FD2A4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3" type="#_x0000_t202" style="position:absolute;margin-left:78.5pt;margin-top:56.65pt;width:17.55pt;height:481.9pt;z-index:5;mso-position-horizontal-relative:page;mso-position-vertical-relative:page" stroked="f">
          <v:textbox style="layout-flow:vertical" inset="0,0,0,0">
            <w:txbxContent>
              <w:p w:rsidR="006C436C" w:rsidRPr="006703B8" w:rsidRDefault="006C436C" w:rsidP="00FD2A47">
                <w:pPr>
                  <w:pStyle w:val="Footer"/>
                  <w:tabs>
                    <w:tab w:val="right" w:pos="9598"/>
                  </w:tabs>
                </w:pPr>
                <w:r w:rsidRPr="006703B8">
                  <w:rPr>
                    <w:b/>
                    <w:sz w:val="18"/>
                  </w:rPr>
                  <w:fldChar w:fldCharType="begin"/>
                </w:r>
                <w:r w:rsidRPr="006703B8">
                  <w:rPr>
                    <w:b/>
                    <w:sz w:val="18"/>
                  </w:rPr>
                  <w:instrText xml:space="preserve"> PAGE  \* MERGEFORMAT </w:instrText>
                </w:r>
                <w:r w:rsidRPr="006703B8">
                  <w:rPr>
                    <w:b/>
                    <w:sz w:val="18"/>
                  </w:rPr>
                  <w:fldChar w:fldCharType="separate"/>
                </w:r>
                <w:r w:rsidR="00057348">
                  <w:rPr>
                    <w:b/>
                    <w:noProof/>
                    <w:sz w:val="18"/>
                  </w:rPr>
                  <w:t>72</w:t>
                </w:r>
                <w:r w:rsidRPr="006703B8">
                  <w:rPr>
                    <w:b/>
                    <w:sz w:val="18"/>
                  </w:rPr>
                  <w:fldChar w:fldCharType="end"/>
                </w:r>
                <w:r>
                  <w:rPr>
                    <w:sz w:val="18"/>
                  </w:rPr>
                  <w:tab/>
                </w:r>
                <w:r>
                  <w:t>GE.11-41617</w:t>
                </w:r>
              </w:p>
              <w:p w:rsidR="006C436C" w:rsidRDefault="006C436C"/>
            </w:txbxContent>
          </v:textbox>
          <w10:anchorlock/>
        </v:shape>
      </w:pict>
    </w:r>
    <w:r>
      <w:rPr>
        <w:noProof/>
        <w:lang w:val="en-US"/>
      </w:rPr>
      <w:pict>
        <v:shape id="_x0000_s2052" type="#_x0000_t202" style="position:absolute;margin-left:768.15pt;margin-top:56.65pt;width:17.55pt;height:481.9pt;z-index:4;mso-position-horizontal-relative:page;mso-position-vertical-relative:page" stroked="f">
          <v:textbox style="layout-flow:vertical" inset="0,0,0,0">
            <w:txbxContent>
              <w:p w:rsidR="006C436C" w:rsidRPr="006703B8" w:rsidRDefault="006C436C" w:rsidP="00FD2A47">
                <w:pPr>
                  <w:pStyle w:val="Header"/>
                </w:pPr>
                <w:r w:rsidRPr="006703B8">
                  <w:t>HRI/CORE/NZL/2010</w:t>
                </w:r>
              </w:p>
              <w:p w:rsidR="006C436C" w:rsidRDefault="006C436C"/>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Pr="00FD2A47" w:rsidRDefault="006C436C" w:rsidP="00FD2A4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1" type="#_x0000_t202" style="position:absolute;margin-left:83.3pt;margin-top:56.65pt;width:17.55pt;height:481.9pt;z-index:3;mso-position-horizontal-relative:page;mso-position-vertical-relative:page" stroked="f">
          <v:textbox style="layout-flow:vertical" inset="0,0,0,0">
            <w:txbxContent>
              <w:p w:rsidR="006C436C" w:rsidRPr="006703B8" w:rsidRDefault="006C436C" w:rsidP="00FD2A47">
                <w:pPr>
                  <w:pStyle w:val="Footer"/>
                  <w:tabs>
                    <w:tab w:val="right" w:pos="9598"/>
                  </w:tabs>
                  <w:rPr>
                    <w:b/>
                    <w:sz w:val="18"/>
                  </w:rPr>
                </w:pPr>
                <w:r>
                  <w:t>GE.11-41617</w:t>
                </w:r>
                <w:r>
                  <w:tab/>
                </w:r>
                <w:r w:rsidRPr="006703B8">
                  <w:rPr>
                    <w:b/>
                    <w:sz w:val="18"/>
                  </w:rPr>
                  <w:fldChar w:fldCharType="begin"/>
                </w:r>
                <w:r w:rsidRPr="006703B8">
                  <w:rPr>
                    <w:b/>
                    <w:sz w:val="18"/>
                  </w:rPr>
                  <w:instrText xml:space="preserve"> PAGE  \* MERGEFORMAT </w:instrText>
                </w:r>
                <w:r w:rsidRPr="006703B8">
                  <w:rPr>
                    <w:b/>
                    <w:sz w:val="18"/>
                  </w:rPr>
                  <w:fldChar w:fldCharType="separate"/>
                </w:r>
                <w:r w:rsidR="00057348">
                  <w:rPr>
                    <w:b/>
                    <w:noProof/>
                    <w:sz w:val="18"/>
                  </w:rPr>
                  <w:t>71</w:t>
                </w:r>
                <w:r w:rsidRPr="006703B8">
                  <w:rPr>
                    <w:b/>
                    <w:sz w:val="18"/>
                  </w:rPr>
                  <w:fldChar w:fldCharType="end"/>
                </w:r>
              </w:p>
              <w:p w:rsidR="006C436C" w:rsidRDefault="006C436C"/>
            </w:txbxContent>
          </v:textbox>
          <w10:anchorlock/>
        </v:shape>
      </w:pict>
    </w:r>
    <w:r>
      <w:rPr>
        <w:noProof/>
        <w:lang w:val="en-US"/>
      </w:rPr>
      <w:pict>
        <v:shape id="_x0000_s2050" type="#_x0000_t202" style="position:absolute;margin-left:771pt;margin-top:56.65pt;width:17.55pt;height:481.9pt;z-index:2;mso-position-horizontal-relative:page;mso-position-vertical-relative:page" stroked="f">
          <v:textbox style="layout-flow:vertical" inset="0,0,0,0">
            <w:txbxContent>
              <w:p w:rsidR="006C436C" w:rsidRPr="006703B8" w:rsidRDefault="006C436C" w:rsidP="00FD2A47">
                <w:pPr>
                  <w:pStyle w:val="Header"/>
                  <w:jc w:val="right"/>
                </w:pPr>
                <w:r w:rsidRPr="006703B8">
                  <w:t>HRI/CORE/NZL/2010</w:t>
                </w:r>
              </w:p>
              <w:p w:rsidR="006C436C" w:rsidRDefault="006C436C"/>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6C" w:rsidRDefault="006C4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66A"/>
    <w:rsid w:val="000014A6"/>
    <w:rsid w:val="000024AD"/>
    <w:rsid w:val="00006538"/>
    <w:rsid w:val="00006D5C"/>
    <w:rsid w:val="00011ECD"/>
    <w:rsid w:val="00036FAC"/>
    <w:rsid w:val="00050F6B"/>
    <w:rsid w:val="00057348"/>
    <w:rsid w:val="00060324"/>
    <w:rsid w:val="000711F4"/>
    <w:rsid w:val="00072C8C"/>
    <w:rsid w:val="00074AEA"/>
    <w:rsid w:val="00091419"/>
    <w:rsid w:val="00091CC8"/>
    <w:rsid w:val="000931C0"/>
    <w:rsid w:val="000B175B"/>
    <w:rsid w:val="000B3A0F"/>
    <w:rsid w:val="000C11CF"/>
    <w:rsid w:val="000C1E49"/>
    <w:rsid w:val="000C255C"/>
    <w:rsid w:val="000C7DAB"/>
    <w:rsid w:val="000E0415"/>
    <w:rsid w:val="000E056A"/>
    <w:rsid w:val="000E0BA2"/>
    <w:rsid w:val="000E4B7F"/>
    <w:rsid w:val="000F1BB2"/>
    <w:rsid w:val="00100C2F"/>
    <w:rsid w:val="00115973"/>
    <w:rsid w:val="00127B1A"/>
    <w:rsid w:val="0014195E"/>
    <w:rsid w:val="001563B6"/>
    <w:rsid w:val="001722E9"/>
    <w:rsid w:val="00172EF0"/>
    <w:rsid w:val="00177B85"/>
    <w:rsid w:val="001A6605"/>
    <w:rsid w:val="001B16A1"/>
    <w:rsid w:val="001B201B"/>
    <w:rsid w:val="001B4B04"/>
    <w:rsid w:val="001C2E97"/>
    <w:rsid w:val="001C6663"/>
    <w:rsid w:val="001C7895"/>
    <w:rsid w:val="001D26DF"/>
    <w:rsid w:val="001D2FDC"/>
    <w:rsid w:val="001D4E1C"/>
    <w:rsid w:val="001D6C8D"/>
    <w:rsid w:val="001E0D49"/>
    <w:rsid w:val="001E3807"/>
    <w:rsid w:val="001F2C6F"/>
    <w:rsid w:val="002036E3"/>
    <w:rsid w:val="00211189"/>
    <w:rsid w:val="00211E0B"/>
    <w:rsid w:val="00216E09"/>
    <w:rsid w:val="00220E6B"/>
    <w:rsid w:val="002341B5"/>
    <w:rsid w:val="002343C7"/>
    <w:rsid w:val="00235886"/>
    <w:rsid w:val="00237785"/>
    <w:rsid w:val="00241466"/>
    <w:rsid w:val="002434AC"/>
    <w:rsid w:val="00244A75"/>
    <w:rsid w:val="00254AA7"/>
    <w:rsid w:val="002656B8"/>
    <w:rsid w:val="00282ADB"/>
    <w:rsid w:val="00282EA1"/>
    <w:rsid w:val="002A77AC"/>
    <w:rsid w:val="002B37D0"/>
    <w:rsid w:val="002B597A"/>
    <w:rsid w:val="002B6E7E"/>
    <w:rsid w:val="002C0D82"/>
    <w:rsid w:val="002C3A48"/>
    <w:rsid w:val="002D5B80"/>
    <w:rsid w:val="002E1B32"/>
    <w:rsid w:val="002E448E"/>
    <w:rsid w:val="002F3BCD"/>
    <w:rsid w:val="002F456C"/>
    <w:rsid w:val="002F53EE"/>
    <w:rsid w:val="00305792"/>
    <w:rsid w:val="00305F53"/>
    <w:rsid w:val="00306BCA"/>
    <w:rsid w:val="003107FA"/>
    <w:rsid w:val="003229D8"/>
    <w:rsid w:val="00353B69"/>
    <w:rsid w:val="00355CC2"/>
    <w:rsid w:val="00360B42"/>
    <w:rsid w:val="003629F4"/>
    <w:rsid w:val="00363038"/>
    <w:rsid w:val="003708CF"/>
    <w:rsid w:val="00370F9A"/>
    <w:rsid w:val="00372AF0"/>
    <w:rsid w:val="00375FD7"/>
    <w:rsid w:val="0039277A"/>
    <w:rsid w:val="00396CD4"/>
    <w:rsid w:val="003972E0"/>
    <w:rsid w:val="003A1253"/>
    <w:rsid w:val="003A1674"/>
    <w:rsid w:val="003B5874"/>
    <w:rsid w:val="003C2CC4"/>
    <w:rsid w:val="003C7C61"/>
    <w:rsid w:val="003D4B23"/>
    <w:rsid w:val="003D5D9C"/>
    <w:rsid w:val="003E4D94"/>
    <w:rsid w:val="003F4202"/>
    <w:rsid w:val="004143EA"/>
    <w:rsid w:val="00427981"/>
    <w:rsid w:val="004325CB"/>
    <w:rsid w:val="00434BBC"/>
    <w:rsid w:val="00440763"/>
    <w:rsid w:val="00446397"/>
    <w:rsid w:val="00446DE4"/>
    <w:rsid w:val="00447936"/>
    <w:rsid w:val="00473FF8"/>
    <w:rsid w:val="00477AB2"/>
    <w:rsid w:val="004B4D9B"/>
    <w:rsid w:val="004C18F9"/>
    <w:rsid w:val="004C3CA3"/>
    <w:rsid w:val="004D5F93"/>
    <w:rsid w:val="004D754A"/>
    <w:rsid w:val="004F27F1"/>
    <w:rsid w:val="00500581"/>
    <w:rsid w:val="00507316"/>
    <w:rsid w:val="005113CF"/>
    <w:rsid w:val="005214E5"/>
    <w:rsid w:val="00527897"/>
    <w:rsid w:val="005315CA"/>
    <w:rsid w:val="00531C16"/>
    <w:rsid w:val="005420F2"/>
    <w:rsid w:val="0054310F"/>
    <w:rsid w:val="005467AD"/>
    <w:rsid w:val="0056166A"/>
    <w:rsid w:val="00564D3A"/>
    <w:rsid w:val="00565E60"/>
    <w:rsid w:val="00566DE3"/>
    <w:rsid w:val="005A0DB2"/>
    <w:rsid w:val="005A4548"/>
    <w:rsid w:val="005B3274"/>
    <w:rsid w:val="005B3B12"/>
    <w:rsid w:val="005B3DB3"/>
    <w:rsid w:val="005B7D23"/>
    <w:rsid w:val="005C0300"/>
    <w:rsid w:val="005C3BF8"/>
    <w:rsid w:val="005D6F25"/>
    <w:rsid w:val="005E3B6F"/>
    <w:rsid w:val="005F59A5"/>
    <w:rsid w:val="005F5B72"/>
    <w:rsid w:val="00605334"/>
    <w:rsid w:val="00611FC4"/>
    <w:rsid w:val="006176FB"/>
    <w:rsid w:val="00634DA5"/>
    <w:rsid w:val="00640B26"/>
    <w:rsid w:val="00651E2F"/>
    <w:rsid w:val="00662D01"/>
    <w:rsid w:val="00663D38"/>
    <w:rsid w:val="006703B8"/>
    <w:rsid w:val="00670903"/>
    <w:rsid w:val="00672D59"/>
    <w:rsid w:val="006832BD"/>
    <w:rsid w:val="006A4BD4"/>
    <w:rsid w:val="006A7392"/>
    <w:rsid w:val="006C0D34"/>
    <w:rsid w:val="006C436C"/>
    <w:rsid w:val="006C7ACA"/>
    <w:rsid w:val="006D2805"/>
    <w:rsid w:val="006E564B"/>
    <w:rsid w:val="006F0EEE"/>
    <w:rsid w:val="006F52B3"/>
    <w:rsid w:val="006F5D1D"/>
    <w:rsid w:val="006F7CDF"/>
    <w:rsid w:val="00710190"/>
    <w:rsid w:val="00715D3B"/>
    <w:rsid w:val="00723D1C"/>
    <w:rsid w:val="0072632A"/>
    <w:rsid w:val="00756389"/>
    <w:rsid w:val="007705F4"/>
    <w:rsid w:val="00786D79"/>
    <w:rsid w:val="00791513"/>
    <w:rsid w:val="00791BD4"/>
    <w:rsid w:val="0079523D"/>
    <w:rsid w:val="007970F7"/>
    <w:rsid w:val="00797C82"/>
    <w:rsid w:val="007B3F5F"/>
    <w:rsid w:val="007B606E"/>
    <w:rsid w:val="007B6BA5"/>
    <w:rsid w:val="007C016E"/>
    <w:rsid w:val="007C3390"/>
    <w:rsid w:val="007C4F4B"/>
    <w:rsid w:val="007C7936"/>
    <w:rsid w:val="007D5716"/>
    <w:rsid w:val="007D5F25"/>
    <w:rsid w:val="007E1DF0"/>
    <w:rsid w:val="007F038D"/>
    <w:rsid w:val="007F2F9B"/>
    <w:rsid w:val="007F44CC"/>
    <w:rsid w:val="007F6611"/>
    <w:rsid w:val="007F7B7C"/>
    <w:rsid w:val="00802EBF"/>
    <w:rsid w:val="008175E9"/>
    <w:rsid w:val="008242D7"/>
    <w:rsid w:val="00836330"/>
    <w:rsid w:val="00844DDB"/>
    <w:rsid w:val="00847FF1"/>
    <w:rsid w:val="00853FC9"/>
    <w:rsid w:val="00856427"/>
    <w:rsid w:val="00871FD5"/>
    <w:rsid w:val="00895D47"/>
    <w:rsid w:val="008979B1"/>
    <w:rsid w:val="008A0841"/>
    <w:rsid w:val="008A6B25"/>
    <w:rsid w:val="008A6C4F"/>
    <w:rsid w:val="008C08AA"/>
    <w:rsid w:val="008C5B8D"/>
    <w:rsid w:val="008E0E46"/>
    <w:rsid w:val="008E11A7"/>
    <w:rsid w:val="008E6F43"/>
    <w:rsid w:val="008F5738"/>
    <w:rsid w:val="00907D8C"/>
    <w:rsid w:val="0091091E"/>
    <w:rsid w:val="0091154C"/>
    <w:rsid w:val="00925259"/>
    <w:rsid w:val="00936283"/>
    <w:rsid w:val="00943310"/>
    <w:rsid w:val="009440AE"/>
    <w:rsid w:val="009466B8"/>
    <w:rsid w:val="00947927"/>
    <w:rsid w:val="0095535B"/>
    <w:rsid w:val="00963CBA"/>
    <w:rsid w:val="0097062C"/>
    <w:rsid w:val="00985639"/>
    <w:rsid w:val="00991261"/>
    <w:rsid w:val="009A097A"/>
    <w:rsid w:val="009A16A2"/>
    <w:rsid w:val="009A7E2C"/>
    <w:rsid w:val="009B641A"/>
    <w:rsid w:val="009D2A4A"/>
    <w:rsid w:val="009D3EB1"/>
    <w:rsid w:val="009D50C6"/>
    <w:rsid w:val="009F027E"/>
    <w:rsid w:val="009F1F9A"/>
    <w:rsid w:val="00A036A5"/>
    <w:rsid w:val="00A1427D"/>
    <w:rsid w:val="00A14D35"/>
    <w:rsid w:val="00A16544"/>
    <w:rsid w:val="00A16993"/>
    <w:rsid w:val="00A21D29"/>
    <w:rsid w:val="00A2341C"/>
    <w:rsid w:val="00A6400B"/>
    <w:rsid w:val="00A65E3D"/>
    <w:rsid w:val="00A717D4"/>
    <w:rsid w:val="00A72F22"/>
    <w:rsid w:val="00A748A6"/>
    <w:rsid w:val="00A81FC9"/>
    <w:rsid w:val="00A848C8"/>
    <w:rsid w:val="00A864D7"/>
    <w:rsid w:val="00A879A4"/>
    <w:rsid w:val="00AA1A13"/>
    <w:rsid w:val="00AA7A4A"/>
    <w:rsid w:val="00AE2D92"/>
    <w:rsid w:val="00AE58B5"/>
    <w:rsid w:val="00B16FCE"/>
    <w:rsid w:val="00B23551"/>
    <w:rsid w:val="00B258C5"/>
    <w:rsid w:val="00B30179"/>
    <w:rsid w:val="00B3317B"/>
    <w:rsid w:val="00B448C7"/>
    <w:rsid w:val="00B50FB5"/>
    <w:rsid w:val="00B62090"/>
    <w:rsid w:val="00B71C3C"/>
    <w:rsid w:val="00B76872"/>
    <w:rsid w:val="00B8176B"/>
    <w:rsid w:val="00B81DF3"/>
    <w:rsid w:val="00B81E12"/>
    <w:rsid w:val="00B85D72"/>
    <w:rsid w:val="00B9001D"/>
    <w:rsid w:val="00B91FD3"/>
    <w:rsid w:val="00B93068"/>
    <w:rsid w:val="00B95B0B"/>
    <w:rsid w:val="00BC359C"/>
    <w:rsid w:val="00BC582B"/>
    <w:rsid w:val="00BC692B"/>
    <w:rsid w:val="00BC74E9"/>
    <w:rsid w:val="00BC778F"/>
    <w:rsid w:val="00BD0DB3"/>
    <w:rsid w:val="00BD732C"/>
    <w:rsid w:val="00BE4751"/>
    <w:rsid w:val="00BE618E"/>
    <w:rsid w:val="00C13EE7"/>
    <w:rsid w:val="00C22EA2"/>
    <w:rsid w:val="00C23F6E"/>
    <w:rsid w:val="00C463DD"/>
    <w:rsid w:val="00C56BD5"/>
    <w:rsid w:val="00C57DEE"/>
    <w:rsid w:val="00C63658"/>
    <w:rsid w:val="00C70CA3"/>
    <w:rsid w:val="00C745C3"/>
    <w:rsid w:val="00C7679C"/>
    <w:rsid w:val="00C849D3"/>
    <w:rsid w:val="00C90B1C"/>
    <w:rsid w:val="00C958DE"/>
    <w:rsid w:val="00CB02B4"/>
    <w:rsid w:val="00CB1E9A"/>
    <w:rsid w:val="00CC176F"/>
    <w:rsid w:val="00CC34D4"/>
    <w:rsid w:val="00CC5539"/>
    <w:rsid w:val="00CE4A8F"/>
    <w:rsid w:val="00CE4D6C"/>
    <w:rsid w:val="00CE54C0"/>
    <w:rsid w:val="00CF08E5"/>
    <w:rsid w:val="00D005CF"/>
    <w:rsid w:val="00D06F7E"/>
    <w:rsid w:val="00D148AD"/>
    <w:rsid w:val="00D2031B"/>
    <w:rsid w:val="00D24B71"/>
    <w:rsid w:val="00D25FE2"/>
    <w:rsid w:val="00D43252"/>
    <w:rsid w:val="00D67FC5"/>
    <w:rsid w:val="00D739FE"/>
    <w:rsid w:val="00D75627"/>
    <w:rsid w:val="00D85679"/>
    <w:rsid w:val="00D906CE"/>
    <w:rsid w:val="00D945F4"/>
    <w:rsid w:val="00D978C6"/>
    <w:rsid w:val="00DA1E10"/>
    <w:rsid w:val="00DA67AD"/>
    <w:rsid w:val="00DB6F6D"/>
    <w:rsid w:val="00DC6328"/>
    <w:rsid w:val="00DD221A"/>
    <w:rsid w:val="00DD711D"/>
    <w:rsid w:val="00DF2569"/>
    <w:rsid w:val="00DF4B65"/>
    <w:rsid w:val="00E0064A"/>
    <w:rsid w:val="00E103D3"/>
    <w:rsid w:val="00E130AB"/>
    <w:rsid w:val="00E13660"/>
    <w:rsid w:val="00E165FE"/>
    <w:rsid w:val="00E37F7C"/>
    <w:rsid w:val="00E45B74"/>
    <w:rsid w:val="00E53566"/>
    <w:rsid w:val="00E5644E"/>
    <w:rsid w:val="00E607C4"/>
    <w:rsid w:val="00E61EBD"/>
    <w:rsid w:val="00E62BDF"/>
    <w:rsid w:val="00E637C9"/>
    <w:rsid w:val="00E64594"/>
    <w:rsid w:val="00E71142"/>
    <w:rsid w:val="00E7260F"/>
    <w:rsid w:val="00E96630"/>
    <w:rsid w:val="00ED2E43"/>
    <w:rsid w:val="00ED51C5"/>
    <w:rsid w:val="00ED6C04"/>
    <w:rsid w:val="00ED7A2A"/>
    <w:rsid w:val="00EE3FBD"/>
    <w:rsid w:val="00EF1D7F"/>
    <w:rsid w:val="00F0103D"/>
    <w:rsid w:val="00F17FA0"/>
    <w:rsid w:val="00F238B1"/>
    <w:rsid w:val="00F27154"/>
    <w:rsid w:val="00F3240B"/>
    <w:rsid w:val="00F40E75"/>
    <w:rsid w:val="00F47B6C"/>
    <w:rsid w:val="00F90A93"/>
    <w:rsid w:val="00FA5BB6"/>
    <w:rsid w:val="00FB6701"/>
    <w:rsid w:val="00FC68B7"/>
    <w:rsid w:val="00FD2A47"/>
    <w:rsid w:val="00FF1A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D5C"/>
    <w:pPr>
      <w:keepNext/>
      <w:keepLines/>
      <w:tabs>
        <w:tab w:val="right" w:pos="851"/>
      </w:tabs>
      <w:spacing w:before="240" w:after="120" w:line="240" w:lineRule="exact"/>
      <w:ind w:left="1134" w:right="1134" w:hanging="1134"/>
    </w:pPr>
    <w:rPr>
      <w:rFonts w:ascii="Times New Roman Bold" w:hAnsi="Times New Roman Bold"/>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2B6E7E"/>
    <w:rPr>
      <w:lang w:val="en-GB" w:eastAsia="en-US" w:bidi="ar-SA"/>
    </w:rPr>
  </w:style>
  <w:style w:type="paragraph" w:customStyle="1" w:styleId="StyleH23GItalic">
    <w:name w:val="Style _ H_2/3_G + Italic"/>
    <w:basedOn w:val="H23G"/>
    <w:rsid w:val="00360B42"/>
    <w:rPr>
      <w:bCs/>
      <w:iCs/>
    </w:rPr>
  </w:style>
  <w:style w:type="paragraph" w:customStyle="1" w:styleId="StyleSingleTxtGAfter3pt">
    <w:name w:val="Style _ Single Txt_G + After:  3 pt"/>
    <w:basedOn w:val="SingleTxtG"/>
    <w:rsid w:val="0000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emf"/><Relationship Id="rId32" Type="http://schemas.openxmlformats.org/officeDocument/2006/relationships/footer" Target="footer3.xml"/><Relationship Id="rId37"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Nose" TargetMode="External"/><Relationship Id="rId13" Type="http://schemas.openxmlformats.org/officeDocument/2006/relationships/hyperlink" Target="mailto:aidsepigroup@otago.ac.nz" TargetMode="External"/><Relationship Id="rId3" Type="http://schemas.openxmlformats.org/officeDocument/2006/relationships/hyperlink" Target="http://www.wrongdiagnosis.com/e/emphysema/intro.htm" TargetMode="External"/><Relationship Id="rId7" Type="http://schemas.openxmlformats.org/officeDocument/2006/relationships/hyperlink" Target="http://en.wikipedia.org/wiki/Respiratory_tract" TargetMode="External"/><Relationship Id="rId12" Type="http://schemas.openxmlformats.org/officeDocument/2006/relationships/hyperlink" Target="http://dnmeds.otago.ac.nz/departments/psm/research/aids/index.html" TargetMode="External"/><Relationship Id="rId2" Type="http://schemas.openxmlformats.org/officeDocument/2006/relationships/hyperlink" Target="http://www.wrongdiagnosis.com/c/copd/intro.htm" TargetMode="External"/><Relationship Id="rId1" Type="http://schemas.openxmlformats.org/officeDocument/2006/relationships/hyperlink" Target="http://www.cymrc.govt.nz" TargetMode="External"/><Relationship Id="rId6" Type="http://schemas.openxmlformats.org/officeDocument/2006/relationships/hyperlink" Target="http://en.wikipedia.org/wiki/Infection" TargetMode="External"/><Relationship Id="rId11" Type="http://schemas.openxmlformats.org/officeDocument/2006/relationships/hyperlink" Target="http://en.wikipedia.org/wiki/Larynx" TargetMode="External"/><Relationship Id="rId5" Type="http://schemas.openxmlformats.org/officeDocument/2006/relationships/hyperlink" Target="http://en.wikipedia.org/wiki/Lower_respiratory_tract" TargetMode="External"/><Relationship Id="rId10" Type="http://schemas.openxmlformats.org/officeDocument/2006/relationships/hyperlink" Target="http://en.wikipedia.org/wiki/Pharynx" TargetMode="External"/><Relationship Id="rId4" Type="http://schemas.openxmlformats.org/officeDocument/2006/relationships/hyperlink" Target="http://www.wrongdiagnosis.com/c/chronic_bronchitis/intro.htm" TargetMode="External"/><Relationship Id="rId9" Type="http://schemas.openxmlformats.org/officeDocument/2006/relationships/hyperlink" Target="http://en.wikipedia.org/wiki/Paranasal_si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72</Pages>
  <Words>26009</Words>
  <Characters>148255</Characters>
  <Application>Microsoft Office Word</Application>
  <DocSecurity>4</DocSecurity>
  <Lines>1235</Lines>
  <Paragraphs>347</Paragraphs>
  <ScaleCrop>false</ScaleCrop>
  <HeadingPairs>
    <vt:vector size="2" baseType="variant">
      <vt:variant>
        <vt:lpstr>Title</vt:lpstr>
      </vt:variant>
      <vt:variant>
        <vt:i4>1</vt:i4>
      </vt:variant>
    </vt:vector>
  </HeadingPairs>
  <TitlesOfParts>
    <vt:vector size="1" baseType="lpstr">
      <vt:lpstr>1141617</vt:lpstr>
    </vt:vector>
  </TitlesOfParts>
  <Company>CSD</Company>
  <LinksUpToDate>false</LinksUpToDate>
  <CharactersWithSpaces>173917</CharactersWithSpaces>
  <SharedDoc>false</SharedDoc>
  <HLinks>
    <vt:vector size="78" baseType="variant">
      <vt:variant>
        <vt:i4>1835126</vt:i4>
      </vt:variant>
      <vt:variant>
        <vt:i4>36</vt:i4>
      </vt:variant>
      <vt:variant>
        <vt:i4>0</vt:i4>
      </vt:variant>
      <vt:variant>
        <vt:i4>5</vt:i4>
      </vt:variant>
      <vt:variant>
        <vt:lpwstr>mailto:aidsepigroup@otago.ac.nz</vt:lpwstr>
      </vt:variant>
      <vt:variant>
        <vt:lpwstr/>
      </vt:variant>
      <vt:variant>
        <vt:i4>6815848</vt:i4>
      </vt:variant>
      <vt:variant>
        <vt:i4>33</vt:i4>
      </vt:variant>
      <vt:variant>
        <vt:i4>0</vt:i4>
      </vt:variant>
      <vt:variant>
        <vt:i4>5</vt:i4>
      </vt:variant>
      <vt:variant>
        <vt:lpwstr>http://dnmeds.otago.ac.nz/departments/psm/research/aids/index.html</vt:lpwstr>
      </vt:variant>
      <vt:variant>
        <vt:lpwstr/>
      </vt:variant>
      <vt:variant>
        <vt:i4>7274541</vt:i4>
      </vt:variant>
      <vt:variant>
        <vt:i4>30</vt:i4>
      </vt:variant>
      <vt:variant>
        <vt:i4>0</vt:i4>
      </vt:variant>
      <vt:variant>
        <vt:i4>5</vt:i4>
      </vt:variant>
      <vt:variant>
        <vt:lpwstr>http://en.wikipedia.org/wiki/Larynx</vt:lpwstr>
      </vt:variant>
      <vt:variant>
        <vt:lpwstr/>
      </vt:variant>
      <vt:variant>
        <vt:i4>983105</vt:i4>
      </vt:variant>
      <vt:variant>
        <vt:i4>27</vt:i4>
      </vt:variant>
      <vt:variant>
        <vt:i4>0</vt:i4>
      </vt:variant>
      <vt:variant>
        <vt:i4>5</vt:i4>
      </vt:variant>
      <vt:variant>
        <vt:lpwstr>http://en.wikipedia.org/wiki/Pharynx</vt:lpwstr>
      </vt:variant>
      <vt:variant>
        <vt:lpwstr/>
      </vt:variant>
      <vt:variant>
        <vt:i4>131190</vt:i4>
      </vt:variant>
      <vt:variant>
        <vt:i4>24</vt:i4>
      </vt:variant>
      <vt:variant>
        <vt:i4>0</vt:i4>
      </vt:variant>
      <vt:variant>
        <vt:i4>5</vt:i4>
      </vt:variant>
      <vt:variant>
        <vt:lpwstr>http://en.wikipedia.org/wiki/Paranasal_sinus</vt:lpwstr>
      </vt:variant>
      <vt:variant>
        <vt:lpwstr/>
      </vt:variant>
      <vt:variant>
        <vt:i4>131162</vt:i4>
      </vt:variant>
      <vt:variant>
        <vt:i4>21</vt:i4>
      </vt:variant>
      <vt:variant>
        <vt:i4>0</vt:i4>
      </vt:variant>
      <vt:variant>
        <vt:i4>5</vt:i4>
      </vt:variant>
      <vt:variant>
        <vt:lpwstr>http://en.wikipedia.org/wiki/Nose</vt:lpwstr>
      </vt:variant>
      <vt:variant>
        <vt:lpwstr/>
      </vt:variant>
      <vt:variant>
        <vt:i4>6357018</vt:i4>
      </vt:variant>
      <vt:variant>
        <vt:i4>18</vt:i4>
      </vt:variant>
      <vt:variant>
        <vt:i4>0</vt:i4>
      </vt:variant>
      <vt:variant>
        <vt:i4>5</vt:i4>
      </vt:variant>
      <vt:variant>
        <vt:lpwstr>http://en.wikipedia.org/wiki/Respiratory_tract</vt:lpwstr>
      </vt:variant>
      <vt:variant>
        <vt:lpwstr/>
      </vt:variant>
      <vt:variant>
        <vt:i4>7602213</vt:i4>
      </vt:variant>
      <vt:variant>
        <vt:i4>15</vt:i4>
      </vt:variant>
      <vt:variant>
        <vt:i4>0</vt:i4>
      </vt:variant>
      <vt:variant>
        <vt:i4>5</vt:i4>
      </vt:variant>
      <vt:variant>
        <vt:lpwstr>http://en.wikipedia.org/wiki/Infection</vt:lpwstr>
      </vt:variant>
      <vt:variant>
        <vt:lpwstr/>
      </vt:variant>
      <vt:variant>
        <vt:i4>23</vt:i4>
      </vt:variant>
      <vt:variant>
        <vt:i4>12</vt:i4>
      </vt:variant>
      <vt:variant>
        <vt:i4>0</vt:i4>
      </vt:variant>
      <vt:variant>
        <vt:i4>5</vt:i4>
      </vt:variant>
      <vt:variant>
        <vt:lpwstr>http://en.wikipedia.org/wiki/Lower_respiratory_tract</vt:lpwstr>
      </vt:variant>
      <vt:variant>
        <vt:lpwstr>Tuberculosis#Tuberculosis</vt:lpwstr>
      </vt:variant>
      <vt:variant>
        <vt:i4>2621521</vt:i4>
      </vt:variant>
      <vt:variant>
        <vt:i4>9</vt:i4>
      </vt:variant>
      <vt:variant>
        <vt:i4>0</vt:i4>
      </vt:variant>
      <vt:variant>
        <vt:i4>5</vt:i4>
      </vt:variant>
      <vt:variant>
        <vt:lpwstr>http://www.wrongdiagnosis.com/c/chronic_bronchitis/intro.htm</vt:lpwstr>
      </vt:variant>
      <vt:variant>
        <vt:lpwstr/>
      </vt:variant>
      <vt:variant>
        <vt:i4>7274558</vt:i4>
      </vt:variant>
      <vt:variant>
        <vt:i4>6</vt:i4>
      </vt:variant>
      <vt:variant>
        <vt:i4>0</vt:i4>
      </vt:variant>
      <vt:variant>
        <vt:i4>5</vt:i4>
      </vt:variant>
      <vt:variant>
        <vt:lpwstr>http://www.wrongdiagnosis.com/e/emphysema/intro.htm</vt:lpwstr>
      </vt:variant>
      <vt:variant>
        <vt:lpwstr/>
      </vt:variant>
      <vt:variant>
        <vt:i4>6357040</vt:i4>
      </vt:variant>
      <vt:variant>
        <vt:i4>3</vt:i4>
      </vt:variant>
      <vt:variant>
        <vt:i4>0</vt:i4>
      </vt:variant>
      <vt:variant>
        <vt:i4>5</vt:i4>
      </vt:variant>
      <vt:variant>
        <vt:lpwstr>http://www.wrongdiagnosis.com/c/copd/intro.htm</vt:lpwstr>
      </vt:variant>
      <vt:variant>
        <vt:lpwstr/>
      </vt:variant>
      <vt:variant>
        <vt:i4>196608</vt:i4>
      </vt:variant>
      <vt:variant>
        <vt:i4>0</vt:i4>
      </vt:variant>
      <vt:variant>
        <vt:i4>0</vt:i4>
      </vt:variant>
      <vt:variant>
        <vt:i4>5</vt:i4>
      </vt:variant>
      <vt:variant>
        <vt:lpwstr>http://www.cymrc.govt.nz/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1141617</dc:title>
  <dc:subject>HRI/CORE/NZL/2010</dc:subject>
  <dc:creator>Giltsoff</dc:creator>
  <cp:keywords/>
  <dc:description>Final</dc:description>
  <cp:lastModifiedBy>Admieng</cp:lastModifiedBy>
  <cp:revision>2</cp:revision>
  <cp:lastPrinted>2011-03-24T08:51:00Z</cp:lastPrinted>
  <dcterms:created xsi:type="dcterms:W3CDTF">2011-03-24T08:52:00Z</dcterms:created>
  <dcterms:modified xsi:type="dcterms:W3CDTF">2011-03-24T08:52:00Z</dcterms:modified>
</cp:coreProperties>
</file>