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27F" w:rsidRPr="00864612" w:rsidRDefault="00A3227F" w:rsidP="00A3227F">
      <w:pPr>
        <w:spacing w:line="240" w:lineRule="auto"/>
        <w:rPr>
          <w:sz w:val="6"/>
        </w:rPr>
        <w:sectPr w:rsidR="00A3227F" w:rsidRPr="00864612" w:rsidSect="00B13E98">
          <w:headerReference w:type="even" r:id="rId9"/>
          <w:headerReference w:type="default" r:id="rId10"/>
          <w:footerReference w:type="even" r:id="rId11"/>
          <w:footerReference w:type="default" r:id="rId12"/>
          <w:headerReference w:type="first" r:id="rId13"/>
          <w:footerReference w:type="first" r:id="rId14"/>
          <w:endnotePr>
            <w:numFmt w:val="decimal"/>
          </w:endnotePr>
          <w:type w:val="continuous"/>
          <w:pgSz w:w="11909" w:h="16834" w:code="1"/>
          <w:pgMar w:top="1742" w:right="936" w:bottom="1898" w:left="936" w:header="576" w:footer="1030" w:gutter="0"/>
          <w:cols w:space="708"/>
          <w:noEndnote/>
          <w:titlePg/>
          <w:docGrid w:linePitch="360"/>
        </w:sectPr>
      </w:pPr>
      <w:r w:rsidRPr="00864612">
        <w:rPr>
          <w:rStyle w:val="CommentReference"/>
          <w:szCs w:val="20"/>
        </w:rPr>
        <w:commentReference w:id="0"/>
      </w:r>
    </w:p>
    <w:p w:rsidR="00864612" w:rsidRPr="00864612" w:rsidRDefault="00864612" w:rsidP="00864612">
      <w:pPr>
        <w:pStyle w:val="SM"/>
        <w:spacing w:line="120" w:lineRule="exact"/>
        <w:rPr>
          <w:sz w:val="10"/>
        </w:rPr>
      </w:pPr>
    </w:p>
    <w:p w:rsidR="00864612" w:rsidRPr="00864612" w:rsidRDefault="00864612" w:rsidP="00864612">
      <w:pPr>
        <w:pStyle w:val="SM"/>
        <w:spacing w:line="120" w:lineRule="exact"/>
        <w:rPr>
          <w:sz w:val="10"/>
        </w:rPr>
      </w:pPr>
    </w:p>
    <w:p w:rsidR="00864612" w:rsidRPr="00864612" w:rsidRDefault="00864612" w:rsidP="00864612">
      <w:pPr>
        <w:pStyle w:val="SM"/>
        <w:spacing w:line="120" w:lineRule="exact"/>
        <w:rPr>
          <w:sz w:val="10"/>
        </w:rPr>
      </w:pPr>
    </w:p>
    <w:p w:rsidR="00A3227F" w:rsidRDefault="00260C52" w:rsidP="00260C52">
      <w:pPr>
        <w:pStyle w:val="HM"/>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hanging="1267"/>
      </w:pPr>
      <w:r>
        <w:tab/>
      </w:r>
      <w:r>
        <w:tab/>
      </w:r>
      <w:r w:rsidR="00864612" w:rsidRPr="00994728">
        <w:t>Documento básico que forma parte integrante</w:t>
      </w:r>
      <w:r>
        <w:br/>
      </w:r>
      <w:r w:rsidR="00864612" w:rsidRPr="00994728">
        <w:t xml:space="preserve">de los informes de </w:t>
      </w:r>
      <w:r w:rsidR="005E3AC5" w:rsidRPr="00994728">
        <w:t>los</w:t>
      </w:r>
      <w:r w:rsidR="005E3AC5">
        <w:t xml:space="preserve"> </w:t>
      </w:r>
      <w:r w:rsidR="005E3AC5" w:rsidRPr="00994728">
        <w:t>Estados</w:t>
      </w:r>
      <w:r w:rsidR="00864612" w:rsidRPr="00994728">
        <w:t xml:space="preserve"> partes</w:t>
      </w:r>
    </w:p>
    <w:p w:rsidR="00864612" w:rsidRPr="00864612" w:rsidRDefault="00864612" w:rsidP="00864612">
      <w:pPr>
        <w:spacing w:line="120" w:lineRule="exact"/>
        <w:rPr>
          <w:sz w:val="10"/>
        </w:rPr>
      </w:pPr>
    </w:p>
    <w:p w:rsidR="00864612" w:rsidRPr="00864612" w:rsidRDefault="00864612" w:rsidP="00864612">
      <w:pPr>
        <w:spacing w:line="120" w:lineRule="exact"/>
        <w:rPr>
          <w:sz w:val="10"/>
        </w:rPr>
      </w:pPr>
    </w:p>
    <w:p w:rsidR="00864612" w:rsidRPr="00864612" w:rsidRDefault="00864612" w:rsidP="00864612">
      <w:pPr>
        <w:spacing w:line="120" w:lineRule="exact"/>
        <w:rPr>
          <w:sz w:val="10"/>
        </w:rPr>
      </w:pPr>
    </w:p>
    <w:p w:rsidR="00864612" w:rsidRDefault="00260C52" w:rsidP="00BC6A5D">
      <w:pPr>
        <w:pStyle w:val="HM"/>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hanging="1267"/>
      </w:pPr>
      <w:r>
        <w:tab/>
      </w:r>
      <w:r>
        <w:tab/>
      </w:r>
      <w:r w:rsidR="00864612">
        <w:t>Malawi</w:t>
      </w:r>
      <w:r w:rsidR="00D70A2C" w:rsidRPr="00E92A46">
        <w:rPr>
          <w:rStyle w:val="FootnoteReference"/>
          <w:b w:val="0"/>
          <w:sz w:val="20"/>
          <w:szCs w:val="20"/>
          <w:vertAlign w:val="baseline"/>
        </w:rPr>
        <w:footnoteReference w:customMarkFollows="1" w:id="1"/>
        <w:t>*</w:t>
      </w:r>
    </w:p>
    <w:p w:rsidR="00864612" w:rsidRPr="00864612" w:rsidRDefault="00864612" w:rsidP="00864612">
      <w:pPr>
        <w:spacing w:line="120" w:lineRule="exact"/>
        <w:rPr>
          <w:sz w:val="10"/>
        </w:rPr>
      </w:pPr>
    </w:p>
    <w:p w:rsidR="00864612" w:rsidRPr="00864612" w:rsidRDefault="00864612" w:rsidP="00864612">
      <w:pPr>
        <w:spacing w:line="120" w:lineRule="exact"/>
        <w:rPr>
          <w:sz w:val="10"/>
        </w:rPr>
      </w:pPr>
    </w:p>
    <w:p w:rsidR="00864612" w:rsidRDefault="00864612" w:rsidP="00864612">
      <w:pPr>
        <w:pStyle w:val="SingleTxt"/>
        <w:jc w:val="right"/>
      </w:pPr>
      <w:bookmarkStart w:id="1" w:name="_GoBack"/>
      <w:bookmarkEnd w:id="1"/>
      <w:r>
        <w:t>[Fecha de recepción: 25 de junio de 2014]</w:t>
      </w:r>
    </w:p>
    <w:p w:rsidR="00900D74" w:rsidRPr="00900D74" w:rsidRDefault="00900D74" w:rsidP="00900D74">
      <w:pPr>
        <w:pStyle w:val="SingleTxt"/>
        <w:spacing w:after="0" w:line="120" w:lineRule="exact"/>
        <w:jc w:val="right"/>
        <w:rPr>
          <w:sz w:val="10"/>
        </w:rPr>
      </w:pPr>
    </w:p>
    <w:p w:rsidR="00900D74" w:rsidRPr="00900D74" w:rsidRDefault="00900D74" w:rsidP="00900D74">
      <w:pPr>
        <w:pStyle w:val="SingleTxt"/>
        <w:spacing w:after="0" w:line="120" w:lineRule="exact"/>
        <w:jc w:val="right"/>
        <w:rPr>
          <w:sz w:val="10"/>
        </w:rPr>
      </w:pPr>
    </w:p>
    <w:p w:rsidR="00900D74" w:rsidRDefault="00900D74">
      <w:pPr>
        <w:suppressAutoHyphens w:val="0"/>
        <w:spacing w:line="240" w:lineRule="auto"/>
        <w:rPr>
          <w:kern w:val="14"/>
        </w:rPr>
      </w:pPr>
      <w:r>
        <w:br w:type="page"/>
      </w:r>
    </w:p>
    <w:p w:rsidR="00153172" w:rsidRPr="00153172" w:rsidRDefault="00153172" w:rsidP="00153172">
      <w:pPr>
        <w:pStyle w:val="HCh"/>
        <w:spacing w:after="120"/>
        <w:rPr>
          <w:b w:val="0"/>
        </w:rPr>
      </w:pPr>
      <w:r>
        <w:rPr>
          <w:b w:val="0"/>
        </w:rPr>
        <w:lastRenderedPageBreak/>
        <w:t>Índice</w:t>
      </w:r>
    </w:p>
    <w:tbl>
      <w:tblPr>
        <w:tblW w:w="9902" w:type="dxa"/>
        <w:tblLayout w:type="fixed"/>
        <w:tblCellMar>
          <w:left w:w="0" w:type="dxa"/>
          <w:right w:w="0" w:type="dxa"/>
        </w:tblCellMar>
        <w:tblLook w:val="0000" w:firstRow="0" w:lastRow="0" w:firstColumn="0" w:lastColumn="0" w:noHBand="0" w:noVBand="0"/>
      </w:tblPr>
      <w:tblGrid>
        <w:gridCol w:w="1060"/>
        <w:gridCol w:w="7056"/>
        <w:gridCol w:w="994"/>
        <w:gridCol w:w="792"/>
      </w:tblGrid>
      <w:tr w:rsidR="00153172" w:rsidRPr="00153172" w:rsidTr="00153172">
        <w:tc>
          <w:tcPr>
            <w:tcW w:w="1060" w:type="dxa"/>
            <w:shd w:val="clear" w:color="auto" w:fill="auto"/>
          </w:tcPr>
          <w:p w:rsidR="00153172" w:rsidRPr="00153172" w:rsidRDefault="00153172" w:rsidP="00153172">
            <w:pPr>
              <w:spacing w:after="120" w:line="240" w:lineRule="auto"/>
              <w:jc w:val="right"/>
              <w:rPr>
                <w:i/>
                <w:sz w:val="14"/>
              </w:rPr>
            </w:pPr>
          </w:p>
        </w:tc>
        <w:tc>
          <w:tcPr>
            <w:tcW w:w="7056" w:type="dxa"/>
            <w:shd w:val="clear" w:color="auto" w:fill="auto"/>
          </w:tcPr>
          <w:p w:rsidR="00153172" w:rsidRPr="00153172" w:rsidRDefault="00153172" w:rsidP="00153172">
            <w:pPr>
              <w:spacing w:after="120" w:line="240" w:lineRule="auto"/>
              <w:rPr>
                <w:i/>
                <w:sz w:val="14"/>
              </w:rPr>
            </w:pPr>
          </w:p>
        </w:tc>
        <w:tc>
          <w:tcPr>
            <w:tcW w:w="994" w:type="dxa"/>
            <w:shd w:val="clear" w:color="auto" w:fill="auto"/>
          </w:tcPr>
          <w:p w:rsidR="00153172" w:rsidRPr="00153172" w:rsidRDefault="00153172" w:rsidP="00153172">
            <w:pPr>
              <w:spacing w:after="120" w:line="240" w:lineRule="auto"/>
              <w:jc w:val="right"/>
              <w:rPr>
                <w:i/>
                <w:sz w:val="14"/>
              </w:rPr>
            </w:pPr>
            <w:r>
              <w:rPr>
                <w:i/>
                <w:sz w:val="14"/>
              </w:rPr>
              <w:t>Párrafos</w:t>
            </w:r>
          </w:p>
        </w:tc>
        <w:tc>
          <w:tcPr>
            <w:tcW w:w="792" w:type="dxa"/>
            <w:shd w:val="clear" w:color="auto" w:fill="auto"/>
          </w:tcPr>
          <w:p w:rsidR="00153172" w:rsidRPr="00153172" w:rsidRDefault="00153172" w:rsidP="00153172">
            <w:pPr>
              <w:spacing w:after="120" w:line="240" w:lineRule="auto"/>
              <w:jc w:val="right"/>
              <w:rPr>
                <w:i/>
                <w:sz w:val="14"/>
              </w:rPr>
            </w:pPr>
            <w:r>
              <w:rPr>
                <w:i/>
                <w:sz w:val="14"/>
              </w:rPr>
              <w:t>Página</w:t>
            </w:r>
          </w:p>
        </w:tc>
      </w:tr>
      <w:tr w:rsidR="00153172" w:rsidRPr="00153172" w:rsidTr="00153172">
        <w:tc>
          <w:tcPr>
            <w:tcW w:w="8116" w:type="dxa"/>
            <w:gridSpan w:val="2"/>
            <w:shd w:val="clear" w:color="auto" w:fill="auto"/>
          </w:tcPr>
          <w:p w:rsidR="00153172" w:rsidRPr="00153172" w:rsidRDefault="00153172" w:rsidP="00153172">
            <w:pPr>
              <w:pStyle w:val="ListParagraph"/>
              <w:numPr>
                <w:ilvl w:val="0"/>
                <w:numId w:val="16"/>
              </w:numPr>
              <w:tabs>
                <w:tab w:val="clear" w:pos="1296"/>
                <w:tab w:val="right" w:pos="1080"/>
                <w:tab w:val="left" w:pos="1300"/>
                <w:tab w:val="left" w:pos="1740"/>
                <w:tab w:val="left" w:pos="2180"/>
                <w:tab w:val="left" w:pos="2620"/>
                <w:tab w:val="left" w:pos="3060"/>
                <w:tab w:val="left" w:pos="3500"/>
                <w:tab w:val="left" w:pos="3940"/>
                <w:tab w:val="right" w:leader="dot" w:pos="9245"/>
              </w:tabs>
              <w:spacing w:after="120"/>
            </w:pPr>
            <w:r>
              <w:tab/>
            </w:r>
            <w:r w:rsidRPr="00153172">
              <w:t>Información general sobre Malawi</w:t>
            </w:r>
            <w:r>
              <w:rPr>
                <w:spacing w:val="60"/>
                <w:sz w:val="17"/>
                <w:lang w:val="es-ES_tradnl"/>
              </w:rPr>
              <w:tab/>
            </w:r>
          </w:p>
        </w:tc>
        <w:tc>
          <w:tcPr>
            <w:tcW w:w="994" w:type="dxa"/>
            <w:shd w:val="clear" w:color="auto" w:fill="auto"/>
            <w:vAlign w:val="bottom"/>
          </w:tcPr>
          <w:p w:rsidR="00153172" w:rsidRPr="00153172" w:rsidRDefault="00153172" w:rsidP="00153172">
            <w:pPr>
              <w:spacing w:after="120"/>
              <w:jc w:val="right"/>
            </w:pPr>
            <w:r>
              <w:t>1–37</w:t>
            </w:r>
          </w:p>
        </w:tc>
        <w:tc>
          <w:tcPr>
            <w:tcW w:w="792" w:type="dxa"/>
            <w:shd w:val="clear" w:color="auto" w:fill="auto"/>
            <w:vAlign w:val="bottom"/>
          </w:tcPr>
          <w:p w:rsidR="00153172" w:rsidRPr="00153172" w:rsidRDefault="00153172" w:rsidP="00153172">
            <w:pPr>
              <w:spacing w:after="120"/>
              <w:jc w:val="right"/>
            </w:pPr>
            <w:r>
              <w:t>3</w:t>
            </w:r>
          </w:p>
        </w:tc>
      </w:tr>
      <w:tr w:rsidR="00153172" w:rsidRPr="00153172" w:rsidTr="00153172">
        <w:tc>
          <w:tcPr>
            <w:tcW w:w="8116" w:type="dxa"/>
            <w:gridSpan w:val="2"/>
            <w:shd w:val="clear" w:color="auto" w:fill="auto"/>
          </w:tcPr>
          <w:p w:rsidR="00153172" w:rsidRDefault="00C503FA" w:rsidP="00C503FA">
            <w:pPr>
              <w:pStyle w:val="ListParagraph"/>
              <w:numPr>
                <w:ilvl w:val="1"/>
                <w:numId w:val="16"/>
              </w:numPr>
              <w:tabs>
                <w:tab w:val="clear" w:pos="1728"/>
                <w:tab w:val="right" w:pos="1080"/>
                <w:tab w:val="left" w:pos="1300"/>
                <w:tab w:val="left" w:pos="1740"/>
                <w:tab w:val="left" w:pos="2180"/>
                <w:tab w:val="left" w:pos="2620"/>
                <w:tab w:val="right" w:leader="dot" w:pos="9245"/>
              </w:tabs>
              <w:spacing w:after="120"/>
            </w:pPr>
            <w:r>
              <w:t>Introducción</w:t>
            </w:r>
            <w:r>
              <w:rPr>
                <w:spacing w:val="60"/>
                <w:sz w:val="17"/>
              </w:rPr>
              <w:tab/>
            </w:r>
          </w:p>
        </w:tc>
        <w:tc>
          <w:tcPr>
            <w:tcW w:w="994" w:type="dxa"/>
            <w:shd w:val="clear" w:color="auto" w:fill="auto"/>
            <w:vAlign w:val="bottom"/>
          </w:tcPr>
          <w:p w:rsidR="00153172" w:rsidRDefault="00C503FA" w:rsidP="00153172">
            <w:pPr>
              <w:spacing w:after="120"/>
              <w:jc w:val="right"/>
            </w:pPr>
            <w:r>
              <w:t>1</w:t>
            </w:r>
          </w:p>
        </w:tc>
        <w:tc>
          <w:tcPr>
            <w:tcW w:w="792" w:type="dxa"/>
            <w:shd w:val="clear" w:color="auto" w:fill="auto"/>
            <w:vAlign w:val="bottom"/>
          </w:tcPr>
          <w:p w:rsidR="00153172" w:rsidRPr="00153172" w:rsidRDefault="00C503FA" w:rsidP="00153172">
            <w:pPr>
              <w:spacing w:after="120"/>
              <w:jc w:val="right"/>
            </w:pPr>
            <w:r>
              <w:t>3</w:t>
            </w:r>
          </w:p>
        </w:tc>
      </w:tr>
      <w:tr w:rsidR="00C503FA" w:rsidRPr="00153172" w:rsidTr="00153172">
        <w:tc>
          <w:tcPr>
            <w:tcW w:w="8116" w:type="dxa"/>
            <w:gridSpan w:val="2"/>
            <w:shd w:val="clear" w:color="auto" w:fill="auto"/>
          </w:tcPr>
          <w:p w:rsidR="00C503FA" w:rsidRDefault="00C503FA" w:rsidP="00C503FA">
            <w:pPr>
              <w:pStyle w:val="ListParagraph"/>
              <w:numPr>
                <w:ilvl w:val="1"/>
                <w:numId w:val="16"/>
              </w:numPr>
              <w:tabs>
                <w:tab w:val="clear" w:pos="1728"/>
                <w:tab w:val="right" w:pos="1080"/>
                <w:tab w:val="left" w:pos="1300"/>
                <w:tab w:val="left" w:pos="1740"/>
                <w:tab w:val="left" w:pos="2180"/>
                <w:tab w:val="left" w:pos="2620"/>
                <w:tab w:val="left" w:pos="3060"/>
                <w:tab w:val="left" w:pos="3500"/>
                <w:tab w:val="right" w:leader="dot" w:pos="9245"/>
              </w:tabs>
              <w:spacing w:after="120"/>
            </w:pPr>
            <w:r w:rsidRPr="00DD6BED">
              <w:rPr>
                <w:lang w:val="es-ES_tradnl"/>
              </w:rPr>
              <w:t>Características geográficas, demográficas, económicas, sociales</w:t>
            </w:r>
            <w:r>
              <w:rPr>
                <w:lang w:val="es-ES_tradnl"/>
              </w:rPr>
              <w:br/>
            </w:r>
            <w:r w:rsidRPr="00DD6BED">
              <w:rPr>
                <w:lang w:val="es-ES_tradnl"/>
              </w:rPr>
              <w:t>y culturales de Malawi</w:t>
            </w:r>
            <w:r>
              <w:rPr>
                <w:spacing w:val="60"/>
                <w:sz w:val="17"/>
                <w:lang w:val="es-ES_tradnl"/>
              </w:rPr>
              <w:tab/>
            </w:r>
          </w:p>
        </w:tc>
        <w:tc>
          <w:tcPr>
            <w:tcW w:w="994" w:type="dxa"/>
            <w:shd w:val="clear" w:color="auto" w:fill="auto"/>
            <w:vAlign w:val="bottom"/>
          </w:tcPr>
          <w:p w:rsidR="00C503FA" w:rsidRDefault="00C503FA" w:rsidP="00153172">
            <w:pPr>
              <w:spacing w:after="120"/>
              <w:jc w:val="right"/>
            </w:pPr>
            <w:r>
              <w:t>2–37</w:t>
            </w:r>
          </w:p>
        </w:tc>
        <w:tc>
          <w:tcPr>
            <w:tcW w:w="792" w:type="dxa"/>
            <w:shd w:val="clear" w:color="auto" w:fill="auto"/>
            <w:vAlign w:val="bottom"/>
          </w:tcPr>
          <w:p w:rsidR="00C503FA" w:rsidRDefault="00C503FA" w:rsidP="00153172">
            <w:pPr>
              <w:spacing w:after="120"/>
              <w:jc w:val="right"/>
            </w:pPr>
            <w:r>
              <w:t>3</w:t>
            </w:r>
          </w:p>
        </w:tc>
      </w:tr>
      <w:tr w:rsidR="00C503FA" w:rsidRPr="00153172" w:rsidTr="00153172">
        <w:tc>
          <w:tcPr>
            <w:tcW w:w="8116" w:type="dxa"/>
            <w:gridSpan w:val="2"/>
            <w:shd w:val="clear" w:color="auto" w:fill="auto"/>
          </w:tcPr>
          <w:p w:rsidR="00C503FA" w:rsidRPr="00DD6BED" w:rsidRDefault="00C503FA" w:rsidP="00C503FA">
            <w:pPr>
              <w:pStyle w:val="ListParagraph"/>
              <w:numPr>
                <w:ilvl w:val="2"/>
                <w:numId w:val="16"/>
              </w:numPr>
              <w:tabs>
                <w:tab w:val="clear" w:pos="2160"/>
                <w:tab w:val="right" w:pos="1080"/>
                <w:tab w:val="left" w:pos="1300"/>
                <w:tab w:val="left" w:pos="1740"/>
                <w:tab w:val="left" w:pos="2180"/>
                <w:tab w:val="left" w:pos="2620"/>
                <w:tab w:val="left" w:pos="3060"/>
                <w:tab w:val="left" w:pos="3500"/>
                <w:tab w:val="left" w:pos="3940"/>
                <w:tab w:val="left" w:pos="4380"/>
                <w:tab w:val="left" w:pos="4820"/>
                <w:tab w:val="left" w:pos="5260"/>
                <w:tab w:val="left" w:pos="5700"/>
                <w:tab w:val="left" w:pos="6140"/>
                <w:tab w:val="right" w:leader="dot" w:pos="9245"/>
              </w:tabs>
              <w:spacing w:after="120"/>
              <w:rPr>
                <w:lang w:val="es-ES_tradnl"/>
              </w:rPr>
            </w:pPr>
            <w:r w:rsidRPr="00DD6BED">
              <w:rPr>
                <w:lang w:val="es-ES_tradnl"/>
              </w:rPr>
              <w:t>Características geográficas, demográficas y sociales</w:t>
            </w:r>
            <w:r>
              <w:rPr>
                <w:spacing w:val="60"/>
                <w:sz w:val="17"/>
                <w:lang w:val="es-ES_tradnl"/>
              </w:rPr>
              <w:tab/>
            </w:r>
          </w:p>
        </w:tc>
        <w:tc>
          <w:tcPr>
            <w:tcW w:w="994" w:type="dxa"/>
            <w:shd w:val="clear" w:color="auto" w:fill="auto"/>
            <w:vAlign w:val="bottom"/>
          </w:tcPr>
          <w:p w:rsidR="00C503FA" w:rsidRDefault="00C503FA" w:rsidP="00153172">
            <w:pPr>
              <w:spacing w:after="120"/>
              <w:jc w:val="right"/>
            </w:pPr>
            <w:r>
              <w:t>2–15</w:t>
            </w:r>
          </w:p>
        </w:tc>
        <w:tc>
          <w:tcPr>
            <w:tcW w:w="792" w:type="dxa"/>
            <w:shd w:val="clear" w:color="auto" w:fill="auto"/>
            <w:vAlign w:val="bottom"/>
          </w:tcPr>
          <w:p w:rsidR="00C503FA" w:rsidRDefault="00C503FA" w:rsidP="00153172">
            <w:pPr>
              <w:spacing w:after="120"/>
              <w:jc w:val="right"/>
            </w:pPr>
            <w:r>
              <w:t>3</w:t>
            </w:r>
          </w:p>
        </w:tc>
      </w:tr>
      <w:tr w:rsidR="00C503FA" w:rsidRPr="00153172" w:rsidTr="00153172">
        <w:tc>
          <w:tcPr>
            <w:tcW w:w="8116" w:type="dxa"/>
            <w:gridSpan w:val="2"/>
            <w:shd w:val="clear" w:color="auto" w:fill="auto"/>
          </w:tcPr>
          <w:p w:rsidR="00C503FA" w:rsidRPr="00DD6BED" w:rsidRDefault="0034164A" w:rsidP="00C503FA">
            <w:pPr>
              <w:pStyle w:val="ListParagraph"/>
              <w:numPr>
                <w:ilvl w:val="2"/>
                <w:numId w:val="16"/>
              </w:numPr>
              <w:tabs>
                <w:tab w:val="clear" w:pos="2160"/>
                <w:tab w:val="right" w:pos="1080"/>
                <w:tab w:val="left" w:pos="1300"/>
                <w:tab w:val="left" w:pos="1740"/>
                <w:tab w:val="left" w:pos="2180"/>
                <w:tab w:val="left" w:pos="2620"/>
                <w:tab w:val="left" w:pos="3060"/>
                <w:tab w:val="left" w:pos="3500"/>
                <w:tab w:val="left" w:pos="3940"/>
                <w:tab w:val="left" w:pos="4380"/>
                <w:tab w:val="right" w:leader="dot" w:pos="9245"/>
              </w:tabs>
              <w:spacing w:after="120"/>
              <w:rPr>
                <w:lang w:val="es-ES_tradnl"/>
              </w:rPr>
            </w:pPr>
            <w:r>
              <w:rPr>
                <w:lang w:val="es-ES_tradnl"/>
              </w:rPr>
              <w:t>Características</w:t>
            </w:r>
            <w:r w:rsidR="00C503FA">
              <w:rPr>
                <w:lang w:val="es-ES_tradnl"/>
              </w:rPr>
              <w:t xml:space="preserve"> económicas</w:t>
            </w:r>
            <w:r w:rsidR="00C503FA">
              <w:rPr>
                <w:spacing w:val="60"/>
                <w:sz w:val="17"/>
                <w:lang w:val="es-ES_tradnl"/>
              </w:rPr>
              <w:tab/>
            </w:r>
          </w:p>
        </w:tc>
        <w:tc>
          <w:tcPr>
            <w:tcW w:w="994" w:type="dxa"/>
            <w:shd w:val="clear" w:color="auto" w:fill="auto"/>
            <w:vAlign w:val="bottom"/>
          </w:tcPr>
          <w:p w:rsidR="00C503FA" w:rsidRDefault="00C503FA" w:rsidP="00153172">
            <w:pPr>
              <w:spacing w:after="120"/>
              <w:jc w:val="right"/>
            </w:pPr>
            <w:r>
              <w:t>16–22</w:t>
            </w:r>
          </w:p>
        </w:tc>
        <w:tc>
          <w:tcPr>
            <w:tcW w:w="792" w:type="dxa"/>
            <w:shd w:val="clear" w:color="auto" w:fill="auto"/>
            <w:vAlign w:val="bottom"/>
          </w:tcPr>
          <w:p w:rsidR="00C503FA" w:rsidRDefault="00C503FA" w:rsidP="00153172">
            <w:pPr>
              <w:spacing w:after="120"/>
              <w:jc w:val="right"/>
            </w:pPr>
            <w:r>
              <w:t>7</w:t>
            </w:r>
          </w:p>
        </w:tc>
      </w:tr>
      <w:tr w:rsidR="00C503FA" w:rsidRPr="00153172" w:rsidTr="00153172">
        <w:tc>
          <w:tcPr>
            <w:tcW w:w="8116" w:type="dxa"/>
            <w:gridSpan w:val="2"/>
            <w:shd w:val="clear" w:color="auto" w:fill="auto"/>
          </w:tcPr>
          <w:p w:rsidR="00C503FA" w:rsidRDefault="00C503FA" w:rsidP="00C503FA">
            <w:pPr>
              <w:pStyle w:val="ListParagraph"/>
              <w:numPr>
                <w:ilvl w:val="2"/>
                <w:numId w:val="16"/>
              </w:numPr>
              <w:tabs>
                <w:tab w:val="clear" w:pos="2160"/>
                <w:tab w:val="right" w:pos="1080"/>
                <w:tab w:val="left" w:pos="1300"/>
                <w:tab w:val="left" w:pos="1740"/>
                <w:tab w:val="left" w:pos="2180"/>
                <w:tab w:val="left" w:pos="2620"/>
                <w:tab w:val="left" w:pos="3060"/>
                <w:tab w:val="left" w:pos="3500"/>
                <w:tab w:val="left" w:pos="3940"/>
                <w:tab w:val="left" w:pos="4380"/>
                <w:tab w:val="left" w:pos="4820"/>
                <w:tab w:val="right" w:leader="dot" w:pos="9245"/>
              </w:tabs>
              <w:spacing w:after="120"/>
              <w:rPr>
                <w:lang w:val="es-ES_tradnl"/>
              </w:rPr>
            </w:pPr>
            <w:r w:rsidRPr="009564D9">
              <w:t>Objetivos de Desarrollo del Milenio</w:t>
            </w:r>
            <w:r>
              <w:rPr>
                <w:spacing w:val="60"/>
                <w:sz w:val="17"/>
              </w:rPr>
              <w:tab/>
            </w:r>
          </w:p>
        </w:tc>
        <w:tc>
          <w:tcPr>
            <w:tcW w:w="994" w:type="dxa"/>
            <w:shd w:val="clear" w:color="auto" w:fill="auto"/>
            <w:vAlign w:val="bottom"/>
          </w:tcPr>
          <w:p w:rsidR="00C503FA" w:rsidRDefault="00C503FA" w:rsidP="00153172">
            <w:pPr>
              <w:spacing w:after="120"/>
              <w:jc w:val="right"/>
            </w:pPr>
            <w:r>
              <w:t>23–24</w:t>
            </w:r>
          </w:p>
        </w:tc>
        <w:tc>
          <w:tcPr>
            <w:tcW w:w="792" w:type="dxa"/>
            <w:shd w:val="clear" w:color="auto" w:fill="auto"/>
            <w:vAlign w:val="bottom"/>
          </w:tcPr>
          <w:p w:rsidR="00C503FA" w:rsidRDefault="00C503FA" w:rsidP="00153172">
            <w:pPr>
              <w:spacing w:after="120"/>
              <w:jc w:val="right"/>
            </w:pPr>
            <w:r>
              <w:t>8</w:t>
            </w:r>
          </w:p>
        </w:tc>
      </w:tr>
      <w:tr w:rsidR="00C503FA" w:rsidRPr="00153172" w:rsidTr="00153172">
        <w:tc>
          <w:tcPr>
            <w:tcW w:w="8116" w:type="dxa"/>
            <w:gridSpan w:val="2"/>
            <w:shd w:val="clear" w:color="auto" w:fill="auto"/>
          </w:tcPr>
          <w:p w:rsidR="00C503FA" w:rsidRPr="009564D9" w:rsidRDefault="00C503FA" w:rsidP="00C503FA">
            <w:pPr>
              <w:pStyle w:val="ListParagraph"/>
              <w:numPr>
                <w:ilvl w:val="2"/>
                <w:numId w:val="16"/>
              </w:numPr>
              <w:tabs>
                <w:tab w:val="clear" w:pos="2160"/>
                <w:tab w:val="right" w:pos="1080"/>
                <w:tab w:val="left" w:pos="1300"/>
                <w:tab w:val="left" w:pos="1740"/>
                <w:tab w:val="left" w:pos="2180"/>
                <w:tab w:val="left" w:pos="2620"/>
                <w:tab w:val="left" w:pos="3060"/>
                <w:tab w:val="left" w:pos="3500"/>
                <w:tab w:val="right" w:leader="dot" w:pos="9245"/>
              </w:tabs>
              <w:spacing w:after="120"/>
            </w:pPr>
            <w:r w:rsidRPr="009564D9">
              <w:t>Tasa de delincuencia</w:t>
            </w:r>
            <w:r>
              <w:rPr>
                <w:spacing w:val="60"/>
                <w:sz w:val="17"/>
              </w:rPr>
              <w:tab/>
            </w:r>
          </w:p>
        </w:tc>
        <w:tc>
          <w:tcPr>
            <w:tcW w:w="994" w:type="dxa"/>
            <w:shd w:val="clear" w:color="auto" w:fill="auto"/>
            <w:vAlign w:val="bottom"/>
          </w:tcPr>
          <w:p w:rsidR="00C503FA" w:rsidRDefault="00C503FA" w:rsidP="00153172">
            <w:pPr>
              <w:spacing w:after="120"/>
              <w:jc w:val="right"/>
            </w:pPr>
            <w:r>
              <w:t>25–28</w:t>
            </w:r>
          </w:p>
        </w:tc>
        <w:tc>
          <w:tcPr>
            <w:tcW w:w="792" w:type="dxa"/>
            <w:shd w:val="clear" w:color="auto" w:fill="auto"/>
            <w:vAlign w:val="bottom"/>
          </w:tcPr>
          <w:p w:rsidR="00C503FA" w:rsidRDefault="00C503FA" w:rsidP="00153172">
            <w:pPr>
              <w:spacing w:after="120"/>
              <w:jc w:val="right"/>
            </w:pPr>
            <w:r>
              <w:t>11</w:t>
            </w:r>
          </w:p>
        </w:tc>
      </w:tr>
      <w:tr w:rsidR="00C503FA" w:rsidRPr="00153172" w:rsidTr="00153172">
        <w:tc>
          <w:tcPr>
            <w:tcW w:w="8116" w:type="dxa"/>
            <w:gridSpan w:val="2"/>
            <w:shd w:val="clear" w:color="auto" w:fill="auto"/>
          </w:tcPr>
          <w:p w:rsidR="00C503FA" w:rsidRPr="009564D9" w:rsidRDefault="00C503FA" w:rsidP="00C503FA">
            <w:pPr>
              <w:pStyle w:val="ListParagraph"/>
              <w:numPr>
                <w:ilvl w:val="2"/>
                <w:numId w:val="16"/>
              </w:numPr>
              <w:tabs>
                <w:tab w:val="clear" w:pos="2160"/>
                <w:tab w:val="right" w:pos="1080"/>
                <w:tab w:val="left" w:pos="1300"/>
                <w:tab w:val="left" w:pos="1740"/>
                <w:tab w:val="left" w:pos="2180"/>
                <w:tab w:val="left" w:pos="2620"/>
                <w:tab w:val="left" w:pos="3060"/>
                <w:tab w:val="right" w:leader="dot" w:pos="9245"/>
              </w:tabs>
              <w:spacing w:after="120"/>
            </w:pPr>
            <w:r>
              <w:t>VIH y SIDA</w:t>
            </w:r>
            <w:r>
              <w:rPr>
                <w:spacing w:val="60"/>
                <w:sz w:val="17"/>
              </w:rPr>
              <w:tab/>
            </w:r>
          </w:p>
        </w:tc>
        <w:tc>
          <w:tcPr>
            <w:tcW w:w="994" w:type="dxa"/>
            <w:shd w:val="clear" w:color="auto" w:fill="auto"/>
            <w:vAlign w:val="bottom"/>
          </w:tcPr>
          <w:p w:rsidR="00C503FA" w:rsidRDefault="00C503FA" w:rsidP="00153172">
            <w:pPr>
              <w:spacing w:after="120"/>
              <w:jc w:val="right"/>
            </w:pPr>
            <w:r>
              <w:t>29–37</w:t>
            </w:r>
          </w:p>
        </w:tc>
        <w:tc>
          <w:tcPr>
            <w:tcW w:w="792" w:type="dxa"/>
            <w:shd w:val="clear" w:color="auto" w:fill="auto"/>
            <w:vAlign w:val="bottom"/>
          </w:tcPr>
          <w:p w:rsidR="00C503FA" w:rsidRDefault="00C503FA" w:rsidP="00153172">
            <w:pPr>
              <w:spacing w:after="120"/>
              <w:jc w:val="right"/>
            </w:pPr>
            <w:r>
              <w:t>13</w:t>
            </w:r>
          </w:p>
        </w:tc>
      </w:tr>
      <w:tr w:rsidR="00C503FA" w:rsidRPr="00153172" w:rsidTr="00153172">
        <w:tc>
          <w:tcPr>
            <w:tcW w:w="8116" w:type="dxa"/>
            <w:gridSpan w:val="2"/>
            <w:shd w:val="clear" w:color="auto" w:fill="auto"/>
          </w:tcPr>
          <w:p w:rsidR="00C503FA" w:rsidRDefault="00C503FA" w:rsidP="00C503FA">
            <w:pPr>
              <w:pStyle w:val="ListParagraph"/>
              <w:numPr>
                <w:ilvl w:val="0"/>
                <w:numId w:val="16"/>
              </w:numPr>
              <w:tabs>
                <w:tab w:val="clear" w:pos="1296"/>
                <w:tab w:val="right" w:pos="1080"/>
                <w:tab w:val="left" w:pos="1300"/>
                <w:tab w:val="left" w:pos="1740"/>
                <w:tab w:val="left" w:pos="2180"/>
                <w:tab w:val="left" w:pos="2620"/>
                <w:tab w:val="left" w:pos="3060"/>
                <w:tab w:val="left" w:pos="3500"/>
                <w:tab w:val="left" w:pos="3940"/>
                <w:tab w:val="left" w:pos="4380"/>
                <w:tab w:val="left" w:pos="4820"/>
                <w:tab w:val="left" w:pos="5260"/>
                <w:tab w:val="left" w:pos="5700"/>
                <w:tab w:val="right" w:leader="dot" w:pos="9245"/>
              </w:tabs>
              <w:spacing w:after="120"/>
            </w:pPr>
            <w:r>
              <w:tab/>
            </w:r>
            <w:r>
              <w:rPr>
                <w:lang w:eastAsia="es-ES"/>
              </w:rPr>
              <w:t>Estructura constitucional, política y jurídica de Malawi</w:t>
            </w:r>
            <w:r>
              <w:rPr>
                <w:spacing w:val="60"/>
                <w:sz w:val="17"/>
                <w:lang w:eastAsia="es-ES"/>
              </w:rPr>
              <w:tab/>
            </w:r>
          </w:p>
        </w:tc>
        <w:tc>
          <w:tcPr>
            <w:tcW w:w="994" w:type="dxa"/>
            <w:shd w:val="clear" w:color="auto" w:fill="auto"/>
            <w:vAlign w:val="bottom"/>
          </w:tcPr>
          <w:p w:rsidR="00C503FA" w:rsidRDefault="004D3325" w:rsidP="00153172">
            <w:pPr>
              <w:spacing w:after="120"/>
              <w:jc w:val="right"/>
            </w:pPr>
            <w:r>
              <w:t>38–75</w:t>
            </w:r>
          </w:p>
        </w:tc>
        <w:tc>
          <w:tcPr>
            <w:tcW w:w="792" w:type="dxa"/>
            <w:shd w:val="clear" w:color="auto" w:fill="auto"/>
            <w:vAlign w:val="bottom"/>
          </w:tcPr>
          <w:p w:rsidR="00C503FA" w:rsidRDefault="004D3325" w:rsidP="00153172">
            <w:pPr>
              <w:spacing w:after="120"/>
              <w:jc w:val="right"/>
            </w:pPr>
            <w:r>
              <w:t>15</w:t>
            </w:r>
          </w:p>
        </w:tc>
      </w:tr>
      <w:tr w:rsidR="004D3325" w:rsidRPr="00153172" w:rsidTr="00153172">
        <w:tc>
          <w:tcPr>
            <w:tcW w:w="8116" w:type="dxa"/>
            <w:gridSpan w:val="2"/>
            <w:shd w:val="clear" w:color="auto" w:fill="auto"/>
          </w:tcPr>
          <w:p w:rsidR="004D3325" w:rsidRDefault="004D3325" w:rsidP="00583873">
            <w:pPr>
              <w:pStyle w:val="ListParagraph"/>
              <w:numPr>
                <w:ilvl w:val="0"/>
                <w:numId w:val="16"/>
              </w:numPr>
              <w:tabs>
                <w:tab w:val="clear" w:pos="1296"/>
                <w:tab w:val="right" w:pos="1080"/>
                <w:tab w:val="left" w:pos="1300"/>
                <w:tab w:val="left" w:pos="1740"/>
                <w:tab w:val="left" w:pos="2180"/>
                <w:tab w:val="left" w:pos="2620"/>
                <w:tab w:val="right" w:leader="dot" w:pos="9245"/>
              </w:tabs>
              <w:spacing w:after="120"/>
            </w:pPr>
            <w:r>
              <w:rPr>
                <w:lang w:eastAsia="es-ES"/>
              </w:rPr>
              <w:tab/>
              <w:t>Marco general de protección y promoción de los</w:t>
            </w:r>
            <w:r w:rsidR="00583873">
              <w:rPr>
                <w:lang w:eastAsia="es-ES"/>
              </w:rPr>
              <w:t xml:space="preserve"> </w:t>
            </w:r>
            <w:r>
              <w:rPr>
                <w:lang w:eastAsia="es-ES"/>
              </w:rPr>
              <w:t>derechos humanos</w:t>
            </w:r>
            <w:r>
              <w:rPr>
                <w:spacing w:val="60"/>
                <w:sz w:val="17"/>
                <w:lang w:eastAsia="es-ES"/>
              </w:rPr>
              <w:tab/>
            </w:r>
          </w:p>
        </w:tc>
        <w:tc>
          <w:tcPr>
            <w:tcW w:w="994" w:type="dxa"/>
            <w:shd w:val="clear" w:color="auto" w:fill="auto"/>
            <w:vAlign w:val="bottom"/>
          </w:tcPr>
          <w:p w:rsidR="004D3325" w:rsidRDefault="004D3325" w:rsidP="00153172">
            <w:pPr>
              <w:spacing w:after="120"/>
              <w:jc w:val="right"/>
            </w:pPr>
            <w:r>
              <w:t>76–122</w:t>
            </w:r>
          </w:p>
        </w:tc>
        <w:tc>
          <w:tcPr>
            <w:tcW w:w="792" w:type="dxa"/>
            <w:shd w:val="clear" w:color="auto" w:fill="auto"/>
            <w:vAlign w:val="bottom"/>
          </w:tcPr>
          <w:p w:rsidR="004D3325" w:rsidRDefault="0016218E" w:rsidP="00153172">
            <w:pPr>
              <w:spacing w:after="120"/>
              <w:jc w:val="right"/>
            </w:pPr>
            <w:r>
              <w:t>21</w:t>
            </w:r>
          </w:p>
        </w:tc>
      </w:tr>
      <w:tr w:rsidR="004D3325" w:rsidRPr="00153172" w:rsidTr="00153172">
        <w:tc>
          <w:tcPr>
            <w:tcW w:w="8116" w:type="dxa"/>
            <w:gridSpan w:val="2"/>
            <w:shd w:val="clear" w:color="auto" w:fill="auto"/>
          </w:tcPr>
          <w:p w:rsidR="004D3325" w:rsidRDefault="004D3325" w:rsidP="004D3325">
            <w:pPr>
              <w:pStyle w:val="ListParagraph"/>
              <w:numPr>
                <w:ilvl w:val="1"/>
                <w:numId w:val="16"/>
              </w:numPr>
              <w:tabs>
                <w:tab w:val="clear" w:pos="1728"/>
                <w:tab w:val="right" w:pos="1080"/>
                <w:tab w:val="left" w:pos="1300"/>
                <w:tab w:val="left" w:pos="1740"/>
                <w:tab w:val="left" w:pos="2180"/>
                <w:tab w:val="left" w:pos="2620"/>
                <w:tab w:val="right" w:leader="dot" w:pos="9245"/>
              </w:tabs>
              <w:spacing w:after="120"/>
              <w:rPr>
                <w:lang w:eastAsia="es-ES"/>
              </w:rPr>
            </w:pPr>
            <w:r>
              <w:rPr>
                <w:lang w:eastAsia="es-ES"/>
              </w:rPr>
              <w:t>Marco general</w:t>
            </w:r>
            <w:r>
              <w:rPr>
                <w:spacing w:val="60"/>
                <w:sz w:val="17"/>
                <w:lang w:eastAsia="es-ES"/>
              </w:rPr>
              <w:tab/>
            </w:r>
          </w:p>
        </w:tc>
        <w:tc>
          <w:tcPr>
            <w:tcW w:w="994" w:type="dxa"/>
            <w:shd w:val="clear" w:color="auto" w:fill="auto"/>
            <w:vAlign w:val="bottom"/>
          </w:tcPr>
          <w:p w:rsidR="004D3325" w:rsidRDefault="004D3325" w:rsidP="00153172">
            <w:pPr>
              <w:spacing w:after="120"/>
              <w:jc w:val="right"/>
            </w:pPr>
            <w:r>
              <w:t>76–82</w:t>
            </w:r>
          </w:p>
        </w:tc>
        <w:tc>
          <w:tcPr>
            <w:tcW w:w="792" w:type="dxa"/>
            <w:shd w:val="clear" w:color="auto" w:fill="auto"/>
            <w:vAlign w:val="bottom"/>
          </w:tcPr>
          <w:p w:rsidR="004D3325" w:rsidRDefault="004D3325" w:rsidP="0016218E">
            <w:pPr>
              <w:spacing w:after="120"/>
              <w:jc w:val="right"/>
            </w:pPr>
            <w:r>
              <w:t>2</w:t>
            </w:r>
            <w:r w:rsidR="0016218E">
              <w:t>1</w:t>
            </w:r>
          </w:p>
        </w:tc>
      </w:tr>
      <w:tr w:rsidR="004D3325" w:rsidRPr="00153172" w:rsidTr="00153172">
        <w:tc>
          <w:tcPr>
            <w:tcW w:w="8116" w:type="dxa"/>
            <w:gridSpan w:val="2"/>
            <w:shd w:val="clear" w:color="auto" w:fill="auto"/>
          </w:tcPr>
          <w:p w:rsidR="004D3325" w:rsidRDefault="004D3325" w:rsidP="004D3325">
            <w:pPr>
              <w:pStyle w:val="ListParagraph"/>
              <w:numPr>
                <w:ilvl w:val="1"/>
                <w:numId w:val="16"/>
              </w:numPr>
              <w:tabs>
                <w:tab w:val="clear" w:pos="1728"/>
                <w:tab w:val="right" w:pos="1080"/>
                <w:tab w:val="left" w:pos="1300"/>
                <w:tab w:val="left" w:pos="1740"/>
                <w:tab w:val="left" w:pos="2180"/>
                <w:tab w:val="left" w:pos="2620"/>
                <w:tab w:val="left" w:pos="3060"/>
                <w:tab w:val="left" w:pos="3500"/>
                <w:tab w:val="left" w:pos="3940"/>
                <w:tab w:val="right" w:leader="dot" w:pos="9245"/>
              </w:tabs>
              <w:spacing w:after="120"/>
              <w:rPr>
                <w:lang w:eastAsia="es-ES"/>
              </w:rPr>
            </w:pPr>
            <w:r>
              <w:rPr>
                <w:lang w:eastAsia="es-ES"/>
              </w:rPr>
              <w:t>Examen periódico universal</w:t>
            </w:r>
            <w:r>
              <w:rPr>
                <w:spacing w:val="60"/>
                <w:sz w:val="17"/>
                <w:lang w:eastAsia="es-ES"/>
              </w:rPr>
              <w:tab/>
            </w:r>
          </w:p>
        </w:tc>
        <w:tc>
          <w:tcPr>
            <w:tcW w:w="994" w:type="dxa"/>
            <w:shd w:val="clear" w:color="auto" w:fill="auto"/>
            <w:vAlign w:val="bottom"/>
          </w:tcPr>
          <w:p w:rsidR="004D3325" w:rsidRDefault="004D3325" w:rsidP="00153172">
            <w:pPr>
              <w:spacing w:after="120"/>
              <w:jc w:val="right"/>
            </w:pPr>
            <w:r>
              <w:t>83</w:t>
            </w:r>
          </w:p>
        </w:tc>
        <w:tc>
          <w:tcPr>
            <w:tcW w:w="792" w:type="dxa"/>
            <w:shd w:val="clear" w:color="auto" w:fill="auto"/>
            <w:vAlign w:val="bottom"/>
          </w:tcPr>
          <w:p w:rsidR="004D3325" w:rsidRDefault="004D3325" w:rsidP="0016218E">
            <w:pPr>
              <w:spacing w:after="120"/>
              <w:jc w:val="right"/>
            </w:pPr>
            <w:r>
              <w:t>2</w:t>
            </w:r>
            <w:r w:rsidR="0016218E">
              <w:t>2</w:t>
            </w:r>
          </w:p>
        </w:tc>
      </w:tr>
      <w:tr w:rsidR="004D3325" w:rsidRPr="00153172" w:rsidTr="00153172">
        <w:tc>
          <w:tcPr>
            <w:tcW w:w="8116" w:type="dxa"/>
            <w:gridSpan w:val="2"/>
            <w:shd w:val="clear" w:color="auto" w:fill="auto"/>
          </w:tcPr>
          <w:p w:rsidR="004D3325" w:rsidRDefault="004D3325" w:rsidP="00583873">
            <w:pPr>
              <w:pStyle w:val="ListParagraph"/>
              <w:numPr>
                <w:ilvl w:val="1"/>
                <w:numId w:val="16"/>
              </w:numPr>
              <w:tabs>
                <w:tab w:val="clear" w:pos="1728"/>
                <w:tab w:val="right" w:pos="1080"/>
                <w:tab w:val="left" w:pos="1300"/>
                <w:tab w:val="left" w:pos="1740"/>
                <w:tab w:val="left" w:pos="2180"/>
                <w:tab w:val="left" w:pos="2620"/>
                <w:tab w:val="left" w:pos="3060"/>
                <w:tab w:val="left" w:pos="3500"/>
                <w:tab w:val="right" w:leader="dot" w:pos="9245"/>
              </w:tabs>
              <w:spacing w:after="120"/>
              <w:rPr>
                <w:lang w:eastAsia="es-ES"/>
              </w:rPr>
            </w:pPr>
            <w:r>
              <w:rPr>
                <w:lang w:eastAsia="es-ES"/>
              </w:rPr>
              <w:t>Instrumentos internacionales de derechos humanos y</w:t>
            </w:r>
            <w:r w:rsidR="00583873">
              <w:rPr>
                <w:lang w:eastAsia="es-ES"/>
              </w:rPr>
              <w:t xml:space="preserve"> </w:t>
            </w:r>
            <w:r>
              <w:rPr>
                <w:lang w:eastAsia="es-ES"/>
              </w:rPr>
              <w:t>transposición nacional de los tratados</w:t>
            </w:r>
            <w:r w:rsidR="00583873">
              <w:rPr>
                <w:spacing w:val="60"/>
                <w:sz w:val="17"/>
                <w:lang w:eastAsia="es-ES"/>
              </w:rPr>
              <w:tab/>
            </w:r>
          </w:p>
        </w:tc>
        <w:tc>
          <w:tcPr>
            <w:tcW w:w="994" w:type="dxa"/>
            <w:shd w:val="clear" w:color="auto" w:fill="auto"/>
            <w:vAlign w:val="bottom"/>
          </w:tcPr>
          <w:p w:rsidR="004D3325" w:rsidRDefault="004D3325" w:rsidP="00153172">
            <w:pPr>
              <w:spacing w:after="120"/>
              <w:jc w:val="right"/>
            </w:pPr>
            <w:r>
              <w:t>84</w:t>
            </w:r>
          </w:p>
        </w:tc>
        <w:tc>
          <w:tcPr>
            <w:tcW w:w="792" w:type="dxa"/>
            <w:shd w:val="clear" w:color="auto" w:fill="auto"/>
            <w:vAlign w:val="bottom"/>
          </w:tcPr>
          <w:p w:rsidR="004D3325" w:rsidRDefault="004D3325" w:rsidP="00153172">
            <w:pPr>
              <w:spacing w:after="120"/>
              <w:jc w:val="right"/>
            </w:pPr>
            <w:r>
              <w:t>22</w:t>
            </w:r>
          </w:p>
        </w:tc>
      </w:tr>
      <w:tr w:rsidR="004D3325" w:rsidRPr="00153172" w:rsidTr="00153172">
        <w:tc>
          <w:tcPr>
            <w:tcW w:w="8116" w:type="dxa"/>
            <w:gridSpan w:val="2"/>
            <w:shd w:val="clear" w:color="auto" w:fill="auto"/>
          </w:tcPr>
          <w:p w:rsidR="004D3325" w:rsidRDefault="004D3325" w:rsidP="004D3325">
            <w:pPr>
              <w:pStyle w:val="ListParagraph"/>
              <w:numPr>
                <w:ilvl w:val="1"/>
                <w:numId w:val="16"/>
              </w:numPr>
              <w:tabs>
                <w:tab w:val="clear" w:pos="1728"/>
                <w:tab w:val="right" w:pos="1080"/>
                <w:tab w:val="left" w:pos="1300"/>
                <w:tab w:val="left" w:pos="1740"/>
                <w:tab w:val="left" w:pos="2180"/>
                <w:tab w:val="left" w:pos="2620"/>
                <w:tab w:val="right" w:leader="dot" w:pos="9245"/>
              </w:tabs>
              <w:spacing w:after="120"/>
              <w:rPr>
                <w:lang w:eastAsia="es-ES"/>
              </w:rPr>
            </w:pPr>
            <w:r>
              <w:rPr>
                <w:lang w:eastAsia="es-ES"/>
              </w:rPr>
              <w:t>Poder judicial</w:t>
            </w:r>
            <w:r>
              <w:rPr>
                <w:spacing w:val="60"/>
                <w:sz w:val="17"/>
                <w:lang w:eastAsia="es-ES"/>
              </w:rPr>
              <w:tab/>
            </w:r>
          </w:p>
        </w:tc>
        <w:tc>
          <w:tcPr>
            <w:tcW w:w="994" w:type="dxa"/>
            <w:shd w:val="clear" w:color="auto" w:fill="auto"/>
            <w:vAlign w:val="bottom"/>
          </w:tcPr>
          <w:p w:rsidR="004D3325" w:rsidRDefault="004D3325" w:rsidP="00153172">
            <w:pPr>
              <w:spacing w:after="120"/>
              <w:jc w:val="right"/>
            </w:pPr>
            <w:r>
              <w:t>85–87</w:t>
            </w:r>
          </w:p>
        </w:tc>
        <w:tc>
          <w:tcPr>
            <w:tcW w:w="792" w:type="dxa"/>
            <w:shd w:val="clear" w:color="auto" w:fill="auto"/>
            <w:vAlign w:val="bottom"/>
          </w:tcPr>
          <w:p w:rsidR="004D3325" w:rsidRDefault="004D3325" w:rsidP="00153172">
            <w:pPr>
              <w:spacing w:after="120"/>
              <w:jc w:val="right"/>
            </w:pPr>
            <w:r>
              <w:t>22</w:t>
            </w:r>
          </w:p>
        </w:tc>
      </w:tr>
      <w:tr w:rsidR="004D3325" w:rsidRPr="00153172" w:rsidTr="00153172">
        <w:tc>
          <w:tcPr>
            <w:tcW w:w="8116" w:type="dxa"/>
            <w:gridSpan w:val="2"/>
            <w:shd w:val="clear" w:color="auto" w:fill="auto"/>
          </w:tcPr>
          <w:p w:rsidR="004D3325" w:rsidRDefault="004D3325" w:rsidP="004D3325">
            <w:pPr>
              <w:pStyle w:val="ListParagraph"/>
              <w:numPr>
                <w:ilvl w:val="1"/>
                <w:numId w:val="16"/>
              </w:numPr>
              <w:tabs>
                <w:tab w:val="clear" w:pos="1728"/>
                <w:tab w:val="right" w:pos="1080"/>
                <w:tab w:val="left" w:pos="1300"/>
                <w:tab w:val="left" w:pos="1740"/>
                <w:tab w:val="left" w:pos="2180"/>
                <w:tab w:val="left" w:pos="2620"/>
                <w:tab w:val="left" w:pos="3060"/>
                <w:tab w:val="left" w:pos="3500"/>
                <w:tab w:val="left" w:pos="3940"/>
                <w:tab w:val="left" w:pos="4380"/>
                <w:tab w:val="right" w:leader="dot" w:pos="9245"/>
              </w:tabs>
              <w:spacing w:after="120"/>
              <w:rPr>
                <w:lang w:eastAsia="es-ES"/>
              </w:rPr>
            </w:pPr>
            <w:r>
              <w:rPr>
                <w:lang w:eastAsia="es-ES"/>
              </w:rPr>
              <w:t>Comisión de Derechos Humanos</w:t>
            </w:r>
            <w:r>
              <w:rPr>
                <w:spacing w:val="60"/>
                <w:sz w:val="17"/>
                <w:lang w:eastAsia="es-ES"/>
              </w:rPr>
              <w:tab/>
            </w:r>
          </w:p>
        </w:tc>
        <w:tc>
          <w:tcPr>
            <w:tcW w:w="994" w:type="dxa"/>
            <w:shd w:val="clear" w:color="auto" w:fill="auto"/>
            <w:vAlign w:val="bottom"/>
          </w:tcPr>
          <w:p w:rsidR="004D3325" w:rsidRDefault="004D3325" w:rsidP="00153172">
            <w:pPr>
              <w:spacing w:after="120"/>
              <w:jc w:val="right"/>
            </w:pPr>
            <w:r>
              <w:t>88</w:t>
            </w:r>
          </w:p>
        </w:tc>
        <w:tc>
          <w:tcPr>
            <w:tcW w:w="792" w:type="dxa"/>
            <w:shd w:val="clear" w:color="auto" w:fill="auto"/>
            <w:vAlign w:val="bottom"/>
          </w:tcPr>
          <w:p w:rsidR="004D3325" w:rsidRDefault="004D3325" w:rsidP="00153172">
            <w:pPr>
              <w:spacing w:after="120"/>
              <w:jc w:val="right"/>
            </w:pPr>
            <w:r>
              <w:t>23</w:t>
            </w:r>
          </w:p>
        </w:tc>
      </w:tr>
      <w:tr w:rsidR="004D3325" w:rsidRPr="00153172" w:rsidTr="00153172">
        <w:tc>
          <w:tcPr>
            <w:tcW w:w="8116" w:type="dxa"/>
            <w:gridSpan w:val="2"/>
            <w:shd w:val="clear" w:color="auto" w:fill="auto"/>
          </w:tcPr>
          <w:p w:rsidR="004D3325" w:rsidRDefault="004D3325" w:rsidP="004D3325">
            <w:pPr>
              <w:pStyle w:val="ListParagraph"/>
              <w:numPr>
                <w:ilvl w:val="1"/>
                <w:numId w:val="16"/>
              </w:numPr>
              <w:tabs>
                <w:tab w:val="clear" w:pos="1728"/>
                <w:tab w:val="right" w:pos="1080"/>
                <w:tab w:val="left" w:pos="1300"/>
                <w:tab w:val="left" w:pos="1740"/>
                <w:tab w:val="left" w:pos="2180"/>
                <w:tab w:val="left" w:pos="2620"/>
                <w:tab w:val="left" w:pos="3060"/>
                <w:tab w:val="left" w:pos="3500"/>
                <w:tab w:val="left" w:pos="3940"/>
                <w:tab w:val="left" w:pos="4380"/>
                <w:tab w:val="right" w:leader="dot" w:pos="9245"/>
              </w:tabs>
              <w:spacing w:after="120"/>
              <w:rPr>
                <w:lang w:eastAsia="es-ES"/>
              </w:rPr>
            </w:pPr>
            <w:r>
              <w:rPr>
                <w:lang w:eastAsia="es-ES"/>
              </w:rPr>
              <w:t>Oficina del Defensor del Pueblo</w:t>
            </w:r>
            <w:r>
              <w:rPr>
                <w:spacing w:val="60"/>
                <w:sz w:val="17"/>
                <w:lang w:eastAsia="es-ES"/>
              </w:rPr>
              <w:tab/>
            </w:r>
          </w:p>
        </w:tc>
        <w:tc>
          <w:tcPr>
            <w:tcW w:w="994" w:type="dxa"/>
            <w:shd w:val="clear" w:color="auto" w:fill="auto"/>
            <w:vAlign w:val="bottom"/>
          </w:tcPr>
          <w:p w:rsidR="004D3325" w:rsidRDefault="004D3325" w:rsidP="00153172">
            <w:pPr>
              <w:spacing w:after="120"/>
              <w:jc w:val="right"/>
            </w:pPr>
            <w:r>
              <w:t>89</w:t>
            </w:r>
          </w:p>
        </w:tc>
        <w:tc>
          <w:tcPr>
            <w:tcW w:w="792" w:type="dxa"/>
            <w:shd w:val="clear" w:color="auto" w:fill="auto"/>
            <w:vAlign w:val="bottom"/>
          </w:tcPr>
          <w:p w:rsidR="004D3325" w:rsidRDefault="004D3325" w:rsidP="00153172">
            <w:pPr>
              <w:spacing w:after="120"/>
              <w:jc w:val="right"/>
            </w:pPr>
            <w:r>
              <w:t>23</w:t>
            </w:r>
          </w:p>
        </w:tc>
      </w:tr>
      <w:tr w:rsidR="004D3325" w:rsidRPr="00153172" w:rsidTr="00153172">
        <w:tc>
          <w:tcPr>
            <w:tcW w:w="8116" w:type="dxa"/>
            <w:gridSpan w:val="2"/>
            <w:shd w:val="clear" w:color="auto" w:fill="auto"/>
          </w:tcPr>
          <w:p w:rsidR="004D3325" w:rsidRDefault="004D3325" w:rsidP="004D3325">
            <w:pPr>
              <w:pStyle w:val="ListParagraph"/>
              <w:numPr>
                <w:ilvl w:val="1"/>
                <w:numId w:val="16"/>
              </w:numPr>
              <w:tabs>
                <w:tab w:val="clear" w:pos="1728"/>
                <w:tab w:val="right" w:pos="1080"/>
                <w:tab w:val="left" w:pos="1300"/>
                <w:tab w:val="left" w:pos="1740"/>
                <w:tab w:val="left" w:pos="2180"/>
                <w:tab w:val="left" w:pos="2620"/>
                <w:tab w:val="left" w:pos="3060"/>
                <w:tab w:val="right" w:leader="dot" w:pos="9245"/>
              </w:tabs>
              <w:spacing w:after="120"/>
              <w:rPr>
                <w:lang w:eastAsia="es-ES"/>
              </w:rPr>
            </w:pPr>
            <w:r>
              <w:rPr>
                <w:lang w:eastAsia="es-ES"/>
              </w:rPr>
              <w:t>Comisión Jurídica</w:t>
            </w:r>
            <w:r>
              <w:rPr>
                <w:spacing w:val="60"/>
                <w:sz w:val="17"/>
                <w:lang w:eastAsia="es-ES"/>
              </w:rPr>
              <w:tab/>
            </w:r>
          </w:p>
        </w:tc>
        <w:tc>
          <w:tcPr>
            <w:tcW w:w="994" w:type="dxa"/>
            <w:shd w:val="clear" w:color="auto" w:fill="auto"/>
            <w:vAlign w:val="bottom"/>
          </w:tcPr>
          <w:p w:rsidR="004D3325" w:rsidRDefault="004D3325" w:rsidP="00153172">
            <w:pPr>
              <w:spacing w:after="120"/>
              <w:jc w:val="right"/>
            </w:pPr>
            <w:r>
              <w:t>90–98</w:t>
            </w:r>
          </w:p>
        </w:tc>
        <w:tc>
          <w:tcPr>
            <w:tcW w:w="792" w:type="dxa"/>
            <w:shd w:val="clear" w:color="auto" w:fill="auto"/>
            <w:vAlign w:val="bottom"/>
          </w:tcPr>
          <w:p w:rsidR="004D3325" w:rsidRDefault="004D3325" w:rsidP="00153172">
            <w:pPr>
              <w:spacing w:after="120"/>
              <w:jc w:val="right"/>
            </w:pPr>
            <w:r>
              <w:t>23</w:t>
            </w:r>
          </w:p>
        </w:tc>
      </w:tr>
      <w:tr w:rsidR="004D3325" w:rsidRPr="00153172" w:rsidTr="00153172">
        <w:tc>
          <w:tcPr>
            <w:tcW w:w="8116" w:type="dxa"/>
            <w:gridSpan w:val="2"/>
            <w:shd w:val="clear" w:color="auto" w:fill="auto"/>
          </w:tcPr>
          <w:p w:rsidR="004D3325" w:rsidRDefault="004D3325" w:rsidP="004D3325">
            <w:pPr>
              <w:pStyle w:val="ListParagraph"/>
              <w:numPr>
                <w:ilvl w:val="1"/>
                <w:numId w:val="16"/>
              </w:numPr>
              <w:tabs>
                <w:tab w:val="clear" w:pos="1728"/>
                <w:tab w:val="right" w:pos="1080"/>
                <w:tab w:val="left" w:pos="1300"/>
                <w:tab w:val="left" w:pos="1740"/>
                <w:tab w:val="left" w:pos="2180"/>
                <w:tab w:val="left" w:pos="2620"/>
                <w:tab w:val="left" w:pos="3060"/>
                <w:tab w:val="right" w:leader="dot" w:pos="9245"/>
              </w:tabs>
              <w:spacing w:after="120"/>
              <w:rPr>
                <w:lang w:eastAsia="es-ES"/>
              </w:rPr>
            </w:pPr>
            <w:r>
              <w:rPr>
                <w:lang w:eastAsia="es-ES"/>
              </w:rPr>
              <w:t>Comisión Electoral</w:t>
            </w:r>
            <w:r>
              <w:rPr>
                <w:spacing w:val="60"/>
                <w:sz w:val="17"/>
                <w:lang w:eastAsia="es-ES"/>
              </w:rPr>
              <w:tab/>
            </w:r>
          </w:p>
        </w:tc>
        <w:tc>
          <w:tcPr>
            <w:tcW w:w="994" w:type="dxa"/>
            <w:shd w:val="clear" w:color="auto" w:fill="auto"/>
            <w:vAlign w:val="bottom"/>
          </w:tcPr>
          <w:p w:rsidR="004D3325" w:rsidRDefault="004D3325" w:rsidP="00583873">
            <w:pPr>
              <w:spacing w:after="120"/>
              <w:jc w:val="right"/>
            </w:pPr>
            <w:r>
              <w:t>99</w:t>
            </w:r>
            <w:r w:rsidR="00583873">
              <w:t>–100</w:t>
            </w:r>
          </w:p>
        </w:tc>
        <w:tc>
          <w:tcPr>
            <w:tcW w:w="792" w:type="dxa"/>
            <w:shd w:val="clear" w:color="auto" w:fill="auto"/>
            <w:vAlign w:val="bottom"/>
          </w:tcPr>
          <w:p w:rsidR="004D3325" w:rsidRDefault="004D3325" w:rsidP="00153172">
            <w:pPr>
              <w:spacing w:after="120"/>
              <w:jc w:val="right"/>
            </w:pPr>
            <w:r>
              <w:t>25</w:t>
            </w:r>
          </w:p>
        </w:tc>
      </w:tr>
      <w:tr w:rsidR="004D3325" w:rsidRPr="00153172" w:rsidTr="00153172">
        <w:tc>
          <w:tcPr>
            <w:tcW w:w="8116" w:type="dxa"/>
            <w:gridSpan w:val="2"/>
            <w:shd w:val="clear" w:color="auto" w:fill="auto"/>
          </w:tcPr>
          <w:p w:rsidR="004D3325" w:rsidRDefault="004D3325" w:rsidP="004D3325">
            <w:pPr>
              <w:pStyle w:val="ListParagraph"/>
              <w:numPr>
                <w:ilvl w:val="1"/>
                <w:numId w:val="16"/>
              </w:numPr>
              <w:tabs>
                <w:tab w:val="clear" w:pos="1728"/>
                <w:tab w:val="right" w:pos="1080"/>
                <w:tab w:val="left" w:pos="1300"/>
                <w:tab w:val="left" w:pos="1740"/>
                <w:tab w:val="left" w:pos="2180"/>
                <w:tab w:val="left" w:pos="2620"/>
                <w:tab w:val="left" w:pos="3060"/>
                <w:tab w:val="right" w:leader="dot" w:pos="9245"/>
              </w:tabs>
              <w:spacing w:after="120"/>
              <w:rPr>
                <w:lang w:eastAsia="es-ES"/>
              </w:rPr>
            </w:pPr>
            <w:r>
              <w:rPr>
                <w:lang w:eastAsia="es-ES"/>
              </w:rPr>
              <w:t>Servicio de Prisiones</w:t>
            </w:r>
            <w:r>
              <w:rPr>
                <w:spacing w:val="60"/>
                <w:sz w:val="17"/>
                <w:lang w:eastAsia="es-ES"/>
              </w:rPr>
              <w:tab/>
            </w:r>
          </w:p>
        </w:tc>
        <w:tc>
          <w:tcPr>
            <w:tcW w:w="994" w:type="dxa"/>
            <w:shd w:val="clear" w:color="auto" w:fill="auto"/>
            <w:vAlign w:val="bottom"/>
          </w:tcPr>
          <w:p w:rsidR="004D3325" w:rsidRDefault="00340710" w:rsidP="00340710">
            <w:pPr>
              <w:spacing w:after="120"/>
              <w:jc w:val="right"/>
            </w:pPr>
            <w:r>
              <w:t>101–106</w:t>
            </w:r>
          </w:p>
        </w:tc>
        <w:tc>
          <w:tcPr>
            <w:tcW w:w="792" w:type="dxa"/>
            <w:shd w:val="clear" w:color="auto" w:fill="auto"/>
            <w:vAlign w:val="bottom"/>
          </w:tcPr>
          <w:p w:rsidR="004D3325" w:rsidRDefault="004D3325" w:rsidP="00153172">
            <w:pPr>
              <w:spacing w:after="120"/>
              <w:jc w:val="right"/>
            </w:pPr>
            <w:r>
              <w:t>25</w:t>
            </w:r>
          </w:p>
        </w:tc>
      </w:tr>
      <w:tr w:rsidR="004D3325" w:rsidRPr="00153172" w:rsidTr="00153172">
        <w:tc>
          <w:tcPr>
            <w:tcW w:w="8116" w:type="dxa"/>
            <w:gridSpan w:val="2"/>
            <w:shd w:val="clear" w:color="auto" w:fill="auto"/>
          </w:tcPr>
          <w:p w:rsidR="004D3325" w:rsidRDefault="00340710" w:rsidP="00340710">
            <w:pPr>
              <w:pStyle w:val="ListParagraph"/>
              <w:numPr>
                <w:ilvl w:val="1"/>
                <w:numId w:val="16"/>
              </w:numPr>
              <w:tabs>
                <w:tab w:val="clear" w:pos="1728"/>
                <w:tab w:val="right" w:pos="1080"/>
                <w:tab w:val="left" w:pos="1300"/>
                <w:tab w:val="left" w:pos="1740"/>
                <w:tab w:val="left" w:pos="2180"/>
                <w:tab w:val="left" w:pos="2620"/>
                <w:tab w:val="left" w:pos="3060"/>
                <w:tab w:val="right" w:leader="dot" w:pos="9245"/>
              </w:tabs>
              <w:spacing w:after="120"/>
              <w:rPr>
                <w:lang w:eastAsia="es-ES"/>
              </w:rPr>
            </w:pPr>
            <w:r>
              <w:rPr>
                <w:lang w:eastAsia="es-ES"/>
              </w:rPr>
              <w:t>Servicio de Policía</w:t>
            </w:r>
            <w:r>
              <w:rPr>
                <w:spacing w:val="60"/>
                <w:sz w:val="17"/>
                <w:lang w:eastAsia="es-ES"/>
              </w:rPr>
              <w:tab/>
            </w:r>
          </w:p>
        </w:tc>
        <w:tc>
          <w:tcPr>
            <w:tcW w:w="994" w:type="dxa"/>
            <w:shd w:val="clear" w:color="auto" w:fill="auto"/>
            <w:vAlign w:val="bottom"/>
          </w:tcPr>
          <w:p w:rsidR="004D3325" w:rsidRDefault="00340710" w:rsidP="00153172">
            <w:pPr>
              <w:spacing w:after="120"/>
              <w:jc w:val="right"/>
            </w:pPr>
            <w:r>
              <w:t>107–111</w:t>
            </w:r>
          </w:p>
        </w:tc>
        <w:tc>
          <w:tcPr>
            <w:tcW w:w="792" w:type="dxa"/>
            <w:shd w:val="clear" w:color="auto" w:fill="auto"/>
            <w:vAlign w:val="bottom"/>
          </w:tcPr>
          <w:p w:rsidR="004D3325" w:rsidRDefault="0016218E" w:rsidP="00153172">
            <w:pPr>
              <w:spacing w:after="120"/>
              <w:jc w:val="right"/>
            </w:pPr>
            <w:r>
              <w:t>27</w:t>
            </w:r>
          </w:p>
        </w:tc>
      </w:tr>
      <w:tr w:rsidR="00340710" w:rsidRPr="00153172" w:rsidTr="00153172">
        <w:tc>
          <w:tcPr>
            <w:tcW w:w="8116" w:type="dxa"/>
            <w:gridSpan w:val="2"/>
            <w:shd w:val="clear" w:color="auto" w:fill="auto"/>
          </w:tcPr>
          <w:p w:rsidR="00340710" w:rsidRDefault="00340710" w:rsidP="00340710">
            <w:pPr>
              <w:pStyle w:val="ListParagraph"/>
              <w:numPr>
                <w:ilvl w:val="1"/>
                <w:numId w:val="16"/>
              </w:numPr>
              <w:tabs>
                <w:tab w:val="clear" w:pos="1728"/>
                <w:tab w:val="right" w:pos="1080"/>
                <w:tab w:val="left" w:pos="1300"/>
                <w:tab w:val="left" w:pos="1740"/>
                <w:tab w:val="left" w:pos="2180"/>
                <w:tab w:val="left" w:pos="2620"/>
                <w:tab w:val="left" w:pos="3060"/>
                <w:tab w:val="right" w:leader="dot" w:pos="9245"/>
              </w:tabs>
              <w:spacing w:after="120"/>
              <w:rPr>
                <w:lang w:eastAsia="es-ES"/>
              </w:rPr>
            </w:pPr>
            <w:r>
              <w:rPr>
                <w:lang w:eastAsia="es-ES"/>
              </w:rPr>
              <w:t>Ministerio de Igualdad de Género, Protección de la Infancia</w:t>
            </w:r>
            <w:r>
              <w:rPr>
                <w:lang w:eastAsia="es-ES"/>
              </w:rPr>
              <w:br/>
              <w:t>y Asistencia Social</w:t>
            </w:r>
            <w:r>
              <w:rPr>
                <w:spacing w:val="60"/>
                <w:sz w:val="17"/>
                <w:lang w:eastAsia="es-ES"/>
              </w:rPr>
              <w:tab/>
            </w:r>
          </w:p>
        </w:tc>
        <w:tc>
          <w:tcPr>
            <w:tcW w:w="994" w:type="dxa"/>
            <w:shd w:val="clear" w:color="auto" w:fill="auto"/>
            <w:vAlign w:val="bottom"/>
          </w:tcPr>
          <w:p w:rsidR="00340710" w:rsidRDefault="00340710" w:rsidP="00153172">
            <w:pPr>
              <w:spacing w:after="120"/>
              <w:jc w:val="right"/>
            </w:pPr>
            <w:r>
              <w:t>112</w:t>
            </w:r>
          </w:p>
        </w:tc>
        <w:tc>
          <w:tcPr>
            <w:tcW w:w="792" w:type="dxa"/>
            <w:shd w:val="clear" w:color="auto" w:fill="auto"/>
            <w:vAlign w:val="bottom"/>
          </w:tcPr>
          <w:p w:rsidR="00340710" w:rsidRDefault="00340710" w:rsidP="00153172">
            <w:pPr>
              <w:spacing w:after="120"/>
              <w:jc w:val="right"/>
            </w:pPr>
            <w:r>
              <w:t>28</w:t>
            </w:r>
          </w:p>
        </w:tc>
      </w:tr>
      <w:tr w:rsidR="00340710" w:rsidRPr="00153172" w:rsidTr="00153172">
        <w:tc>
          <w:tcPr>
            <w:tcW w:w="8116" w:type="dxa"/>
            <w:gridSpan w:val="2"/>
            <w:shd w:val="clear" w:color="auto" w:fill="auto"/>
          </w:tcPr>
          <w:p w:rsidR="00340710" w:rsidRDefault="00340710" w:rsidP="00340710">
            <w:pPr>
              <w:pStyle w:val="ListParagraph"/>
              <w:numPr>
                <w:ilvl w:val="1"/>
                <w:numId w:val="16"/>
              </w:numPr>
              <w:tabs>
                <w:tab w:val="clear" w:pos="1728"/>
                <w:tab w:val="right" w:pos="1080"/>
                <w:tab w:val="left" w:pos="1300"/>
                <w:tab w:val="left" w:pos="1740"/>
                <w:tab w:val="left" w:pos="2180"/>
                <w:tab w:val="left" w:pos="2620"/>
                <w:tab w:val="left" w:pos="3060"/>
                <w:tab w:val="left" w:pos="3500"/>
                <w:tab w:val="left" w:pos="3940"/>
                <w:tab w:val="left" w:pos="4380"/>
                <w:tab w:val="left" w:pos="4820"/>
                <w:tab w:val="left" w:pos="5260"/>
                <w:tab w:val="left" w:pos="5700"/>
                <w:tab w:val="right" w:leader="dot" w:pos="9245"/>
              </w:tabs>
              <w:spacing w:after="120"/>
              <w:rPr>
                <w:lang w:eastAsia="es-ES"/>
              </w:rPr>
            </w:pPr>
            <w:r>
              <w:rPr>
                <w:lang w:eastAsia="es-ES"/>
              </w:rPr>
              <w:t>Ministerio de Justicia y Asuntos Constitucionales</w:t>
            </w:r>
            <w:r>
              <w:rPr>
                <w:spacing w:val="60"/>
                <w:sz w:val="17"/>
                <w:lang w:eastAsia="es-ES"/>
              </w:rPr>
              <w:tab/>
            </w:r>
          </w:p>
        </w:tc>
        <w:tc>
          <w:tcPr>
            <w:tcW w:w="994" w:type="dxa"/>
            <w:shd w:val="clear" w:color="auto" w:fill="auto"/>
            <w:vAlign w:val="bottom"/>
          </w:tcPr>
          <w:p w:rsidR="00340710" w:rsidRDefault="00340710" w:rsidP="00153172">
            <w:pPr>
              <w:spacing w:after="120"/>
              <w:jc w:val="right"/>
            </w:pPr>
            <w:r>
              <w:t>113–119</w:t>
            </w:r>
          </w:p>
        </w:tc>
        <w:tc>
          <w:tcPr>
            <w:tcW w:w="792" w:type="dxa"/>
            <w:shd w:val="clear" w:color="auto" w:fill="auto"/>
            <w:vAlign w:val="bottom"/>
          </w:tcPr>
          <w:p w:rsidR="00340710" w:rsidRDefault="00340710" w:rsidP="00153172">
            <w:pPr>
              <w:spacing w:after="120"/>
              <w:jc w:val="right"/>
            </w:pPr>
            <w:r>
              <w:t>28</w:t>
            </w:r>
          </w:p>
        </w:tc>
      </w:tr>
      <w:tr w:rsidR="00340710" w:rsidRPr="00153172" w:rsidTr="00153172">
        <w:tc>
          <w:tcPr>
            <w:tcW w:w="8116" w:type="dxa"/>
            <w:gridSpan w:val="2"/>
            <w:shd w:val="clear" w:color="auto" w:fill="auto"/>
          </w:tcPr>
          <w:p w:rsidR="00340710" w:rsidRDefault="00340710" w:rsidP="00340710">
            <w:pPr>
              <w:pStyle w:val="ListParagraph"/>
              <w:numPr>
                <w:ilvl w:val="1"/>
                <w:numId w:val="16"/>
              </w:numPr>
              <w:tabs>
                <w:tab w:val="clear" w:pos="1728"/>
                <w:tab w:val="right" w:pos="1080"/>
                <w:tab w:val="left" w:pos="1300"/>
                <w:tab w:val="left" w:pos="1740"/>
                <w:tab w:val="left" w:pos="2180"/>
                <w:tab w:val="left" w:pos="2620"/>
                <w:tab w:val="right" w:leader="dot" w:pos="9245"/>
              </w:tabs>
              <w:spacing w:after="120"/>
              <w:rPr>
                <w:lang w:eastAsia="es-ES"/>
              </w:rPr>
            </w:pPr>
            <w:r>
              <w:rPr>
                <w:lang w:eastAsia="es-ES"/>
              </w:rPr>
              <w:t>Sociedad civil</w:t>
            </w:r>
            <w:r>
              <w:rPr>
                <w:spacing w:val="60"/>
                <w:sz w:val="17"/>
                <w:lang w:eastAsia="es-ES"/>
              </w:rPr>
              <w:tab/>
            </w:r>
          </w:p>
        </w:tc>
        <w:tc>
          <w:tcPr>
            <w:tcW w:w="994" w:type="dxa"/>
            <w:shd w:val="clear" w:color="auto" w:fill="auto"/>
            <w:vAlign w:val="bottom"/>
          </w:tcPr>
          <w:p w:rsidR="00340710" w:rsidRDefault="00340710" w:rsidP="00153172">
            <w:pPr>
              <w:spacing w:after="120"/>
              <w:jc w:val="right"/>
            </w:pPr>
            <w:r>
              <w:t>120</w:t>
            </w:r>
          </w:p>
        </w:tc>
        <w:tc>
          <w:tcPr>
            <w:tcW w:w="792" w:type="dxa"/>
            <w:shd w:val="clear" w:color="auto" w:fill="auto"/>
            <w:vAlign w:val="bottom"/>
          </w:tcPr>
          <w:p w:rsidR="00340710" w:rsidRDefault="0016218E" w:rsidP="00153172">
            <w:pPr>
              <w:spacing w:after="120"/>
              <w:jc w:val="right"/>
            </w:pPr>
            <w:r>
              <w:t>30</w:t>
            </w:r>
          </w:p>
        </w:tc>
      </w:tr>
      <w:tr w:rsidR="00340710" w:rsidRPr="00153172" w:rsidTr="00153172">
        <w:tc>
          <w:tcPr>
            <w:tcW w:w="8116" w:type="dxa"/>
            <w:gridSpan w:val="2"/>
            <w:shd w:val="clear" w:color="auto" w:fill="auto"/>
          </w:tcPr>
          <w:p w:rsidR="00340710" w:rsidRDefault="00340710" w:rsidP="00340710">
            <w:pPr>
              <w:pStyle w:val="ListParagraph"/>
              <w:numPr>
                <w:ilvl w:val="1"/>
                <w:numId w:val="16"/>
              </w:numPr>
              <w:tabs>
                <w:tab w:val="clear" w:pos="1728"/>
                <w:tab w:val="right" w:pos="1080"/>
                <w:tab w:val="left" w:pos="1300"/>
                <w:tab w:val="left" w:pos="1740"/>
                <w:tab w:val="left" w:pos="2180"/>
                <w:tab w:val="left" w:pos="2620"/>
                <w:tab w:val="left" w:pos="3060"/>
                <w:tab w:val="left" w:pos="3500"/>
                <w:tab w:val="left" w:pos="3940"/>
                <w:tab w:val="left" w:pos="4380"/>
                <w:tab w:val="left" w:pos="4820"/>
                <w:tab w:val="right" w:leader="dot" w:pos="9245"/>
              </w:tabs>
              <w:spacing w:after="120"/>
              <w:rPr>
                <w:lang w:eastAsia="es-ES"/>
              </w:rPr>
            </w:pPr>
            <w:r>
              <w:rPr>
                <w:lang w:eastAsia="es-ES"/>
              </w:rPr>
              <w:t>Oficina de Lucha contra la Corrupción</w:t>
            </w:r>
            <w:r>
              <w:rPr>
                <w:spacing w:val="60"/>
                <w:sz w:val="17"/>
                <w:lang w:eastAsia="es-ES"/>
              </w:rPr>
              <w:tab/>
            </w:r>
          </w:p>
        </w:tc>
        <w:tc>
          <w:tcPr>
            <w:tcW w:w="994" w:type="dxa"/>
            <w:shd w:val="clear" w:color="auto" w:fill="auto"/>
            <w:vAlign w:val="bottom"/>
          </w:tcPr>
          <w:p w:rsidR="00340710" w:rsidRDefault="00340710" w:rsidP="00153172">
            <w:pPr>
              <w:spacing w:after="120"/>
              <w:jc w:val="right"/>
            </w:pPr>
            <w:r>
              <w:t>121–122</w:t>
            </w:r>
          </w:p>
        </w:tc>
        <w:tc>
          <w:tcPr>
            <w:tcW w:w="792" w:type="dxa"/>
            <w:shd w:val="clear" w:color="auto" w:fill="auto"/>
            <w:vAlign w:val="bottom"/>
          </w:tcPr>
          <w:p w:rsidR="00340710" w:rsidRDefault="00340710" w:rsidP="00153172">
            <w:pPr>
              <w:spacing w:after="120"/>
              <w:jc w:val="right"/>
            </w:pPr>
            <w:r>
              <w:t>30</w:t>
            </w:r>
          </w:p>
        </w:tc>
      </w:tr>
      <w:tr w:rsidR="00340710" w:rsidRPr="00153172" w:rsidTr="00153172">
        <w:tc>
          <w:tcPr>
            <w:tcW w:w="8116" w:type="dxa"/>
            <w:gridSpan w:val="2"/>
            <w:shd w:val="clear" w:color="auto" w:fill="auto"/>
          </w:tcPr>
          <w:p w:rsidR="00340710" w:rsidRDefault="00340710" w:rsidP="00340710">
            <w:pPr>
              <w:pStyle w:val="ListParagraph"/>
              <w:numPr>
                <w:ilvl w:val="0"/>
                <w:numId w:val="16"/>
              </w:numPr>
              <w:tabs>
                <w:tab w:val="clear" w:pos="1296"/>
                <w:tab w:val="right" w:pos="1080"/>
                <w:tab w:val="left" w:pos="1300"/>
                <w:tab w:val="left" w:pos="1740"/>
                <w:tab w:val="left" w:pos="2180"/>
                <w:tab w:val="left" w:pos="2620"/>
                <w:tab w:val="left" w:pos="3060"/>
                <w:tab w:val="left" w:pos="3500"/>
                <w:tab w:val="left" w:pos="3940"/>
                <w:tab w:val="left" w:pos="4380"/>
                <w:tab w:val="left" w:pos="4820"/>
                <w:tab w:val="left" w:pos="5260"/>
                <w:tab w:val="right" w:leader="dot" w:pos="9245"/>
              </w:tabs>
              <w:spacing w:after="120"/>
              <w:rPr>
                <w:lang w:eastAsia="es-ES"/>
              </w:rPr>
            </w:pPr>
            <w:r>
              <w:rPr>
                <w:lang w:eastAsia="es-ES"/>
              </w:rPr>
              <w:tab/>
              <w:t>Igualdad, no discriminación y recursos efectivos</w:t>
            </w:r>
            <w:r>
              <w:rPr>
                <w:spacing w:val="60"/>
                <w:sz w:val="17"/>
                <w:lang w:eastAsia="es-ES"/>
              </w:rPr>
              <w:tab/>
            </w:r>
          </w:p>
        </w:tc>
        <w:tc>
          <w:tcPr>
            <w:tcW w:w="994" w:type="dxa"/>
            <w:shd w:val="clear" w:color="auto" w:fill="auto"/>
            <w:vAlign w:val="bottom"/>
          </w:tcPr>
          <w:p w:rsidR="00340710" w:rsidRDefault="00340710" w:rsidP="00153172">
            <w:pPr>
              <w:spacing w:after="120"/>
              <w:jc w:val="right"/>
            </w:pPr>
            <w:r>
              <w:t>123–137</w:t>
            </w:r>
          </w:p>
        </w:tc>
        <w:tc>
          <w:tcPr>
            <w:tcW w:w="792" w:type="dxa"/>
            <w:shd w:val="clear" w:color="auto" w:fill="auto"/>
            <w:vAlign w:val="bottom"/>
          </w:tcPr>
          <w:p w:rsidR="00340710" w:rsidRDefault="005649C0" w:rsidP="00153172">
            <w:pPr>
              <w:spacing w:after="120"/>
              <w:jc w:val="right"/>
            </w:pPr>
            <w:r>
              <w:t>31</w:t>
            </w:r>
          </w:p>
        </w:tc>
      </w:tr>
      <w:tr w:rsidR="00340710" w:rsidRPr="00153172" w:rsidTr="00153172">
        <w:tc>
          <w:tcPr>
            <w:tcW w:w="8116" w:type="dxa"/>
            <w:gridSpan w:val="2"/>
            <w:shd w:val="clear" w:color="auto" w:fill="auto"/>
          </w:tcPr>
          <w:p w:rsidR="00340710" w:rsidRDefault="00340710" w:rsidP="00340710">
            <w:pPr>
              <w:pStyle w:val="ListParagraph"/>
              <w:numPr>
                <w:ilvl w:val="1"/>
                <w:numId w:val="16"/>
              </w:numPr>
              <w:tabs>
                <w:tab w:val="clear" w:pos="1728"/>
                <w:tab w:val="right" w:pos="1080"/>
                <w:tab w:val="left" w:pos="1300"/>
                <w:tab w:val="left" w:pos="1740"/>
                <w:tab w:val="left" w:pos="2180"/>
                <w:tab w:val="left" w:pos="2620"/>
                <w:tab w:val="left" w:pos="3060"/>
                <w:tab w:val="left" w:pos="3500"/>
                <w:tab w:val="left" w:pos="3940"/>
                <w:tab w:val="right" w:leader="dot" w:pos="9245"/>
              </w:tabs>
              <w:spacing w:after="120"/>
              <w:rPr>
                <w:lang w:eastAsia="es-ES"/>
              </w:rPr>
            </w:pPr>
            <w:r>
              <w:rPr>
                <w:lang w:eastAsia="es-ES"/>
              </w:rPr>
              <w:t>Igualdad y no discriminación</w:t>
            </w:r>
            <w:r>
              <w:rPr>
                <w:spacing w:val="60"/>
                <w:sz w:val="17"/>
                <w:lang w:eastAsia="es-ES"/>
              </w:rPr>
              <w:tab/>
            </w:r>
          </w:p>
        </w:tc>
        <w:tc>
          <w:tcPr>
            <w:tcW w:w="994" w:type="dxa"/>
            <w:shd w:val="clear" w:color="auto" w:fill="auto"/>
            <w:vAlign w:val="bottom"/>
          </w:tcPr>
          <w:p w:rsidR="00340710" w:rsidRDefault="00340710" w:rsidP="00153172">
            <w:pPr>
              <w:spacing w:after="120"/>
              <w:jc w:val="right"/>
            </w:pPr>
            <w:r>
              <w:t>123–132</w:t>
            </w:r>
          </w:p>
        </w:tc>
        <w:tc>
          <w:tcPr>
            <w:tcW w:w="792" w:type="dxa"/>
            <w:shd w:val="clear" w:color="auto" w:fill="auto"/>
            <w:vAlign w:val="bottom"/>
          </w:tcPr>
          <w:p w:rsidR="00340710" w:rsidRDefault="005649C0" w:rsidP="00153172">
            <w:pPr>
              <w:spacing w:after="120"/>
              <w:jc w:val="right"/>
            </w:pPr>
            <w:r>
              <w:t>31</w:t>
            </w:r>
          </w:p>
        </w:tc>
      </w:tr>
      <w:tr w:rsidR="00340710" w:rsidRPr="00153172" w:rsidTr="00153172">
        <w:tc>
          <w:tcPr>
            <w:tcW w:w="8116" w:type="dxa"/>
            <w:gridSpan w:val="2"/>
            <w:shd w:val="clear" w:color="auto" w:fill="auto"/>
          </w:tcPr>
          <w:p w:rsidR="00340710" w:rsidRDefault="00340710" w:rsidP="00340710">
            <w:pPr>
              <w:pStyle w:val="ListParagraph"/>
              <w:numPr>
                <w:ilvl w:val="1"/>
                <w:numId w:val="16"/>
              </w:numPr>
              <w:tabs>
                <w:tab w:val="clear" w:pos="1728"/>
                <w:tab w:val="right" w:pos="1080"/>
                <w:tab w:val="left" w:pos="1300"/>
                <w:tab w:val="left" w:pos="1740"/>
                <w:tab w:val="left" w:pos="2180"/>
                <w:tab w:val="left" w:pos="2620"/>
                <w:tab w:val="left" w:pos="3060"/>
                <w:tab w:val="right" w:leader="dot" w:pos="9245"/>
              </w:tabs>
              <w:spacing w:after="120"/>
              <w:rPr>
                <w:lang w:eastAsia="es-ES"/>
              </w:rPr>
            </w:pPr>
            <w:r>
              <w:rPr>
                <w:lang w:eastAsia="es-ES"/>
              </w:rPr>
              <w:t>Recursos efectivos</w:t>
            </w:r>
            <w:r>
              <w:rPr>
                <w:spacing w:val="60"/>
                <w:sz w:val="17"/>
                <w:lang w:eastAsia="es-ES"/>
              </w:rPr>
              <w:tab/>
            </w:r>
          </w:p>
        </w:tc>
        <w:tc>
          <w:tcPr>
            <w:tcW w:w="994" w:type="dxa"/>
            <w:shd w:val="clear" w:color="auto" w:fill="auto"/>
            <w:vAlign w:val="bottom"/>
          </w:tcPr>
          <w:p w:rsidR="00340710" w:rsidRDefault="00340710" w:rsidP="00153172">
            <w:pPr>
              <w:spacing w:after="120"/>
              <w:jc w:val="right"/>
            </w:pPr>
            <w:r>
              <w:t>133–137</w:t>
            </w:r>
          </w:p>
        </w:tc>
        <w:tc>
          <w:tcPr>
            <w:tcW w:w="792" w:type="dxa"/>
            <w:shd w:val="clear" w:color="auto" w:fill="auto"/>
            <w:vAlign w:val="bottom"/>
          </w:tcPr>
          <w:p w:rsidR="00340710" w:rsidRDefault="005649C0" w:rsidP="00153172">
            <w:pPr>
              <w:spacing w:after="120"/>
              <w:jc w:val="right"/>
            </w:pPr>
            <w:r>
              <w:t>33</w:t>
            </w:r>
          </w:p>
        </w:tc>
      </w:tr>
      <w:tr w:rsidR="00A206E2" w:rsidRPr="00153172" w:rsidTr="00A206E2">
        <w:tc>
          <w:tcPr>
            <w:tcW w:w="9110" w:type="dxa"/>
            <w:gridSpan w:val="3"/>
            <w:shd w:val="clear" w:color="auto" w:fill="auto"/>
          </w:tcPr>
          <w:p w:rsidR="00A206E2" w:rsidRDefault="00A206E2" w:rsidP="00A206E2">
            <w:pPr>
              <w:pStyle w:val="ListParagraph"/>
              <w:tabs>
                <w:tab w:val="right" w:pos="1080"/>
                <w:tab w:val="left" w:pos="1296"/>
                <w:tab w:val="right" w:pos="1714"/>
                <w:tab w:val="left" w:pos="2160"/>
                <w:tab w:val="left" w:pos="2592"/>
                <w:tab w:val="left" w:pos="3024"/>
                <w:tab w:val="left" w:pos="3456"/>
              </w:tabs>
              <w:spacing w:after="120"/>
              <w:ind w:left="475"/>
            </w:pPr>
            <w:r>
              <w:t xml:space="preserve">Apéndices </w:t>
            </w:r>
          </w:p>
        </w:tc>
        <w:tc>
          <w:tcPr>
            <w:tcW w:w="792" w:type="dxa"/>
            <w:shd w:val="clear" w:color="auto" w:fill="auto"/>
            <w:vAlign w:val="bottom"/>
          </w:tcPr>
          <w:p w:rsidR="00A206E2" w:rsidRDefault="00A206E2" w:rsidP="00A206E2">
            <w:pPr>
              <w:spacing w:after="120"/>
              <w:jc w:val="right"/>
            </w:pPr>
          </w:p>
        </w:tc>
      </w:tr>
      <w:tr w:rsidR="00A206E2" w:rsidRPr="00153172" w:rsidTr="00A206E2">
        <w:tc>
          <w:tcPr>
            <w:tcW w:w="9110" w:type="dxa"/>
            <w:gridSpan w:val="3"/>
            <w:shd w:val="clear" w:color="auto" w:fill="auto"/>
          </w:tcPr>
          <w:p w:rsidR="00A206E2" w:rsidRPr="00A206E2" w:rsidRDefault="00A206E2" w:rsidP="00D27624">
            <w:pPr>
              <w:pStyle w:val="ListParagraph"/>
              <w:tabs>
                <w:tab w:val="right" w:pos="1080"/>
                <w:tab w:val="left" w:pos="1300"/>
                <w:tab w:val="left" w:pos="1740"/>
                <w:tab w:val="left" w:pos="2180"/>
                <w:tab w:val="left" w:pos="2620"/>
                <w:tab w:val="left" w:pos="3060"/>
                <w:tab w:val="left" w:pos="3500"/>
                <w:tab w:val="left" w:pos="3940"/>
                <w:tab w:val="left" w:pos="4380"/>
                <w:tab w:val="left" w:pos="4820"/>
                <w:tab w:val="left" w:pos="5260"/>
                <w:tab w:val="left" w:pos="5700"/>
                <w:tab w:val="left" w:pos="6140"/>
                <w:tab w:val="left" w:pos="6580"/>
                <w:tab w:val="right" w:leader="dot" w:pos="9245"/>
              </w:tabs>
              <w:spacing w:after="120"/>
              <w:ind w:left="950"/>
              <w:rPr>
                <w:spacing w:val="60"/>
                <w:sz w:val="17"/>
                <w:lang w:val="en-US"/>
              </w:rPr>
            </w:pPr>
            <w:r w:rsidRPr="00E95B97">
              <w:rPr>
                <w:lang w:val="en-US"/>
              </w:rPr>
              <w:t>I</w:t>
            </w:r>
            <w:r w:rsidR="009269B6">
              <w:rPr>
                <w:rStyle w:val="FootnoteReference"/>
                <w:lang w:val="en-US"/>
              </w:rPr>
              <w:footnoteReference w:id="2"/>
            </w:r>
            <w:r w:rsidRPr="00E95B97">
              <w:rPr>
                <w:lang w:val="en-US"/>
              </w:rPr>
              <w:t>.</w:t>
            </w:r>
            <w:r w:rsidRPr="00E95B97">
              <w:rPr>
                <w:lang w:val="en-US"/>
              </w:rPr>
              <w:tab/>
            </w:r>
            <w:r w:rsidRPr="00A206E2">
              <w:rPr>
                <w:lang w:val="en-US"/>
              </w:rPr>
              <w:t>Status of Law Reform of Programmes in Malawi (1996–2011)</w:t>
            </w:r>
            <w:r>
              <w:rPr>
                <w:spacing w:val="60"/>
                <w:sz w:val="17"/>
                <w:lang w:val="en-US"/>
              </w:rPr>
              <w:tab/>
            </w:r>
          </w:p>
        </w:tc>
        <w:tc>
          <w:tcPr>
            <w:tcW w:w="792" w:type="dxa"/>
            <w:shd w:val="clear" w:color="auto" w:fill="auto"/>
            <w:vAlign w:val="bottom"/>
          </w:tcPr>
          <w:p w:rsidR="00A206E2" w:rsidRDefault="00A206E2" w:rsidP="00A206E2">
            <w:pPr>
              <w:spacing w:after="120"/>
              <w:jc w:val="right"/>
            </w:pPr>
            <w:r>
              <w:t>35</w:t>
            </w:r>
          </w:p>
        </w:tc>
      </w:tr>
      <w:tr w:rsidR="00A206E2" w:rsidRPr="00153172" w:rsidTr="00A206E2">
        <w:tc>
          <w:tcPr>
            <w:tcW w:w="9110" w:type="dxa"/>
            <w:gridSpan w:val="3"/>
            <w:shd w:val="clear" w:color="auto" w:fill="auto"/>
          </w:tcPr>
          <w:p w:rsidR="00A206E2" w:rsidRPr="00A206E2" w:rsidRDefault="00A206E2" w:rsidP="00A206E2">
            <w:pPr>
              <w:pStyle w:val="ListParagraph"/>
              <w:tabs>
                <w:tab w:val="right" w:pos="1080"/>
                <w:tab w:val="left" w:pos="1300"/>
                <w:tab w:val="left" w:pos="1740"/>
                <w:tab w:val="left" w:pos="2180"/>
                <w:tab w:val="left" w:pos="2620"/>
                <w:tab w:val="left" w:pos="3060"/>
                <w:tab w:val="left" w:pos="3500"/>
                <w:tab w:val="left" w:pos="3940"/>
                <w:tab w:val="left" w:pos="4380"/>
                <w:tab w:val="left" w:pos="4820"/>
                <w:tab w:val="left" w:pos="5260"/>
                <w:tab w:val="left" w:pos="5700"/>
                <w:tab w:val="left" w:pos="6140"/>
                <w:tab w:val="right" w:leader="dot" w:pos="9245"/>
              </w:tabs>
              <w:spacing w:after="120"/>
              <w:ind w:left="950"/>
              <w:rPr>
                <w:spacing w:val="60"/>
                <w:sz w:val="17"/>
                <w:lang w:val="en-US"/>
              </w:rPr>
            </w:pPr>
            <w:r w:rsidRPr="00A206E2">
              <w:rPr>
                <w:lang w:val="en-US"/>
              </w:rPr>
              <w:t>II.</w:t>
            </w:r>
            <w:r w:rsidRPr="00A206E2">
              <w:rPr>
                <w:lang w:val="en-US"/>
              </w:rPr>
              <w:tab/>
              <w:t>List of human rights instruments to which Malawi is a party</w:t>
            </w:r>
            <w:r w:rsidRPr="00A206E2">
              <w:rPr>
                <w:spacing w:val="60"/>
                <w:sz w:val="17"/>
                <w:lang w:val="en-US"/>
              </w:rPr>
              <w:tab/>
            </w:r>
          </w:p>
        </w:tc>
        <w:tc>
          <w:tcPr>
            <w:tcW w:w="792" w:type="dxa"/>
            <w:shd w:val="clear" w:color="auto" w:fill="auto"/>
            <w:vAlign w:val="bottom"/>
          </w:tcPr>
          <w:p w:rsidR="00A206E2" w:rsidRDefault="00A206E2" w:rsidP="00A206E2">
            <w:pPr>
              <w:spacing w:after="120"/>
              <w:jc w:val="right"/>
            </w:pPr>
            <w:r>
              <w:t>38</w:t>
            </w:r>
          </w:p>
        </w:tc>
      </w:tr>
    </w:tbl>
    <w:p w:rsidR="00900D74" w:rsidRDefault="00900D74" w:rsidP="00900D74">
      <w:r>
        <w:br w:type="page"/>
      </w:r>
    </w:p>
    <w:p w:rsidR="00DD6BED" w:rsidRDefault="00DD6BED" w:rsidP="00DD6BED">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hanging="1267"/>
        <w:rPr>
          <w:lang w:val="es-ES_tradnl"/>
        </w:rPr>
      </w:pPr>
      <w:r>
        <w:rPr>
          <w:lang w:val="es-ES_tradnl"/>
        </w:rPr>
        <w:lastRenderedPageBreak/>
        <w:tab/>
      </w:r>
      <w:r w:rsidRPr="00DD6BED">
        <w:rPr>
          <w:lang w:val="es-ES_tradnl"/>
        </w:rPr>
        <w:t>I.</w:t>
      </w:r>
      <w:r>
        <w:rPr>
          <w:lang w:val="es-ES_tradnl"/>
        </w:rPr>
        <w:tab/>
      </w:r>
      <w:r w:rsidRPr="00DD6BED">
        <w:rPr>
          <w:lang w:val="es-ES_tradnl"/>
        </w:rPr>
        <w:t>Información general sobre Malawi</w:t>
      </w:r>
      <w:r w:rsidR="00665209">
        <w:rPr>
          <w:lang w:val="es-ES_tradnl"/>
        </w:rPr>
        <w:t xml:space="preserve"> </w:t>
      </w:r>
    </w:p>
    <w:p w:rsidR="00DD6BED" w:rsidRPr="001939B3" w:rsidRDefault="00DD6BED" w:rsidP="001939B3">
      <w:pPr>
        <w:spacing w:line="120" w:lineRule="exact"/>
        <w:rPr>
          <w:sz w:val="10"/>
          <w:lang w:val="es-ES_tradnl"/>
        </w:rPr>
      </w:pPr>
    </w:p>
    <w:p w:rsidR="001939B3" w:rsidRPr="00DD6BED" w:rsidRDefault="001939B3" w:rsidP="00DD6BED">
      <w:pPr>
        <w:spacing w:line="120" w:lineRule="exact"/>
        <w:rPr>
          <w:sz w:val="10"/>
          <w:lang w:val="es-ES_tradnl"/>
        </w:rPr>
      </w:pPr>
    </w:p>
    <w:p w:rsidR="00DD6BED" w:rsidRPr="00DD6BED" w:rsidRDefault="00DD6BED" w:rsidP="00DD6BED">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hanging="1267"/>
        <w:rPr>
          <w:lang w:val="es-ES_tradnl"/>
        </w:rPr>
      </w:pPr>
      <w:r>
        <w:rPr>
          <w:lang w:val="es-ES_tradnl"/>
        </w:rPr>
        <w:tab/>
      </w:r>
      <w:r w:rsidRPr="00DD6BED">
        <w:rPr>
          <w:lang w:val="es-ES_tradnl"/>
        </w:rPr>
        <w:t>A.</w:t>
      </w:r>
      <w:r>
        <w:rPr>
          <w:lang w:val="es-ES_tradnl"/>
        </w:rPr>
        <w:tab/>
      </w:r>
      <w:r w:rsidRPr="00DD6BED">
        <w:rPr>
          <w:lang w:val="es-ES_tradnl"/>
        </w:rPr>
        <w:t>Introducción</w:t>
      </w:r>
    </w:p>
    <w:p w:rsidR="00DD6BED" w:rsidRPr="001939B3" w:rsidRDefault="00DD6BED" w:rsidP="001939B3">
      <w:pPr>
        <w:spacing w:line="120" w:lineRule="exact"/>
        <w:rPr>
          <w:sz w:val="10"/>
          <w:lang w:val="es-ES_tradnl"/>
        </w:rPr>
      </w:pPr>
    </w:p>
    <w:p w:rsidR="001939B3" w:rsidRPr="00DD6BED" w:rsidRDefault="001939B3" w:rsidP="00DD6BED">
      <w:pPr>
        <w:spacing w:line="120" w:lineRule="exact"/>
        <w:rPr>
          <w:sz w:val="10"/>
          <w:lang w:val="es-ES_tradnl"/>
        </w:rPr>
      </w:pPr>
    </w:p>
    <w:p w:rsidR="00DD6BED" w:rsidRDefault="00DD6BED" w:rsidP="00DD6BED">
      <w:pPr>
        <w:pStyle w:val="SingleTxt"/>
        <w:numPr>
          <w:ilvl w:val="0"/>
          <w:numId w:val="4"/>
        </w:numPr>
        <w:suppressAutoHyphens w:val="0"/>
        <w:ind w:left="1267"/>
      </w:pPr>
      <w:r w:rsidRPr="00DD6BED">
        <w:t xml:space="preserve">El Gobierno de </w:t>
      </w:r>
      <w:smartTag w:uri="urn:schemas-microsoft-com:office:smarttags" w:element="PersonName">
        <w:smartTagPr>
          <w:attr w:name="ProductID" w:val="la Rep￺blica"/>
        </w:smartTagPr>
        <w:r w:rsidRPr="00DD6BED">
          <w:t>la República</w:t>
        </w:r>
      </w:smartTag>
      <w:r w:rsidRPr="00DD6BED">
        <w:t xml:space="preserve"> de Malawi se complace en presentar este documento básico de conformidad con el Sistema Armonizado de presentación de informes con arreglo a los instrumentos internacionales de derechos humanos. El presente documento contiene información de antecedentes amplia sobre Malawi, relativa las características generales el país. La información está actualizada hasta</w:t>
      </w:r>
      <w:r w:rsidR="00D27624">
        <w:t> </w:t>
      </w:r>
      <w:r w:rsidRPr="00DD6BED">
        <w:t>2012, en su caso, y se refiere al período examinado que termina en ese año.</w:t>
      </w:r>
    </w:p>
    <w:p w:rsidR="00DD6BED" w:rsidRPr="001939B3" w:rsidRDefault="00DD6BED" w:rsidP="001939B3">
      <w:pPr>
        <w:spacing w:line="120" w:lineRule="exact"/>
        <w:rPr>
          <w:b/>
          <w:sz w:val="10"/>
          <w:lang w:val="es-ES_tradnl"/>
        </w:rPr>
      </w:pPr>
    </w:p>
    <w:p w:rsidR="001939B3" w:rsidRPr="00DD6BED" w:rsidRDefault="001939B3" w:rsidP="00DD6BED">
      <w:pPr>
        <w:spacing w:line="120" w:lineRule="exact"/>
        <w:rPr>
          <w:b/>
          <w:sz w:val="10"/>
          <w:lang w:val="es-ES_tradnl"/>
        </w:rPr>
      </w:pPr>
    </w:p>
    <w:p w:rsidR="00DD6BED" w:rsidRDefault="00DD6BED" w:rsidP="00DD6BED">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hanging="1267"/>
        <w:rPr>
          <w:lang w:val="es-ES_tradnl"/>
        </w:rPr>
      </w:pPr>
      <w:r>
        <w:rPr>
          <w:lang w:val="es-ES_tradnl"/>
        </w:rPr>
        <w:tab/>
      </w:r>
      <w:r w:rsidRPr="00DD6BED">
        <w:rPr>
          <w:lang w:val="es-ES_tradnl"/>
        </w:rPr>
        <w:t>B.</w:t>
      </w:r>
      <w:r>
        <w:rPr>
          <w:lang w:val="es-ES_tradnl"/>
        </w:rPr>
        <w:tab/>
      </w:r>
      <w:r w:rsidRPr="00DD6BED">
        <w:rPr>
          <w:lang w:val="es-ES_tradnl"/>
        </w:rPr>
        <w:t>Características geográficas, demográficas, económicas, sociales</w:t>
      </w:r>
      <w:r>
        <w:rPr>
          <w:lang w:val="es-ES_tradnl"/>
        </w:rPr>
        <w:br/>
      </w:r>
      <w:r w:rsidRPr="00DD6BED">
        <w:rPr>
          <w:lang w:val="es-ES_tradnl"/>
        </w:rPr>
        <w:t>y culturales de Malawi</w:t>
      </w:r>
    </w:p>
    <w:p w:rsidR="00DD6BED" w:rsidRPr="001939B3" w:rsidRDefault="00DD6BED" w:rsidP="001939B3">
      <w:pPr>
        <w:spacing w:line="120" w:lineRule="exact"/>
        <w:rPr>
          <w:sz w:val="10"/>
          <w:lang w:val="es-ES_tradnl"/>
        </w:rPr>
      </w:pPr>
    </w:p>
    <w:p w:rsidR="001939B3" w:rsidRPr="00DD6BED" w:rsidRDefault="001939B3" w:rsidP="00DD6BED">
      <w:pPr>
        <w:spacing w:line="120" w:lineRule="exact"/>
        <w:rPr>
          <w:sz w:val="10"/>
          <w:lang w:val="es-ES_tradnl"/>
        </w:rPr>
      </w:pPr>
    </w:p>
    <w:p w:rsidR="00DD6BED" w:rsidRPr="00DD6BED" w:rsidRDefault="00DD6BED" w:rsidP="00DD6BE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hanging="1267"/>
        <w:rPr>
          <w:lang w:val="es-ES_tradnl"/>
        </w:rPr>
      </w:pPr>
      <w:r>
        <w:rPr>
          <w:lang w:val="es-ES_tradnl"/>
        </w:rPr>
        <w:tab/>
      </w:r>
      <w:r w:rsidRPr="00DD6BED">
        <w:rPr>
          <w:lang w:val="es-ES_tradnl"/>
        </w:rPr>
        <w:t>1.</w:t>
      </w:r>
      <w:r>
        <w:rPr>
          <w:lang w:val="es-ES_tradnl"/>
        </w:rPr>
        <w:tab/>
      </w:r>
      <w:r w:rsidRPr="00DD6BED">
        <w:rPr>
          <w:lang w:val="es-ES_tradnl"/>
        </w:rPr>
        <w:t>Características geográficas, demográficas y sociales</w:t>
      </w:r>
    </w:p>
    <w:p w:rsidR="00DD6BED" w:rsidRPr="00DD6BED" w:rsidRDefault="00DD6BED" w:rsidP="00DD6BED">
      <w:pPr>
        <w:spacing w:line="120" w:lineRule="exact"/>
        <w:rPr>
          <w:sz w:val="10"/>
          <w:lang w:val="es-ES_tradnl"/>
        </w:rPr>
      </w:pPr>
    </w:p>
    <w:p w:rsidR="00DD6BED" w:rsidRPr="00DD6BED" w:rsidRDefault="00DD6BED" w:rsidP="00DD6BED">
      <w:pPr>
        <w:pStyle w:val="SingleTxt"/>
        <w:numPr>
          <w:ilvl w:val="0"/>
          <w:numId w:val="4"/>
        </w:numPr>
        <w:suppressAutoHyphens w:val="0"/>
        <w:ind w:left="1267"/>
        <w:rPr>
          <w:lang w:val="es-ES_tradnl"/>
        </w:rPr>
      </w:pPr>
      <w:r w:rsidRPr="00DD6BED">
        <w:rPr>
          <w:lang w:val="es-ES_tradnl"/>
        </w:rPr>
        <w:t xml:space="preserve">Malawi está situado al sur del ecuador y limita al norte y el nordeste con </w:t>
      </w:r>
      <w:smartTag w:uri="urn:schemas-microsoft-com:office:smarttags" w:element="PersonName">
        <w:smartTagPr>
          <w:attr w:name="ProductID" w:val="la Rep￺blica Unida"/>
        </w:smartTagPr>
        <w:smartTag w:uri="urn:schemas-microsoft-com:office:smarttags" w:element="PersonName">
          <w:smartTagPr>
            <w:attr w:name="ProductID" w:val="la Rep￺blica"/>
          </w:smartTagPr>
          <w:r w:rsidRPr="00DD6BED">
            <w:rPr>
              <w:lang w:val="es-ES_tradnl"/>
            </w:rPr>
            <w:t>la República</w:t>
          </w:r>
        </w:smartTag>
        <w:r w:rsidRPr="00DD6BED">
          <w:rPr>
            <w:lang w:val="es-ES_tradnl"/>
          </w:rPr>
          <w:t xml:space="preserve"> Unida</w:t>
        </w:r>
      </w:smartTag>
      <w:r w:rsidRPr="00DD6BED">
        <w:rPr>
          <w:lang w:val="es-ES_tradnl"/>
        </w:rPr>
        <w:t xml:space="preserve"> de Tanzanía, al este, sur y suroeste con </w:t>
      </w:r>
      <w:smartTag w:uri="urn:schemas-microsoft-com:office:smarttags" w:element="PersonName">
        <w:smartTagPr>
          <w:attr w:name="ProductID" w:val="la Rep￺blica"/>
        </w:smartTagPr>
        <w:r w:rsidRPr="00DD6BED">
          <w:rPr>
            <w:lang w:val="es-ES_tradnl"/>
          </w:rPr>
          <w:t>la República</w:t>
        </w:r>
      </w:smartTag>
      <w:r w:rsidRPr="00DD6BED">
        <w:rPr>
          <w:lang w:val="es-ES_tradnl"/>
        </w:rPr>
        <w:t xml:space="preserve"> de Mozambique y al oeste y el noroeste con </w:t>
      </w:r>
      <w:smartTag w:uri="urn:schemas-microsoft-com:office:smarttags" w:element="PersonName">
        <w:smartTagPr>
          <w:attr w:name="ProductID" w:val="la Rep￺blica"/>
        </w:smartTagPr>
        <w:r w:rsidRPr="00DD6BED">
          <w:rPr>
            <w:lang w:val="es-ES_tradnl"/>
          </w:rPr>
          <w:t>la República</w:t>
        </w:r>
      </w:smartTag>
      <w:r w:rsidRPr="00DD6BED">
        <w:rPr>
          <w:lang w:val="es-ES_tradnl"/>
        </w:rPr>
        <w:t xml:space="preserve"> de Zambia.</w:t>
      </w:r>
    </w:p>
    <w:p w:rsidR="00DD6BED" w:rsidRPr="00DD6BED" w:rsidRDefault="00DD6BED" w:rsidP="00DD6BED">
      <w:pPr>
        <w:pStyle w:val="SingleTxt"/>
        <w:numPr>
          <w:ilvl w:val="0"/>
          <w:numId w:val="4"/>
        </w:numPr>
        <w:suppressAutoHyphens w:val="0"/>
        <w:ind w:left="1267"/>
        <w:rPr>
          <w:lang w:val="es-ES_tradnl"/>
        </w:rPr>
      </w:pPr>
      <w:r w:rsidRPr="00DD6BED">
        <w:rPr>
          <w:lang w:val="es-ES_tradnl"/>
        </w:rPr>
        <w:t xml:space="preserve">El país tiene una longitud de </w:t>
      </w:r>
      <w:smartTag w:uri="urn:schemas-microsoft-com:office:smarttags" w:element="metricconverter">
        <w:smartTagPr>
          <w:attr w:name="ProductID" w:val="901 km"/>
        </w:smartTagPr>
        <w:r w:rsidRPr="00DD6BED">
          <w:rPr>
            <w:lang w:val="es-ES_tradnl"/>
          </w:rPr>
          <w:t>901 km</w:t>
        </w:r>
      </w:smartTag>
      <w:r w:rsidRPr="00DD6BED">
        <w:rPr>
          <w:lang w:val="es-ES_tradnl"/>
        </w:rPr>
        <w:t xml:space="preserve"> y varía entre </w:t>
      </w:r>
      <w:smartTag w:uri="urn:schemas-microsoft-com:office:smarttags" w:element="metricconverter">
        <w:smartTagPr>
          <w:attr w:name="ProductID" w:val="80 km"/>
        </w:smartTagPr>
        <w:r w:rsidRPr="00DD6BED">
          <w:rPr>
            <w:lang w:val="es-ES_tradnl"/>
          </w:rPr>
          <w:t>80 km</w:t>
        </w:r>
      </w:smartTag>
      <w:r w:rsidRPr="00DD6BED">
        <w:rPr>
          <w:lang w:val="es-ES_tradnl"/>
        </w:rPr>
        <w:t xml:space="preserve"> y </w:t>
      </w:r>
      <w:smartTag w:uri="urn:schemas-microsoft-com:office:smarttags" w:element="metricconverter">
        <w:smartTagPr>
          <w:attr w:name="ProductID" w:val="161 km"/>
        </w:smartTagPr>
        <w:r w:rsidRPr="00DD6BED">
          <w:rPr>
            <w:lang w:val="es-ES_tradnl"/>
          </w:rPr>
          <w:t>161 km</w:t>
        </w:r>
      </w:smartTag>
      <w:r w:rsidRPr="00DD6BED">
        <w:rPr>
          <w:lang w:val="es-ES_tradnl"/>
        </w:rPr>
        <w:t xml:space="preserve"> de anchura. La superficie total es de 118.484 km</w:t>
      </w:r>
      <w:r w:rsidRPr="00DD6BED">
        <w:rPr>
          <w:vertAlign w:val="superscript"/>
          <w:lang w:val="es-ES_tradnl"/>
        </w:rPr>
        <w:t>2</w:t>
      </w:r>
      <w:r w:rsidRPr="00DD6BED">
        <w:rPr>
          <w:lang w:val="es-ES_tradnl"/>
        </w:rPr>
        <w:t xml:space="preserve"> aproximadamente, de los cuales 94.276 km</w:t>
      </w:r>
      <w:r w:rsidRPr="00DD6BED">
        <w:rPr>
          <w:vertAlign w:val="superscript"/>
          <w:lang w:val="es-ES_tradnl"/>
        </w:rPr>
        <w:t xml:space="preserve">2 </w:t>
      </w:r>
      <w:r w:rsidRPr="00DD6BED">
        <w:rPr>
          <w:lang w:val="es-ES_tradnl"/>
        </w:rPr>
        <w:t xml:space="preserve">son tierra. El resto lo componen masas de agua, la mayor de las cuales es el lago Malawi, que tiene una longitud de unos </w:t>
      </w:r>
      <w:smartTag w:uri="urn:schemas-microsoft-com:office:smarttags" w:element="metricconverter">
        <w:smartTagPr>
          <w:attr w:name="ProductID" w:val="475 km"/>
        </w:smartTagPr>
        <w:r w:rsidRPr="00DD6BED">
          <w:rPr>
            <w:lang w:val="es-ES_tradnl"/>
          </w:rPr>
          <w:t>475 km</w:t>
        </w:r>
      </w:smartTag>
      <w:r w:rsidRPr="00DD6BED">
        <w:rPr>
          <w:lang w:val="es-ES_tradnl"/>
        </w:rPr>
        <w:t xml:space="preserve"> y delimita la frontera oriental con Mozambique y Tanzanía. El accidente geográfico más sobresaliente es el Gran Valle de Rift, que se extiende longitudinalmente a lo largo del país y en el que se halla el lago Malawi. Este lago, que es una de las mayores masas de agua potable de África, desagua en el río Shire, que desemboca en el río Zambezi, en Mozambique. La cota más alta de Malawi es el monte Mulanje, que se eleva </w:t>
      </w:r>
      <w:smartTag w:uri="urn:schemas-microsoft-com:office:smarttags" w:element="metricconverter">
        <w:smartTagPr>
          <w:attr w:name="ProductID" w:val="3.000 m"/>
        </w:smartTagPr>
        <w:r w:rsidRPr="00DD6BED">
          <w:rPr>
            <w:lang w:val="es-ES_tradnl"/>
          </w:rPr>
          <w:t>3.000 m</w:t>
        </w:r>
      </w:smartTag>
      <w:r w:rsidRPr="00DD6BED">
        <w:rPr>
          <w:lang w:val="es-ES_tradnl"/>
        </w:rPr>
        <w:t xml:space="preserve"> por encima del nivel del mar. </w:t>
      </w:r>
    </w:p>
    <w:p w:rsidR="00DD6BED" w:rsidRPr="00DD6BED" w:rsidRDefault="00DD6BED" w:rsidP="00DD6BED">
      <w:pPr>
        <w:pStyle w:val="SingleTxt"/>
        <w:numPr>
          <w:ilvl w:val="0"/>
          <w:numId w:val="4"/>
        </w:numPr>
        <w:suppressAutoHyphens w:val="0"/>
        <w:ind w:left="1267"/>
        <w:rPr>
          <w:lang w:val="es-ES_tradnl"/>
        </w:rPr>
      </w:pPr>
      <w:r w:rsidRPr="00DD6BED">
        <w:rPr>
          <w:lang w:val="es-ES_tradnl"/>
        </w:rPr>
        <w:t xml:space="preserve">El país se divide en tres regiones administrativas (Septentrional, Central y Meridional) y 28 distritos, de los cuales </w:t>
      </w:r>
      <w:r w:rsidR="00D27624">
        <w:rPr>
          <w:lang w:val="es-ES_tradnl"/>
        </w:rPr>
        <w:t>6</w:t>
      </w:r>
      <w:r w:rsidRPr="00DD6BED">
        <w:rPr>
          <w:lang w:val="es-ES_tradnl"/>
        </w:rPr>
        <w:t xml:space="preserve"> pertenecen a </w:t>
      </w:r>
      <w:smartTag w:uri="urn:schemas-microsoft-com:office:smarttags" w:element="PersonName">
        <w:smartTagPr>
          <w:attr w:name="ProductID" w:val="la Regi￳n Septentrional"/>
        </w:smartTagPr>
        <w:smartTag w:uri="urn:schemas-microsoft-com:office:smarttags" w:element="PersonName">
          <w:smartTagPr>
            <w:attr w:name="ProductID" w:val="la Regi￳n"/>
          </w:smartTagPr>
          <w:r w:rsidRPr="00DD6BED">
            <w:rPr>
              <w:lang w:val="es-ES_tradnl"/>
            </w:rPr>
            <w:t>la Región</w:t>
          </w:r>
        </w:smartTag>
        <w:r w:rsidRPr="00DD6BED">
          <w:rPr>
            <w:lang w:val="es-ES_tradnl"/>
          </w:rPr>
          <w:t xml:space="preserve"> Septentrional</w:t>
        </w:r>
      </w:smartTag>
      <w:r w:rsidRPr="00DD6BED">
        <w:rPr>
          <w:lang w:val="es-ES_tradnl"/>
        </w:rPr>
        <w:t xml:space="preserve">; </w:t>
      </w:r>
      <w:r w:rsidR="00D27624">
        <w:rPr>
          <w:lang w:val="es-ES_tradnl"/>
        </w:rPr>
        <w:t>9</w:t>
      </w:r>
      <w:r w:rsidRPr="00DD6BED">
        <w:rPr>
          <w:lang w:val="es-ES_tradnl"/>
        </w:rPr>
        <w:t xml:space="preserve">, a </w:t>
      </w:r>
      <w:smartTag w:uri="urn:schemas-microsoft-com:office:smarttags" w:element="PersonName">
        <w:smartTagPr>
          <w:attr w:name="ProductID" w:val="la Regi￳n"/>
        </w:smartTagPr>
        <w:r w:rsidRPr="00DD6BED">
          <w:rPr>
            <w:lang w:val="es-ES_tradnl"/>
          </w:rPr>
          <w:t>la Región</w:t>
        </w:r>
      </w:smartTag>
      <w:r w:rsidRPr="00DD6BED">
        <w:rPr>
          <w:lang w:val="es-ES_tradnl"/>
        </w:rPr>
        <w:t xml:space="preserve"> </w:t>
      </w:r>
      <w:r w:rsidR="00D27624" w:rsidRPr="00DD6BED">
        <w:rPr>
          <w:lang w:val="es-ES_tradnl"/>
        </w:rPr>
        <w:t>Central</w:t>
      </w:r>
      <w:r w:rsidRPr="00DD6BED">
        <w:rPr>
          <w:lang w:val="es-ES_tradnl"/>
        </w:rPr>
        <w:t xml:space="preserve">, y </w:t>
      </w:r>
      <w:smartTag w:uri="urn:schemas-microsoft-com:office:smarttags" w:element="metricconverter">
        <w:smartTagPr>
          <w:attr w:name="ProductID" w:val="13, a"/>
        </w:smartTagPr>
        <w:r w:rsidRPr="00DD6BED">
          <w:rPr>
            <w:lang w:val="es-ES_tradnl"/>
          </w:rPr>
          <w:t>13, a</w:t>
        </w:r>
      </w:smartTag>
      <w:r w:rsidRPr="00DD6BED">
        <w:rPr>
          <w:lang w:val="es-ES_tradnl"/>
        </w:rPr>
        <w:t xml:space="preserve"> </w:t>
      </w:r>
      <w:smartTag w:uri="urn:schemas-microsoft-com:office:smarttags" w:element="PersonName">
        <w:smartTagPr>
          <w:attr w:name="ProductID" w:val="la Regi￳n Meridional."/>
        </w:smartTagPr>
        <w:smartTag w:uri="urn:schemas-microsoft-com:office:smarttags" w:element="PersonName">
          <w:smartTagPr>
            <w:attr w:name="ProductID" w:val="la Regi￳n"/>
          </w:smartTagPr>
          <w:r w:rsidRPr="00DD6BED">
            <w:rPr>
              <w:lang w:val="es-ES_tradnl"/>
            </w:rPr>
            <w:t>la Región</w:t>
          </w:r>
        </w:smartTag>
        <w:r w:rsidRPr="00DD6BED">
          <w:rPr>
            <w:lang w:val="es-ES_tradnl"/>
          </w:rPr>
          <w:t xml:space="preserve"> Meridional.</w:t>
        </w:r>
      </w:smartTag>
      <w:r w:rsidRPr="00DD6BED">
        <w:rPr>
          <w:lang w:val="es-ES_tradnl"/>
        </w:rPr>
        <w:t xml:space="preserve"> En la administración local, cada distrito tiene unos jefes, de los cuales el inferior es el jefe de aldea y el superior, el jefe supremo. Entre medias, se hallan los jefes de grupos de aldeas, las autoridades tradicionales, los jefes y los jefes superiores. Sin embargo, no todos los distritos tienen jefes supremos, que suelen corresponder a grupos étnicos más que a localidades.</w:t>
      </w:r>
    </w:p>
    <w:p w:rsidR="00DD6BED" w:rsidRPr="00DD6BED" w:rsidRDefault="00DD6BED" w:rsidP="00DD6BED">
      <w:pPr>
        <w:pStyle w:val="SingleTxt"/>
        <w:numPr>
          <w:ilvl w:val="0"/>
          <w:numId w:val="4"/>
        </w:numPr>
        <w:suppressAutoHyphens w:val="0"/>
        <w:ind w:left="1267"/>
      </w:pPr>
      <w:r w:rsidRPr="00DD6BED">
        <w:t>Malawi tiene un clima continental tropical con influencias marítimas. Las precipitaciones y la temperatura varían en función de la altitud y la proximidad del lago. El tiempo es fresco y seco de mayo a agosto y caluroso de septiembre a noviembre. La estación de las lluvias empieza en octubre o noviembre y dura hasta abril.</w:t>
      </w:r>
    </w:p>
    <w:p w:rsidR="00DD6BED" w:rsidRDefault="00DD6BED" w:rsidP="00DD6BED">
      <w:pPr>
        <w:pStyle w:val="SingleTxt"/>
        <w:numPr>
          <w:ilvl w:val="0"/>
          <w:numId w:val="4"/>
        </w:numPr>
        <w:suppressAutoHyphens w:val="0"/>
        <w:ind w:left="1267"/>
      </w:pPr>
      <w:r w:rsidRPr="00DD6BED">
        <w:t>Malawi es una nación pluriétnica. El quinto censo de población y vivienda, que es el más reciente, se levantó en junio de</w:t>
      </w:r>
      <w:r w:rsidR="00ED7E22">
        <w:t xml:space="preserve"> </w:t>
      </w:r>
      <w:r w:rsidRPr="00DD6BED">
        <w:t xml:space="preserve">2008. En el cuadro 1 se muestra que la población aumentó de 4.039.583 en </w:t>
      </w:r>
      <w:smartTag w:uri="urn:schemas-microsoft-com:office:smarttags" w:element="metricconverter">
        <w:smartTagPr>
          <w:attr w:name="ProductID" w:val="1966 a"/>
        </w:smartTagPr>
        <w:r w:rsidRPr="00DD6BED">
          <w:t>1966 a</w:t>
        </w:r>
      </w:smartTag>
      <w:r w:rsidRPr="00DD6BED">
        <w:t xml:space="preserve"> 13.077.160 en 2008, lo que representa un incremento de 9</w:t>
      </w:r>
      <w:r w:rsidR="00ED7E22">
        <w:t xml:space="preserve"> </w:t>
      </w:r>
      <w:r w:rsidRPr="00DD6BED">
        <w:t>millones de habitantes. El censo de 2008 se consideraba un instrumento importante para evaluar los avances de Malawi hacia el logro de los Objetivos de Desarrollo del Milenio (ODM).</w:t>
      </w:r>
    </w:p>
    <w:p w:rsidR="00DD6BED" w:rsidRPr="001D582A" w:rsidRDefault="00DD6BED" w:rsidP="001D582A">
      <w:pPr>
        <w:pStyle w:val="SingleTxt"/>
        <w:spacing w:after="0" w:line="120" w:lineRule="exact"/>
        <w:rPr>
          <w:sz w:val="10"/>
        </w:rPr>
      </w:pPr>
    </w:p>
    <w:p w:rsidR="00DD6BED" w:rsidRDefault="00DD6BED" w:rsidP="00DD6BED">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DD6BED">
        <w:t>Distribución por edad y sexo</w:t>
      </w:r>
    </w:p>
    <w:p w:rsidR="00DD6BED" w:rsidRPr="00DD6BED" w:rsidRDefault="00DD6BED" w:rsidP="00DD6BED">
      <w:pPr>
        <w:pStyle w:val="SingleTxt"/>
        <w:spacing w:after="0" w:line="120" w:lineRule="exact"/>
        <w:rPr>
          <w:sz w:val="10"/>
        </w:rPr>
      </w:pPr>
    </w:p>
    <w:p w:rsidR="00DD6BED" w:rsidRDefault="00DD6BED" w:rsidP="00DD6BED">
      <w:pPr>
        <w:pStyle w:val="SingleTxt"/>
        <w:numPr>
          <w:ilvl w:val="0"/>
          <w:numId w:val="4"/>
        </w:numPr>
        <w:suppressAutoHyphens w:val="0"/>
        <w:ind w:left="1267"/>
      </w:pPr>
      <w:r w:rsidRPr="00DD6BED">
        <w:t xml:space="preserve">El censo de 2008 reveló que 2,8 millones de habitantes de Malawi tenían menos de 5 años de edad y alrededor de 6 millones, 18 años o más. A nivel nacional, reveló que aproximadamente el 7% de la población total del país tenía menos de 1 año de </w:t>
      </w:r>
      <w:r w:rsidRPr="00DD6BED">
        <w:lastRenderedPageBreak/>
        <w:t>edad; el 22%, menos de 5 años, y alrededor del 46%, 18 años o más, con solo un 4% de 65 años o más. La edad mediana era de 17 años, signo de una población joven.</w:t>
      </w:r>
    </w:p>
    <w:p w:rsidR="00DD6BED" w:rsidRPr="001D582A" w:rsidRDefault="00DD6BED" w:rsidP="001D582A">
      <w:pPr>
        <w:pStyle w:val="SingleTxt"/>
        <w:spacing w:after="0" w:line="120" w:lineRule="exact"/>
        <w:rPr>
          <w:sz w:val="10"/>
        </w:rPr>
      </w:pPr>
    </w:p>
    <w:p w:rsidR="00DD6BED" w:rsidRPr="00DD6BED" w:rsidRDefault="00DD6BED" w:rsidP="00DD6BED">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DD6BED">
        <w:t>Personas con discapacidad</w:t>
      </w:r>
    </w:p>
    <w:p w:rsidR="00DD6BED" w:rsidRPr="00DD6BED" w:rsidRDefault="00DD6BED" w:rsidP="00DD6BED">
      <w:pPr>
        <w:spacing w:line="120" w:lineRule="exact"/>
        <w:rPr>
          <w:sz w:val="10"/>
        </w:rPr>
      </w:pPr>
    </w:p>
    <w:p w:rsidR="00DD6BED" w:rsidRDefault="00DD6BED" w:rsidP="00DD6BED">
      <w:pPr>
        <w:pStyle w:val="SingleTxt"/>
        <w:numPr>
          <w:ilvl w:val="0"/>
          <w:numId w:val="4"/>
        </w:numPr>
        <w:suppressAutoHyphens w:val="0"/>
        <w:ind w:left="1267"/>
      </w:pPr>
      <w:r w:rsidRPr="00DD6BED">
        <w:t>Por personas con discapacidad se entiende las que tienen dificultades o problemas de vista, de oído, de habla y de movilidad. El número total de personas con discapacidad era de 498.122, lo que representaba alrededor del 4% de la población total. Se observaban diferencias entre las zonas urbanas y las rurales. De las personas con discapacidad, 452.743 vivían en zonas rurales y 45.379, en zonas urbanas. De las personas con discapacidad, 133.273 (el 26,7%) tenían problemas de vista,; 108.870 (el 21,9%), de movilidad; 82.180 (el 16,5%), de oído, y 30.198 (menos del 1%), de habla.</w:t>
      </w:r>
    </w:p>
    <w:p w:rsidR="00DD6BED" w:rsidRPr="00DD6BED" w:rsidRDefault="00DD6BED" w:rsidP="00DD6BED">
      <w:pPr>
        <w:pStyle w:val="SingleTxt"/>
        <w:suppressAutoHyphens w:val="0"/>
        <w:spacing w:after="0" w:line="120" w:lineRule="exact"/>
        <w:ind w:left="0"/>
        <w:rPr>
          <w:sz w:val="10"/>
        </w:rPr>
      </w:pPr>
    </w:p>
    <w:p w:rsidR="00DD6BED" w:rsidRPr="00DD6BED" w:rsidRDefault="00DD6BED" w:rsidP="00DD6BED">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hanging="1267"/>
      </w:pPr>
      <w:r>
        <w:tab/>
      </w:r>
      <w:r>
        <w:tab/>
      </w:r>
      <w:r w:rsidRPr="00DD6BED">
        <w:t>Densidad de población</w:t>
      </w:r>
    </w:p>
    <w:p w:rsidR="00DD6BED" w:rsidRPr="00DD6BED" w:rsidRDefault="00DD6BED" w:rsidP="00DD6BED">
      <w:pPr>
        <w:spacing w:line="120" w:lineRule="exact"/>
        <w:rPr>
          <w:sz w:val="10"/>
        </w:rPr>
      </w:pPr>
    </w:p>
    <w:p w:rsidR="00900D74" w:rsidRDefault="00DD6BED" w:rsidP="00DD6BED">
      <w:pPr>
        <w:pStyle w:val="SingleTxt"/>
        <w:numPr>
          <w:ilvl w:val="0"/>
          <w:numId w:val="4"/>
        </w:numPr>
        <w:suppressAutoHyphens w:val="0"/>
        <w:ind w:left="1267"/>
      </w:pPr>
      <w:r w:rsidRPr="00DD6BED">
        <w:t>En el gráfico 1 se muestra su distribución por regiones y distritos en 2008. La densidad de población ha seguido una tendencia ascendente en los tres últimos decenios, pasando de 85 personas por km</w:t>
      </w:r>
      <w:r w:rsidRPr="00DD6BED">
        <w:rPr>
          <w:vertAlign w:val="superscript"/>
        </w:rPr>
        <w:t>2</w:t>
      </w:r>
      <w:r w:rsidRPr="00DD6BED">
        <w:t xml:space="preserve"> en </w:t>
      </w:r>
      <w:smartTag w:uri="urn:schemas-microsoft-com:office:smarttags" w:element="metricconverter">
        <w:smartTagPr>
          <w:attr w:name="ProductID" w:val="1987 a"/>
        </w:smartTagPr>
        <w:r w:rsidRPr="00DD6BED">
          <w:t>1987 a</w:t>
        </w:r>
      </w:smartTag>
      <w:r w:rsidRPr="00DD6BED">
        <w:t xml:space="preserve"> 105 en 1998 y a 139 en 2008. El número de habitantes por km</w:t>
      </w:r>
      <w:r w:rsidRPr="00DD6BED">
        <w:rPr>
          <w:vertAlign w:val="superscript"/>
        </w:rPr>
        <w:t>2</w:t>
      </w:r>
      <w:r w:rsidRPr="00DD6BED">
        <w:t xml:space="preserve"> es mayor en </w:t>
      </w:r>
      <w:smartTag w:uri="urn:schemas-microsoft-com:office:smarttags" w:element="PersonName">
        <w:smartTagPr>
          <w:attr w:name="ProductID" w:val="la Regi￳n Meridional"/>
        </w:smartTagPr>
        <w:r w:rsidRPr="00DD6BED">
          <w:t>la Región Meridional</w:t>
        </w:r>
      </w:smartTag>
      <w:r w:rsidRPr="00DD6BED">
        <w:t xml:space="preserve"> (184) que en </w:t>
      </w:r>
      <w:smartTag w:uri="urn:schemas-microsoft-com:office:smarttags" w:element="PersonName">
        <w:smartTagPr>
          <w:attr w:name="ProductID" w:val="la Central"/>
        </w:smartTagPr>
        <w:r w:rsidRPr="00DD6BED">
          <w:t>la Central</w:t>
        </w:r>
      </w:smartTag>
      <w:r w:rsidRPr="00DD6BED">
        <w:t xml:space="preserve"> (155) y </w:t>
      </w:r>
      <w:smartTag w:uri="urn:schemas-microsoft-com:office:smarttags" w:element="PersonName">
        <w:smartTagPr>
          <w:attr w:name="ProductID" w:val="la Septentrional"/>
        </w:smartTagPr>
        <w:r w:rsidRPr="00DD6BED">
          <w:t>la Septentrional</w:t>
        </w:r>
      </w:smartTag>
      <w:r w:rsidRPr="00DD6BED">
        <w:t xml:space="preserve"> (63).</w:t>
      </w:r>
    </w:p>
    <w:p w:rsidR="00DD6BED" w:rsidRPr="001939B3" w:rsidRDefault="00DD6BED" w:rsidP="001939B3">
      <w:pPr>
        <w:pStyle w:val="SingleTxt"/>
        <w:suppressAutoHyphens w:val="0"/>
        <w:spacing w:after="0" w:line="120" w:lineRule="exact"/>
        <w:rPr>
          <w:sz w:val="10"/>
        </w:rPr>
      </w:pPr>
    </w:p>
    <w:p w:rsidR="001939B3" w:rsidRPr="00DD6BED" w:rsidRDefault="001939B3" w:rsidP="00DD6BED">
      <w:pPr>
        <w:pStyle w:val="SingleTxt"/>
        <w:suppressAutoHyphens w:val="0"/>
        <w:spacing w:after="0" w:line="120" w:lineRule="exact"/>
        <w:rPr>
          <w:sz w:val="10"/>
        </w:rPr>
      </w:pPr>
    </w:p>
    <w:p w:rsidR="00DD6BED" w:rsidRDefault="001939B3" w:rsidP="001939B3">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00DD6BED" w:rsidRPr="001939B3">
        <w:rPr>
          <w:b w:val="0"/>
        </w:rPr>
        <w:t>Cuadro 1</w:t>
      </w:r>
      <w:r>
        <w:br/>
      </w:r>
      <w:r w:rsidR="00D27624">
        <w:t>Población de Malawi desde 1901</w:t>
      </w:r>
    </w:p>
    <w:p w:rsidR="00DD6BED" w:rsidRPr="001939B3" w:rsidRDefault="00DD6BED" w:rsidP="001939B3">
      <w:pPr>
        <w:pStyle w:val="SingleTxt"/>
        <w:suppressAutoHyphens w:val="0"/>
        <w:spacing w:after="0" w:line="120" w:lineRule="exact"/>
        <w:rPr>
          <w:sz w:val="10"/>
        </w:rPr>
      </w:pPr>
    </w:p>
    <w:p w:rsidR="00D11A75" w:rsidRDefault="00D11A75" w:rsidP="001939B3">
      <w:pPr>
        <w:pStyle w:val="SingleTxt"/>
        <w:suppressAutoHyphens w:val="0"/>
        <w:spacing w:after="0" w:line="120" w:lineRule="exact"/>
        <w:rPr>
          <w:sz w:val="10"/>
        </w:rPr>
      </w:pPr>
    </w:p>
    <w:tbl>
      <w:tblPr>
        <w:tblW w:w="7322" w:type="dxa"/>
        <w:tblInd w:w="1260" w:type="dxa"/>
        <w:tblLayout w:type="fixed"/>
        <w:tblCellMar>
          <w:left w:w="0" w:type="dxa"/>
          <w:right w:w="0" w:type="dxa"/>
        </w:tblCellMar>
        <w:tblLook w:val="0000" w:firstRow="0" w:lastRow="0" w:firstColumn="0" w:lastColumn="0" w:noHBand="0" w:noVBand="0"/>
      </w:tblPr>
      <w:tblGrid>
        <w:gridCol w:w="2440"/>
        <w:gridCol w:w="2441"/>
        <w:gridCol w:w="2441"/>
      </w:tblGrid>
      <w:tr w:rsidR="00D11A75" w:rsidRPr="00D11A75" w:rsidTr="0005182C">
        <w:trPr>
          <w:tblHeader/>
        </w:trPr>
        <w:tc>
          <w:tcPr>
            <w:tcW w:w="2440" w:type="dxa"/>
            <w:tcBorders>
              <w:top w:val="single" w:sz="4" w:space="0" w:color="auto"/>
              <w:bottom w:val="single" w:sz="12" w:space="0" w:color="auto"/>
            </w:tcBorders>
            <w:shd w:val="clear" w:color="auto" w:fill="auto"/>
            <w:vAlign w:val="bottom"/>
          </w:tcPr>
          <w:p w:rsidR="00D11A75" w:rsidRPr="00D11A75" w:rsidRDefault="00866E00" w:rsidP="00D11A75">
            <w:pPr>
              <w:tabs>
                <w:tab w:val="left" w:pos="288"/>
                <w:tab w:val="left" w:pos="576"/>
                <w:tab w:val="left" w:pos="864"/>
                <w:tab w:val="left" w:pos="1152"/>
              </w:tabs>
              <w:spacing w:before="80" w:after="80" w:line="160" w:lineRule="exact"/>
              <w:ind w:right="40"/>
              <w:rPr>
                <w:i/>
                <w:sz w:val="14"/>
              </w:rPr>
            </w:pPr>
            <w:r>
              <w:rPr>
                <w:i/>
                <w:sz w:val="14"/>
              </w:rPr>
              <w:t>Año del censo</w:t>
            </w:r>
          </w:p>
        </w:tc>
        <w:tc>
          <w:tcPr>
            <w:tcW w:w="2441" w:type="dxa"/>
            <w:tcBorders>
              <w:top w:val="single" w:sz="4" w:space="0" w:color="auto"/>
              <w:bottom w:val="single" w:sz="12" w:space="0" w:color="auto"/>
            </w:tcBorders>
            <w:shd w:val="clear" w:color="auto" w:fill="auto"/>
            <w:vAlign w:val="bottom"/>
          </w:tcPr>
          <w:p w:rsidR="00D11A75" w:rsidRPr="00D11A75" w:rsidRDefault="00866E00" w:rsidP="00D11A75">
            <w:pPr>
              <w:tabs>
                <w:tab w:val="left" w:pos="288"/>
                <w:tab w:val="left" w:pos="576"/>
                <w:tab w:val="left" w:pos="864"/>
                <w:tab w:val="left" w:pos="1152"/>
              </w:tabs>
              <w:spacing w:before="80" w:after="80" w:line="160" w:lineRule="exact"/>
              <w:ind w:right="40"/>
              <w:jc w:val="right"/>
              <w:rPr>
                <w:i/>
                <w:sz w:val="14"/>
              </w:rPr>
            </w:pPr>
            <w:r>
              <w:rPr>
                <w:i/>
                <w:sz w:val="14"/>
              </w:rPr>
              <w:t>Población total</w:t>
            </w:r>
          </w:p>
        </w:tc>
        <w:tc>
          <w:tcPr>
            <w:tcW w:w="2441" w:type="dxa"/>
            <w:tcBorders>
              <w:top w:val="single" w:sz="4" w:space="0" w:color="auto"/>
              <w:bottom w:val="single" w:sz="12" w:space="0" w:color="auto"/>
            </w:tcBorders>
            <w:shd w:val="clear" w:color="auto" w:fill="auto"/>
            <w:vAlign w:val="bottom"/>
          </w:tcPr>
          <w:p w:rsidR="00D11A75" w:rsidRPr="00D11A75" w:rsidRDefault="00866E00" w:rsidP="00D27624">
            <w:pPr>
              <w:tabs>
                <w:tab w:val="left" w:pos="288"/>
                <w:tab w:val="left" w:pos="576"/>
                <w:tab w:val="left" w:pos="864"/>
                <w:tab w:val="left" w:pos="1152"/>
              </w:tabs>
              <w:spacing w:before="80" w:after="80" w:line="160" w:lineRule="exact"/>
              <w:ind w:right="40"/>
              <w:jc w:val="right"/>
              <w:rPr>
                <w:i/>
                <w:sz w:val="14"/>
              </w:rPr>
            </w:pPr>
            <w:r>
              <w:rPr>
                <w:i/>
                <w:sz w:val="14"/>
              </w:rPr>
              <w:t>Tasa media de crecimiento</w:t>
            </w:r>
            <w:r w:rsidR="00D27624">
              <w:rPr>
                <w:i/>
                <w:sz w:val="14"/>
              </w:rPr>
              <w:br/>
            </w:r>
            <w:r>
              <w:rPr>
                <w:i/>
                <w:sz w:val="14"/>
              </w:rPr>
              <w:t>intercensal anual (porcentaje)</w:t>
            </w:r>
          </w:p>
        </w:tc>
      </w:tr>
      <w:tr w:rsidR="00D11A75" w:rsidRPr="00D11A75" w:rsidTr="0005182C">
        <w:trPr>
          <w:trHeight w:hRule="exact" w:val="115"/>
          <w:tblHeader/>
        </w:trPr>
        <w:tc>
          <w:tcPr>
            <w:tcW w:w="2440" w:type="dxa"/>
            <w:tcBorders>
              <w:top w:val="single" w:sz="12" w:space="0" w:color="auto"/>
            </w:tcBorders>
            <w:shd w:val="clear" w:color="auto" w:fill="auto"/>
            <w:vAlign w:val="bottom"/>
          </w:tcPr>
          <w:p w:rsidR="00D11A75" w:rsidRPr="00D11A75" w:rsidRDefault="00D11A75" w:rsidP="00D11A75">
            <w:pPr>
              <w:tabs>
                <w:tab w:val="left" w:pos="288"/>
                <w:tab w:val="left" w:pos="576"/>
                <w:tab w:val="left" w:pos="864"/>
                <w:tab w:val="left" w:pos="1152"/>
              </w:tabs>
              <w:spacing w:before="40" w:after="40" w:line="210" w:lineRule="exact"/>
              <w:ind w:right="40"/>
              <w:rPr>
                <w:sz w:val="17"/>
              </w:rPr>
            </w:pPr>
          </w:p>
        </w:tc>
        <w:tc>
          <w:tcPr>
            <w:tcW w:w="2441" w:type="dxa"/>
            <w:tcBorders>
              <w:top w:val="single" w:sz="12" w:space="0" w:color="auto"/>
            </w:tcBorders>
            <w:shd w:val="clear" w:color="auto" w:fill="auto"/>
            <w:vAlign w:val="bottom"/>
          </w:tcPr>
          <w:p w:rsidR="00D11A75" w:rsidRPr="00D11A75" w:rsidRDefault="00D11A75" w:rsidP="00D11A75">
            <w:pPr>
              <w:tabs>
                <w:tab w:val="left" w:pos="288"/>
                <w:tab w:val="left" w:pos="576"/>
                <w:tab w:val="left" w:pos="864"/>
                <w:tab w:val="left" w:pos="1152"/>
              </w:tabs>
              <w:spacing w:before="40" w:after="40" w:line="210" w:lineRule="exact"/>
              <w:ind w:right="40"/>
              <w:jc w:val="right"/>
              <w:rPr>
                <w:sz w:val="17"/>
              </w:rPr>
            </w:pPr>
          </w:p>
        </w:tc>
        <w:tc>
          <w:tcPr>
            <w:tcW w:w="2441" w:type="dxa"/>
            <w:tcBorders>
              <w:top w:val="single" w:sz="12" w:space="0" w:color="auto"/>
            </w:tcBorders>
            <w:shd w:val="clear" w:color="auto" w:fill="auto"/>
            <w:vAlign w:val="bottom"/>
          </w:tcPr>
          <w:p w:rsidR="00D11A75" w:rsidRPr="00D11A75" w:rsidRDefault="00D11A75" w:rsidP="00D11A75">
            <w:pPr>
              <w:tabs>
                <w:tab w:val="left" w:pos="288"/>
                <w:tab w:val="left" w:pos="576"/>
                <w:tab w:val="left" w:pos="864"/>
                <w:tab w:val="left" w:pos="1152"/>
              </w:tabs>
              <w:spacing w:before="40" w:after="40" w:line="210" w:lineRule="exact"/>
              <w:ind w:right="40"/>
              <w:jc w:val="right"/>
              <w:rPr>
                <w:sz w:val="17"/>
              </w:rPr>
            </w:pPr>
          </w:p>
        </w:tc>
      </w:tr>
      <w:tr w:rsidR="00D11A75" w:rsidRPr="00D11A75" w:rsidTr="0005182C">
        <w:tc>
          <w:tcPr>
            <w:tcW w:w="2440" w:type="dxa"/>
            <w:shd w:val="clear" w:color="auto" w:fill="auto"/>
            <w:vAlign w:val="bottom"/>
          </w:tcPr>
          <w:p w:rsidR="00D11A75" w:rsidRPr="00D11A75" w:rsidRDefault="00D11A75" w:rsidP="00D11A75">
            <w:pPr>
              <w:tabs>
                <w:tab w:val="left" w:pos="288"/>
                <w:tab w:val="left" w:pos="576"/>
                <w:tab w:val="left" w:pos="864"/>
                <w:tab w:val="left" w:pos="1152"/>
              </w:tabs>
              <w:spacing w:before="40" w:after="40" w:line="210" w:lineRule="exact"/>
              <w:ind w:right="40"/>
              <w:rPr>
                <w:sz w:val="17"/>
              </w:rPr>
            </w:pPr>
            <w:r w:rsidRPr="00D11A75">
              <w:rPr>
                <w:sz w:val="17"/>
              </w:rPr>
              <w:t>1901</w:t>
            </w:r>
          </w:p>
        </w:tc>
        <w:tc>
          <w:tcPr>
            <w:tcW w:w="2441" w:type="dxa"/>
            <w:shd w:val="clear" w:color="auto" w:fill="auto"/>
            <w:vAlign w:val="bottom"/>
          </w:tcPr>
          <w:p w:rsidR="00D11A75" w:rsidRPr="00D11A75" w:rsidRDefault="00D11A75" w:rsidP="00ED7E22">
            <w:pPr>
              <w:tabs>
                <w:tab w:val="left" w:pos="288"/>
                <w:tab w:val="left" w:pos="576"/>
                <w:tab w:val="left" w:pos="864"/>
                <w:tab w:val="left" w:pos="1152"/>
              </w:tabs>
              <w:spacing w:before="40" w:after="40" w:line="210" w:lineRule="exact"/>
              <w:ind w:right="40"/>
              <w:jc w:val="right"/>
              <w:rPr>
                <w:sz w:val="17"/>
              </w:rPr>
            </w:pPr>
            <w:r w:rsidRPr="00D11A75">
              <w:rPr>
                <w:sz w:val="17"/>
              </w:rPr>
              <w:t>737</w:t>
            </w:r>
            <w:r w:rsidR="00ED7E22">
              <w:rPr>
                <w:sz w:val="17"/>
              </w:rPr>
              <w:t xml:space="preserve"> </w:t>
            </w:r>
            <w:r w:rsidRPr="00D11A75">
              <w:rPr>
                <w:sz w:val="17"/>
              </w:rPr>
              <w:t>153*</w:t>
            </w:r>
          </w:p>
        </w:tc>
        <w:tc>
          <w:tcPr>
            <w:tcW w:w="2441" w:type="dxa"/>
            <w:shd w:val="clear" w:color="auto" w:fill="auto"/>
            <w:vAlign w:val="bottom"/>
          </w:tcPr>
          <w:p w:rsidR="00D11A75" w:rsidRPr="00D11A75" w:rsidRDefault="00D11A75" w:rsidP="00D11A75">
            <w:pPr>
              <w:tabs>
                <w:tab w:val="left" w:pos="288"/>
                <w:tab w:val="left" w:pos="576"/>
                <w:tab w:val="left" w:pos="864"/>
                <w:tab w:val="left" w:pos="1152"/>
              </w:tabs>
              <w:spacing w:before="40" w:after="40" w:line="210" w:lineRule="exact"/>
              <w:ind w:right="40"/>
              <w:jc w:val="right"/>
              <w:rPr>
                <w:sz w:val="17"/>
              </w:rPr>
            </w:pPr>
            <w:r w:rsidRPr="00D11A75">
              <w:rPr>
                <w:sz w:val="17"/>
              </w:rPr>
              <w:t>-</w:t>
            </w:r>
          </w:p>
        </w:tc>
      </w:tr>
      <w:tr w:rsidR="00D11A75" w:rsidRPr="00D11A75" w:rsidTr="0005182C">
        <w:tc>
          <w:tcPr>
            <w:tcW w:w="2440" w:type="dxa"/>
            <w:shd w:val="clear" w:color="auto" w:fill="auto"/>
            <w:vAlign w:val="bottom"/>
          </w:tcPr>
          <w:p w:rsidR="00D11A75" w:rsidRPr="00D11A75" w:rsidRDefault="00D11A75" w:rsidP="00D11A75">
            <w:pPr>
              <w:tabs>
                <w:tab w:val="left" w:pos="288"/>
                <w:tab w:val="left" w:pos="576"/>
                <w:tab w:val="left" w:pos="864"/>
                <w:tab w:val="left" w:pos="1152"/>
              </w:tabs>
              <w:spacing w:before="40" w:after="40" w:line="210" w:lineRule="exact"/>
              <w:ind w:right="40"/>
              <w:rPr>
                <w:sz w:val="17"/>
              </w:rPr>
            </w:pPr>
            <w:r w:rsidRPr="00D11A75">
              <w:rPr>
                <w:sz w:val="17"/>
              </w:rPr>
              <w:t>1911</w:t>
            </w:r>
          </w:p>
        </w:tc>
        <w:tc>
          <w:tcPr>
            <w:tcW w:w="2441" w:type="dxa"/>
            <w:shd w:val="clear" w:color="auto" w:fill="auto"/>
            <w:vAlign w:val="bottom"/>
          </w:tcPr>
          <w:p w:rsidR="00D11A75" w:rsidRPr="00D11A75" w:rsidRDefault="00D11A75" w:rsidP="00ED7E22">
            <w:pPr>
              <w:tabs>
                <w:tab w:val="left" w:pos="288"/>
                <w:tab w:val="left" w:pos="576"/>
                <w:tab w:val="left" w:pos="864"/>
                <w:tab w:val="left" w:pos="1152"/>
              </w:tabs>
              <w:spacing w:before="40" w:after="40" w:line="210" w:lineRule="exact"/>
              <w:ind w:right="40"/>
              <w:jc w:val="right"/>
              <w:rPr>
                <w:sz w:val="17"/>
              </w:rPr>
            </w:pPr>
            <w:r w:rsidRPr="00D11A75">
              <w:rPr>
                <w:sz w:val="17"/>
              </w:rPr>
              <w:t>970</w:t>
            </w:r>
            <w:r w:rsidR="00ED7E22">
              <w:rPr>
                <w:sz w:val="17"/>
              </w:rPr>
              <w:t xml:space="preserve"> </w:t>
            </w:r>
            <w:r w:rsidRPr="00D11A75">
              <w:rPr>
                <w:sz w:val="17"/>
              </w:rPr>
              <w:t>430*</w:t>
            </w:r>
          </w:p>
        </w:tc>
        <w:tc>
          <w:tcPr>
            <w:tcW w:w="2441" w:type="dxa"/>
            <w:shd w:val="clear" w:color="auto" w:fill="auto"/>
            <w:vAlign w:val="bottom"/>
          </w:tcPr>
          <w:p w:rsidR="00D11A75" w:rsidRPr="00D11A75" w:rsidRDefault="00D11A75" w:rsidP="00ED7E22">
            <w:pPr>
              <w:tabs>
                <w:tab w:val="left" w:pos="288"/>
                <w:tab w:val="left" w:pos="576"/>
                <w:tab w:val="left" w:pos="864"/>
                <w:tab w:val="left" w:pos="1152"/>
              </w:tabs>
              <w:spacing w:before="40" w:after="40" w:line="210" w:lineRule="exact"/>
              <w:ind w:right="40"/>
              <w:jc w:val="right"/>
              <w:rPr>
                <w:sz w:val="17"/>
              </w:rPr>
            </w:pPr>
            <w:r w:rsidRPr="00D11A75">
              <w:rPr>
                <w:sz w:val="17"/>
              </w:rPr>
              <w:t>2</w:t>
            </w:r>
            <w:r w:rsidR="00ED7E22">
              <w:rPr>
                <w:sz w:val="17"/>
              </w:rPr>
              <w:t>,</w:t>
            </w:r>
            <w:r w:rsidRPr="00D11A75">
              <w:rPr>
                <w:sz w:val="17"/>
              </w:rPr>
              <w:t>8</w:t>
            </w:r>
          </w:p>
        </w:tc>
      </w:tr>
      <w:tr w:rsidR="00D11A75" w:rsidRPr="00D11A75" w:rsidTr="0005182C">
        <w:tc>
          <w:tcPr>
            <w:tcW w:w="2440" w:type="dxa"/>
            <w:shd w:val="clear" w:color="auto" w:fill="auto"/>
            <w:vAlign w:val="bottom"/>
          </w:tcPr>
          <w:p w:rsidR="00D11A75" w:rsidRPr="00D11A75" w:rsidRDefault="00D11A75" w:rsidP="00D11A75">
            <w:pPr>
              <w:tabs>
                <w:tab w:val="left" w:pos="288"/>
                <w:tab w:val="left" w:pos="576"/>
                <w:tab w:val="left" w:pos="864"/>
                <w:tab w:val="left" w:pos="1152"/>
              </w:tabs>
              <w:spacing w:before="40" w:after="40" w:line="210" w:lineRule="exact"/>
              <w:ind w:right="40"/>
              <w:rPr>
                <w:sz w:val="17"/>
              </w:rPr>
            </w:pPr>
            <w:r w:rsidRPr="00D11A75">
              <w:rPr>
                <w:sz w:val="17"/>
              </w:rPr>
              <w:t>1921</w:t>
            </w:r>
          </w:p>
        </w:tc>
        <w:tc>
          <w:tcPr>
            <w:tcW w:w="2441" w:type="dxa"/>
            <w:shd w:val="clear" w:color="auto" w:fill="auto"/>
            <w:vAlign w:val="bottom"/>
          </w:tcPr>
          <w:p w:rsidR="00D11A75" w:rsidRPr="00D11A75" w:rsidRDefault="00D11A75" w:rsidP="00ED7E22">
            <w:pPr>
              <w:tabs>
                <w:tab w:val="left" w:pos="288"/>
                <w:tab w:val="left" w:pos="576"/>
                <w:tab w:val="left" w:pos="864"/>
                <w:tab w:val="left" w:pos="1152"/>
              </w:tabs>
              <w:spacing w:before="40" w:after="40" w:line="210" w:lineRule="exact"/>
              <w:ind w:right="40"/>
              <w:jc w:val="right"/>
              <w:rPr>
                <w:sz w:val="17"/>
              </w:rPr>
            </w:pPr>
            <w:r w:rsidRPr="00D11A75">
              <w:rPr>
                <w:sz w:val="17"/>
              </w:rPr>
              <w:t>1</w:t>
            </w:r>
            <w:r w:rsidR="00ED7E22">
              <w:rPr>
                <w:sz w:val="17"/>
              </w:rPr>
              <w:t xml:space="preserve"> </w:t>
            </w:r>
            <w:r w:rsidRPr="00D11A75">
              <w:rPr>
                <w:sz w:val="17"/>
              </w:rPr>
              <w:t>201</w:t>
            </w:r>
            <w:r w:rsidR="00ED7E22">
              <w:rPr>
                <w:sz w:val="17"/>
              </w:rPr>
              <w:t xml:space="preserve"> </w:t>
            </w:r>
            <w:r w:rsidRPr="00D11A75">
              <w:rPr>
                <w:sz w:val="17"/>
              </w:rPr>
              <w:t>983*</w:t>
            </w:r>
          </w:p>
        </w:tc>
        <w:tc>
          <w:tcPr>
            <w:tcW w:w="2441" w:type="dxa"/>
            <w:shd w:val="clear" w:color="auto" w:fill="auto"/>
            <w:vAlign w:val="bottom"/>
          </w:tcPr>
          <w:p w:rsidR="00D11A75" w:rsidRPr="00D11A75" w:rsidRDefault="00D11A75" w:rsidP="00ED7E22">
            <w:pPr>
              <w:tabs>
                <w:tab w:val="left" w:pos="288"/>
                <w:tab w:val="left" w:pos="576"/>
                <w:tab w:val="left" w:pos="864"/>
                <w:tab w:val="left" w:pos="1152"/>
              </w:tabs>
              <w:spacing w:before="40" w:after="40" w:line="210" w:lineRule="exact"/>
              <w:ind w:right="40"/>
              <w:jc w:val="right"/>
              <w:rPr>
                <w:sz w:val="17"/>
              </w:rPr>
            </w:pPr>
            <w:r w:rsidRPr="00D11A75">
              <w:rPr>
                <w:sz w:val="17"/>
              </w:rPr>
              <w:t>2</w:t>
            </w:r>
            <w:r w:rsidR="00ED7E22">
              <w:rPr>
                <w:sz w:val="17"/>
              </w:rPr>
              <w:t>,</w:t>
            </w:r>
            <w:r w:rsidRPr="00D11A75">
              <w:rPr>
                <w:sz w:val="17"/>
              </w:rPr>
              <w:t>2</w:t>
            </w:r>
          </w:p>
        </w:tc>
      </w:tr>
      <w:tr w:rsidR="00D11A75" w:rsidRPr="00D11A75" w:rsidTr="0005182C">
        <w:tc>
          <w:tcPr>
            <w:tcW w:w="2440" w:type="dxa"/>
            <w:shd w:val="clear" w:color="auto" w:fill="auto"/>
            <w:vAlign w:val="bottom"/>
          </w:tcPr>
          <w:p w:rsidR="00D11A75" w:rsidRPr="00D11A75" w:rsidRDefault="00D11A75" w:rsidP="00D11A75">
            <w:pPr>
              <w:tabs>
                <w:tab w:val="left" w:pos="288"/>
                <w:tab w:val="left" w:pos="576"/>
                <w:tab w:val="left" w:pos="864"/>
                <w:tab w:val="left" w:pos="1152"/>
              </w:tabs>
              <w:spacing w:before="40" w:after="40" w:line="210" w:lineRule="exact"/>
              <w:ind w:right="40"/>
              <w:rPr>
                <w:sz w:val="17"/>
              </w:rPr>
            </w:pPr>
            <w:r w:rsidRPr="00D11A75">
              <w:rPr>
                <w:sz w:val="17"/>
              </w:rPr>
              <w:t>1926</w:t>
            </w:r>
          </w:p>
        </w:tc>
        <w:tc>
          <w:tcPr>
            <w:tcW w:w="2441" w:type="dxa"/>
            <w:shd w:val="clear" w:color="auto" w:fill="auto"/>
            <w:vAlign w:val="bottom"/>
          </w:tcPr>
          <w:p w:rsidR="00D11A75" w:rsidRPr="00D11A75" w:rsidRDefault="00D11A75" w:rsidP="00ED7E22">
            <w:pPr>
              <w:tabs>
                <w:tab w:val="left" w:pos="288"/>
                <w:tab w:val="left" w:pos="576"/>
                <w:tab w:val="left" w:pos="864"/>
                <w:tab w:val="left" w:pos="1152"/>
              </w:tabs>
              <w:spacing w:before="40" w:after="40" w:line="210" w:lineRule="exact"/>
              <w:ind w:right="40"/>
              <w:jc w:val="right"/>
              <w:rPr>
                <w:sz w:val="17"/>
              </w:rPr>
            </w:pPr>
            <w:r w:rsidRPr="00D11A75">
              <w:rPr>
                <w:sz w:val="17"/>
              </w:rPr>
              <w:t>1</w:t>
            </w:r>
            <w:r w:rsidR="00ED7E22">
              <w:rPr>
                <w:sz w:val="17"/>
              </w:rPr>
              <w:t xml:space="preserve"> </w:t>
            </w:r>
            <w:r w:rsidRPr="00D11A75">
              <w:rPr>
                <w:sz w:val="17"/>
              </w:rPr>
              <w:t>263</w:t>
            </w:r>
            <w:r w:rsidR="00ED7E22">
              <w:rPr>
                <w:sz w:val="17"/>
              </w:rPr>
              <w:t xml:space="preserve"> </w:t>
            </w:r>
            <w:r w:rsidRPr="00D11A75">
              <w:rPr>
                <w:sz w:val="17"/>
              </w:rPr>
              <w:t>291</w:t>
            </w:r>
          </w:p>
        </w:tc>
        <w:tc>
          <w:tcPr>
            <w:tcW w:w="2441" w:type="dxa"/>
            <w:shd w:val="clear" w:color="auto" w:fill="auto"/>
            <w:vAlign w:val="bottom"/>
          </w:tcPr>
          <w:p w:rsidR="00D11A75" w:rsidRPr="00D11A75" w:rsidRDefault="00D11A75" w:rsidP="00ED7E22">
            <w:pPr>
              <w:tabs>
                <w:tab w:val="left" w:pos="288"/>
                <w:tab w:val="left" w:pos="576"/>
                <w:tab w:val="left" w:pos="864"/>
                <w:tab w:val="left" w:pos="1152"/>
              </w:tabs>
              <w:spacing w:before="40" w:after="40" w:line="210" w:lineRule="exact"/>
              <w:ind w:right="40"/>
              <w:jc w:val="right"/>
              <w:rPr>
                <w:sz w:val="17"/>
              </w:rPr>
            </w:pPr>
            <w:r w:rsidRPr="00D11A75">
              <w:rPr>
                <w:sz w:val="17"/>
              </w:rPr>
              <w:t>1</w:t>
            </w:r>
            <w:r w:rsidR="00ED7E22">
              <w:rPr>
                <w:sz w:val="17"/>
              </w:rPr>
              <w:t>,</w:t>
            </w:r>
            <w:r w:rsidRPr="00D11A75">
              <w:rPr>
                <w:sz w:val="17"/>
              </w:rPr>
              <w:t>5</w:t>
            </w:r>
          </w:p>
        </w:tc>
      </w:tr>
      <w:tr w:rsidR="00D11A75" w:rsidRPr="00D11A75" w:rsidTr="0005182C">
        <w:tc>
          <w:tcPr>
            <w:tcW w:w="2440" w:type="dxa"/>
            <w:shd w:val="clear" w:color="auto" w:fill="auto"/>
            <w:vAlign w:val="bottom"/>
          </w:tcPr>
          <w:p w:rsidR="00D11A75" w:rsidRPr="00D11A75" w:rsidRDefault="00D11A75" w:rsidP="00D11A75">
            <w:pPr>
              <w:tabs>
                <w:tab w:val="left" w:pos="288"/>
                <w:tab w:val="left" w:pos="576"/>
                <w:tab w:val="left" w:pos="864"/>
                <w:tab w:val="left" w:pos="1152"/>
              </w:tabs>
              <w:spacing w:before="40" w:after="40" w:line="210" w:lineRule="exact"/>
              <w:ind w:right="40"/>
              <w:rPr>
                <w:sz w:val="17"/>
              </w:rPr>
            </w:pPr>
            <w:r w:rsidRPr="00D11A75">
              <w:rPr>
                <w:sz w:val="17"/>
              </w:rPr>
              <w:t>1931</w:t>
            </w:r>
          </w:p>
        </w:tc>
        <w:tc>
          <w:tcPr>
            <w:tcW w:w="2441" w:type="dxa"/>
            <w:shd w:val="clear" w:color="auto" w:fill="auto"/>
            <w:vAlign w:val="bottom"/>
          </w:tcPr>
          <w:p w:rsidR="00D11A75" w:rsidRPr="00D11A75" w:rsidRDefault="00D11A75" w:rsidP="00ED7E22">
            <w:pPr>
              <w:tabs>
                <w:tab w:val="left" w:pos="288"/>
                <w:tab w:val="left" w:pos="576"/>
                <w:tab w:val="left" w:pos="864"/>
                <w:tab w:val="left" w:pos="1152"/>
              </w:tabs>
              <w:spacing w:before="40" w:after="40" w:line="210" w:lineRule="exact"/>
              <w:ind w:right="40"/>
              <w:jc w:val="right"/>
              <w:rPr>
                <w:sz w:val="17"/>
              </w:rPr>
            </w:pPr>
            <w:r w:rsidRPr="00D11A75">
              <w:rPr>
                <w:sz w:val="17"/>
              </w:rPr>
              <w:t>1</w:t>
            </w:r>
            <w:r w:rsidR="00ED7E22">
              <w:rPr>
                <w:sz w:val="17"/>
              </w:rPr>
              <w:t xml:space="preserve"> </w:t>
            </w:r>
            <w:r w:rsidRPr="00D11A75">
              <w:rPr>
                <w:sz w:val="17"/>
              </w:rPr>
              <w:t>573</w:t>
            </w:r>
            <w:r w:rsidR="00ED7E22">
              <w:rPr>
                <w:sz w:val="17"/>
              </w:rPr>
              <w:t xml:space="preserve"> </w:t>
            </w:r>
            <w:r w:rsidRPr="00D11A75">
              <w:rPr>
                <w:sz w:val="17"/>
              </w:rPr>
              <w:t>454</w:t>
            </w:r>
          </w:p>
        </w:tc>
        <w:tc>
          <w:tcPr>
            <w:tcW w:w="2441" w:type="dxa"/>
            <w:shd w:val="clear" w:color="auto" w:fill="auto"/>
            <w:vAlign w:val="bottom"/>
          </w:tcPr>
          <w:p w:rsidR="00D11A75" w:rsidRPr="00D11A75" w:rsidRDefault="00D11A75" w:rsidP="00ED7E22">
            <w:pPr>
              <w:tabs>
                <w:tab w:val="left" w:pos="288"/>
                <w:tab w:val="left" w:pos="576"/>
                <w:tab w:val="left" w:pos="864"/>
                <w:tab w:val="left" w:pos="1152"/>
              </w:tabs>
              <w:spacing w:before="40" w:after="40" w:line="210" w:lineRule="exact"/>
              <w:ind w:right="40"/>
              <w:jc w:val="right"/>
              <w:rPr>
                <w:sz w:val="17"/>
              </w:rPr>
            </w:pPr>
            <w:r w:rsidRPr="00D11A75">
              <w:rPr>
                <w:sz w:val="17"/>
              </w:rPr>
              <w:t>4</w:t>
            </w:r>
            <w:r w:rsidR="00ED7E22">
              <w:rPr>
                <w:sz w:val="17"/>
              </w:rPr>
              <w:t>,</w:t>
            </w:r>
            <w:r w:rsidRPr="00D11A75">
              <w:rPr>
                <w:sz w:val="17"/>
              </w:rPr>
              <w:t>4</w:t>
            </w:r>
          </w:p>
        </w:tc>
      </w:tr>
      <w:tr w:rsidR="00D11A75" w:rsidRPr="00D11A75" w:rsidTr="0005182C">
        <w:tc>
          <w:tcPr>
            <w:tcW w:w="2440" w:type="dxa"/>
            <w:shd w:val="clear" w:color="auto" w:fill="auto"/>
            <w:vAlign w:val="bottom"/>
          </w:tcPr>
          <w:p w:rsidR="00D11A75" w:rsidRPr="00D11A75" w:rsidRDefault="00D11A75" w:rsidP="00D11A75">
            <w:pPr>
              <w:tabs>
                <w:tab w:val="left" w:pos="288"/>
                <w:tab w:val="left" w:pos="576"/>
                <w:tab w:val="left" w:pos="864"/>
                <w:tab w:val="left" w:pos="1152"/>
              </w:tabs>
              <w:spacing w:before="40" w:after="40" w:line="210" w:lineRule="exact"/>
              <w:ind w:right="40"/>
              <w:rPr>
                <w:sz w:val="17"/>
              </w:rPr>
            </w:pPr>
            <w:r w:rsidRPr="00D11A75">
              <w:rPr>
                <w:sz w:val="17"/>
              </w:rPr>
              <w:t>1945</w:t>
            </w:r>
          </w:p>
        </w:tc>
        <w:tc>
          <w:tcPr>
            <w:tcW w:w="2441" w:type="dxa"/>
            <w:shd w:val="clear" w:color="auto" w:fill="auto"/>
            <w:vAlign w:val="bottom"/>
          </w:tcPr>
          <w:p w:rsidR="00D11A75" w:rsidRPr="00D11A75" w:rsidRDefault="00D11A75" w:rsidP="00ED7E22">
            <w:pPr>
              <w:tabs>
                <w:tab w:val="left" w:pos="288"/>
                <w:tab w:val="left" w:pos="576"/>
                <w:tab w:val="left" w:pos="864"/>
                <w:tab w:val="left" w:pos="1152"/>
              </w:tabs>
              <w:spacing w:before="40" w:after="40" w:line="210" w:lineRule="exact"/>
              <w:ind w:right="40"/>
              <w:jc w:val="right"/>
              <w:rPr>
                <w:sz w:val="17"/>
              </w:rPr>
            </w:pPr>
            <w:r w:rsidRPr="00D11A75">
              <w:rPr>
                <w:sz w:val="17"/>
              </w:rPr>
              <w:t>2</w:t>
            </w:r>
            <w:r w:rsidR="00ED7E22">
              <w:rPr>
                <w:sz w:val="17"/>
              </w:rPr>
              <w:t xml:space="preserve"> </w:t>
            </w:r>
            <w:r w:rsidRPr="00D11A75">
              <w:rPr>
                <w:sz w:val="17"/>
              </w:rPr>
              <w:t>049</w:t>
            </w:r>
            <w:r w:rsidR="00ED7E22">
              <w:rPr>
                <w:sz w:val="17"/>
              </w:rPr>
              <w:t xml:space="preserve"> </w:t>
            </w:r>
            <w:r w:rsidRPr="00D11A75">
              <w:rPr>
                <w:sz w:val="17"/>
              </w:rPr>
              <w:t>914</w:t>
            </w:r>
          </w:p>
        </w:tc>
        <w:tc>
          <w:tcPr>
            <w:tcW w:w="2441" w:type="dxa"/>
            <w:shd w:val="clear" w:color="auto" w:fill="auto"/>
            <w:vAlign w:val="bottom"/>
          </w:tcPr>
          <w:p w:rsidR="00D11A75" w:rsidRPr="00D11A75" w:rsidRDefault="00D11A75" w:rsidP="00ED7E22">
            <w:pPr>
              <w:tabs>
                <w:tab w:val="left" w:pos="288"/>
                <w:tab w:val="left" w:pos="576"/>
                <w:tab w:val="left" w:pos="864"/>
                <w:tab w:val="left" w:pos="1152"/>
              </w:tabs>
              <w:spacing w:before="40" w:after="40" w:line="210" w:lineRule="exact"/>
              <w:ind w:right="40"/>
              <w:jc w:val="right"/>
              <w:rPr>
                <w:sz w:val="17"/>
              </w:rPr>
            </w:pPr>
            <w:r w:rsidRPr="00D11A75">
              <w:rPr>
                <w:sz w:val="17"/>
              </w:rPr>
              <w:t>2</w:t>
            </w:r>
            <w:r w:rsidR="00ED7E22">
              <w:rPr>
                <w:sz w:val="17"/>
              </w:rPr>
              <w:t>,</w:t>
            </w:r>
            <w:r w:rsidRPr="00D11A75">
              <w:rPr>
                <w:sz w:val="17"/>
              </w:rPr>
              <w:t>2</w:t>
            </w:r>
          </w:p>
        </w:tc>
      </w:tr>
      <w:tr w:rsidR="00D11A75" w:rsidRPr="00D11A75" w:rsidTr="0005182C">
        <w:tc>
          <w:tcPr>
            <w:tcW w:w="2440" w:type="dxa"/>
            <w:shd w:val="clear" w:color="auto" w:fill="auto"/>
            <w:vAlign w:val="bottom"/>
          </w:tcPr>
          <w:p w:rsidR="00D11A75" w:rsidRPr="00D11A75" w:rsidRDefault="00D11A75" w:rsidP="00D11A75">
            <w:pPr>
              <w:tabs>
                <w:tab w:val="left" w:pos="288"/>
                <w:tab w:val="left" w:pos="576"/>
                <w:tab w:val="left" w:pos="864"/>
                <w:tab w:val="left" w:pos="1152"/>
              </w:tabs>
              <w:spacing w:before="40" w:after="40" w:line="210" w:lineRule="exact"/>
              <w:ind w:right="40"/>
              <w:rPr>
                <w:sz w:val="17"/>
              </w:rPr>
            </w:pPr>
            <w:r w:rsidRPr="00D11A75">
              <w:rPr>
                <w:sz w:val="17"/>
              </w:rPr>
              <w:t>1966</w:t>
            </w:r>
          </w:p>
        </w:tc>
        <w:tc>
          <w:tcPr>
            <w:tcW w:w="2441" w:type="dxa"/>
            <w:shd w:val="clear" w:color="auto" w:fill="auto"/>
            <w:vAlign w:val="bottom"/>
          </w:tcPr>
          <w:p w:rsidR="00D11A75" w:rsidRPr="00D11A75" w:rsidRDefault="00D11A75" w:rsidP="00ED7E22">
            <w:pPr>
              <w:tabs>
                <w:tab w:val="left" w:pos="288"/>
                <w:tab w:val="left" w:pos="576"/>
                <w:tab w:val="left" w:pos="864"/>
                <w:tab w:val="left" w:pos="1152"/>
              </w:tabs>
              <w:spacing w:before="40" w:after="40" w:line="210" w:lineRule="exact"/>
              <w:ind w:right="40"/>
              <w:jc w:val="right"/>
              <w:rPr>
                <w:sz w:val="17"/>
              </w:rPr>
            </w:pPr>
            <w:r w:rsidRPr="00D11A75">
              <w:rPr>
                <w:sz w:val="17"/>
              </w:rPr>
              <w:t>4</w:t>
            </w:r>
            <w:r w:rsidR="00ED7E22">
              <w:rPr>
                <w:sz w:val="17"/>
              </w:rPr>
              <w:t xml:space="preserve"> </w:t>
            </w:r>
            <w:r w:rsidRPr="00D11A75">
              <w:rPr>
                <w:sz w:val="17"/>
              </w:rPr>
              <w:t>039</w:t>
            </w:r>
            <w:r w:rsidR="00ED7E22">
              <w:rPr>
                <w:sz w:val="17"/>
              </w:rPr>
              <w:t xml:space="preserve"> </w:t>
            </w:r>
            <w:r w:rsidRPr="00D11A75">
              <w:rPr>
                <w:sz w:val="17"/>
              </w:rPr>
              <w:t>583</w:t>
            </w:r>
          </w:p>
        </w:tc>
        <w:tc>
          <w:tcPr>
            <w:tcW w:w="2441" w:type="dxa"/>
            <w:shd w:val="clear" w:color="auto" w:fill="auto"/>
            <w:vAlign w:val="bottom"/>
          </w:tcPr>
          <w:p w:rsidR="00D11A75" w:rsidRPr="00D11A75" w:rsidRDefault="00D11A75" w:rsidP="00ED7E22">
            <w:pPr>
              <w:tabs>
                <w:tab w:val="left" w:pos="288"/>
                <w:tab w:val="left" w:pos="576"/>
                <w:tab w:val="left" w:pos="864"/>
                <w:tab w:val="left" w:pos="1152"/>
              </w:tabs>
              <w:spacing w:before="40" w:after="40" w:line="210" w:lineRule="exact"/>
              <w:ind w:right="40"/>
              <w:jc w:val="right"/>
              <w:rPr>
                <w:sz w:val="17"/>
              </w:rPr>
            </w:pPr>
            <w:r w:rsidRPr="00D11A75">
              <w:rPr>
                <w:sz w:val="17"/>
              </w:rPr>
              <w:t>3</w:t>
            </w:r>
            <w:r w:rsidR="00ED7E22">
              <w:rPr>
                <w:sz w:val="17"/>
              </w:rPr>
              <w:t>,</w:t>
            </w:r>
            <w:r w:rsidRPr="00D11A75">
              <w:rPr>
                <w:sz w:val="17"/>
              </w:rPr>
              <w:t>3</w:t>
            </w:r>
          </w:p>
        </w:tc>
      </w:tr>
      <w:tr w:rsidR="00D11A75" w:rsidRPr="00D11A75" w:rsidTr="0005182C">
        <w:tc>
          <w:tcPr>
            <w:tcW w:w="2440" w:type="dxa"/>
            <w:shd w:val="clear" w:color="auto" w:fill="auto"/>
            <w:vAlign w:val="bottom"/>
          </w:tcPr>
          <w:p w:rsidR="00D11A75" w:rsidRPr="00D11A75" w:rsidRDefault="00D11A75" w:rsidP="00D11A75">
            <w:pPr>
              <w:tabs>
                <w:tab w:val="left" w:pos="288"/>
                <w:tab w:val="left" w:pos="576"/>
                <w:tab w:val="left" w:pos="864"/>
                <w:tab w:val="left" w:pos="1152"/>
              </w:tabs>
              <w:spacing w:before="40" w:after="40" w:line="210" w:lineRule="exact"/>
              <w:ind w:right="40"/>
              <w:rPr>
                <w:sz w:val="17"/>
              </w:rPr>
            </w:pPr>
            <w:r w:rsidRPr="00D11A75">
              <w:rPr>
                <w:sz w:val="17"/>
              </w:rPr>
              <w:t>1977</w:t>
            </w:r>
          </w:p>
        </w:tc>
        <w:tc>
          <w:tcPr>
            <w:tcW w:w="2441" w:type="dxa"/>
            <w:shd w:val="clear" w:color="auto" w:fill="auto"/>
            <w:vAlign w:val="bottom"/>
          </w:tcPr>
          <w:p w:rsidR="00D11A75" w:rsidRPr="00D11A75" w:rsidRDefault="00D11A75" w:rsidP="00ED7E22">
            <w:pPr>
              <w:tabs>
                <w:tab w:val="left" w:pos="288"/>
                <w:tab w:val="left" w:pos="576"/>
                <w:tab w:val="left" w:pos="864"/>
                <w:tab w:val="left" w:pos="1152"/>
              </w:tabs>
              <w:spacing w:before="40" w:after="40" w:line="210" w:lineRule="exact"/>
              <w:ind w:right="40"/>
              <w:jc w:val="right"/>
              <w:rPr>
                <w:sz w:val="17"/>
              </w:rPr>
            </w:pPr>
            <w:r w:rsidRPr="00D11A75">
              <w:rPr>
                <w:sz w:val="17"/>
              </w:rPr>
              <w:t>5</w:t>
            </w:r>
            <w:r w:rsidR="00ED7E22">
              <w:rPr>
                <w:sz w:val="17"/>
              </w:rPr>
              <w:t xml:space="preserve"> </w:t>
            </w:r>
            <w:r w:rsidRPr="00D11A75">
              <w:rPr>
                <w:sz w:val="17"/>
              </w:rPr>
              <w:t>547</w:t>
            </w:r>
            <w:r w:rsidR="00ED7E22">
              <w:rPr>
                <w:sz w:val="17"/>
              </w:rPr>
              <w:t xml:space="preserve"> </w:t>
            </w:r>
            <w:r w:rsidRPr="00D11A75">
              <w:rPr>
                <w:sz w:val="17"/>
              </w:rPr>
              <w:t>460</w:t>
            </w:r>
          </w:p>
        </w:tc>
        <w:tc>
          <w:tcPr>
            <w:tcW w:w="2441" w:type="dxa"/>
            <w:shd w:val="clear" w:color="auto" w:fill="auto"/>
            <w:vAlign w:val="bottom"/>
          </w:tcPr>
          <w:p w:rsidR="00D11A75" w:rsidRPr="00D11A75" w:rsidRDefault="00D11A75" w:rsidP="00ED7E22">
            <w:pPr>
              <w:tabs>
                <w:tab w:val="left" w:pos="288"/>
                <w:tab w:val="left" w:pos="576"/>
                <w:tab w:val="left" w:pos="864"/>
                <w:tab w:val="left" w:pos="1152"/>
              </w:tabs>
              <w:spacing w:before="40" w:after="40" w:line="210" w:lineRule="exact"/>
              <w:ind w:right="40"/>
              <w:jc w:val="right"/>
              <w:rPr>
                <w:sz w:val="17"/>
              </w:rPr>
            </w:pPr>
            <w:r w:rsidRPr="00D11A75">
              <w:rPr>
                <w:sz w:val="17"/>
              </w:rPr>
              <w:t>2</w:t>
            </w:r>
            <w:r w:rsidR="00ED7E22">
              <w:rPr>
                <w:sz w:val="17"/>
              </w:rPr>
              <w:t>,</w:t>
            </w:r>
            <w:r w:rsidRPr="00D11A75">
              <w:rPr>
                <w:sz w:val="17"/>
              </w:rPr>
              <w:t>9</w:t>
            </w:r>
          </w:p>
        </w:tc>
      </w:tr>
      <w:tr w:rsidR="00D11A75" w:rsidRPr="00D11A75" w:rsidTr="0005182C">
        <w:tc>
          <w:tcPr>
            <w:tcW w:w="2440" w:type="dxa"/>
            <w:shd w:val="clear" w:color="auto" w:fill="auto"/>
            <w:vAlign w:val="bottom"/>
          </w:tcPr>
          <w:p w:rsidR="00D11A75" w:rsidRPr="00D11A75" w:rsidRDefault="00D11A75" w:rsidP="00D11A75">
            <w:pPr>
              <w:tabs>
                <w:tab w:val="left" w:pos="288"/>
                <w:tab w:val="left" w:pos="576"/>
                <w:tab w:val="left" w:pos="864"/>
                <w:tab w:val="left" w:pos="1152"/>
              </w:tabs>
              <w:spacing w:before="40" w:after="40" w:line="210" w:lineRule="exact"/>
              <w:ind w:right="40"/>
              <w:rPr>
                <w:sz w:val="17"/>
              </w:rPr>
            </w:pPr>
            <w:r w:rsidRPr="00D11A75">
              <w:rPr>
                <w:sz w:val="17"/>
              </w:rPr>
              <w:t>1987</w:t>
            </w:r>
          </w:p>
        </w:tc>
        <w:tc>
          <w:tcPr>
            <w:tcW w:w="2441" w:type="dxa"/>
            <w:shd w:val="clear" w:color="auto" w:fill="auto"/>
            <w:vAlign w:val="bottom"/>
          </w:tcPr>
          <w:p w:rsidR="00D11A75" w:rsidRPr="00D11A75" w:rsidRDefault="00D11A75" w:rsidP="00ED7E22">
            <w:pPr>
              <w:tabs>
                <w:tab w:val="left" w:pos="288"/>
                <w:tab w:val="left" w:pos="576"/>
                <w:tab w:val="left" w:pos="864"/>
                <w:tab w:val="left" w:pos="1152"/>
              </w:tabs>
              <w:spacing w:before="40" w:after="40" w:line="210" w:lineRule="exact"/>
              <w:ind w:right="40"/>
              <w:jc w:val="right"/>
              <w:rPr>
                <w:sz w:val="17"/>
              </w:rPr>
            </w:pPr>
            <w:r w:rsidRPr="00D11A75">
              <w:rPr>
                <w:sz w:val="17"/>
              </w:rPr>
              <w:t>7</w:t>
            </w:r>
            <w:r w:rsidR="00ED7E22">
              <w:rPr>
                <w:sz w:val="17"/>
              </w:rPr>
              <w:t xml:space="preserve"> </w:t>
            </w:r>
            <w:r w:rsidRPr="00D11A75">
              <w:rPr>
                <w:sz w:val="17"/>
              </w:rPr>
              <w:t>988</w:t>
            </w:r>
            <w:r w:rsidR="00ED7E22">
              <w:rPr>
                <w:sz w:val="17"/>
              </w:rPr>
              <w:t xml:space="preserve"> </w:t>
            </w:r>
            <w:r w:rsidRPr="00D11A75">
              <w:rPr>
                <w:sz w:val="17"/>
              </w:rPr>
              <w:t>507</w:t>
            </w:r>
          </w:p>
        </w:tc>
        <w:tc>
          <w:tcPr>
            <w:tcW w:w="2441" w:type="dxa"/>
            <w:shd w:val="clear" w:color="auto" w:fill="auto"/>
            <w:vAlign w:val="bottom"/>
          </w:tcPr>
          <w:p w:rsidR="00D11A75" w:rsidRPr="00D11A75" w:rsidRDefault="00D11A75" w:rsidP="00ED7E22">
            <w:pPr>
              <w:tabs>
                <w:tab w:val="left" w:pos="288"/>
                <w:tab w:val="left" w:pos="576"/>
                <w:tab w:val="left" w:pos="864"/>
                <w:tab w:val="left" w:pos="1152"/>
              </w:tabs>
              <w:spacing w:before="40" w:after="40" w:line="210" w:lineRule="exact"/>
              <w:ind w:right="40"/>
              <w:jc w:val="right"/>
              <w:rPr>
                <w:sz w:val="17"/>
              </w:rPr>
            </w:pPr>
            <w:r w:rsidRPr="00D11A75">
              <w:rPr>
                <w:sz w:val="17"/>
              </w:rPr>
              <w:t>3</w:t>
            </w:r>
            <w:r w:rsidR="00ED7E22">
              <w:rPr>
                <w:sz w:val="17"/>
              </w:rPr>
              <w:t>,</w:t>
            </w:r>
            <w:r w:rsidRPr="00D11A75">
              <w:rPr>
                <w:sz w:val="17"/>
              </w:rPr>
              <w:t>7</w:t>
            </w:r>
          </w:p>
        </w:tc>
      </w:tr>
      <w:tr w:rsidR="00D11A75" w:rsidRPr="00D11A75" w:rsidTr="0005182C">
        <w:tc>
          <w:tcPr>
            <w:tcW w:w="2440" w:type="dxa"/>
            <w:shd w:val="clear" w:color="auto" w:fill="auto"/>
            <w:vAlign w:val="bottom"/>
          </w:tcPr>
          <w:p w:rsidR="00D11A75" w:rsidRPr="00D11A75" w:rsidRDefault="00D11A75" w:rsidP="00D11A75">
            <w:pPr>
              <w:tabs>
                <w:tab w:val="left" w:pos="288"/>
                <w:tab w:val="left" w:pos="576"/>
                <w:tab w:val="left" w:pos="864"/>
                <w:tab w:val="left" w:pos="1152"/>
              </w:tabs>
              <w:spacing w:before="40" w:after="40" w:line="210" w:lineRule="exact"/>
              <w:ind w:right="40"/>
              <w:rPr>
                <w:sz w:val="17"/>
              </w:rPr>
            </w:pPr>
            <w:r w:rsidRPr="00D11A75">
              <w:rPr>
                <w:sz w:val="17"/>
              </w:rPr>
              <w:t>1998</w:t>
            </w:r>
          </w:p>
        </w:tc>
        <w:tc>
          <w:tcPr>
            <w:tcW w:w="2441" w:type="dxa"/>
            <w:shd w:val="clear" w:color="auto" w:fill="auto"/>
            <w:vAlign w:val="bottom"/>
          </w:tcPr>
          <w:p w:rsidR="00D11A75" w:rsidRPr="00D11A75" w:rsidRDefault="00D11A75" w:rsidP="00ED7E22">
            <w:pPr>
              <w:tabs>
                <w:tab w:val="left" w:pos="288"/>
                <w:tab w:val="left" w:pos="576"/>
                <w:tab w:val="left" w:pos="864"/>
                <w:tab w:val="left" w:pos="1152"/>
              </w:tabs>
              <w:spacing w:before="40" w:after="40" w:line="210" w:lineRule="exact"/>
              <w:ind w:right="40"/>
              <w:jc w:val="right"/>
              <w:rPr>
                <w:sz w:val="17"/>
              </w:rPr>
            </w:pPr>
            <w:r w:rsidRPr="00D11A75">
              <w:rPr>
                <w:sz w:val="17"/>
              </w:rPr>
              <w:t>9</w:t>
            </w:r>
            <w:r w:rsidR="00ED7E22">
              <w:rPr>
                <w:sz w:val="17"/>
              </w:rPr>
              <w:t xml:space="preserve"> </w:t>
            </w:r>
            <w:r w:rsidRPr="00D11A75">
              <w:rPr>
                <w:sz w:val="17"/>
              </w:rPr>
              <w:t>933</w:t>
            </w:r>
            <w:r w:rsidR="00ED7E22">
              <w:rPr>
                <w:sz w:val="17"/>
              </w:rPr>
              <w:t xml:space="preserve"> </w:t>
            </w:r>
            <w:r w:rsidRPr="00D11A75">
              <w:rPr>
                <w:sz w:val="17"/>
              </w:rPr>
              <w:t>868</w:t>
            </w:r>
          </w:p>
        </w:tc>
        <w:tc>
          <w:tcPr>
            <w:tcW w:w="2441" w:type="dxa"/>
            <w:shd w:val="clear" w:color="auto" w:fill="auto"/>
            <w:vAlign w:val="bottom"/>
          </w:tcPr>
          <w:p w:rsidR="00D11A75" w:rsidRPr="00D11A75" w:rsidRDefault="00D11A75" w:rsidP="00ED7E22">
            <w:pPr>
              <w:tabs>
                <w:tab w:val="left" w:pos="288"/>
                <w:tab w:val="left" w:pos="576"/>
                <w:tab w:val="left" w:pos="864"/>
                <w:tab w:val="left" w:pos="1152"/>
              </w:tabs>
              <w:spacing w:before="40" w:after="40" w:line="210" w:lineRule="exact"/>
              <w:ind w:right="40"/>
              <w:jc w:val="right"/>
              <w:rPr>
                <w:sz w:val="17"/>
              </w:rPr>
            </w:pPr>
            <w:r w:rsidRPr="00D11A75">
              <w:rPr>
                <w:sz w:val="17"/>
              </w:rPr>
              <w:t>2</w:t>
            </w:r>
            <w:r w:rsidR="00ED7E22">
              <w:rPr>
                <w:sz w:val="17"/>
              </w:rPr>
              <w:t>,</w:t>
            </w:r>
            <w:r w:rsidRPr="00D11A75">
              <w:rPr>
                <w:sz w:val="17"/>
              </w:rPr>
              <w:t>0</w:t>
            </w:r>
          </w:p>
        </w:tc>
      </w:tr>
      <w:tr w:rsidR="00D11A75" w:rsidRPr="00D11A75" w:rsidTr="0005182C">
        <w:tc>
          <w:tcPr>
            <w:tcW w:w="2440" w:type="dxa"/>
            <w:tcBorders>
              <w:bottom w:val="single" w:sz="12" w:space="0" w:color="auto"/>
            </w:tcBorders>
            <w:shd w:val="clear" w:color="auto" w:fill="auto"/>
            <w:vAlign w:val="bottom"/>
          </w:tcPr>
          <w:p w:rsidR="00D11A75" w:rsidRPr="00D11A75" w:rsidRDefault="00D11A75" w:rsidP="00D11A75">
            <w:pPr>
              <w:tabs>
                <w:tab w:val="left" w:pos="288"/>
                <w:tab w:val="left" w:pos="576"/>
                <w:tab w:val="left" w:pos="864"/>
                <w:tab w:val="left" w:pos="1152"/>
              </w:tabs>
              <w:spacing w:before="40" w:after="40" w:line="210" w:lineRule="exact"/>
              <w:ind w:right="40"/>
              <w:rPr>
                <w:sz w:val="17"/>
              </w:rPr>
            </w:pPr>
            <w:r w:rsidRPr="00D11A75">
              <w:rPr>
                <w:sz w:val="17"/>
              </w:rPr>
              <w:t>2008</w:t>
            </w:r>
          </w:p>
        </w:tc>
        <w:tc>
          <w:tcPr>
            <w:tcW w:w="2441" w:type="dxa"/>
            <w:tcBorders>
              <w:bottom w:val="single" w:sz="12" w:space="0" w:color="auto"/>
            </w:tcBorders>
            <w:shd w:val="clear" w:color="auto" w:fill="auto"/>
            <w:vAlign w:val="bottom"/>
          </w:tcPr>
          <w:p w:rsidR="00D11A75" w:rsidRPr="00D11A75" w:rsidRDefault="00D11A75" w:rsidP="00ED7E22">
            <w:pPr>
              <w:tabs>
                <w:tab w:val="left" w:pos="288"/>
                <w:tab w:val="left" w:pos="576"/>
                <w:tab w:val="left" w:pos="864"/>
                <w:tab w:val="left" w:pos="1152"/>
              </w:tabs>
              <w:spacing w:before="40" w:after="40" w:line="210" w:lineRule="exact"/>
              <w:ind w:right="40"/>
              <w:jc w:val="right"/>
              <w:rPr>
                <w:sz w:val="17"/>
              </w:rPr>
            </w:pPr>
            <w:r w:rsidRPr="00D11A75">
              <w:rPr>
                <w:sz w:val="17"/>
              </w:rPr>
              <w:t>13</w:t>
            </w:r>
            <w:r w:rsidR="00ED7E22">
              <w:rPr>
                <w:sz w:val="17"/>
              </w:rPr>
              <w:t xml:space="preserve"> </w:t>
            </w:r>
            <w:r w:rsidRPr="00D11A75">
              <w:rPr>
                <w:sz w:val="17"/>
              </w:rPr>
              <w:t>077</w:t>
            </w:r>
            <w:r w:rsidR="00ED7E22">
              <w:rPr>
                <w:sz w:val="17"/>
              </w:rPr>
              <w:t xml:space="preserve"> </w:t>
            </w:r>
            <w:r w:rsidRPr="00D11A75">
              <w:rPr>
                <w:sz w:val="17"/>
              </w:rPr>
              <w:t>160</w:t>
            </w:r>
          </w:p>
        </w:tc>
        <w:tc>
          <w:tcPr>
            <w:tcW w:w="2441" w:type="dxa"/>
            <w:tcBorders>
              <w:bottom w:val="single" w:sz="12" w:space="0" w:color="auto"/>
            </w:tcBorders>
            <w:shd w:val="clear" w:color="auto" w:fill="auto"/>
            <w:vAlign w:val="bottom"/>
          </w:tcPr>
          <w:p w:rsidR="00D11A75" w:rsidRPr="00D11A75" w:rsidRDefault="00D11A75" w:rsidP="00ED7E22">
            <w:pPr>
              <w:tabs>
                <w:tab w:val="left" w:pos="288"/>
                <w:tab w:val="left" w:pos="576"/>
                <w:tab w:val="left" w:pos="864"/>
                <w:tab w:val="left" w:pos="1152"/>
              </w:tabs>
              <w:spacing w:before="40" w:after="40" w:line="210" w:lineRule="exact"/>
              <w:ind w:right="40"/>
              <w:jc w:val="right"/>
              <w:rPr>
                <w:sz w:val="17"/>
              </w:rPr>
            </w:pPr>
            <w:r w:rsidRPr="00D11A75">
              <w:rPr>
                <w:sz w:val="17"/>
              </w:rPr>
              <w:t>2</w:t>
            </w:r>
            <w:r w:rsidR="00ED7E22">
              <w:rPr>
                <w:sz w:val="17"/>
              </w:rPr>
              <w:t>,</w:t>
            </w:r>
            <w:r w:rsidRPr="00D11A75">
              <w:rPr>
                <w:sz w:val="17"/>
              </w:rPr>
              <w:t>8</w:t>
            </w:r>
          </w:p>
        </w:tc>
      </w:tr>
    </w:tbl>
    <w:p w:rsidR="00D11A75" w:rsidRDefault="00D11A75" w:rsidP="001939B3">
      <w:pPr>
        <w:pStyle w:val="SingleTxt"/>
        <w:suppressAutoHyphens w:val="0"/>
        <w:spacing w:after="0" w:line="120" w:lineRule="exact"/>
        <w:rPr>
          <w:sz w:val="10"/>
        </w:rPr>
      </w:pPr>
    </w:p>
    <w:p w:rsidR="00D11A75" w:rsidRDefault="00D11A75" w:rsidP="0005182C">
      <w:pPr>
        <w:pStyle w:val="FootnoteText"/>
        <w:tabs>
          <w:tab w:val="clear" w:pos="418"/>
          <w:tab w:val="right" w:pos="1476"/>
          <w:tab w:val="left" w:pos="1548"/>
          <w:tab w:val="right" w:pos="1836"/>
          <w:tab w:val="left" w:pos="1908"/>
        </w:tabs>
        <w:ind w:left="1548" w:right="1267" w:hanging="288"/>
      </w:pPr>
      <w:r w:rsidRPr="0005182C">
        <w:rPr>
          <w:i/>
        </w:rPr>
        <w:t>Fuente:</w:t>
      </w:r>
      <w:r>
        <w:t xml:space="preserve"> Oficina Nacional de Estadística.</w:t>
      </w:r>
    </w:p>
    <w:p w:rsidR="0005182C" w:rsidRPr="0005182C" w:rsidRDefault="0005182C" w:rsidP="0005182C">
      <w:pPr>
        <w:pStyle w:val="FootnoteText"/>
        <w:tabs>
          <w:tab w:val="clear" w:pos="418"/>
          <w:tab w:val="right" w:pos="1476"/>
          <w:tab w:val="left" w:pos="1548"/>
          <w:tab w:val="right" w:pos="1836"/>
          <w:tab w:val="left" w:pos="1908"/>
        </w:tabs>
        <w:spacing w:line="120" w:lineRule="exact"/>
        <w:ind w:left="1548" w:right="1267" w:hanging="288"/>
        <w:rPr>
          <w:sz w:val="10"/>
        </w:rPr>
      </w:pPr>
    </w:p>
    <w:p w:rsidR="00D11A75" w:rsidRPr="0005182C" w:rsidRDefault="00D11A75" w:rsidP="0005182C">
      <w:pPr>
        <w:pStyle w:val="SingleTxt"/>
        <w:suppressAutoHyphens w:val="0"/>
        <w:spacing w:after="0" w:line="120" w:lineRule="exact"/>
        <w:rPr>
          <w:sz w:val="10"/>
        </w:rPr>
      </w:pPr>
    </w:p>
    <w:p w:rsidR="0005182C" w:rsidRPr="00D11A75" w:rsidRDefault="0005182C" w:rsidP="00D11A75">
      <w:pPr>
        <w:pStyle w:val="SingleTxt"/>
        <w:suppressAutoHyphens w:val="0"/>
        <w:spacing w:after="0" w:line="120" w:lineRule="exact"/>
        <w:rPr>
          <w:sz w:val="10"/>
        </w:rPr>
      </w:pPr>
    </w:p>
    <w:p w:rsidR="008203E1" w:rsidRDefault="008203E1">
      <w:pPr>
        <w:suppressAutoHyphens w:val="0"/>
        <w:spacing w:line="240" w:lineRule="auto"/>
        <w:rPr>
          <w:b/>
          <w:spacing w:val="2"/>
          <w:kern w:val="14"/>
        </w:rPr>
      </w:pPr>
      <w:r>
        <w:br w:type="page"/>
      </w:r>
    </w:p>
    <w:p w:rsidR="0005182C" w:rsidRDefault="0005182C" w:rsidP="00624A4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lastRenderedPageBreak/>
        <w:tab/>
      </w:r>
      <w:r>
        <w:tab/>
      </w:r>
      <w:r>
        <w:rPr>
          <w:b w:val="0"/>
        </w:rPr>
        <w:t>Gráfico</w:t>
      </w:r>
      <w:r w:rsidR="00D27624">
        <w:rPr>
          <w:b w:val="0"/>
        </w:rPr>
        <w:t xml:space="preserve"> 1</w:t>
      </w:r>
      <w:r>
        <w:rPr>
          <w:b w:val="0"/>
        </w:rPr>
        <w:br/>
      </w:r>
      <w:r>
        <w:t xml:space="preserve">Densidad de población en </w:t>
      </w:r>
      <w:r w:rsidR="0034164A">
        <w:t>Malawi</w:t>
      </w:r>
    </w:p>
    <w:p w:rsidR="008203E1" w:rsidRPr="004010A8" w:rsidRDefault="008203E1" w:rsidP="004010A8">
      <w:pPr>
        <w:pStyle w:val="SingleTxt"/>
        <w:spacing w:after="0" w:line="120" w:lineRule="exact"/>
        <w:rPr>
          <w:sz w:val="10"/>
        </w:rPr>
      </w:pPr>
      <w:bookmarkStart w:id="2" w:name="_MON_1423645643"/>
      <w:bookmarkStart w:id="3" w:name="_MON_1425909781"/>
      <w:bookmarkStart w:id="4" w:name="_MON_1426399700"/>
      <w:bookmarkEnd w:id="2"/>
      <w:bookmarkEnd w:id="3"/>
      <w:bookmarkEnd w:id="4"/>
    </w:p>
    <w:p w:rsidR="004010A8" w:rsidRPr="00230141" w:rsidRDefault="004010A8" w:rsidP="00230141">
      <w:pPr>
        <w:pStyle w:val="SingleTxt"/>
        <w:spacing w:after="0" w:line="120" w:lineRule="exact"/>
        <w:rPr>
          <w:sz w:val="10"/>
        </w:rPr>
      </w:pPr>
    </w:p>
    <w:bookmarkStart w:id="5" w:name="_MON_1423643608"/>
    <w:bookmarkEnd w:id="5"/>
    <w:p w:rsidR="004010A8" w:rsidRPr="004010A8" w:rsidRDefault="00D27624" w:rsidP="00F1391E">
      <w:pPr>
        <w:suppressAutoHyphens w:val="0"/>
        <w:spacing w:line="240" w:lineRule="atLeast"/>
        <w:ind w:left="1267" w:right="1267"/>
        <w:rPr>
          <w:rFonts w:eastAsia="Times New Roman"/>
          <w:spacing w:val="0"/>
          <w:w w:val="100"/>
          <w:szCs w:val="20"/>
          <w:lang w:eastAsia="es-ES"/>
        </w:rPr>
      </w:pPr>
      <w:r w:rsidRPr="004010A8">
        <w:rPr>
          <w:rFonts w:eastAsia="Times New Roman"/>
          <w:spacing w:val="0"/>
          <w:w w:val="100"/>
          <w:szCs w:val="20"/>
          <w:lang w:eastAsia="es-ES"/>
        </w:rPr>
        <w:object w:dxaOrig="8876" w:dyaOrig="11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0.5pt;height:328.65pt" o:ole="" o:bordertopcolor="this" o:borderleftcolor="this" o:borderbottomcolor="this" o:borderrightcolor="this">
            <v:imagedata r:id="rId16" o:title="" croptop="1105f" cropbottom="1492f" cropleft="1123f" cropright="1794f"/>
            <w10:bordertop type="single" width="4"/>
            <w10:borderleft type="single" width="4"/>
            <w10:borderbottom type="single" width="4"/>
            <w10:borderright type="single" width="4"/>
          </v:shape>
          <o:OLEObject Type="Embed" ProgID="Word.Picture.8" ShapeID="_x0000_i1025" DrawAspect="Content" ObjectID="_1495535007" r:id="rId17"/>
        </w:object>
      </w:r>
    </w:p>
    <w:p w:rsidR="00F1391E" w:rsidRPr="00F1391E" w:rsidRDefault="00F1391E" w:rsidP="00F1391E">
      <w:pPr>
        <w:pStyle w:val="SingleTxt"/>
        <w:spacing w:after="0" w:line="120" w:lineRule="exact"/>
        <w:rPr>
          <w:sz w:val="10"/>
        </w:rPr>
      </w:pPr>
    </w:p>
    <w:p w:rsidR="008203E1" w:rsidRPr="00771F2E" w:rsidRDefault="00771F2E" w:rsidP="00771F2E">
      <w:pPr>
        <w:pStyle w:val="FootnoteText"/>
        <w:tabs>
          <w:tab w:val="clear" w:pos="418"/>
          <w:tab w:val="right" w:pos="1476"/>
          <w:tab w:val="left" w:pos="1548"/>
          <w:tab w:val="right" w:pos="1836"/>
          <w:tab w:val="left" w:pos="1908"/>
        </w:tabs>
        <w:ind w:left="1548" w:right="1267" w:hanging="288"/>
      </w:pPr>
      <w:r w:rsidRPr="00771F2E">
        <w:rPr>
          <w:i/>
        </w:rPr>
        <w:t>Fuente</w:t>
      </w:r>
      <w:r w:rsidRPr="00D27624">
        <w:rPr>
          <w:i/>
          <w:sz w:val="10"/>
        </w:rPr>
        <w:t>:</w:t>
      </w:r>
      <w:r>
        <w:rPr>
          <w:sz w:val="10"/>
        </w:rPr>
        <w:t xml:space="preserve"> </w:t>
      </w:r>
      <w:r w:rsidRPr="00771F2E">
        <w:t>Oficina Nacional de Estadística, 2008</w:t>
      </w:r>
      <w:r>
        <w:t>.</w:t>
      </w:r>
    </w:p>
    <w:p w:rsidR="008203E1" w:rsidRPr="00BC6A5D" w:rsidRDefault="008203E1" w:rsidP="00BC6A5D">
      <w:pPr>
        <w:pStyle w:val="SingleTxt"/>
        <w:spacing w:after="0" w:line="120" w:lineRule="exact"/>
        <w:rPr>
          <w:sz w:val="10"/>
        </w:rPr>
      </w:pPr>
    </w:p>
    <w:p w:rsidR="00BC6A5D" w:rsidRPr="00BC6A5D" w:rsidRDefault="00BC6A5D" w:rsidP="00BC6A5D">
      <w:pPr>
        <w:pStyle w:val="SingleTxt"/>
        <w:spacing w:after="0" w:line="120" w:lineRule="exact"/>
        <w:rPr>
          <w:sz w:val="10"/>
        </w:rPr>
      </w:pPr>
    </w:p>
    <w:p w:rsidR="00BC6A5D" w:rsidRPr="00ED7E22" w:rsidRDefault="00BC6A5D" w:rsidP="00ED7E22">
      <w:pPr>
        <w:pStyle w:val="SingleTxt"/>
        <w:spacing w:after="0" w:line="120" w:lineRule="exact"/>
        <w:rPr>
          <w:sz w:val="10"/>
        </w:rPr>
      </w:pPr>
    </w:p>
    <w:p w:rsidR="00771F2E" w:rsidRPr="00771F2E" w:rsidRDefault="00771F2E" w:rsidP="00771F2E">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771F2E">
        <w:t>Tasas de natalidad y de mortalidad</w:t>
      </w:r>
    </w:p>
    <w:p w:rsidR="00ED7E22" w:rsidRPr="00771F2E" w:rsidRDefault="00ED7E22" w:rsidP="00771F2E">
      <w:pPr>
        <w:pStyle w:val="SingleTxt"/>
        <w:spacing w:after="0" w:line="120" w:lineRule="exact"/>
        <w:rPr>
          <w:sz w:val="10"/>
        </w:rPr>
      </w:pPr>
    </w:p>
    <w:p w:rsidR="00771F2E" w:rsidRDefault="00771F2E" w:rsidP="00771F2E">
      <w:pPr>
        <w:pStyle w:val="SingleTxt"/>
        <w:numPr>
          <w:ilvl w:val="0"/>
          <w:numId w:val="4"/>
        </w:numPr>
        <w:suppressAutoHyphens w:val="0"/>
        <w:ind w:left="1267"/>
      </w:pPr>
      <w:r w:rsidRPr="00771F2E">
        <w:t>En los 12 meses anteriores a la fecha del censo nacieron, en total, 516.629 niños, lo que arroja una tasa bruta de natalidad</w:t>
      </w:r>
      <w:r w:rsidR="0012353E">
        <w:rPr>
          <w:rStyle w:val="FootnoteReference"/>
        </w:rPr>
        <w:footnoteReference w:id="3"/>
      </w:r>
      <w:r w:rsidRPr="00771F2E">
        <w:t xml:space="preserve"> registrada o no ajustada de 39,5 nacimientos por 1.000 habitantes. La tasa era mayor en las zonas rurales (40,4) que en las urbanas (34,6). A nivel regional, la tasa era de 39,9 por 1.000 en la Región Septentrional, de 40,5 en la Región Central y de 38,6 en la Región Meridional. La tasa total de fecundidad se define como el número de partos que tendría una mujer si viviera hasta el final de su edad fértil, que abarca de los 15 a los 49 años, en función de las tasas de fecundidad actualmente observadas para cada grupo de edad. En 1998, la tasa total no ajustada de fecundidad era de 5,2 hijos por mujer. </w:t>
      </w:r>
    </w:p>
    <w:p w:rsidR="00771F2E" w:rsidRPr="00771F2E" w:rsidRDefault="00771F2E" w:rsidP="00771F2E">
      <w:pPr>
        <w:pStyle w:val="SingleTxt"/>
        <w:spacing w:after="0" w:line="120" w:lineRule="exact"/>
        <w:rPr>
          <w:sz w:val="10"/>
        </w:rPr>
      </w:pPr>
    </w:p>
    <w:p w:rsidR="00771F2E" w:rsidRDefault="00771F2E" w:rsidP="00771F2E">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771F2E">
        <w:t>Tasa bruta de mortalidad</w:t>
      </w:r>
    </w:p>
    <w:p w:rsidR="00771F2E" w:rsidRPr="00771F2E" w:rsidRDefault="00771F2E" w:rsidP="00771F2E">
      <w:pPr>
        <w:pStyle w:val="SingleTxt"/>
        <w:spacing w:after="0" w:line="120" w:lineRule="exact"/>
        <w:rPr>
          <w:sz w:val="10"/>
        </w:rPr>
      </w:pPr>
    </w:p>
    <w:p w:rsidR="00771F2E" w:rsidRPr="00771F2E" w:rsidRDefault="00771F2E" w:rsidP="00771F2E">
      <w:pPr>
        <w:pStyle w:val="SingleTxt"/>
        <w:numPr>
          <w:ilvl w:val="0"/>
          <w:numId w:val="4"/>
        </w:numPr>
        <w:suppressAutoHyphens w:val="0"/>
        <w:ind w:left="1267"/>
      </w:pPr>
      <w:r w:rsidRPr="00771F2E">
        <w:t>La tasa bruta de mortalidad se define como el número de muertes por cada 1.000 habitantes durante un año civil determinado. Según el censo de 1998, durante el período de 12 meses inmediatamente anterior se habían registrado alrededor de</w:t>
      </w:r>
      <w:r w:rsidR="001D582A">
        <w:t> </w:t>
      </w:r>
      <w:r w:rsidRPr="00771F2E">
        <w:t xml:space="preserve">208.000 fallecimientos en el país, lo que situaba la tasa bruta de mortalidad en alrededor de 21,1 muertes por 1.000 habitantes. En los 12 meses anteriores al censo </w:t>
      </w:r>
      <w:r w:rsidRPr="00771F2E">
        <w:lastRenderedPageBreak/>
        <w:t>de</w:t>
      </w:r>
      <w:r w:rsidR="001D582A">
        <w:t> </w:t>
      </w:r>
      <w:r w:rsidRPr="00771F2E">
        <w:t>2008 se registraron, en total, 135.865 muertes, lo que arrojaba una tasa bruta de mortalidad de 10 muertes por 1.000 habitantes.</w:t>
      </w:r>
    </w:p>
    <w:p w:rsidR="00771F2E" w:rsidRPr="00771F2E" w:rsidRDefault="00771F2E" w:rsidP="00771F2E">
      <w:pPr>
        <w:pStyle w:val="SingleTxt"/>
        <w:numPr>
          <w:ilvl w:val="0"/>
          <w:numId w:val="4"/>
        </w:numPr>
        <w:suppressAutoHyphens w:val="0"/>
        <w:ind w:left="1267"/>
      </w:pPr>
      <w:r w:rsidRPr="00771F2E">
        <w:t>En el cuadro 8 se presentan las tasas de mortalidad en la primera infancia correspondientes a los tres lustros anteriores a la encuesta, basadas en los datos de la Encuesta demográfica y de salud de Malawi de 2010. En los cinco años inmediatamente anteriores a la encuesta (2005-2010), la tasa de mortalidad infantil fue de 66 por cada 1.000 nacidos vivos. La estimación de la mortalidad en la infancia (de los niños de entre 12 meses y 4 años de edad) fue de 50 muertes por cada 1.000 nacidos vivos, y la tasa de mortalidad general de los menores de 5 años fue, durante el mismo período, de 112 por cada 1.000 nacidos vivos. La tasa de mortalidad neonatal es de 31 muertes por 1.000 nacidos vivos, y la tasa de mortalidad posneonatal, de 35 muertes por 1.000 nacidos vivos. Un examen de las tasas de mortalidad en los tres lustros sucesivos indica que las correspondientes a los niños menores de 5 años disminuyeron de 180 muertes por 1.000 nacidos vivos durante los últimos años del pasado siglo (1995-2000, aproximadamente) a 112 muertes por 1.000 nacidos vivos en la última mitad del presente decenio (2005-2010). La reducción de la mortalidad se registró, en su mayor parte, fuera de los períodos neonatal y posneonatal. La mortalidad infantil descendió, en el mismo período, de 92 a 66 muertes por 1.000 nacidos vivos.</w:t>
      </w:r>
    </w:p>
    <w:p w:rsidR="00771F2E" w:rsidRPr="00771F2E" w:rsidRDefault="00771F2E" w:rsidP="00771F2E">
      <w:pPr>
        <w:pStyle w:val="SingleTxt"/>
        <w:spacing w:after="0" w:line="120" w:lineRule="exact"/>
        <w:rPr>
          <w:sz w:val="10"/>
        </w:rPr>
      </w:pPr>
    </w:p>
    <w:p w:rsidR="00771F2E" w:rsidRDefault="00771F2E" w:rsidP="00771F2E">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771F2E">
        <w:t>Tasas de alfabetización</w:t>
      </w:r>
    </w:p>
    <w:p w:rsidR="00771F2E" w:rsidRPr="00771F2E" w:rsidRDefault="00771F2E" w:rsidP="00771F2E">
      <w:pPr>
        <w:pStyle w:val="SingleTxt"/>
        <w:spacing w:after="0" w:line="120" w:lineRule="exact"/>
        <w:rPr>
          <w:sz w:val="10"/>
        </w:rPr>
      </w:pPr>
    </w:p>
    <w:p w:rsidR="00771F2E" w:rsidRDefault="00771F2E" w:rsidP="00771F2E">
      <w:pPr>
        <w:pStyle w:val="SingleTxt"/>
        <w:numPr>
          <w:ilvl w:val="0"/>
          <w:numId w:val="4"/>
        </w:numPr>
        <w:suppressAutoHyphens w:val="0"/>
        <w:ind w:left="1267"/>
      </w:pPr>
      <w:r w:rsidRPr="00771F2E">
        <w:t>Por alfabetización se entiende la capacidad de leer y escribir en cualquier idioma. Durante el censo se encuestó sobre el nivel de educación y de alfabetización a todas las personas de 3 años o más. Había 10,6 millones de personas de 5 años o más, de las cuales 6,8 millones estaban alfabetizadas, lo que arrojaba una tasa de alfabetización del 64%. El número de personas alfabetizadas ascendía a 2,9 millones en la Región Meridional, 2,8 millones en la Región Central y 1,1 millones en la Región Septentrional. Había, durante el período abarcado por el censo, 5,4 millones de mujeres alfabetizadas (el 59%) y 5,2 millones de hombres (el 69%). La edad oficial de escolarización en Malawi es de 6 años. Según el censo de 2008, de una población total de 10.241.359 personas de 6 años o más, 2.856.101 (el 28%) estaban asistiendo a la escuela. De ellas, 2,1 millones (el 74%) tenían de 6 a 13 años; 581.606 (el 20%), de 14 a 17 años, y 170.114 (el 6%), 18 años o más.</w:t>
      </w:r>
    </w:p>
    <w:p w:rsidR="00771F2E" w:rsidRPr="00771F2E" w:rsidRDefault="00771F2E" w:rsidP="00771F2E">
      <w:pPr>
        <w:pStyle w:val="SingleTxt"/>
        <w:spacing w:after="0" w:line="120" w:lineRule="exact"/>
        <w:rPr>
          <w:sz w:val="10"/>
        </w:rPr>
      </w:pPr>
    </w:p>
    <w:p w:rsidR="00771F2E" w:rsidRDefault="00771F2E" w:rsidP="00771F2E">
      <w:pPr>
        <w:pStyle w:val="H4"/>
        <w:tabs>
          <w:tab w:val="clear" w:pos="360"/>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tab/>
      </w:r>
      <w:r w:rsidRPr="00771F2E">
        <w:t>Religión</w:t>
      </w:r>
    </w:p>
    <w:p w:rsidR="00771F2E" w:rsidRPr="00771F2E" w:rsidRDefault="00771F2E" w:rsidP="00771F2E">
      <w:pPr>
        <w:pStyle w:val="SingleTxt"/>
        <w:spacing w:after="0" w:line="120" w:lineRule="exact"/>
        <w:rPr>
          <w:sz w:val="10"/>
        </w:rPr>
      </w:pPr>
    </w:p>
    <w:p w:rsidR="00771F2E" w:rsidRPr="00771F2E" w:rsidRDefault="00771F2E" w:rsidP="00771F2E">
      <w:pPr>
        <w:pStyle w:val="SingleTxt"/>
        <w:numPr>
          <w:ilvl w:val="0"/>
          <w:numId w:val="4"/>
        </w:numPr>
        <w:suppressAutoHyphens w:val="0"/>
        <w:ind w:left="1267"/>
      </w:pPr>
      <w:r w:rsidRPr="00771F2E">
        <w:t>Malawi tiene la reputación de ser una nación temerosa de Dios, aunque el Estado tenga carácter secular. La población se divide entre dos fes principales: el cristianismo y el islam. Otras religiones importantes son el hinduismo, la fe baha</w:t>
      </w:r>
      <w:r w:rsidR="00D27624">
        <w:t>’</w:t>
      </w:r>
      <w:r w:rsidRPr="00771F2E">
        <w:t>i y las religiones tradicionales. Aunque el cristianismo y el islam sean las religiones más importantes, ninguna de ellas es homogénea, y muestra diversas ramas. En el cristianismo, los grupos principales son los católicos romanos, los presbiterianos, los anglicanos, los adventistas, los pentecostales y las iglesias apostólicas; mientras que, en el islam, son los qadiríes, los sunníes y los sukut.</w:t>
      </w:r>
    </w:p>
    <w:p w:rsidR="00771F2E" w:rsidRDefault="00771F2E" w:rsidP="00771F2E">
      <w:pPr>
        <w:pStyle w:val="SingleTxt"/>
        <w:numPr>
          <w:ilvl w:val="0"/>
          <w:numId w:val="4"/>
        </w:numPr>
        <w:suppressAutoHyphens w:val="0"/>
        <w:ind w:left="1267"/>
      </w:pPr>
      <w:r w:rsidRPr="00771F2E">
        <w:t>En el cuadro 2 figura el desglose de la población de Malawi por religión. En él se muestra que las principales religiones del país son el cristianismo y el islam.</w:t>
      </w:r>
    </w:p>
    <w:p w:rsidR="00771F2E" w:rsidRPr="00230141" w:rsidRDefault="00771F2E" w:rsidP="00230141">
      <w:pPr>
        <w:pStyle w:val="SingleTxt"/>
        <w:suppressAutoHyphens w:val="0"/>
        <w:spacing w:after="0" w:line="120" w:lineRule="exact"/>
        <w:rPr>
          <w:sz w:val="10"/>
        </w:rPr>
      </w:pPr>
    </w:p>
    <w:p w:rsidR="00230141" w:rsidRPr="00771F2E" w:rsidRDefault="00230141" w:rsidP="00771F2E">
      <w:pPr>
        <w:pStyle w:val="SingleTxt"/>
        <w:suppressAutoHyphens w:val="0"/>
        <w:spacing w:after="0" w:line="120" w:lineRule="exact"/>
        <w:rPr>
          <w:sz w:val="10"/>
        </w:rPr>
      </w:pPr>
    </w:p>
    <w:p w:rsidR="00771F2E" w:rsidRDefault="00771F2E" w:rsidP="00D2762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lastRenderedPageBreak/>
        <w:tab/>
      </w:r>
      <w:r>
        <w:tab/>
      </w:r>
      <w:r w:rsidRPr="00BA3D97">
        <w:rPr>
          <w:b w:val="0"/>
        </w:rPr>
        <w:t>Cuadro 2</w:t>
      </w:r>
      <w:r>
        <w:br/>
        <w:t>Distribución oficial de la población por re</w:t>
      </w:r>
      <w:r w:rsidR="00DA3A6E">
        <w:t>ligiones, 2008</w:t>
      </w:r>
    </w:p>
    <w:p w:rsidR="00DA3A6E" w:rsidRPr="00DA3A6E" w:rsidRDefault="00DA3A6E" w:rsidP="00D27624">
      <w:pPr>
        <w:pStyle w:val="SingleTxt"/>
        <w:keepNext/>
        <w:keepLines/>
        <w:spacing w:after="0" w:line="120" w:lineRule="exact"/>
        <w:rPr>
          <w:sz w:val="10"/>
        </w:rPr>
      </w:pPr>
    </w:p>
    <w:p w:rsidR="00DA3A6E" w:rsidRDefault="00DA3A6E" w:rsidP="00D27624">
      <w:pPr>
        <w:pStyle w:val="SingleTxt"/>
        <w:keepNext/>
        <w:keepLines/>
        <w:spacing w:after="0" w:line="120" w:lineRule="exact"/>
        <w:rPr>
          <w:sz w:val="10"/>
        </w:rPr>
      </w:pPr>
    </w:p>
    <w:tbl>
      <w:tblPr>
        <w:tblW w:w="0" w:type="auto"/>
        <w:tblInd w:w="1260" w:type="dxa"/>
        <w:tblLayout w:type="fixed"/>
        <w:tblCellMar>
          <w:left w:w="0" w:type="dxa"/>
          <w:right w:w="0" w:type="dxa"/>
        </w:tblCellMar>
        <w:tblLook w:val="0000" w:firstRow="0" w:lastRow="0" w:firstColumn="0" w:lastColumn="0" w:noHBand="0" w:noVBand="0"/>
      </w:tblPr>
      <w:tblGrid>
        <w:gridCol w:w="1220"/>
        <w:gridCol w:w="1220"/>
        <w:gridCol w:w="1220"/>
        <w:gridCol w:w="1220"/>
        <w:gridCol w:w="1220"/>
        <w:gridCol w:w="1220"/>
      </w:tblGrid>
      <w:tr w:rsidR="00DA3A6E" w:rsidRPr="00866E00" w:rsidTr="00866E00">
        <w:trPr>
          <w:tblHeader/>
        </w:trPr>
        <w:tc>
          <w:tcPr>
            <w:tcW w:w="1220" w:type="dxa"/>
            <w:tcBorders>
              <w:top w:val="single" w:sz="4" w:space="0" w:color="auto"/>
              <w:bottom w:val="single" w:sz="12" w:space="0" w:color="auto"/>
            </w:tcBorders>
            <w:shd w:val="clear" w:color="auto" w:fill="auto"/>
            <w:vAlign w:val="bottom"/>
          </w:tcPr>
          <w:p w:rsidR="00DA3A6E" w:rsidRPr="00866E00" w:rsidRDefault="00BA3D97" w:rsidP="00D27624">
            <w:pPr>
              <w:keepNext/>
              <w:keepLines/>
              <w:tabs>
                <w:tab w:val="left" w:pos="288"/>
                <w:tab w:val="left" w:pos="576"/>
                <w:tab w:val="left" w:pos="864"/>
                <w:tab w:val="left" w:pos="1152"/>
              </w:tabs>
              <w:spacing w:before="80" w:after="80" w:line="160" w:lineRule="exact"/>
              <w:ind w:right="40"/>
              <w:rPr>
                <w:i/>
                <w:sz w:val="14"/>
              </w:rPr>
            </w:pPr>
            <w:r>
              <w:rPr>
                <w:i/>
                <w:sz w:val="14"/>
              </w:rPr>
              <w:t>Total</w:t>
            </w:r>
          </w:p>
        </w:tc>
        <w:tc>
          <w:tcPr>
            <w:tcW w:w="1220" w:type="dxa"/>
            <w:tcBorders>
              <w:top w:val="single" w:sz="4" w:space="0" w:color="auto"/>
              <w:bottom w:val="single" w:sz="12" w:space="0" w:color="auto"/>
            </w:tcBorders>
            <w:shd w:val="clear" w:color="auto" w:fill="auto"/>
            <w:vAlign w:val="bottom"/>
          </w:tcPr>
          <w:p w:rsidR="00DA3A6E" w:rsidRPr="00866E00" w:rsidRDefault="00DA3A6E" w:rsidP="00D27624">
            <w:pPr>
              <w:keepNext/>
              <w:keepLines/>
              <w:tabs>
                <w:tab w:val="left" w:pos="288"/>
                <w:tab w:val="left" w:pos="576"/>
                <w:tab w:val="left" w:pos="864"/>
                <w:tab w:val="left" w:pos="1152"/>
              </w:tabs>
              <w:spacing w:before="80" w:after="80" w:line="160" w:lineRule="exact"/>
              <w:ind w:right="40"/>
              <w:jc w:val="right"/>
              <w:rPr>
                <w:i/>
                <w:sz w:val="14"/>
              </w:rPr>
            </w:pPr>
          </w:p>
        </w:tc>
        <w:tc>
          <w:tcPr>
            <w:tcW w:w="1220" w:type="dxa"/>
            <w:tcBorders>
              <w:top w:val="single" w:sz="4" w:space="0" w:color="auto"/>
              <w:bottom w:val="single" w:sz="12" w:space="0" w:color="auto"/>
            </w:tcBorders>
            <w:shd w:val="clear" w:color="auto" w:fill="auto"/>
            <w:vAlign w:val="bottom"/>
          </w:tcPr>
          <w:p w:rsidR="00DA3A6E" w:rsidRPr="00866E00" w:rsidRDefault="00BA3D97" w:rsidP="00D27624">
            <w:pPr>
              <w:keepNext/>
              <w:keepLines/>
              <w:tabs>
                <w:tab w:val="left" w:pos="288"/>
                <w:tab w:val="left" w:pos="576"/>
                <w:tab w:val="left" w:pos="864"/>
                <w:tab w:val="left" w:pos="1152"/>
              </w:tabs>
              <w:spacing w:before="80" w:after="80" w:line="160" w:lineRule="exact"/>
              <w:ind w:right="40"/>
              <w:jc w:val="right"/>
              <w:rPr>
                <w:i/>
                <w:sz w:val="14"/>
              </w:rPr>
            </w:pPr>
            <w:r>
              <w:rPr>
                <w:i/>
                <w:sz w:val="14"/>
              </w:rPr>
              <w:t>Cristianos</w:t>
            </w:r>
          </w:p>
        </w:tc>
        <w:tc>
          <w:tcPr>
            <w:tcW w:w="1220" w:type="dxa"/>
            <w:tcBorders>
              <w:top w:val="single" w:sz="4" w:space="0" w:color="auto"/>
              <w:bottom w:val="single" w:sz="12" w:space="0" w:color="auto"/>
            </w:tcBorders>
            <w:shd w:val="clear" w:color="auto" w:fill="auto"/>
            <w:vAlign w:val="bottom"/>
          </w:tcPr>
          <w:p w:rsidR="00DA3A6E" w:rsidRPr="00866E00" w:rsidRDefault="00336A5E" w:rsidP="00D27624">
            <w:pPr>
              <w:keepNext/>
              <w:keepLines/>
              <w:tabs>
                <w:tab w:val="left" w:pos="288"/>
                <w:tab w:val="left" w:pos="576"/>
                <w:tab w:val="left" w:pos="864"/>
                <w:tab w:val="left" w:pos="1152"/>
              </w:tabs>
              <w:spacing w:before="80" w:after="80" w:line="160" w:lineRule="exact"/>
              <w:ind w:right="40"/>
              <w:jc w:val="right"/>
              <w:rPr>
                <w:i/>
                <w:sz w:val="14"/>
              </w:rPr>
            </w:pPr>
            <w:r>
              <w:rPr>
                <w:i/>
                <w:sz w:val="14"/>
              </w:rPr>
              <w:t>Musulmanes</w:t>
            </w:r>
          </w:p>
        </w:tc>
        <w:tc>
          <w:tcPr>
            <w:tcW w:w="1220" w:type="dxa"/>
            <w:tcBorders>
              <w:top w:val="single" w:sz="4" w:space="0" w:color="auto"/>
              <w:bottom w:val="single" w:sz="12" w:space="0" w:color="auto"/>
            </w:tcBorders>
            <w:shd w:val="clear" w:color="auto" w:fill="auto"/>
            <w:vAlign w:val="bottom"/>
          </w:tcPr>
          <w:p w:rsidR="00DA3A6E" w:rsidRPr="00866E00" w:rsidRDefault="00BA3D97" w:rsidP="00D27624">
            <w:pPr>
              <w:keepNext/>
              <w:keepLines/>
              <w:tabs>
                <w:tab w:val="left" w:pos="288"/>
                <w:tab w:val="left" w:pos="576"/>
                <w:tab w:val="left" w:pos="864"/>
                <w:tab w:val="left" w:pos="1152"/>
              </w:tabs>
              <w:spacing w:before="80" w:after="80" w:line="160" w:lineRule="exact"/>
              <w:ind w:right="40"/>
              <w:jc w:val="right"/>
              <w:rPr>
                <w:i/>
                <w:sz w:val="14"/>
              </w:rPr>
            </w:pPr>
            <w:r>
              <w:rPr>
                <w:i/>
                <w:sz w:val="14"/>
              </w:rPr>
              <w:t>Otras religiones</w:t>
            </w:r>
          </w:p>
        </w:tc>
        <w:tc>
          <w:tcPr>
            <w:tcW w:w="1220" w:type="dxa"/>
            <w:tcBorders>
              <w:top w:val="single" w:sz="4" w:space="0" w:color="auto"/>
              <w:bottom w:val="single" w:sz="12" w:space="0" w:color="auto"/>
            </w:tcBorders>
            <w:shd w:val="clear" w:color="auto" w:fill="auto"/>
            <w:vAlign w:val="bottom"/>
          </w:tcPr>
          <w:p w:rsidR="00DA3A6E" w:rsidRPr="00866E00" w:rsidRDefault="00BA3D97" w:rsidP="00D27624">
            <w:pPr>
              <w:keepNext/>
              <w:keepLines/>
              <w:tabs>
                <w:tab w:val="left" w:pos="288"/>
                <w:tab w:val="left" w:pos="576"/>
                <w:tab w:val="left" w:pos="864"/>
                <w:tab w:val="left" w:pos="1152"/>
              </w:tabs>
              <w:spacing w:before="80" w:after="80" w:line="160" w:lineRule="exact"/>
              <w:ind w:right="40"/>
              <w:jc w:val="right"/>
              <w:rPr>
                <w:i/>
                <w:sz w:val="14"/>
              </w:rPr>
            </w:pPr>
            <w:r>
              <w:rPr>
                <w:i/>
                <w:sz w:val="14"/>
              </w:rPr>
              <w:t>Ninguna</w:t>
            </w:r>
          </w:p>
        </w:tc>
      </w:tr>
      <w:tr w:rsidR="00866E00" w:rsidRPr="00866E00" w:rsidTr="00866E00">
        <w:trPr>
          <w:trHeight w:hRule="exact" w:val="115"/>
          <w:tblHeader/>
        </w:trPr>
        <w:tc>
          <w:tcPr>
            <w:tcW w:w="1220" w:type="dxa"/>
            <w:tcBorders>
              <w:top w:val="single" w:sz="12" w:space="0" w:color="auto"/>
            </w:tcBorders>
            <w:shd w:val="clear" w:color="auto" w:fill="auto"/>
            <w:vAlign w:val="bottom"/>
          </w:tcPr>
          <w:p w:rsidR="00866E00" w:rsidRPr="00866E00" w:rsidRDefault="00866E00" w:rsidP="00D27624">
            <w:pPr>
              <w:keepNext/>
              <w:keepLines/>
              <w:tabs>
                <w:tab w:val="left" w:pos="288"/>
                <w:tab w:val="left" w:pos="576"/>
                <w:tab w:val="left" w:pos="864"/>
                <w:tab w:val="left" w:pos="1152"/>
              </w:tabs>
              <w:spacing w:before="40" w:after="40" w:line="210" w:lineRule="exact"/>
              <w:ind w:right="40"/>
              <w:rPr>
                <w:sz w:val="17"/>
              </w:rPr>
            </w:pPr>
          </w:p>
        </w:tc>
        <w:tc>
          <w:tcPr>
            <w:tcW w:w="1220" w:type="dxa"/>
            <w:tcBorders>
              <w:top w:val="single" w:sz="12" w:space="0" w:color="auto"/>
            </w:tcBorders>
            <w:shd w:val="clear" w:color="auto" w:fill="auto"/>
            <w:vAlign w:val="bottom"/>
          </w:tcPr>
          <w:p w:rsidR="00866E00" w:rsidRPr="00866E00" w:rsidRDefault="00866E00" w:rsidP="00D27624">
            <w:pPr>
              <w:keepNext/>
              <w:keepLines/>
              <w:tabs>
                <w:tab w:val="left" w:pos="288"/>
                <w:tab w:val="left" w:pos="576"/>
                <w:tab w:val="left" w:pos="864"/>
                <w:tab w:val="left" w:pos="1152"/>
              </w:tabs>
              <w:spacing w:before="40" w:after="40" w:line="210" w:lineRule="exact"/>
              <w:ind w:right="40"/>
              <w:jc w:val="right"/>
              <w:rPr>
                <w:sz w:val="17"/>
              </w:rPr>
            </w:pPr>
          </w:p>
        </w:tc>
        <w:tc>
          <w:tcPr>
            <w:tcW w:w="1220" w:type="dxa"/>
            <w:tcBorders>
              <w:top w:val="single" w:sz="12" w:space="0" w:color="auto"/>
            </w:tcBorders>
            <w:shd w:val="clear" w:color="auto" w:fill="auto"/>
            <w:vAlign w:val="bottom"/>
          </w:tcPr>
          <w:p w:rsidR="00866E00" w:rsidRPr="00866E00" w:rsidRDefault="00866E00" w:rsidP="00D27624">
            <w:pPr>
              <w:keepNext/>
              <w:keepLines/>
              <w:tabs>
                <w:tab w:val="left" w:pos="288"/>
                <w:tab w:val="left" w:pos="576"/>
                <w:tab w:val="left" w:pos="864"/>
                <w:tab w:val="left" w:pos="1152"/>
              </w:tabs>
              <w:spacing w:before="40" w:after="40" w:line="210" w:lineRule="exact"/>
              <w:ind w:right="40"/>
              <w:jc w:val="right"/>
              <w:rPr>
                <w:sz w:val="17"/>
              </w:rPr>
            </w:pPr>
          </w:p>
        </w:tc>
        <w:tc>
          <w:tcPr>
            <w:tcW w:w="1220" w:type="dxa"/>
            <w:tcBorders>
              <w:top w:val="single" w:sz="12" w:space="0" w:color="auto"/>
            </w:tcBorders>
            <w:shd w:val="clear" w:color="auto" w:fill="auto"/>
            <w:vAlign w:val="bottom"/>
          </w:tcPr>
          <w:p w:rsidR="00866E00" w:rsidRPr="00866E00" w:rsidRDefault="00866E00" w:rsidP="00D27624">
            <w:pPr>
              <w:keepNext/>
              <w:keepLines/>
              <w:tabs>
                <w:tab w:val="left" w:pos="288"/>
                <w:tab w:val="left" w:pos="576"/>
                <w:tab w:val="left" w:pos="864"/>
                <w:tab w:val="left" w:pos="1152"/>
              </w:tabs>
              <w:spacing w:before="40" w:after="40" w:line="210" w:lineRule="exact"/>
              <w:ind w:right="40"/>
              <w:jc w:val="right"/>
              <w:rPr>
                <w:sz w:val="17"/>
              </w:rPr>
            </w:pPr>
          </w:p>
        </w:tc>
        <w:tc>
          <w:tcPr>
            <w:tcW w:w="1220" w:type="dxa"/>
            <w:tcBorders>
              <w:top w:val="single" w:sz="12" w:space="0" w:color="auto"/>
            </w:tcBorders>
            <w:shd w:val="clear" w:color="auto" w:fill="auto"/>
            <w:vAlign w:val="bottom"/>
          </w:tcPr>
          <w:p w:rsidR="00866E00" w:rsidRPr="00866E00" w:rsidRDefault="00866E00" w:rsidP="00D27624">
            <w:pPr>
              <w:keepNext/>
              <w:keepLines/>
              <w:tabs>
                <w:tab w:val="left" w:pos="288"/>
                <w:tab w:val="left" w:pos="576"/>
                <w:tab w:val="left" w:pos="864"/>
                <w:tab w:val="left" w:pos="1152"/>
              </w:tabs>
              <w:spacing w:before="40" w:after="40" w:line="210" w:lineRule="exact"/>
              <w:ind w:right="40"/>
              <w:jc w:val="right"/>
              <w:rPr>
                <w:sz w:val="17"/>
              </w:rPr>
            </w:pPr>
          </w:p>
        </w:tc>
        <w:tc>
          <w:tcPr>
            <w:tcW w:w="1220" w:type="dxa"/>
            <w:tcBorders>
              <w:top w:val="single" w:sz="12" w:space="0" w:color="auto"/>
            </w:tcBorders>
            <w:shd w:val="clear" w:color="auto" w:fill="auto"/>
            <w:vAlign w:val="bottom"/>
          </w:tcPr>
          <w:p w:rsidR="00866E00" w:rsidRPr="00866E00" w:rsidRDefault="00866E00" w:rsidP="00D27624">
            <w:pPr>
              <w:keepNext/>
              <w:keepLines/>
              <w:tabs>
                <w:tab w:val="left" w:pos="288"/>
                <w:tab w:val="left" w:pos="576"/>
                <w:tab w:val="left" w:pos="864"/>
                <w:tab w:val="left" w:pos="1152"/>
              </w:tabs>
              <w:spacing w:before="40" w:after="40" w:line="210" w:lineRule="exact"/>
              <w:ind w:right="40"/>
              <w:jc w:val="right"/>
              <w:rPr>
                <w:sz w:val="17"/>
              </w:rPr>
            </w:pPr>
          </w:p>
        </w:tc>
      </w:tr>
      <w:tr w:rsidR="00BA3D97" w:rsidRPr="00866E00" w:rsidTr="00866E00">
        <w:tc>
          <w:tcPr>
            <w:tcW w:w="1220" w:type="dxa"/>
            <w:shd w:val="clear" w:color="auto" w:fill="auto"/>
            <w:vAlign w:val="bottom"/>
          </w:tcPr>
          <w:p w:rsidR="00BA3D97" w:rsidRPr="00BC6A5D" w:rsidRDefault="00BA3D97" w:rsidP="00D27624">
            <w:pPr>
              <w:keepNext/>
              <w:keepLines/>
              <w:tabs>
                <w:tab w:val="left" w:pos="288"/>
                <w:tab w:val="left" w:pos="576"/>
                <w:tab w:val="left" w:pos="864"/>
                <w:tab w:val="left" w:pos="1152"/>
              </w:tabs>
              <w:spacing w:before="40" w:after="40" w:line="210" w:lineRule="exact"/>
              <w:ind w:right="40"/>
              <w:rPr>
                <w:b/>
                <w:sz w:val="17"/>
              </w:rPr>
            </w:pPr>
            <w:r w:rsidRPr="00BC6A5D">
              <w:rPr>
                <w:b/>
                <w:sz w:val="17"/>
              </w:rPr>
              <w:t>Malawi</w:t>
            </w:r>
          </w:p>
        </w:tc>
        <w:tc>
          <w:tcPr>
            <w:tcW w:w="1220" w:type="dxa"/>
            <w:shd w:val="clear" w:color="auto" w:fill="auto"/>
            <w:vAlign w:val="bottom"/>
          </w:tcPr>
          <w:p w:rsidR="00BA3D97" w:rsidRPr="00BC6A5D" w:rsidRDefault="00BA3D97" w:rsidP="00D27624">
            <w:pPr>
              <w:keepNext/>
              <w:keepLines/>
              <w:tabs>
                <w:tab w:val="left" w:pos="288"/>
                <w:tab w:val="left" w:pos="576"/>
                <w:tab w:val="left" w:pos="864"/>
                <w:tab w:val="left" w:pos="1152"/>
              </w:tabs>
              <w:spacing w:before="40" w:after="40" w:line="210" w:lineRule="exact"/>
              <w:ind w:right="40"/>
              <w:jc w:val="right"/>
              <w:rPr>
                <w:b/>
                <w:sz w:val="17"/>
              </w:rPr>
            </w:pPr>
            <w:r w:rsidRPr="00BC6A5D">
              <w:rPr>
                <w:b/>
                <w:sz w:val="17"/>
              </w:rPr>
              <w:t>13</w:t>
            </w:r>
            <w:r w:rsidR="00ED7E22" w:rsidRPr="00BC6A5D">
              <w:rPr>
                <w:b/>
                <w:sz w:val="17"/>
              </w:rPr>
              <w:t xml:space="preserve"> </w:t>
            </w:r>
            <w:r w:rsidRPr="00BC6A5D">
              <w:rPr>
                <w:b/>
                <w:sz w:val="17"/>
              </w:rPr>
              <w:t>029</w:t>
            </w:r>
            <w:r w:rsidR="00F25D4D" w:rsidRPr="00BC6A5D">
              <w:rPr>
                <w:b/>
                <w:sz w:val="17"/>
              </w:rPr>
              <w:t xml:space="preserve"> </w:t>
            </w:r>
            <w:r w:rsidRPr="00BC6A5D">
              <w:rPr>
                <w:b/>
                <w:sz w:val="17"/>
              </w:rPr>
              <w:t>498</w:t>
            </w:r>
          </w:p>
        </w:tc>
        <w:tc>
          <w:tcPr>
            <w:tcW w:w="1220" w:type="dxa"/>
            <w:shd w:val="clear" w:color="auto" w:fill="auto"/>
            <w:vAlign w:val="bottom"/>
          </w:tcPr>
          <w:p w:rsidR="00BA3D97" w:rsidRPr="00BC6A5D" w:rsidRDefault="00BA3D97" w:rsidP="00D27624">
            <w:pPr>
              <w:keepNext/>
              <w:keepLines/>
              <w:tabs>
                <w:tab w:val="left" w:pos="288"/>
                <w:tab w:val="left" w:pos="576"/>
                <w:tab w:val="left" w:pos="864"/>
                <w:tab w:val="left" w:pos="1152"/>
              </w:tabs>
              <w:spacing w:before="40" w:after="40" w:line="210" w:lineRule="exact"/>
              <w:ind w:right="40"/>
              <w:jc w:val="right"/>
              <w:rPr>
                <w:b/>
                <w:sz w:val="17"/>
              </w:rPr>
            </w:pPr>
            <w:r w:rsidRPr="00BC6A5D">
              <w:rPr>
                <w:b/>
                <w:sz w:val="17"/>
              </w:rPr>
              <w:t>10</w:t>
            </w:r>
            <w:r w:rsidR="00F25D4D" w:rsidRPr="00BC6A5D">
              <w:rPr>
                <w:b/>
                <w:sz w:val="17"/>
              </w:rPr>
              <w:t xml:space="preserve"> </w:t>
            </w:r>
            <w:r w:rsidRPr="00BC6A5D">
              <w:rPr>
                <w:b/>
                <w:sz w:val="17"/>
              </w:rPr>
              <w:t>770</w:t>
            </w:r>
            <w:r w:rsidR="00F25D4D" w:rsidRPr="00BC6A5D">
              <w:rPr>
                <w:b/>
                <w:sz w:val="17"/>
              </w:rPr>
              <w:t xml:space="preserve"> </w:t>
            </w:r>
            <w:r w:rsidRPr="00BC6A5D">
              <w:rPr>
                <w:b/>
                <w:sz w:val="17"/>
              </w:rPr>
              <w:t>229</w:t>
            </w:r>
          </w:p>
        </w:tc>
        <w:tc>
          <w:tcPr>
            <w:tcW w:w="1220" w:type="dxa"/>
            <w:shd w:val="clear" w:color="auto" w:fill="auto"/>
            <w:vAlign w:val="bottom"/>
          </w:tcPr>
          <w:p w:rsidR="00BA3D97" w:rsidRPr="00BC6A5D" w:rsidRDefault="00BA3D97" w:rsidP="00D27624">
            <w:pPr>
              <w:keepNext/>
              <w:keepLines/>
              <w:tabs>
                <w:tab w:val="left" w:pos="288"/>
                <w:tab w:val="left" w:pos="576"/>
                <w:tab w:val="left" w:pos="864"/>
                <w:tab w:val="left" w:pos="1152"/>
              </w:tabs>
              <w:spacing w:before="40" w:after="40" w:line="210" w:lineRule="exact"/>
              <w:ind w:right="40"/>
              <w:jc w:val="right"/>
              <w:rPr>
                <w:b/>
                <w:sz w:val="17"/>
              </w:rPr>
            </w:pPr>
            <w:r w:rsidRPr="00BC6A5D">
              <w:rPr>
                <w:b/>
                <w:sz w:val="17"/>
              </w:rPr>
              <w:t>1</w:t>
            </w:r>
            <w:r w:rsidR="00F25D4D" w:rsidRPr="00BC6A5D">
              <w:rPr>
                <w:b/>
                <w:sz w:val="17"/>
              </w:rPr>
              <w:t xml:space="preserve"> </w:t>
            </w:r>
            <w:r w:rsidRPr="00BC6A5D">
              <w:rPr>
                <w:b/>
                <w:sz w:val="17"/>
              </w:rPr>
              <w:t>690</w:t>
            </w:r>
            <w:r w:rsidR="00F25D4D" w:rsidRPr="00BC6A5D">
              <w:rPr>
                <w:b/>
                <w:sz w:val="17"/>
              </w:rPr>
              <w:t xml:space="preserve"> </w:t>
            </w:r>
            <w:r w:rsidRPr="00BC6A5D">
              <w:rPr>
                <w:b/>
                <w:sz w:val="17"/>
              </w:rPr>
              <w:t>087</w:t>
            </w:r>
          </w:p>
        </w:tc>
        <w:tc>
          <w:tcPr>
            <w:tcW w:w="1220" w:type="dxa"/>
            <w:shd w:val="clear" w:color="auto" w:fill="auto"/>
            <w:vAlign w:val="bottom"/>
          </w:tcPr>
          <w:p w:rsidR="00BA3D97" w:rsidRPr="00BC6A5D" w:rsidRDefault="00BA3D97" w:rsidP="00D27624">
            <w:pPr>
              <w:keepNext/>
              <w:keepLines/>
              <w:tabs>
                <w:tab w:val="left" w:pos="288"/>
                <w:tab w:val="left" w:pos="576"/>
                <w:tab w:val="left" w:pos="864"/>
                <w:tab w:val="left" w:pos="1152"/>
              </w:tabs>
              <w:spacing w:before="40" w:after="40" w:line="210" w:lineRule="exact"/>
              <w:ind w:right="40"/>
              <w:jc w:val="right"/>
              <w:rPr>
                <w:b/>
                <w:sz w:val="17"/>
              </w:rPr>
            </w:pPr>
            <w:r w:rsidRPr="00BC6A5D">
              <w:rPr>
                <w:b/>
                <w:sz w:val="17"/>
              </w:rPr>
              <w:t>242</w:t>
            </w:r>
            <w:r w:rsidR="00F25D4D" w:rsidRPr="00BC6A5D">
              <w:rPr>
                <w:b/>
                <w:sz w:val="17"/>
              </w:rPr>
              <w:t xml:space="preserve"> </w:t>
            </w:r>
            <w:r w:rsidRPr="00BC6A5D">
              <w:rPr>
                <w:b/>
                <w:sz w:val="17"/>
              </w:rPr>
              <w:t>503</w:t>
            </w:r>
          </w:p>
        </w:tc>
        <w:tc>
          <w:tcPr>
            <w:tcW w:w="1220" w:type="dxa"/>
            <w:shd w:val="clear" w:color="auto" w:fill="auto"/>
            <w:vAlign w:val="bottom"/>
          </w:tcPr>
          <w:p w:rsidR="00BA3D97" w:rsidRPr="00BC6A5D" w:rsidRDefault="00D27624" w:rsidP="00D27624">
            <w:pPr>
              <w:keepNext/>
              <w:keepLines/>
              <w:tabs>
                <w:tab w:val="left" w:pos="288"/>
                <w:tab w:val="left" w:pos="576"/>
                <w:tab w:val="left" w:pos="864"/>
                <w:tab w:val="left" w:pos="1152"/>
              </w:tabs>
              <w:spacing w:before="40" w:after="40" w:line="210" w:lineRule="exact"/>
              <w:ind w:right="40"/>
              <w:jc w:val="right"/>
              <w:rPr>
                <w:b/>
                <w:sz w:val="17"/>
              </w:rPr>
            </w:pPr>
            <w:r>
              <w:rPr>
                <w:b/>
                <w:sz w:val="17"/>
              </w:rPr>
              <w:t>326 679</w:t>
            </w:r>
          </w:p>
        </w:tc>
      </w:tr>
      <w:tr w:rsidR="00BA3D97" w:rsidRPr="00866E00" w:rsidTr="00866E00">
        <w:tc>
          <w:tcPr>
            <w:tcW w:w="1220" w:type="dxa"/>
            <w:shd w:val="clear" w:color="auto" w:fill="auto"/>
            <w:vAlign w:val="bottom"/>
          </w:tcPr>
          <w:p w:rsidR="00BA3D97" w:rsidRPr="00866E00" w:rsidRDefault="00BA3D97" w:rsidP="00D27624">
            <w:pPr>
              <w:keepNext/>
              <w:keepLines/>
              <w:tabs>
                <w:tab w:val="left" w:pos="288"/>
                <w:tab w:val="left" w:pos="576"/>
                <w:tab w:val="left" w:pos="864"/>
                <w:tab w:val="left" w:pos="1152"/>
              </w:tabs>
              <w:spacing w:before="40" w:after="40" w:line="210" w:lineRule="exact"/>
              <w:rPr>
                <w:sz w:val="17"/>
              </w:rPr>
            </w:pPr>
            <w:r>
              <w:rPr>
                <w:sz w:val="17"/>
              </w:rPr>
              <w:t>Zonas urbanas</w:t>
            </w:r>
          </w:p>
        </w:tc>
        <w:tc>
          <w:tcPr>
            <w:tcW w:w="1220" w:type="dxa"/>
            <w:shd w:val="clear" w:color="auto" w:fill="auto"/>
            <w:vAlign w:val="bottom"/>
          </w:tcPr>
          <w:p w:rsidR="00BA3D97" w:rsidRPr="00BA3D97" w:rsidRDefault="00BA3D97" w:rsidP="00D27624">
            <w:pPr>
              <w:keepNext/>
              <w:keepLines/>
              <w:tabs>
                <w:tab w:val="left" w:pos="288"/>
                <w:tab w:val="left" w:pos="576"/>
                <w:tab w:val="left" w:pos="864"/>
                <w:tab w:val="left" w:pos="1152"/>
              </w:tabs>
              <w:spacing w:before="40" w:after="40" w:line="210" w:lineRule="exact"/>
              <w:ind w:right="40"/>
              <w:jc w:val="right"/>
              <w:rPr>
                <w:sz w:val="17"/>
              </w:rPr>
            </w:pPr>
            <w:r w:rsidRPr="00BA3D97">
              <w:rPr>
                <w:sz w:val="17"/>
              </w:rPr>
              <w:t>1</w:t>
            </w:r>
            <w:r w:rsidR="00F25D4D">
              <w:rPr>
                <w:sz w:val="17"/>
              </w:rPr>
              <w:t xml:space="preserve"> </w:t>
            </w:r>
            <w:r w:rsidRPr="00BA3D97">
              <w:rPr>
                <w:sz w:val="17"/>
              </w:rPr>
              <w:t>946</w:t>
            </w:r>
            <w:r w:rsidR="00F25D4D">
              <w:rPr>
                <w:sz w:val="17"/>
              </w:rPr>
              <w:t xml:space="preserve"> </w:t>
            </w:r>
            <w:r w:rsidRPr="00BA3D97">
              <w:rPr>
                <w:sz w:val="17"/>
              </w:rPr>
              <w:t>637</w:t>
            </w:r>
          </w:p>
        </w:tc>
        <w:tc>
          <w:tcPr>
            <w:tcW w:w="1220" w:type="dxa"/>
            <w:shd w:val="clear" w:color="auto" w:fill="auto"/>
            <w:vAlign w:val="bottom"/>
          </w:tcPr>
          <w:p w:rsidR="00BA3D97" w:rsidRPr="00BA3D97" w:rsidRDefault="00BA3D97" w:rsidP="00D27624">
            <w:pPr>
              <w:keepNext/>
              <w:keepLines/>
              <w:tabs>
                <w:tab w:val="left" w:pos="288"/>
                <w:tab w:val="left" w:pos="576"/>
                <w:tab w:val="left" w:pos="864"/>
                <w:tab w:val="left" w:pos="1152"/>
              </w:tabs>
              <w:spacing w:before="40" w:after="40" w:line="210" w:lineRule="exact"/>
              <w:ind w:right="40"/>
              <w:jc w:val="right"/>
              <w:rPr>
                <w:sz w:val="17"/>
              </w:rPr>
            </w:pPr>
            <w:r w:rsidRPr="00BA3D97">
              <w:rPr>
                <w:sz w:val="17"/>
              </w:rPr>
              <w:t>1</w:t>
            </w:r>
            <w:r w:rsidR="00F25D4D">
              <w:rPr>
                <w:sz w:val="17"/>
              </w:rPr>
              <w:t xml:space="preserve"> </w:t>
            </w:r>
            <w:r w:rsidRPr="00BA3D97">
              <w:rPr>
                <w:sz w:val="17"/>
              </w:rPr>
              <w:t>680</w:t>
            </w:r>
            <w:r w:rsidR="00F25D4D">
              <w:rPr>
                <w:sz w:val="17"/>
              </w:rPr>
              <w:t xml:space="preserve"> </w:t>
            </w:r>
            <w:r w:rsidRPr="00BA3D97">
              <w:rPr>
                <w:sz w:val="17"/>
              </w:rPr>
              <w:t>834</w:t>
            </w:r>
          </w:p>
        </w:tc>
        <w:tc>
          <w:tcPr>
            <w:tcW w:w="1220" w:type="dxa"/>
            <w:shd w:val="clear" w:color="auto" w:fill="auto"/>
            <w:vAlign w:val="bottom"/>
          </w:tcPr>
          <w:p w:rsidR="00BA3D97" w:rsidRPr="00BA3D97" w:rsidRDefault="00BA3D97" w:rsidP="00D27624">
            <w:pPr>
              <w:keepNext/>
              <w:keepLines/>
              <w:tabs>
                <w:tab w:val="left" w:pos="288"/>
                <w:tab w:val="left" w:pos="576"/>
                <w:tab w:val="left" w:pos="864"/>
                <w:tab w:val="left" w:pos="1152"/>
              </w:tabs>
              <w:spacing w:before="40" w:after="40" w:line="210" w:lineRule="exact"/>
              <w:ind w:right="40"/>
              <w:jc w:val="right"/>
              <w:rPr>
                <w:sz w:val="17"/>
              </w:rPr>
            </w:pPr>
            <w:r w:rsidRPr="00BA3D97">
              <w:rPr>
                <w:sz w:val="17"/>
              </w:rPr>
              <w:t>234</w:t>
            </w:r>
            <w:r w:rsidR="00F25D4D">
              <w:rPr>
                <w:sz w:val="17"/>
              </w:rPr>
              <w:t xml:space="preserve"> </w:t>
            </w:r>
            <w:r w:rsidRPr="00BA3D97">
              <w:rPr>
                <w:sz w:val="17"/>
              </w:rPr>
              <w:t>261</w:t>
            </w:r>
          </w:p>
        </w:tc>
        <w:tc>
          <w:tcPr>
            <w:tcW w:w="1220" w:type="dxa"/>
            <w:shd w:val="clear" w:color="auto" w:fill="auto"/>
            <w:vAlign w:val="bottom"/>
          </w:tcPr>
          <w:p w:rsidR="00BA3D97" w:rsidRPr="00BA3D97" w:rsidRDefault="00BA3D97" w:rsidP="00D27624">
            <w:pPr>
              <w:keepNext/>
              <w:keepLines/>
              <w:tabs>
                <w:tab w:val="left" w:pos="288"/>
                <w:tab w:val="left" w:pos="576"/>
                <w:tab w:val="left" w:pos="864"/>
                <w:tab w:val="left" w:pos="1152"/>
              </w:tabs>
              <w:spacing w:before="40" w:after="40" w:line="210" w:lineRule="exact"/>
              <w:ind w:right="40"/>
              <w:jc w:val="right"/>
              <w:rPr>
                <w:sz w:val="17"/>
              </w:rPr>
            </w:pPr>
            <w:r w:rsidRPr="00BA3D97">
              <w:rPr>
                <w:sz w:val="17"/>
              </w:rPr>
              <w:t>17</w:t>
            </w:r>
            <w:r w:rsidR="00F25D4D">
              <w:rPr>
                <w:sz w:val="17"/>
              </w:rPr>
              <w:t xml:space="preserve"> </w:t>
            </w:r>
            <w:r w:rsidRPr="00BA3D97">
              <w:rPr>
                <w:sz w:val="17"/>
              </w:rPr>
              <w:t>408</w:t>
            </w:r>
          </w:p>
        </w:tc>
        <w:tc>
          <w:tcPr>
            <w:tcW w:w="1220" w:type="dxa"/>
            <w:shd w:val="clear" w:color="auto" w:fill="auto"/>
            <w:vAlign w:val="bottom"/>
          </w:tcPr>
          <w:p w:rsidR="00BA3D97" w:rsidRPr="00BA3D97" w:rsidRDefault="00BA3D97" w:rsidP="00D27624">
            <w:pPr>
              <w:keepNext/>
              <w:keepLines/>
              <w:tabs>
                <w:tab w:val="left" w:pos="288"/>
                <w:tab w:val="left" w:pos="576"/>
                <w:tab w:val="left" w:pos="864"/>
                <w:tab w:val="left" w:pos="1152"/>
              </w:tabs>
              <w:spacing w:before="40" w:after="40" w:line="210" w:lineRule="exact"/>
              <w:ind w:right="40"/>
              <w:jc w:val="right"/>
              <w:rPr>
                <w:sz w:val="17"/>
              </w:rPr>
            </w:pPr>
            <w:r w:rsidRPr="00BA3D97">
              <w:rPr>
                <w:sz w:val="17"/>
              </w:rPr>
              <w:t>14</w:t>
            </w:r>
            <w:r w:rsidR="00F25D4D">
              <w:rPr>
                <w:sz w:val="17"/>
              </w:rPr>
              <w:t xml:space="preserve"> </w:t>
            </w:r>
            <w:r w:rsidRPr="00BA3D97">
              <w:rPr>
                <w:sz w:val="17"/>
              </w:rPr>
              <w:t>134</w:t>
            </w:r>
          </w:p>
        </w:tc>
      </w:tr>
      <w:tr w:rsidR="00BA3D97" w:rsidRPr="00866E00" w:rsidTr="00866E00">
        <w:tc>
          <w:tcPr>
            <w:tcW w:w="1220" w:type="dxa"/>
            <w:shd w:val="clear" w:color="auto" w:fill="auto"/>
            <w:vAlign w:val="bottom"/>
          </w:tcPr>
          <w:p w:rsidR="00BA3D97" w:rsidRPr="00866E00" w:rsidRDefault="00BA3D97" w:rsidP="00D27624">
            <w:pPr>
              <w:keepNext/>
              <w:keepLines/>
              <w:tabs>
                <w:tab w:val="left" w:pos="288"/>
                <w:tab w:val="left" w:pos="576"/>
                <w:tab w:val="left" w:pos="864"/>
                <w:tab w:val="left" w:pos="1152"/>
              </w:tabs>
              <w:spacing w:before="40" w:after="40" w:line="210" w:lineRule="exact"/>
              <w:rPr>
                <w:sz w:val="17"/>
              </w:rPr>
            </w:pPr>
            <w:r>
              <w:rPr>
                <w:sz w:val="17"/>
              </w:rPr>
              <w:t>Zonas rurales</w:t>
            </w:r>
          </w:p>
        </w:tc>
        <w:tc>
          <w:tcPr>
            <w:tcW w:w="1220" w:type="dxa"/>
            <w:shd w:val="clear" w:color="auto" w:fill="auto"/>
            <w:vAlign w:val="bottom"/>
          </w:tcPr>
          <w:p w:rsidR="00BA3D97" w:rsidRPr="00BA3D97" w:rsidRDefault="00BA3D97" w:rsidP="00D27624">
            <w:pPr>
              <w:keepNext/>
              <w:keepLines/>
              <w:tabs>
                <w:tab w:val="left" w:pos="288"/>
                <w:tab w:val="left" w:pos="576"/>
                <w:tab w:val="left" w:pos="864"/>
                <w:tab w:val="left" w:pos="1152"/>
              </w:tabs>
              <w:spacing w:before="40" w:after="40" w:line="210" w:lineRule="exact"/>
              <w:ind w:right="40"/>
              <w:jc w:val="right"/>
              <w:rPr>
                <w:sz w:val="17"/>
              </w:rPr>
            </w:pPr>
            <w:r w:rsidRPr="00BA3D97">
              <w:rPr>
                <w:sz w:val="17"/>
              </w:rPr>
              <w:t>11</w:t>
            </w:r>
            <w:r w:rsidR="00F25D4D">
              <w:rPr>
                <w:sz w:val="17"/>
              </w:rPr>
              <w:t xml:space="preserve"> </w:t>
            </w:r>
            <w:r w:rsidRPr="00BA3D97">
              <w:rPr>
                <w:sz w:val="17"/>
              </w:rPr>
              <w:t>082</w:t>
            </w:r>
            <w:r w:rsidR="00F25D4D">
              <w:rPr>
                <w:sz w:val="17"/>
              </w:rPr>
              <w:t xml:space="preserve"> </w:t>
            </w:r>
            <w:r w:rsidRPr="00BA3D97">
              <w:rPr>
                <w:sz w:val="17"/>
              </w:rPr>
              <w:t>861</w:t>
            </w:r>
          </w:p>
        </w:tc>
        <w:tc>
          <w:tcPr>
            <w:tcW w:w="1220" w:type="dxa"/>
            <w:shd w:val="clear" w:color="auto" w:fill="auto"/>
            <w:vAlign w:val="bottom"/>
          </w:tcPr>
          <w:p w:rsidR="00BA3D97" w:rsidRPr="00BA3D97" w:rsidRDefault="00BA3D97" w:rsidP="00D27624">
            <w:pPr>
              <w:keepNext/>
              <w:keepLines/>
              <w:tabs>
                <w:tab w:val="left" w:pos="288"/>
                <w:tab w:val="left" w:pos="576"/>
                <w:tab w:val="left" w:pos="864"/>
                <w:tab w:val="left" w:pos="1152"/>
              </w:tabs>
              <w:spacing w:before="40" w:after="40" w:line="210" w:lineRule="exact"/>
              <w:ind w:right="40"/>
              <w:jc w:val="right"/>
              <w:rPr>
                <w:sz w:val="17"/>
              </w:rPr>
            </w:pPr>
            <w:r w:rsidRPr="00BA3D97">
              <w:rPr>
                <w:sz w:val="17"/>
              </w:rPr>
              <w:t>9</w:t>
            </w:r>
            <w:r w:rsidR="00F25D4D">
              <w:rPr>
                <w:sz w:val="17"/>
              </w:rPr>
              <w:t xml:space="preserve"> </w:t>
            </w:r>
            <w:r w:rsidRPr="00BA3D97">
              <w:rPr>
                <w:sz w:val="17"/>
              </w:rPr>
              <w:t>089</w:t>
            </w:r>
            <w:r w:rsidR="00F25D4D">
              <w:rPr>
                <w:sz w:val="17"/>
              </w:rPr>
              <w:t xml:space="preserve"> </w:t>
            </w:r>
            <w:r w:rsidRPr="00BA3D97">
              <w:rPr>
                <w:sz w:val="17"/>
              </w:rPr>
              <w:t>395</w:t>
            </w:r>
          </w:p>
        </w:tc>
        <w:tc>
          <w:tcPr>
            <w:tcW w:w="1220" w:type="dxa"/>
            <w:shd w:val="clear" w:color="auto" w:fill="auto"/>
            <w:vAlign w:val="bottom"/>
          </w:tcPr>
          <w:p w:rsidR="00BA3D97" w:rsidRPr="00BA3D97" w:rsidRDefault="00BA3D97" w:rsidP="00D27624">
            <w:pPr>
              <w:keepNext/>
              <w:keepLines/>
              <w:tabs>
                <w:tab w:val="left" w:pos="288"/>
                <w:tab w:val="left" w:pos="576"/>
                <w:tab w:val="left" w:pos="864"/>
                <w:tab w:val="left" w:pos="1152"/>
              </w:tabs>
              <w:spacing w:before="40" w:after="40" w:line="210" w:lineRule="exact"/>
              <w:ind w:right="40"/>
              <w:jc w:val="right"/>
              <w:rPr>
                <w:sz w:val="17"/>
              </w:rPr>
            </w:pPr>
            <w:r w:rsidRPr="00BA3D97">
              <w:rPr>
                <w:sz w:val="17"/>
              </w:rPr>
              <w:t>1</w:t>
            </w:r>
            <w:r w:rsidR="00F25D4D">
              <w:rPr>
                <w:sz w:val="17"/>
              </w:rPr>
              <w:t xml:space="preserve"> </w:t>
            </w:r>
            <w:r w:rsidRPr="00BA3D97">
              <w:rPr>
                <w:sz w:val="17"/>
              </w:rPr>
              <w:t>455</w:t>
            </w:r>
            <w:r w:rsidR="00F25D4D">
              <w:rPr>
                <w:sz w:val="17"/>
              </w:rPr>
              <w:t xml:space="preserve"> </w:t>
            </w:r>
            <w:r w:rsidRPr="00BA3D97">
              <w:rPr>
                <w:sz w:val="17"/>
              </w:rPr>
              <w:t>826</w:t>
            </w:r>
          </w:p>
        </w:tc>
        <w:tc>
          <w:tcPr>
            <w:tcW w:w="1220" w:type="dxa"/>
            <w:shd w:val="clear" w:color="auto" w:fill="auto"/>
            <w:vAlign w:val="bottom"/>
          </w:tcPr>
          <w:p w:rsidR="00BA3D97" w:rsidRPr="00BA3D97" w:rsidRDefault="00BA3D97" w:rsidP="00D27624">
            <w:pPr>
              <w:keepNext/>
              <w:keepLines/>
              <w:tabs>
                <w:tab w:val="left" w:pos="288"/>
                <w:tab w:val="left" w:pos="576"/>
                <w:tab w:val="left" w:pos="864"/>
                <w:tab w:val="left" w:pos="1152"/>
              </w:tabs>
              <w:spacing w:before="40" w:after="40" w:line="210" w:lineRule="exact"/>
              <w:ind w:right="40"/>
              <w:jc w:val="right"/>
              <w:rPr>
                <w:sz w:val="17"/>
              </w:rPr>
            </w:pPr>
            <w:r w:rsidRPr="00BA3D97">
              <w:rPr>
                <w:sz w:val="17"/>
              </w:rPr>
              <w:t>225</w:t>
            </w:r>
            <w:r w:rsidR="00F25D4D">
              <w:rPr>
                <w:sz w:val="17"/>
              </w:rPr>
              <w:t xml:space="preserve"> </w:t>
            </w:r>
            <w:r w:rsidRPr="00BA3D97">
              <w:rPr>
                <w:sz w:val="17"/>
              </w:rPr>
              <w:t>095</w:t>
            </w:r>
          </w:p>
        </w:tc>
        <w:tc>
          <w:tcPr>
            <w:tcW w:w="1220" w:type="dxa"/>
            <w:shd w:val="clear" w:color="auto" w:fill="auto"/>
            <w:vAlign w:val="bottom"/>
          </w:tcPr>
          <w:p w:rsidR="00BA3D97" w:rsidRPr="00BA3D97" w:rsidRDefault="00BA3D97" w:rsidP="00D27624">
            <w:pPr>
              <w:keepNext/>
              <w:keepLines/>
              <w:tabs>
                <w:tab w:val="left" w:pos="288"/>
                <w:tab w:val="left" w:pos="576"/>
                <w:tab w:val="left" w:pos="864"/>
                <w:tab w:val="left" w:pos="1152"/>
              </w:tabs>
              <w:spacing w:before="40" w:after="40" w:line="210" w:lineRule="exact"/>
              <w:ind w:right="40"/>
              <w:jc w:val="right"/>
              <w:rPr>
                <w:sz w:val="17"/>
              </w:rPr>
            </w:pPr>
            <w:r w:rsidRPr="00BA3D97">
              <w:rPr>
                <w:sz w:val="17"/>
              </w:rPr>
              <w:t>312</w:t>
            </w:r>
            <w:r w:rsidR="00F25D4D">
              <w:rPr>
                <w:sz w:val="17"/>
              </w:rPr>
              <w:t xml:space="preserve"> </w:t>
            </w:r>
            <w:r w:rsidRPr="00BA3D97">
              <w:rPr>
                <w:sz w:val="17"/>
              </w:rPr>
              <w:t>545</w:t>
            </w:r>
          </w:p>
        </w:tc>
      </w:tr>
      <w:tr w:rsidR="00BA3D97" w:rsidRPr="00866E00" w:rsidTr="00866E00">
        <w:tc>
          <w:tcPr>
            <w:tcW w:w="1220" w:type="dxa"/>
            <w:shd w:val="clear" w:color="auto" w:fill="auto"/>
            <w:vAlign w:val="bottom"/>
          </w:tcPr>
          <w:p w:rsidR="00BA3D97" w:rsidRPr="00BC6A5D" w:rsidRDefault="00BA3D97" w:rsidP="00D27624">
            <w:pPr>
              <w:keepNext/>
              <w:keepLines/>
              <w:tabs>
                <w:tab w:val="left" w:pos="288"/>
                <w:tab w:val="left" w:pos="576"/>
                <w:tab w:val="left" w:pos="864"/>
                <w:tab w:val="left" w:pos="1152"/>
              </w:tabs>
              <w:spacing w:before="40" w:after="40" w:line="210" w:lineRule="exact"/>
              <w:ind w:right="40"/>
              <w:rPr>
                <w:b/>
                <w:sz w:val="17"/>
              </w:rPr>
            </w:pPr>
            <w:r w:rsidRPr="00BC6A5D">
              <w:rPr>
                <w:b/>
                <w:sz w:val="17"/>
              </w:rPr>
              <w:t>Hombres</w:t>
            </w:r>
          </w:p>
        </w:tc>
        <w:tc>
          <w:tcPr>
            <w:tcW w:w="1220" w:type="dxa"/>
            <w:shd w:val="clear" w:color="auto" w:fill="auto"/>
            <w:vAlign w:val="bottom"/>
          </w:tcPr>
          <w:p w:rsidR="00BA3D97" w:rsidRPr="00BC6A5D" w:rsidRDefault="00BA3D97" w:rsidP="00D27624">
            <w:pPr>
              <w:keepNext/>
              <w:keepLines/>
              <w:tabs>
                <w:tab w:val="left" w:pos="288"/>
                <w:tab w:val="left" w:pos="576"/>
                <w:tab w:val="left" w:pos="864"/>
                <w:tab w:val="left" w:pos="1152"/>
              </w:tabs>
              <w:spacing w:before="40" w:after="40" w:line="210" w:lineRule="exact"/>
              <w:ind w:right="40"/>
              <w:jc w:val="right"/>
              <w:rPr>
                <w:b/>
                <w:sz w:val="17"/>
              </w:rPr>
            </w:pPr>
            <w:r w:rsidRPr="00BC6A5D">
              <w:rPr>
                <w:b/>
                <w:sz w:val="17"/>
              </w:rPr>
              <w:t>6</w:t>
            </w:r>
            <w:r w:rsidR="00F25D4D" w:rsidRPr="00BC6A5D">
              <w:rPr>
                <w:b/>
                <w:sz w:val="17"/>
              </w:rPr>
              <w:t xml:space="preserve"> </w:t>
            </w:r>
            <w:r w:rsidRPr="00BC6A5D">
              <w:rPr>
                <w:b/>
                <w:sz w:val="17"/>
              </w:rPr>
              <w:t>370</w:t>
            </w:r>
            <w:r w:rsidR="00F25D4D" w:rsidRPr="00BC6A5D">
              <w:rPr>
                <w:b/>
                <w:sz w:val="17"/>
              </w:rPr>
              <w:t xml:space="preserve"> </w:t>
            </w:r>
            <w:r w:rsidRPr="00BC6A5D">
              <w:rPr>
                <w:b/>
                <w:sz w:val="17"/>
              </w:rPr>
              <w:t>935</w:t>
            </w:r>
          </w:p>
        </w:tc>
        <w:tc>
          <w:tcPr>
            <w:tcW w:w="1220" w:type="dxa"/>
            <w:shd w:val="clear" w:color="auto" w:fill="auto"/>
            <w:vAlign w:val="bottom"/>
          </w:tcPr>
          <w:p w:rsidR="00BA3D97" w:rsidRPr="00BC6A5D" w:rsidRDefault="00BA3D97" w:rsidP="00D27624">
            <w:pPr>
              <w:keepNext/>
              <w:keepLines/>
              <w:tabs>
                <w:tab w:val="left" w:pos="288"/>
                <w:tab w:val="left" w:pos="576"/>
                <w:tab w:val="left" w:pos="864"/>
                <w:tab w:val="left" w:pos="1152"/>
              </w:tabs>
              <w:spacing w:before="40" w:after="40" w:line="210" w:lineRule="exact"/>
              <w:ind w:right="40"/>
              <w:jc w:val="right"/>
              <w:rPr>
                <w:b/>
                <w:sz w:val="17"/>
              </w:rPr>
            </w:pPr>
            <w:r w:rsidRPr="00BC6A5D">
              <w:rPr>
                <w:b/>
                <w:sz w:val="17"/>
              </w:rPr>
              <w:t>5</w:t>
            </w:r>
            <w:r w:rsidR="00F25D4D" w:rsidRPr="00BC6A5D">
              <w:rPr>
                <w:b/>
                <w:sz w:val="17"/>
              </w:rPr>
              <w:t xml:space="preserve"> </w:t>
            </w:r>
            <w:r w:rsidRPr="00BC6A5D">
              <w:rPr>
                <w:b/>
                <w:sz w:val="17"/>
              </w:rPr>
              <w:t>213</w:t>
            </w:r>
            <w:r w:rsidR="00F25D4D" w:rsidRPr="00BC6A5D">
              <w:rPr>
                <w:b/>
                <w:sz w:val="17"/>
              </w:rPr>
              <w:t xml:space="preserve"> </w:t>
            </w:r>
            <w:r w:rsidRPr="00BC6A5D">
              <w:rPr>
                <w:b/>
                <w:sz w:val="17"/>
              </w:rPr>
              <w:t>900</w:t>
            </w:r>
          </w:p>
        </w:tc>
        <w:tc>
          <w:tcPr>
            <w:tcW w:w="1220" w:type="dxa"/>
            <w:shd w:val="clear" w:color="auto" w:fill="auto"/>
            <w:vAlign w:val="bottom"/>
          </w:tcPr>
          <w:p w:rsidR="00BA3D97" w:rsidRPr="00BC6A5D" w:rsidRDefault="00BA3D97" w:rsidP="00D27624">
            <w:pPr>
              <w:keepNext/>
              <w:keepLines/>
              <w:tabs>
                <w:tab w:val="left" w:pos="288"/>
                <w:tab w:val="left" w:pos="576"/>
                <w:tab w:val="left" w:pos="864"/>
                <w:tab w:val="left" w:pos="1152"/>
              </w:tabs>
              <w:spacing w:before="40" w:after="40" w:line="210" w:lineRule="exact"/>
              <w:ind w:right="40"/>
              <w:jc w:val="right"/>
              <w:rPr>
                <w:b/>
                <w:sz w:val="17"/>
              </w:rPr>
            </w:pPr>
            <w:r w:rsidRPr="00BC6A5D">
              <w:rPr>
                <w:b/>
                <w:sz w:val="17"/>
              </w:rPr>
              <w:t>821</w:t>
            </w:r>
            <w:r w:rsidR="00F25D4D" w:rsidRPr="00BC6A5D">
              <w:rPr>
                <w:b/>
                <w:sz w:val="17"/>
              </w:rPr>
              <w:t xml:space="preserve"> </w:t>
            </w:r>
            <w:r w:rsidRPr="00BC6A5D">
              <w:rPr>
                <w:b/>
                <w:sz w:val="17"/>
              </w:rPr>
              <w:t>139</w:t>
            </w:r>
          </w:p>
        </w:tc>
        <w:tc>
          <w:tcPr>
            <w:tcW w:w="1220" w:type="dxa"/>
            <w:shd w:val="clear" w:color="auto" w:fill="auto"/>
            <w:vAlign w:val="bottom"/>
          </w:tcPr>
          <w:p w:rsidR="00BA3D97" w:rsidRPr="00BC6A5D" w:rsidRDefault="00BA3D97" w:rsidP="00D27624">
            <w:pPr>
              <w:keepNext/>
              <w:keepLines/>
              <w:tabs>
                <w:tab w:val="left" w:pos="288"/>
                <w:tab w:val="left" w:pos="576"/>
                <w:tab w:val="left" w:pos="864"/>
                <w:tab w:val="left" w:pos="1152"/>
              </w:tabs>
              <w:spacing w:before="40" w:after="40" w:line="210" w:lineRule="exact"/>
              <w:ind w:right="40"/>
              <w:jc w:val="right"/>
              <w:rPr>
                <w:b/>
                <w:sz w:val="17"/>
              </w:rPr>
            </w:pPr>
            <w:r w:rsidRPr="00BC6A5D">
              <w:rPr>
                <w:b/>
                <w:sz w:val="17"/>
              </w:rPr>
              <w:t>120</w:t>
            </w:r>
            <w:r w:rsidR="00F25D4D" w:rsidRPr="00BC6A5D">
              <w:rPr>
                <w:b/>
                <w:sz w:val="17"/>
              </w:rPr>
              <w:t xml:space="preserve"> </w:t>
            </w:r>
            <w:r w:rsidRPr="00BC6A5D">
              <w:rPr>
                <w:b/>
                <w:sz w:val="17"/>
              </w:rPr>
              <w:t>930</w:t>
            </w:r>
          </w:p>
        </w:tc>
        <w:tc>
          <w:tcPr>
            <w:tcW w:w="1220" w:type="dxa"/>
            <w:shd w:val="clear" w:color="auto" w:fill="auto"/>
            <w:vAlign w:val="bottom"/>
          </w:tcPr>
          <w:p w:rsidR="00BA3D97" w:rsidRPr="00BC6A5D" w:rsidRDefault="00BA3D97" w:rsidP="00D27624">
            <w:pPr>
              <w:keepNext/>
              <w:keepLines/>
              <w:tabs>
                <w:tab w:val="left" w:pos="288"/>
                <w:tab w:val="left" w:pos="576"/>
                <w:tab w:val="left" w:pos="864"/>
                <w:tab w:val="left" w:pos="1152"/>
              </w:tabs>
              <w:spacing w:before="40" w:after="40" w:line="210" w:lineRule="exact"/>
              <w:ind w:right="40"/>
              <w:jc w:val="right"/>
              <w:rPr>
                <w:b/>
                <w:sz w:val="17"/>
              </w:rPr>
            </w:pPr>
            <w:r w:rsidRPr="00BC6A5D">
              <w:rPr>
                <w:b/>
                <w:sz w:val="17"/>
              </w:rPr>
              <w:t>214</w:t>
            </w:r>
            <w:r w:rsidR="00F25D4D" w:rsidRPr="00BC6A5D">
              <w:rPr>
                <w:b/>
                <w:sz w:val="17"/>
              </w:rPr>
              <w:t xml:space="preserve"> </w:t>
            </w:r>
            <w:r w:rsidRPr="00BC6A5D">
              <w:rPr>
                <w:b/>
                <w:sz w:val="17"/>
              </w:rPr>
              <w:t>966</w:t>
            </w:r>
          </w:p>
        </w:tc>
      </w:tr>
      <w:tr w:rsidR="00BA3D97" w:rsidRPr="00866E00" w:rsidTr="00866E00">
        <w:tc>
          <w:tcPr>
            <w:tcW w:w="1220" w:type="dxa"/>
            <w:shd w:val="clear" w:color="auto" w:fill="auto"/>
            <w:vAlign w:val="bottom"/>
          </w:tcPr>
          <w:p w:rsidR="00BA3D97" w:rsidRPr="00866E00" w:rsidRDefault="00BA3D97" w:rsidP="00BC6A5D">
            <w:pPr>
              <w:tabs>
                <w:tab w:val="left" w:pos="288"/>
                <w:tab w:val="left" w:pos="576"/>
                <w:tab w:val="left" w:pos="864"/>
                <w:tab w:val="left" w:pos="1152"/>
              </w:tabs>
              <w:spacing w:before="40" w:after="40" w:line="210" w:lineRule="exact"/>
              <w:rPr>
                <w:sz w:val="17"/>
              </w:rPr>
            </w:pPr>
            <w:r>
              <w:rPr>
                <w:sz w:val="17"/>
              </w:rPr>
              <w:t>Zonas urbanas</w:t>
            </w:r>
          </w:p>
        </w:tc>
        <w:tc>
          <w:tcPr>
            <w:tcW w:w="1220" w:type="dxa"/>
            <w:shd w:val="clear" w:color="auto" w:fill="auto"/>
            <w:vAlign w:val="bottom"/>
          </w:tcPr>
          <w:p w:rsidR="00BA3D97" w:rsidRPr="00BA3D97" w:rsidRDefault="00BA3D97" w:rsidP="00F25D4D">
            <w:pPr>
              <w:tabs>
                <w:tab w:val="left" w:pos="288"/>
                <w:tab w:val="left" w:pos="576"/>
                <w:tab w:val="left" w:pos="864"/>
                <w:tab w:val="left" w:pos="1152"/>
              </w:tabs>
              <w:spacing w:before="40" w:after="40" w:line="210" w:lineRule="exact"/>
              <w:ind w:right="40"/>
              <w:jc w:val="right"/>
              <w:rPr>
                <w:sz w:val="17"/>
              </w:rPr>
            </w:pPr>
            <w:r w:rsidRPr="00BA3D97">
              <w:rPr>
                <w:sz w:val="17"/>
              </w:rPr>
              <w:t>986</w:t>
            </w:r>
            <w:r w:rsidR="00F25D4D">
              <w:rPr>
                <w:sz w:val="17"/>
              </w:rPr>
              <w:t xml:space="preserve"> </w:t>
            </w:r>
            <w:r w:rsidRPr="00BA3D97">
              <w:rPr>
                <w:sz w:val="17"/>
              </w:rPr>
              <w:t>845</w:t>
            </w:r>
          </w:p>
        </w:tc>
        <w:tc>
          <w:tcPr>
            <w:tcW w:w="1220" w:type="dxa"/>
            <w:shd w:val="clear" w:color="auto" w:fill="auto"/>
            <w:vAlign w:val="bottom"/>
          </w:tcPr>
          <w:p w:rsidR="00BA3D97" w:rsidRPr="00BA3D97" w:rsidRDefault="00BA3D97" w:rsidP="00F25D4D">
            <w:pPr>
              <w:tabs>
                <w:tab w:val="left" w:pos="288"/>
                <w:tab w:val="left" w:pos="576"/>
                <w:tab w:val="left" w:pos="864"/>
                <w:tab w:val="left" w:pos="1152"/>
              </w:tabs>
              <w:spacing w:before="40" w:after="40" w:line="210" w:lineRule="exact"/>
              <w:ind w:right="40"/>
              <w:jc w:val="right"/>
              <w:rPr>
                <w:sz w:val="17"/>
              </w:rPr>
            </w:pPr>
            <w:r w:rsidRPr="00BA3D97">
              <w:rPr>
                <w:sz w:val="17"/>
              </w:rPr>
              <w:t>845</w:t>
            </w:r>
            <w:r w:rsidR="00F25D4D">
              <w:rPr>
                <w:sz w:val="17"/>
              </w:rPr>
              <w:t xml:space="preserve"> </w:t>
            </w:r>
            <w:r w:rsidRPr="00BA3D97">
              <w:rPr>
                <w:sz w:val="17"/>
              </w:rPr>
              <w:t>237</w:t>
            </w:r>
          </w:p>
        </w:tc>
        <w:tc>
          <w:tcPr>
            <w:tcW w:w="1220" w:type="dxa"/>
            <w:shd w:val="clear" w:color="auto" w:fill="auto"/>
            <w:vAlign w:val="bottom"/>
          </w:tcPr>
          <w:p w:rsidR="00BA3D97" w:rsidRPr="00BA3D97" w:rsidRDefault="00BA3D97" w:rsidP="00F25D4D">
            <w:pPr>
              <w:tabs>
                <w:tab w:val="left" w:pos="288"/>
                <w:tab w:val="left" w:pos="576"/>
                <w:tab w:val="left" w:pos="864"/>
                <w:tab w:val="left" w:pos="1152"/>
              </w:tabs>
              <w:spacing w:before="40" w:after="40" w:line="210" w:lineRule="exact"/>
              <w:ind w:right="40"/>
              <w:jc w:val="right"/>
              <w:rPr>
                <w:sz w:val="17"/>
              </w:rPr>
            </w:pPr>
            <w:r w:rsidRPr="00BA3D97">
              <w:rPr>
                <w:sz w:val="17"/>
              </w:rPr>
              <w:t>122</w:t>
            </w:r>
            <w:r w:rsidR="00F25D4D">
              <w:rPr>
                <w:sz w:val="17"/>
              </w:rPr>
              <w:t xml:space="preserve"> </w:t>
            </w:r>
            <w:r w:rsidRPr="00BA3D97">
              <w:rPr>
                <w:sz w:val="17"/>
              </w:rPr>
              <w:t>277</w:t>
            </w:r>
          </w:p>
        </w:tc>
        <w:tc>
          <w:tcPr>
            <w:tcW w:w="1220" w:type="dxa"/>
            <w:shd w:val="clear" w:color="auto" w:fill="auto"/>
            <w:vAlign w:val="bottom"/>
          </w:tcPr>
          <w:p w:rsidR="00BA3D97" w:rsidRPr="00BA3D97" w:rsidRDefault="00BA3D97" w:rsidP="00F25D4D">
            <w:pPr>
              <w:tabs>
                <w:tab w:val="left" w:pos="288"/>
                <w:tab w:val="left" w:pos="576"/>
                <w:tab w:val="left" w:pos="864"/>
                <w:tab w:val="left" w:pos="1152"/>
              </w:tabs>
              <w:spacing w:before="40" w:after="40" w:line="210" w:lineRule="exact"/>
              <w:ind w:right="40"/>
              <w:jc w:val="right"/>
              <w:rPr>
                <w:sz w:val="17"/>
              </w:rPr>
            </w:pPr>
            <w:r w:rsidRPr="00BA3D97">
              <w:rPr>
                <w:sz w:val="17"/>
              </w:rPr>
              <w:t>9</w:t>
            </w:r>
            <w:r w:rsidR="00F25D4D">
              <w:rPr>
                <w:sz w:val="17"/>
              </w:rPr>
              <w:t xml:space="preserve"> </w:t>
            </w:r>
            <w:r w:rsidRPr="00BA3D97">
              <w:rPr>
                <w:sz w:val="17"/>
              </w:rPr>
              <w:t>126</w:t>
            </w:r>
          </w:p>
        </w:tc>
        <w:tc>
          <w:tcPr>
            <w:tcW w:w="1220" w:type="dxa"/>
            <w:shd w:val="clear" w:color="auto" w:fill="auto"/>
            <w:vAlign w:val="bottom"/>
          </w:tcPr>
          <w:p w:rsidR="00BA3D97" w:rsidRPr="00BA3D97" w:rsidRDefault="00BA3D97" w:rsidP="00F25D4D">
            <w:pPr>
              <w:tabs>
                <w:tab w:val="left" w:pos="288"/>
                <w:tab w:val="left" w:pos="576"/>
                <w:tab w:val="left" w:pos="864"/>
                <w:tab w:val="left" w:pos="1152"/>
              </w:tabs>
              <w:spacing w:before="40" w:after="40" w:line="210" w:lineRule="exact"/>
              <w:ind w:right="40"/>
              <w:jc w:val="right"/>
              <w:rPr>
                <w:sz w:val="17"/>
              </w:rPr>
            </w:pPr>
            <w:r w:rsidRPr="00BA3D97">
              <w:rPr>
                <w:sz w:val="17"/>
              </w:rPr>
              <w:t>10</w:t>
            </w:r>
            <w:r w:rsidR="00F25D4D">
              <w:rPr>
                <w:sz w:val="17"/>
              </w:rPr>
              <w:t xml:space="preserve"> </w:t>
            </w:r>
            <w:r w:rsidRPr="00BA3D97">
              <w:rPr>
                <w:sz w:val="17"/>
              </w:rPr>
              <w:t>205</w:t>
            </w:r>
          </w:p>
        </w:tc>
      </w:tr>
      <w:tr w:rsidR="00BA3D97" w:rsidRPr="00866E00" w:rsidTr="00866E00">
        <w:tc>
          <w:tcPr>
            <w:tcW w:w="1220" w:type="dxa"/>
            <w:shd w:val="clear" w:color="auto" w:fill="auto"/>
            <w:vAlign w:val="bottom"/>
          </w:tcPr>
          <w:p w:rsidR="00BA3D97" w:rsidRPr="00866E00" w:rsidRDefault="00BA3D97" w:rsidP="00BC6A5D">
            <w:pPr>
              <w:tabs>
                <w:tab w:val="left" w:pos="288"/>
                <w:tab w:val="left" w:pos="576"/>
                <w:tab w:val="left" w:pos="864"/>
                <w:tab w:val="left" w:pos="1152"/>
              </w:tabs>
              <w:spacing w:before="40" w:after="40" w:line="210" w:lineRule="exact"/>
              <w:rPr>
                <w:sz w:val="17"/>
              </w:rPr>
            </w:pPr>
            <w:r>
              <w:rPr>
                <w:sz w:val="17"/>
              </w:rPr>
              <w:t>Zonas rurales</w:t>
            </w:r>
          </w:p>
        </w:tc>
        <w:tc>
          <w:tcPr>
            <w:tcW w:w="1220" w:type="dxa"/>
            <w:shd w:val="clear" w:color="auto" w:fill="auto"/>
            <w:vAlign w:val="bottom"/>
          </w:tcPr>
          <w:p w:rsidR="00BA3D97" w:rsidRPr="00BA3D97" w:rsidRDefault="00BA3D97" w:rsidP="00F25D4D">
            <w:pPr>
              <w:tabs>
                <w:tab w:val="left" w:pos="288"/>
                <w:tab w:val="left" w:pos="576"/>
                <w:tab w:val="left" w:pos="864"/>
                <w:tab w:val="left" w:pos="1152"/>
              </w:tabs>
              <w:spacing w:before="40" w:after="40" w:line="210" w:lineRule="exact"/>
              <w:ind w:right="40"/>
              <w:jc w:val="right"/>
              <w:rPr>
                <w:sz w:val="17"/>
              </w:rPr>
            </w:pPr>
            <w:r w:rsidRPr="00BA3D97">
              <w:rPr>
                <w:sz w:val="17"/>
              </w:rPr>
              <w:t>5</w:t>
            </w:r>
            <w:r w:rsidR="00F25D4D">
              <w:rPr>
                <w:sz w:val="17"/>
              </w:rPr>
              <w:t xml:space="preserve"> </w:t>
            </w:r>
            <w:r w:rsidRPr="00BA3D97">
              <w:rPr>
                <w:sz w:val="17"/>
              </w:rPr>
              <w:t>384</w:t>
            </w:r>
            <w:r w:rsidR="00F25D4D">
              <w:rPr>
                <w:sz w:val="17"/>
              </w:rPr>
              <w:t xml:space="preserve"> </w:t>
            </w:r>
            <w:r w:rsidRPr="00BA3D97">
              <w:rPr>
                <w:sz w:val="17"/>
              </w:rPr>
              <w:t>090</w:t>
            </w:r>
          </w:p>
        </w:tc>
        <w:tc>
          <w:tcPr>
            <w:tcW w:w="1220" w:type="dxa"/>
            <w:shd w:val="clear" w:color="auto" w:fill="auto"/>
            <w:vAlign w:val="bottom"/>
          </w:tcPr>
          <w:p w:rsidR="00BA3D97" w:rsidRPr="00BA3D97" w:rsidRDefault="00BA3D97" w:rsidP="00F25D4D">
            <w:pPr>
              <w:tabs>
                <w:tab w:val="left" w:pos="288"/>
                <w:tab w:val="left" w:pos="576"/>
                <w:tab w:val="left" w:pos="864"/>
                <w:tab w:val="left" w:pos="1152"/>
              </w:tabs>
              <w:spacing w:before="40" w:after="40" w:line="210" w:lineRule="exact"/>
              <w:ind w:right="40"/>
              <w:jc w:val="right"/>
              <w:rPr>
                <w:sz w:val="17"/>
              </w:rPr>
            </w:pPr>
            <w:r w:rsidRPr="00BA3D97">
              <w:rPr>
                <w:sz w:val="17"/>
              </w:rPr>
              <w:t>4</w:t>
            </w:r>
            <w:r w:rsidR="00F25D4D">
              <w:rPr>
                <w:sz w:val="17"/>
              </w:rPr>
              <w:t xml:space="preserve"> </w:t>
            </w:r>
            <w:r w:rsidRPr="00BA3D97">
              <w:rPr>
                <w:sz w:val="17"/>
              </w:rPr>
              <w:t>368</w:t>
            </w:r>
            <w:r w:rsidR="00F25D4D">
              <w:rPr>
                <w:sz w:val="17"/>
              </w:rPr>
              <w:t xml:space="preserve"> </w:t>
            </w:r>
            <w:r w:rsidRPr="00BA3D97">
              <w:rPr>
                <w:sz w:val="17"/>
              </w:rPr>
              <w:t>663</w:t>
            </w:r>
          </w:p>
        </w:tc>
        <w:tc>
          <w:tcPr>
            <w:tcW w:w="1220" w:type="dxa"/>
            <w:shd w:val="clear" w:color="auto" w:fill="auto"/>
            <w:vAlign w:val="bottom"/>
          </w:tcPr>
          <w:p w:rsidR="00BA3D97" w:rsidRPr="00BA3D97" w:rsidRDefault="00BA3D97" w:rsidP="00F25D4D">
            <w:pPr>
              <w:tabs>
                <w:tab w:val="left" w:pos="288"/>
                <w:tab w:val="left" w:pos="576"/>
                <w:tab w:val="left" w:pos="864"/>
                <w:tab w:val="left" w:pos="1152"/>
              </w:tabs>
              <w:spacing w:before="40" w:after="40" w:line="210" w:lineRule="exact"/>
              <w:ind w:right="40"/>
              <w:jc w:val="right"/>
              <w:rPr>
                <w:sz w:val="17"/>
              </w:rPr>
            </w:pPr>
            <w:r w:rsidRPr="00BA3D97">
              <w:rPr>
                <w:sz w:val="17"/>
              </w:rPr>
              <w:t>698</w:t>
            </w:r>
            <w:r w:rsidR="00F25D4D">
              <w:rPr>
                <w:sz w:val="17"/>
              </w:rPr>
              <w:t xml:space="preserve"> </w:t>
            </w:r>
            <w:r w:rsidRPr="00BA3D97">
              <w:rPr>
                <w:sz w:val="17"/>
              </w:rPr>
              <w:t>862</w:t>
            </w:r>
          </w:p>
        </w:tc>
        <w:tc>
          <w:tcPr>
            <w:tcW w:w="1220" w:type="dxa"/>
            <w:shd w:val="clear" w:color="auto" w:fill="auto"/>
            <w:vAlign w:val="bottom"/>
          </w:tcPr>
          <w:p w:rsidR="00BA3D97" w:rsidRPr="00BA3D97" w:rsidRDefault="00BA3D97" w:rsidP="00F25D4D">
            <w:pPr>
              <w:tabs>
                <w:tab w:val="left" w:pos="288"/>
                <w:tab w:val="left" w:pos="576"/>
                <w:tab w:val="left" w:pos="864"/>
                <w:tab w:val="left" w:pos="1152"/>
              </w:tabs>
              <w:spacing w:before="40" w:after="40" w:line="210" w:lineRule="exact"/>
              <w:ind w:right="40"/>
              <w:jc w:val="right"/>
              <w:rPr>
                <w:sz w:val="17"/>
              </w:rPr>
            </w:pPr>
            <w:r w:rsidRPr="00BA3D97">
              <w:rPr>
                <w:sz w:val="17"/>
              </w:rPr>
              <w:t>111</w:t>
            </w:r>
            <w:r w:rsidR="00F25D4D">
              <w:rPr>
                <w:sz w:val="17"/>
              </w:rPr>
              <w:t xml:space="preserve"> </w:t>
            </w:r>
            <w:r w:rsidRPr="00BA3D97">
              <w:rPr>
                <w:sz w:val="17"/>
              </w:rPr>
              <w:t>804</w:t>
            </w:r>
          </w:p>
        </w:tc>
        <w:tc>
          <w:tcPr>
            <w:tcW w:w="1220" w:type="dxa"/>
            <w:shd w:val="clear" w:color="auto" w:fill="auto"/>
            <w:vAlign w:val="bottom"/>
          </w:tcPr>
          <w:p w:rsidR="00BA3D97" w:rsidRPr="00BA3D97" w:rsidRDefault="00BA3D97" w:rsidP="00F25D4D">
            <w:pPr>
              <w:tabs>
                <w:tab w:val="left" w:pos="288"/>
                <w:tab w:val="left" w:pos="576"/>
                <w:tab w:val="left" w:pos="864"/>
                <w:tab w:val="left" w:pos="1152"/>
              </w:tabs>
              <w:spacing w:before="40" w:after="40" w:line="210" w:lineRule="exact"/>
              <w:ind w:right="40"/>
              <w:jc w:val="right"/>
              <w:rPr>
                <w:sz w:val="17"/>
              </w:rPr>
            </w:pPr>
            <w:r w:rsidRPr="00BA3D97">
              <w:rPr>
                <w:sz w:val="17"/>
              </w:rPr>
              <w:t>204</w:t>
            </w:r>
            <w:r w:rsidR="00F25D4D">
              <w:rPr>
                <w:sz w:val="17"/>
              </w:rPr>
              <w:t xml:space="preserve"> </w:t>
            </w:r>
            <w:r w:rsidRPr="00BA3D97">
              <w:rPr>
                <w:sz w:val="17"/>
              </w:rPr>
              <w:t>761</w:t>
            </w:r>
          </w:p>
        </w:tc>
      </w:tr>
      <w:tr w:rsidR="00BA3D97" w:rsidRPr="00866E00" w:rsidTr="00866E00">
        <w:tc>
          <w:tcPr>
            <w:tcW w:w="1220" w:type="dxa"/>
            <w:shd w:val="clear" w:color="auto" w:fill="auto"/>
            <w:vAlign w:val="bottom"/>
          </w:tcPr>
          <w:p w:rsidR="00BA3D97" w:rsidRPr="00BC6A5D" w:rsidRDefault="00336A5E" w:rsidP="00866E00">
            <w:pPr>
              <w:tabs>
                <w:tab w:val="left" w:pos="288"/>
                <w:tab w:val="left" w:pos="576"/>
                <w:tab w:val="left" w:pos="864"/>
                <w:tab w:val="left" w:pos="1152"/>
              </w:tabs>
              <w:spacing w:before="40" w:after="40" w:line="210" w:lineRule="exact"/>
              <w:ind w:right="40"/>
              <w:rPr>
                <w:b/>
                <w:sz w:val="17"/>
              </w:rPr>
            </w:pPr>
            <w:r w:rsidRPr="00BC6A5D">
              <w:rPr>
                <w:b/>
                <w:sz w:val="17"/>
              </w:rPr>
              <w:t>Mujeres</w:t>
            </w:r>
          </w:p>
        </w:tc>
        <w:tc>
          <w:tcPr>
            <w:tcW w:w="1220" w:type="dxa"/>
            <w:shd w:val="clear" w:color="auto" w:fill="auto"/>
            <w:vAlign w:val="bottom"/>
          </w:tcPr>
          <w:p w:rsidR="00BA3D97" w:rsidRPr="00BC6A5D" w:rsidRDefault="00BA3D97" w:rsidP="00F25D4D">
            <w:pPr>
              <w:tabs>
                <w:tab w:val="left" w:pos="288"/>
                <w:tab w:val="left" w:pos="576"/>
                <w:tab w:val="left" w:pos="864"/>
                <w:tab w:val="left" w:pos="1152"/>
              </w:tabs>
              <w:spacing w:before="40" w:after="40" w:line="210" w:lineRule="exact"/>
              <w:ind w:right="40"/>
              <w:jc w:val="right"/>
              <w:rPr>
                <w:b/>
                <w:sz w:val="17"/>
              </w:rPr>
            </w:pPr>
            <w:r w:rsidRPr="00BC6A5D">
              <w:rPr>
                <w:b/>
                <w:sz w:val="17"/>
              </w:rPr>
              <w:t>6</w:t>
            </w:r>
            <w:r w:rsidR="00F25D4D" w:rsidRPr="00BC6A5D">
              <w:rPr>
                <w:b/>
                <w:sz w:val="17"/>
              </w:rPr>
              <w:t xml:space="preserve"> </w:t>
            </w:r>
            <w:r w:rsidRPr="00BC6A5D">
              <w:rPr>
                <w:b/>
                <w:sz w:val="17"/>
              </w:rPr>
              <w:t>658</w:t>
            </w:r>
            <w:r w:rsidR="00F25D4D" w:rsidRPr="00BC6A5D">
              <w:rPr>
                <w:b/>
                <w:sz w:val="17"/>
              </w:rPr>
              <w:t xml:space="preserve"> </w:t>
            </w:r>
            <w:r w:rsidRPr="00BC6A5D">
              <w:rPr>
                <w:b/>
                <w:sz w:val="17"/>
              </w:rPr>
              <w:t>563</w:t>
            </w:r>
          </w:p>
        </w:tc>
        <w:tc>
          <w:tcPr>
            <w:tcW w:w="1220" w:type="dxa"/>
            <w:shd w:val="clear" w:color="auto" w:fill="auto"/>
            <w:vAlign w:val="bottom"/>
          </w:tcPr>
          <w:p w:rsidR="00BA3D97" w:rsidRPr="00BC6A5D" w:rsidRDefault="00BA3D97" w:rsidP="00F25D4D">
            <w:pPr>
              <w:tabs>
                <w:tab w:val="left" w:pos="288"/>
                <w:tab w:val="left" w:pos="576"/>
                <w:tab w:val="left" w:pos="864"/>
                <w:tab w:val="left" w:pos="1152"/>
              </w:tabs>
              <w:spacing w:before="40" w:after="40" w:line="210" w:lineRule="exact"/>
              <w:ind w:right="40"/>
              <w:jc w:val="right"/>
              <w:rPr>
                <w:b/>
                <w:sz w:val="17"/>
              </w:rPr>
            </w:pPr>
            <w:r w:rsidRPr="00BC6A5D">
              <w:rPr>
                <w:b/>
                <w:sz w:val="17"/>
              </w:rPr>
              <w:t>5</w:t>
            </w:r>
            <w:r w:rsidR="00F25D4D" w:rsidRPr="00BC6A5D">
              <w:rPr>
                <w:b/>
                <w:sz w:val="17"/>
              </w:rPr>
              <w:t xml:space="preserve"> </w:t>
            </w:r>
            <w:r w:rsidRPr="00BC6A5D">
              <w:rPr>
                <w:b/>
                <w:sz w:val="17"/>
              </w:rPr>
              <w:t>556</w:t>
            </w:r>
            <w:r w:rsidR="00F25D4D" w:rsidRPr="00BC6A5D">
              <w:rPr>
                <w:b/>
                <w:sz w:val="17"/>
              </w:rPr>
              <w:t xml:space="preserve"> </w:t>
            </w:r>
            <w:r w:rsidRPr="00BC6A5D">
              <w:rPr>
                <w:b/>
                <w:sz w:val="17"/>
              </w:rPr>
              <w:t>329</w:t>
            </w:r>
          </w:p>
        </w:tc>
        <w:tc>
          <w:tcPr>
            <w:tcW w:w="1220" w:type="dxa"/>
            <w:shd w:val="clear" w:color="auto" w:fill="auto"/>
            <w:vAlign w:val="bottom"/>
          </w:tcPr>
          <w:p w:rsidR="00BA3D97" w:rsidRPr="00BC6A5D" w:rsidRDefault="00BA3D97" w:rsidP="00F25D4D">
            <w:pPr>
              <w:tabs>
                <w:tab w:val="left" w:pos="288"/>
                <w:tab w:val="left" w:pos="576"/>
                <w:tab w:val="left" w:pos="864"/>
                <w:tab w:val="left" w:pos="1152"/>
              </w:tabs>
              <w:spacing w:before="40" w:after="40" w:line="210" w:lineRule="exact"/>
              <w:ind w:right="40"/>
              <w:jc w:val="right"/>
              <w:rPr>
                <w:b/>
                <w:sz w:val="17"/>
              </w:rPr>
            </w:pPr>
            <w:r w:rsidRPr="00BC6A5D">
              <w:rPr>
                <w:b/>
                <w:sz w:val="17"/>
              </w:rPr>
              <w:t>868</w:t>
            </w:r>
            <w:r w:rsidR="00F25D4D" w:rsidRPr="00BC6A5D">
              <w:rPr>
                <w:b/>
                <w:sz w:val="17"/>
              </w:rPr>
              <w:t xml:space="preserve"> </w:t>
            </w:r>
            <w:r w:rsidRPr="00BC6A5D">
              <w:rPr>
                <w:b/>
                <w:sz w:val="17"/>
              </w:rPr>
              <w:t>948</w:t>
            </w:r>
          </w:p>
        </w:tc>
        <w:tc>
          <w:tcPr>
            <w:tcW w:w="1220" w:type="dxa"/>
            <w:shd w:val="clear" w:color="auto" w:fill="auto"/>
            <w:vAlign w:val="bottom"/>
          </w:tcPr>
          <w:p w:rsidR="00BA3D97" w:rsidRPr="00BC6A5D" w:rsidRDefault="00BA3D97" w:rsidP="00F25D4D">
            <w:pPr>
              <w:tabs>
                <w:tab w:val="left" w:pos="288"/>
                <w:tab w:val="left" w:pos="576"/>
                <w:tab w:val="left" w:pos="864"/>
                <w:tab w:val="left" w:pos="1152"/>
              </w:tabs>
              <w:spacing w:before="40" w:after="40" w:line="210" w:lineRule="exact"/>
              <w:ind w:right="40"/>
              <w:jc w:val="right"/>
              <w:rPr>
                <w:b/>
                <w:sz w:val="17"/>
              </w:rPr>
            </w:pPr>
            <w:r w:rsidRPr="00BC6A5D">
              <w:rPr>
                <w:b/>
                <w:sz w:val="17"/>
              </w:rPr>
              <w:t>121</w:t>
            </w:r>
            <w:r w:rsidR="00F25D4D" w:rsidRPr="00BC6A5D">
              <w:rPr>
                <w:b/>
                <w:sz w:val="17"/>
              </w:rPr>
              <w:t xml:space="preserve"> </w:t>
            </w:r>
            <w:r w:rsidRPr="00BC6A5D">
              <w:rPr>
                <w:b/>
                <w:sz w:val="17"/>
              </w:rPr>
              <w:t>573</w:t>
            </w:r>
          </w:p>
        </w:tc>
        <w:tc>
          <w:tcPr>
            <w:tcW w:w="1220" w:type="dxa"/>
            <w:shd w:val="clear" w:color="auto" w:fill="auto"/>
            <w:vAlign w:val="bottom"/>
          </w:tcPr>
          <w:p w:rsidR="00BA3D97" w:rsidRPr="00BC6A5D" w:rsidRDefault="00BA3D97" w:rsidP="00F25D4D">
            <w:pPr>
              <w:tabs>
                <w:tab w:val="left" w:pos="288"/>
                <w:tab w:val="left" w:pos="576"/>
                <w:tab w:val="left" w:pos="864"/>
                <w:tab w:val="left" w:pos="1152"/>
              </w:tabs>
              <w:spacing w:before="40" w:after="40" w:line="210" w:lineRule="exact"/>
              <w:ind w:right="40"/>
              <w:jc w:val="right"/>
              <w:rPr>
                <w:b/>
                <w:sz w:val="17"/>
              </w:rPr>
            </w:pPr>
            <w:r w:rsidRPr="00BC6A5D">
              <w:rPr>
                <w:b/>
                <w:sz w:val="17"/>
              </w:rPr>
              <w:t>111</w:t>
            </w:r>
            <w:r w:rsidR="00F25D4D" w:rsidRPr="00BC6A5D">
              <w:rPr>
                <w:b/>
                <w:sz w:val="17"/>
              </w:rPr>
              <w:t xml:space="preserve"> </w:t>
            </w:r>
            <w:r w:rsidRPr="00BC6A5D">
              <w:rPr>
                <w:b/>
                <w:sz w:val="17"/>
              </w:rPr>
              <w:t>713</w:t>
            </w:r>
          </w:p>
        </w:tc>
      </w:tr>
      <w:tr w:rsidR="00BA3D97" w:rsidRPr="00866E00" w:rsidTr="00866E00">
        <w:tc>
          <w:tcPr>
            <w:tcW w:w="1220" w:type="dxa"/>
            <w:shd w:val="clear" w:color="auto" w:fill="auto"/>
            <w:vAlign w:val="bottom"/>
          </w:tcPr>
          <w:p w:rsidR="00BA3D97" w:rsidRPr="00866E00" w:rsidRDefault="00BA3D97" w:rsidP="00BC6A5D">
            <w:pPr>
              <w:tabs>
                <w:tab w:val="left" w:pos="288"/>
                <w:tab w:val="left" w:pos="576"/>
                <w:tab w:val="left" w:pos="864"/>
                <w:tab w:val="left" w:pos="1152"/>
              </w:tabs>
              <w:spacing w:before="40" w:after="40" w:line="210" w:lineRule="exact"/>
              <w:rPr>
                <w:sz w:val="17"/>
              </w:rPr>
            </w:pPr>
            <w:r>
              <w:rPr>
                <w:sz w:val="17"/>
              </w:rPr>
              <w:t>Zonas urbanas</w:t>
            </w:r>
          </w:p>
        </w:tc>
        <w:tc>
          <w:tcPr>
            <w:tcW w:w="1220" w:type="dxa"/>
            <w:shd w:val="clear" w:color="auto" w:fill="auto"/>
            <w:vAlign w:val="bottom"/>
          </w:tcPr>
          <w:p w:rsidR="00BA3D97" w:rsidRPr="00BA3D97" w:rsidRDefault="00BA3D97" w:rsidP="00F25D4D">
            <w:pPr>
              <w:tabs>
                <w:tab w:val="left" w:pos="288"/>
                <w:tab w:val="left" w:pos="576"/>
                <w:tab w:val="left" w:pos="864"/>
                <w:tab w:val="left" w:pos="1152"/>
              </w:tabs>
              <w:spacing w:before="40" w:after="40" w:line="210" w:lineRule="exact"/>
              <w:ind w:right="40"/>
              <w:jc w:val="right"/>
              <w:rPr>
                <w:sz w:val="17"/>
              </w:rPr>
            </w:pPr>
            <w:r w:rsidRPr="00BA3D97">
              <w:rPr>
                <w:sz w:val="17"/>
              </w:rPr>
              <w:t>959</w:t>
            </w:r>
            <w:r w:rsidR="00F25D4D">
              <w:rPr>
                <w:sz w:val="17"/>
              </w:rPr>
              <w:t xml:space="preserve"> </w:t>
            </w:r>
            <w:r w:rsidRPr="00BA3D97">
              <w:rPr>
                <w:sz w:val="17"/>
              </w:rPr>
              <w:t>792</w:t>
            </w:r>
          </w:p>
        </w:tc>
        <w:tc>
          <w:tcPr>
            <w:tcW w:w="1220" w:type="dxa"/>
            <w:shd w:val="clear" w:color="auto" w:fill="auto"/>
            <w:vAlign w:val="bottom"/>
          </w:tcPr>
          <w:p w:rsidR="00BA3D97" w:rsidRPr="00BA3D97" w:rsidRDefault="00BA3D97" w:rsidP="00F25D4D">
            <w:pPr>
              <w:tabs>
                <w:tab w:val="left" w:pos="288"/>
                <w:tab w:val="left" w:pos="576"/>
                <w:tab w:val="left" w:pos="864"/>
                <w:tab w:val="left" w:pos="1152"/>
              </w:tabs>
              <w:spacing w:before="40" w:after="40" w:line="210" w:lineRule="exact"/>
              <w:ind w:right="40"/>
              <w:jc w:val="right"/>
              <w:rPr>
                <w:sz w:val="17"/>
              </w:rPr>
            </w:pPr>
            <w:r w:rsidRPr="00BA3D97">
              <w:rPr>
                <w:sz w:val="17"/>
              </w:rPr>
              <w:t>835</w:t>
            </w:r>
            <w:r w:rsidR="00F25D4D">
              <w:rPr>
                <w:sz w:val="17"/>
              </w:rPr>
              <w:t xml:space="preserve"> </w:t>
            </w:r>
            <w:r w:rsidRPr="00BA3D97">
              <w:rPr>
                <w:sz w:val="17"/>
              </w:rPr>
              <w:t>597</w:t>
            </w:r>
          </w:p>
        </w:tc>
        <w:tc>
          <w:tcPr>
            <w:tcW w:w="1220" w:type="dxa"/>
            <w:shd w:val="clear" w:color="auto" w:fill="auto"/>
            <w:vAlign w:val="bottom"/>
          </w:tcPr>
          <w:p w:rsidR="00BA3D97" w:rsidRPr="00BA3D97" w:rsidRDefault="00BA3D97" w:rsidP="00F25D4D">
            <w:pPr>
              <w:tabs>
                <w:tab w:val="left" w:pos="288"/>
                <w:tab w:val="left" w:pos="576"/>
                <w:tab w:val="left" w:pos="864"/>
                <w:tab w:val="left" w:pos="1152"/>
              </w:tabs>
              <w:spacing w:before="40" w:after="40" w:line="210" w:lineRule="exact"/>
              <w:ind w:right="40"/>
              <w:jc w:val="right"/>
              <w:rPr>
                <w:sz w:val="17"/>
              </w:rPr>
            </w:pPr>
            <w:r w:rsidRPr="00BA3D97">
              <w:rPr>
                <w:sz w:val="17"/>
              </w:rPr>
              <w:t>111</w:t>
            </w:r>
            <w:r w:rsidR="00F25D4D">
              <w:rPr>
                <w:sz w:val="17"/>
              </w:rPr>
              <w:t xml:space="preserve"> </w:t>
            </w:r>
            <w:r w:rsidRPr="00BA3D97">
              <w:rPr>
                <w:sz w:val="17"/>
              </w:rPr>
              <w:t>984</w:t>
            </w:r>
          </w:p>
        </w:tc>
        <w:tc>
          <w:tcPr>
            <w:tcW w:w="1220" w:type="dxa"/>
            <w:shd w:val="clear" w:color="auto" w:fill="auto"/>
            <w:vAlign w:val="bottom"/>
          </w:tcPr>
          <w:p w:rsidR="00BA3D97" w:rsidRPr="00BA3D97" w:rsidRDefault="00BA3D97" w:rsidP="00F25D4D">
            <w:pPr>
              <w:tabs>
                <w:tab w:val="left" w:pos="288"/>
                <w:tab w:val="left" w:pos="576"/>
                <w:tab w:val="left" w:pos="864"/>
                <w:tab w:val="left" w:pos="1152"/>
              </w:tabs>
              <w:spacing w:before="40" w:after="40" w:line="210" w:lineRule="exact"/>
              <w:ind w:right="40"/>
              <w:jc w:val="right"/>
              <w:rPr>
                <w:sz w:val="17"/>
              </w:rPr>
            </w:pPr>
            <w:r w:rsidRPr="00BA3D97">
              <w:rPr>
                <w:sz w:val="17"/>
              </w:rPr>
              <w:t>8</w:t>
            </w:r>
            <w:r w:rsidR="00F25D4D">
              <w:rPr>
                <w:sz w:val="17"/>
              </w:rPr>
              <w:t xml:space="preserve"> </w:t>
            </w:r>
            <w:r w:rsidRPr="00BA3D97">
              <w:rPr>
                <w:sz w:val="17"/>
              </w:rPr>
              <w:t>282</w:t>
            </w:r>
          </w:p>
        </w:tc>
        <w:tc>
          <w:tcPr>
            <w:tcW w:w="1220" w:type="dxa"/>
            <w:shd w:val="clear" w:color="auto" w:fill="auto"/>
            <w:vAlign w:val="bottom"/>
          </w:tcPr>
          <w:p w:rsidR="00BA3D97" w:rsidRPr="00BA3D97" w:rsidRDefault="00BA3D97" w:rsidP="00F25D4D">
            <w:pPr>
              <w:tabs>
                <w:tab w:val="left" w:pos="288"/>
                <w:tab w:val="left" w:pos="576"/>
                <w:tab w:val="left" w:pos="864"/>
                <w:tab w:val="left" w:pos="1152"/>
              </w:tabs>
              <w:spacing w:before="40" w:after="40" w:line="210" w:lineRule="exact"/>
              <w:ind w:right="40"/>
              <w:jc w:val="right"/>
              <w:rPr>
                <w:sz w:val="17"/>
              </w:rPr>
            </w:pPr>
            <w:r w:rsidRPr="00BA3D97">
              <w:rPr>
                <w:sz w:val="17"/>
              </w:rPr>
              <w:t>3</w:t>
            </w:r>
            <w:r w:rsidR="00F25D4D">
              <w:rPr>
                <w:sz w:val="17"/>
              </w:rPr>
              <w:t xml:space="preserve"> </w:t>
            </w:r>
            <w:r w:rsidRPr="00BA3D97">
              <w:rPr>
                <w:sz w:val="17"/>
              </w:rPr>
              <w:t>929</w:t>
            </w:r>
          </w:p>
        </w:tc>
      </w:tr>
      <w:tr w:rsidR="00BA3D97" w:rsidRPr="00866E00" w:rsidTr="00866E00">
        <w:tc>
          <w:tcPr>
            <w:tcW w:w="1220" w:type="dxa"/>
            <w:tcBorders>
              <w:bottom w:val="single" w:sz="12" w:space="0" w:color="auto"/>
            </w:tcBorders>
            <w:shd w:val="clear" w:color="auto" w:fill="auto"/>
            <w:vAlign w:val="bottom"/>
          </w:tcPr>
          <w:p w:rsidR="00BA3D97" w:rsidRPr="00866E00" w:rsidRDefault="00BA3D97" w:rsidP="00BC6A5D">
            <w:pPr>
              <w:tabs>
                <w:tab w:val="left" w:pos="288"/>
                <w:tab w:val="left" w:pos="576"/>
                <w:tab w:val="left" w:pos="864"/>
                <w:tab w:val="left" w:pos="1152"/>
              </w:tabs>
              <w:spacing w:before="40" w:after="40" w:line="210" w:lineRule="exact"/>
              <w:rPr>
                <w:sz w:val="17"/>
              </w:rPr>
            </w:pPr>
            <w:r>
              <w:rPr>
                <w:sz w:val="17"/>
              </w:rPr>
              <w:t>Zonas rurales</w:t>
            </w:r>
          </w:p>
        </w:tc>
        <w:tc>
          <w:tcPr>
            <w:tcW w:w="1220" w:type="dxa"/>
            <w:tcBorders>
              <w:bottom w:val="single" w:sz="12" w:space="0" w:color="auto"/>
            </w:tcBorders>
            <w:shd w:val="clear" w:color="auto" w:fill="auto"/>
            <w:vAlign w:val="bottom"/>
          </w:tcPr>
          <w:p w:rsidR="00BA3D97" w:rsidRPr="00BA3D97" w:rsidRDefault="00BA3D97" w:rsidP="00F25D4D">
            <w:pPr>
              <w:tabs>
                <w:tab w:val="left" w:pos="288"/>
                <w:tab w:val="left" w:pos="576"/>
                <w:tab w:val="left" w:pos="864"/>
                <w:tab w:val="left" w:pos="1152"/>
              </w:tabs>
              <w:spacing w:before="40" w:after="40" w:line="210" w:lineRule="exact"/>
              <w:ind w:right="40"/>
              <w:jc w:val="right"/>
              <w:rPr>
                <w:sz w:val="17"/>
              </w:rPr>
            </w:pPr>
            <w:r w:rsidRPr="00BA3D97">
              <w:rPr>
                <w:sz w:val="17"/>
              </w:rPr>
              <w:t>5</w:t>
            </w:r>
            <w:r w:rsidR="00F25D4D">
              <w:rPr>
                <w:sz w:val="17"/>
              </w:rPr>
              <w:t xml:space="preserve"> </w:t>
            </w:r>
            <w:r w:rsidRPr="00BA3D97">
              <w:rPr>
                <w:sz w:val="17"/>
              </w:rPr>
              <w:t>698</w:t>
            </w:r>
            <w:r w:rsidR="00F25D4D">
              <w:rPr>
                <w:sz w:val="17"/>
              </w:rPr>
              <w:t xml:space="preserve"> </w:t>
            </w:r>
            <w:r w:rsidRPr="00BA3D97">
              <w:rPr>
                <w:sz w:val="17"/>
              </w:rPr>
              <w:t>771</w:t>
            </w:r>
          </w:p>
        </w:tc>
        <w:tc>
          <w:tcPr>
            <w:tcW w:w="1220" w:type="dxa"/>
            <w:tcBorders>
              <w:bottom w:val="single" w:sz="12" w:space="0" w:color="auto"/>
            </w:tcBorders>
            <w:shd w:val="clear" w:color="auto" w:fill="auto"/>
            <w:vAlign w:val="bottom"/>
          </w:tcPr>
          <w:p w:rsidR="00BA3D97" w:rsidRPr="00BA3D97" w:rsidRDefault="00BA3D97" w:rsidP="00F25D4D">
            <w:pPr>
              <w:tabs>
                <w:tab w:val="left" w:pos="288"/>
                <w:tab w:val="left" w:pos="576"/>
                <w:tab w:val="left" w:pos="864"/>
                <w:tab w:val="left" w:pos="1152"/>
              </w:tabs>
              <w:spacing w:before="40" w:after="40" w:line="210" w:lineRule="exact"/>
              <w:ind w:right="40"/>
              <w:jc w:val="right"/>
              <w:rPr>
                <w:sz w:val="17"/>
              </w:rPr>
            </w:pPr>
            <w:r w:rsidRPr="00BA3D97">
              <w:rPr>
                <w:sz w:val="17"/>
              </w:rPr>
              <w:t>4</w:t>
            </w:r>
            <w:r w:rsidR="00F25D4D">
              <w:rPr>
                <w:sz w:val="17"/>
              </w:rPr>
              <w:t xml:space="preserve"> </w:t>
            </w:r>
            <w:r w:rsidRPr="00BA3D97">
              <w:rPr>
                <w:sz w:val="17"/>
              </w:rPr>
              <w:t>720</w:t>
            </w:r>
            <w:r w:rsidR="00F25D4D">
              <w:rPr>
                <w:sz w:val="17"/>
              </w:rPr>
              <w:t xml:space="preserve"> </w:t>
            </w:r>
            <w:r w:rsidRPr="00BA3D97">
              <w:rPr>
                <w:sz w:val="17"/>
              </w:rPr>
              <w:t>732</w:t>
            </w:r>
          </w:p>
        </w:tc>
        <w:tc>
          <w:tcPr>
            <w:tcW w:w="1220" w:type="dxa"/>
            <w:tcBorders>
              <w:bottom w:val="single" w:sz="12" w:space="0" w:color="auto"/>
            </w:tcBorders>
            <w:shd w:val="clear" w:color="auto" w:fill="auto"/>
            <w:vAlign w:val="bottom"/>
          </w:tcPr>
          <w:p w:rsidR="00BA3D97" w:rsidRPr="00BA3D97" w:rsidRDefault="00BA3D97" w:rsidP="00F25D4D">
            <w:pPr>
              <w:tabs>
                <w:tab w:val="left" w:pos="288"/>
                <w:tab w:val="left" w:pos="576"/>
                <w:tab w:val="left" w:pos="864"/>
                <w:tab w:val="left" w:pos="1152"/>
              </w:tabs>
              <w:spacing w:before="40" w:after="40" w:line="210" w:lineRule="exact"/>
              <w:ind w:right="40"/>
              <w:jc w:val="right"/>
              <w:rPr>
                <w:sz w:val="17"/>
              </w:rPr>
            </w:pPr>
            <w:r w:rsidRPr="00BA3D97">
              <w:rPr>
                <w:sz w:val="17"/>
              </w:rPr>
              <w:t>756</w:t>
            </w:r>
            <w:r w:rsidR="00F25D4D">
              <w:rPr>
                <w:sz w:val="17"/>
              </w:rPr>
              <w:t xml:space="preserve"> </w:t>
            </w:r>
            <w:r w:rsidRPr="00BA3D97">
              <w:rPr>
                <w:sz w:val="17"/>
              </w:rPr>
              <w:t>964</w:t>
            </w:r>
          </w:p>
        </w:tc>
        <w:tc>
          <w:tcPr>
            <w:tcW w:w="1220" w:type="dxa"/>
            <w:tcBorders>
              <w:bottom w:val="single" w:sz="12" w:space="0" w:color="auto"/>
            </w:tcBorders>
            <w:shd w:val="clear" w:color="auto" w:fill="auto"/>
            <w:vAlign w:val="bottom"/>
          </w:tcPr>
          <w:p w:rsidR="00BA3D97" w:rsidRPr="00BA3D97" w:rsidRDefault="00BA3D97" w:rsidP="00F25D4D">
            <w:pPr>
              <w:tabs>
                <w:tab w:val="left" w:pos="288"/>
                <w:tab w:val="left" w:pos="576"/>
                <w:tab w:val="left" w:pos="864"/>
                <w:tab w:val="left" w:pos="1152"/>
              </w:tabs>
              <w:spacing w:before="40" w:after="40" w:line="210" w:lineRule="exact"/>
              <w:ind w:right="40"/>
              <w:jc w:val="right"/>
              <w:rPr>
                <w:sz w:val="17"/>
              </w:rPr>
            </w:pPr>
            <w:r w:rsidRPr="00BA3D97">
              <w:rPr>
                <w:sz w:val="17"/>
              </w:rPr>
              <w:t>113</w:t>
            </w:r>
            <w:r w:rsidR="00F25D4D">
              <w:rPr>
                <w:sz w:val="17"/>
              </w:rPr>
              <w:t xml:space="preserve"> </w:t>
            </w:r>
            <w:r w:rsidRPr="00BA3D97">
              <w:rPr>
                <w:sz w:val="17"/>
              </w:rPr>
              <w:t>291</w:t>
            </w:r>
          </w:p>
        </w:tc>
        <w:tc>
          <w:tcPr>
            <w:tcW w:w="1220" w:type="dxa"/>
            <w:tcBorders>
              <w:bottom w:val="single" w:sz="12" w:space="0" w:color="auto"/>
            </w:tcBorders>
            <w:shd w:val="clear" w:color="auto" w:fill="auto"/>
            <w:vAlign w:val="bottom"/>
          </w:tcPr>
          <w:p w:rsidR="00BA3D97" w:rsidRPr="00BA3D97" w:rsidRDefault="00BA3D97" w:rsidP="00F25D4D">
            <w:pPr>
              <w:tabs>
                <w:tab w:val="left" w:pos="288"/>
                <w:tab w:val="left" w:pos="576"/>
                <w:tab w:val="left" w:pos="864"/>
                <w:tab w:val="left" w:pos="1152"/>
              </w:tabs>
              <w:spacing w:before="40" w:after="40" w:line="210" w:lineRule="exact"/>
              <w:ind w:right="40"/>
              <w:jc w:val="right"/>
              <w:rPr>
                <w:sz w:val="17"/>
              </w:rPr>
            </w:pPr>
            <w:r w:rsidRPr="00BA3D97">
              <w:rPr>
                <w:sz w:val="17"/>
              </w:rPr>
              <w:t>107</w:t>
            </w:r>
            <w:r w:rsidR="00F25D4D">
              <w:rPr>
                <w:sz w:val="17"/>
              </w:rPr>
              <w:t xml:space="preserve"> </w:t>
            </w:r>
            <w:r w:rsidRPr="00BA3D97">
              <w:rPr>
                <w:sz w:val="17"/>
              </w:rPr>
              <w:t>784</w:t>
            </w:r>
          </w:p>
        </w:tc>
      </w:tr>
    </w:tbl>
    <w:p w:rsidR="00DA3A6E" w:rsidRPr="001D582A" w:rsidRDefault="00DA3A6E" w:rsidP="001D582A">
      <w:pPr>
        <w:pStyle w:val="SingleTxt"/>
        <w:spacing w:after="0" w:line="120" w:lineRule="exact"/>
        <w:rPr>
          <w:sz w:val="10"/>
        </w:rPr>
      </w:pPr>
    </w:p>
    <w:p w:rsidR="009564D9" w:rsidRDefault="009564D9" w:rsidP="009564D9">
      <w:pPr>
        <w:pStyle w:val="FootnoteText"/>
        <w:tabs>
          <w:tab w:val="clear" w:pos="418"/>
          <w:tab w:val="right" w:pos="1476"/>
          <w:tab w:val="left" w:pos="1548"/>
          <w:tab w:val="right" w:pos="1836"/>
          <w:tab w:val="left" w:pos="1908"/>
        </w:tabs>
        <w:ind w:left="1548" w:right="1267" w:hanging="288"/>
        <w:rPr>
          <w:sz w:val="10"/>
        </w:rPr>
      </w:pPr>
      <w:r w:rsidRPr="009564D9">
        <w:rPr>
          <w:i/>
        </w:rPr>
        <w:t>Fuente</w:t>
      </w:r>
      <w:r w:rsidRPr="00D27624">
        <w:rPr>
          <w:i/>
          <w:sz w:val="10"/>
        </w:rPr>
        <w:t>:</w:t>
      </w:r>
      <w:r>
        <w:rPr>
          <w:sz w:val="10"/>
        </w:rPr>
        <w:t xml:space="preserve"> </w:t>
      </w:r>
      <w:r w:rsidRPr="009564D9">
        <w:t>Oficina Nac</w:t>
      </w:r>
      <w:r w:rsidR="00F12564">
        <w:t>i</w:t>
      </w:r>
      <w:r w:rsidRPr="009564D9">
        <w:t>onal de Estadística, 2008.</w:t>
      </w:r>
    </w:p>
    <w:p w:rsidR="00BA3D97" w:rsidRPr="00BC6A5D" w:rsidRDefault="00BA3D97" w:rsidP="00BC6A5D">
      <w:pPr>
        <w:pStyle w:val="SingleTxt"/>
        <w:spacing w:after="0" w:line="120" w:lineRule="exact"/>
        <w:rPr>
          <w:sz w:val="10"/>
        </w:rPr>
      </w:pPr>
    </w:p>
    <w:p w:rsidR="00BC6A5D" w:rsidRPr="00AE6B8E" w:rsidRDefault="00BC6A5D" w:rsidP="00AE6B8E">
      <w:pPr>
        <w:pStyle w:val="SingleTxt"/>
        <w:spacing w:after="0" w:line="120" w:lineRule="exact"/>
        <w:rPr>
          <w:sz w:val="10"/>
        </w:rPr>
      </w:pPr>
    </w:p>
    <w:p w:rsidR="00AE6B8E" w:rsidRPr="00ED7E22" w:rsidRDefault="00AE6B8E" w:rsidP="00ED7E22">
      <w:pPr>
        <w:pStyle w:val="SingleTxt"/>
        <w:spacing w:after="0" w:line="120" w:lineRule="exact"/>
        <w:rPr>
          <w:sz w:val="10"/>
        </w:rPr>
      </w:pPr>
    </w:p>
    <w:p w:rsidR="009564D9" w:rsidRPr="009564D9" w:rsidRDefault="009564D9" w:rsidP="009564D9">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Pr="009564D9">
        <w:t>2.</w:t>
      </w:r>
      <w:r>
        <w:tab/>
      </w:r>
      <w:r w:rsidRPr="009564D9">
        <w:t>Características económicas</w:t>
      </w:r>
    </w:p>
    <w:p w:rsidR="00ED7E22" w:rsidRPr="009564D9" w:rsidRDefault="00ED7E22" w:rsidP="009564D9">
      <w:pPr>
        <w:pStyle w:val="SingleTxt"/>
        <w:spacing w:after="0" w:line="120" w:lineRule="exact"/>
        <w:rPr>
          <w:sz w:val="10"/>
        </w:rPr>
      </w:pPr>
    </w:p>
    <w:p w:rsidR="009564D9" w:rsidRPr="009564D9" w:rsidRDefault="009564D9" w:rsidP="00361C26">
      <w:pPr>
        <w:pStyle w:val="SingleTxt"/>
        <w:numPr>
          <w:ilvl w:val="0"/>
          <w:numId w:val="4"/>
        </w:numPr>
        <w:suppressAutoHyphens w:val="0"/>
        <w:ind w:left="1267"/>
      </w:pPr>
      <w:r w:rsidRPr="009564D9">
        <w:t>La economía de Malawi se basa principalmente en la agricultura, que aporta el</w:t>
      </w:r>
      <w:r w:rsidR="00D27624">
        <w:t> </w:t>
      </w:r>
      <w:r w:rsidRPr="009564D9">
        <w:t>30% del producto interno bruto. Los principales productos de exportación del país son el tabaco, el té y el azúcar, que representan conjuntamente alrededor del 85% de las exportaciones. La minería es un sector bastante nuevo en Malawi y su principal producto de exportación es el uranio que se extrae en el distrito septentrional de Karonga. El turismo, que en la gran mayoría de los casos es un turismo de interés por la fauna salvaje y la naturaleza, es también una fuente de ingresos importante, aunque siga siendo un sector bastante poco explotado.</w:t>
      </w:r>
    </w:p>
    <w:p w:rsidR="009564D9" w:rsidRPr="009564D9" w:rsidRDefault="009564D9" w:rsidP="00260C52">
      <w:pPr>
        <w:pStyle w:val="SingleTxt"/>
        <w:numPr>
          <w:ilvl w:val="0"/>
          <w:numId w:val="4"/>
        </w:numPr>
        <w:suppressAutoHyphens w:val="0"/>
        <w:ind w:left="1267"/>
      </w:pPr>
      <w:r w:rsidRPr="009564D9">
        <w:t xml:space="preserve">La moneda de Malawi es el kwacha, que se divide en 100 tambala. En 2012, el tipo de cambio del kwacha era de 250 kwacha por dólar de los </w:t>
      </w:r>
      <w:r w:rsidR="00D27624">
        <w:t>Estados Unidos</w:t>
      </w:r>
      <w:r w:rsidRPr="009564D9">
        <w:t>.</w:t>
      </w:r>
    </w:p>
    <w:p w:rsidR="009564D9" w:rsidRPr="009564D9" w:rsidRDefault="009564D9" w:rsidP="00260C52">
      <w:pPr>
        <w:pStyle w:val="SingleTxt"/>
        <w:numPr>
          <w:ilvl w:val="0"/>
          <w:numId w:val="4"/>
        </w:numPr>
        <w:suppressAutoHyphens w:val="0"/>
        <w:ind w:left="1267"/>
      </w:pPr>
      <w:r w:rsidRPr="009564D9">
        <w:t>La estrategia general de impulso del crecimiento económico del país es la Estrategia para el Crecimiento y el Desarrollo de Malawi II (ECDM II), que abarca el período 2012-2016. La ECDM II es una estrategia de mediano plazo destinada a cumplir las aspiraciones previstas en Visión 2020, un marco de política en el que se establece un programa de desarrollo de largo plazo para el país. El objetivo de la ECDM II, como el de su antecesora del per</w:t>
      </w:r>
      <w:r w:rsidR="00D27624">
        <w:t>í</w:t>
      </w:r>
      <w:r w:rsidRPr="009564D9">
        <w:t>odo 2006-2011, es reducir la pobreza mediante un crecimiento económico sostenible y el desarrollo de las infraestructuras.</w:t>
      </w:r>
    </w:p>
    <w:p w:rsidR="009564D9" w:rsidRPr="009564D9" w:rsidRDefault="009564D9" w:rsidP="00260C52">
      <w:pPr>
        <w:pStyle w:val="SingleTxt"/>
        <w:numPr>
          <w:ilvl w:val="0"/>
          <w:numId w:val="14"/>
        </w:numPr>
        <w:tabs>
          <w:tab w:val="clear" w:pos="475"/>
          <w:tab w:val="right" w:pos="1022"/>
        </w:tabs>
        <w:suppressAutoHyphens w:val="0"/>
        <w:ind w:left="1267" w:right="1260"/>
      </w:pPr>
      <w:r w:rsidRPr="009564D9">
        <w:t>La ECDM II tiene las seis esferas temáticas generales siguientes: crecimiento económico sostenible, desarrollo social, asistencia social y gestión de los riesgos de desastre, desarrollo de las infraestructuras, mejora de la gobernanza y cuestiones intersectoriales. Asimismo, en las seis esferas temáticas se han definido nueve esferas prioritarias tomadas de ellas: la agricultura y la seguridad alimentaria; las infraestructuras de transporte y el puerto fluvial de Nsanje; la energía, el desarrollo industrial, la minería y el turismo; la educación, la ciencia y la tecnología; la salud pública, el saneamiento y el tratamiento de la malaria y el VIH/SIDA; el desarrollo rural integrado; la irrigación del cinturón verde y el aprovechamiento de los recursos hídricos; el desarrollo del niño y el desarrollo y empoderamiento de la juventud, y el cambio climático, los recursos naturales y el ordenamiento ambiental.</w:t>
      </w:r>
    </w:p>
    <w:p w:rsidR="009564D9" w:rsidRPr="009564D9" w:rsidRDefault="009564D9" w:rsidP="00260C52">
      <w:pPr>
        <w:pStyle w:val="SingleTxt"/>
        <w:numPr>
          <w:ilvl w:val="0"/>
          <w:numId w:val="14"/>
        </w:numPr>
        <w:suppressAutoHyphens w:val="0"/>
        <w:ind w:left="1267"/>
      </w:pPr>
      <w:r w:rsidRPr="009564D9">
        <w:t>En el período que se examina expiró la Estrategia para el Crecimiento y el Desarrollo de Malawi (ECDM): De la Pobreza a la Prosperidad, para el período 2006</w:t>
      </w:r>
      <w:r w:rsidR="00D27624">
        <w:noBreakHyphen/>
      </w:r>
      <w:r w:rsidRPr="009564D9">
        <w:t xml:space="preserve">2011. La ECDM tenía cinco esferas temáticas, en sus inicios, que eran las siguientes: crecimiento económico sostenible, protección social, desarrollo social, </w:t>
      </w:r>
      <w:r w:rsidRPr="009564D9">
        <w:lastRenderedPageBreak/>
        <w:t>desarrollo de las infraestructuras y mejora de la gobernanza. En la ECDM se reconocía que todo desarrollo socioeconómico se basaba, en gran medida, en la buena gobernanza y se sostenía que el éxito de las estrategias propuestas dependía, en gran medida, de la implantación de la buena gobernanza.</w:t>
      </w:r>
    </w:p>
    <w:p w:rsidR="009564D9" w:rsidRPr="009564D9" w:rsidRDefault="009564D9" w:rsidP="00260C52">
      <w:pPr>
        <w:pStyle w:val="SingleTxt"/>
        <w:numPr>
          <w:ilvl w:val="0"/>
          <w:numId w:val="14"/>
        </w:numPr>
        <w:suppressAutoHyphens w:val="0"/>
        <w:ind w:left="1267"/>
      </w:pPr>
      <w:r w:rsidRPr="009564D9">
        <w:t xml:space="preserve">La primera ECDM, cuya ejecución se extendió de 2006 a 2011, tenía por objetivo crear riqueza mediante del crecimiento económico sostenible, considerado como medio de reducir la pobreza. La ECDM se centraba inicialmente en seis esferas prioritarias, que se aumentaron a nueve a partir de 2009. El Gobierno considera que la aplicación satisfactoria de las esferas prioritarias clave contribuirá efectivamente al logro de los ODM y otros indicadores de desarrollo pertinentes. </w:t>
      </w:r>
    </w:p>
    <w:p w:rsidR="009564D9" w:rsidRDefault="009564D9" w:rsidP="00260C52">
      <w:pPr>
        <w:pStyle w:val="SingleTxt"/>
        <w:numPr>
          <w:ilvl w:val="0"/>
          <w:numId w:val="14"/>
        </w:numPr>
        <w:suppressAutoHyphens w:val="0"/>
        <w:ind w:left="1267"/>
      </w:pPr>
      <w:r w:rsidRPr="009564D9">
        <w:t>La ECDM II se complementa con el Documento de estrategia de lucha contra la pobreza, de 2002, y la Estrategia de Crecimiento Económico de Malawi, de 2004. El Gobierno cree que estos instrumentos agilizarán la consecución de los ODM.</w:t>
      </w:r>
    </w:p>
    <w:p w:rsidR="00AE6B8E" w:rsidRPr="00ED7E22" w:rsidRDefault="00AE6B8E" w:rsidP="00ED7E22">
      <w:pPr>
        <w:pStyle w:val="SingleTxt"/>
        <w:spacing w:after="0" w:line="120" w:lineRule="exact"/>
        <w:rPr>
          <w:sz w:val="10"/>
        </w:rPr>
      </w:pPr>
    </w:p>
    <w:p w:rsidR="009564D9" w:rsidRDefault="00260C52" w:rsidP="00BC6A5D">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9564D9" w:rsidRPr="009564D9">
        <w:t>3.</w:t>
      </w:r>
      <w:r>
        <w:tab/>
      </w:r>
      <w:r w:rsidR="009564D9" w:rsidRPr="009564D9">
        <w:t>Objetivos de Desarrollo del Milenio</w:t>
      </w:r>
    </w:p>
    <w:p w:rsidR="00ED7E22" w:rsidRPr="00260C52" w:rsidRDefault="00ED7E22" w:rsidP="00260C52">
      <w:pPr>
        <w:pStyle w:val="SingleTxt"/>
        <w:spacing w:after="0" w:line="120" w:lineRule="exact"/>
        <w:rPr>
          <w:sz w:val="10"/>
        </w:rPr>
      </w:pPr>
    </w:p>
    <w:p w:rsidR="009564D9" w:rsidRPr="009564D9" w:rsidRDefault="009564D9" w:rsidP="00260C52">
      <w:pPr>
        <w:pStyle w:val="SingleTxt"/>
        <w:numPr>
          <w:ilvl w:val="0"/>
          <w:numId w:val="14"/>
        </w:numPr>
        <w:suppressAutoHyphens w:val="0"/>
        <w:ind w:left="1267"/>
      </w:pPr>
      <w:r w:rsidRPr="009564D9">
        <w:t>El Gobierno, en su determinación de reducir la pobreza y aumentar el bienestar de la población, suscribió la Declaración del Milenio aprobada por la Asamblea General de las Naciones Unidas en septiembre de 2000, en Nueva York. Como ya se ha mencionado, se aspira a cumplir los ODM en Malawi mediante la ECDM, actualmente ECDM II.</w:t>
      </w:r>
    </w:p>
    <w:p w:rsidR="00260C52" w:rsidRPr="00260C52" w:rsidRDefault="009564D9" w:rsidP="00260C52">
      <w:pPr>
        <w:pStyle w:val="SingleTxt"/>
        <w:numPr>
          <w:ilvl w:val="0"/>
          <w:numId w:val="14"/>
        </w:numPr>
        <w:suppressAutoHyphens w:val="0"/>
        <w:ind w:left="1267"/>
      </w:pPr>
      <w:r w:rsidRPr="009564D9">
        <w:t>Se reseñan, a continuación, los avances logrados en el cumplimiento de las metas de los ODM. El Gobierno, consciente de las dificultades que jalonan el camino, está haciendo todo lo posible por superarlas para que Malawi pueda alcanzar los ODM en</w:t>
      </w:r>
      <w:r w:rsidR="00D27624">
        <w:t> </w:t>
      </w:r>
      <w:r w:rsidRPr="009564D9">
        <w:t>2015</w:t>
      </w:r>
      <w:r w:rsidR="00260C52">
        <w:t>.</w:t>
      </w:r>
    </w:p>
    <w:p w:rsidR="00260C52" w:rsidRPr="00260C52" w:rsidRDefault="00260C52" w:rsidP="00260C52">
      <w:pPr>
        <w:pStyle w:val="SingleTxt"/>
        <w:suppressAutoHyphens w:val="0"/>
        <w:spacing w:after="0" w:line="120" w:lineRule="exact"/>
        <w:rPr>
          <w:sz w:val="10"/>
        </w:rPr>
      </w:pPr>
    </w:p>
    <w:p w:rsidR="009564D9" w:rsidRPr="009564D9" w:rsidRDefault="00260C52" w:rsidP="00260C5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9564D9" w:rsidRPr="009564D9">
        <w:t>a)</w:t>
      </w:r>
      <w:r>
        <w:tab/>
      </w:r>
      <w:r w:rsidR="009564D9" w:rsidRPr="009564D9">
        <w:t>Erradicar la pobreza extrema y el hambre</w:t>
      </w:r>
    </w:p>
    <w:p w:rsidR="009564D9" w:rsidRPr="00260C52" w:rsidRDefault="009564D9" w:rsidP="00260C52">
      <w:pPr>
        <w:pStyle w:val="SingleTxt"/>
        <w:spacing w:after="0" w:line="120" w:lineRule="exact"/>
        <w:rPr>
          <w:sz w:val="10"/>
        </w:rPr>
      </w:pPr>
    </w:p>
    <w:p w:rsidR="009564D9" w:rsidRPr="009564D9" w:rsidRDefault="009564D9" w:rsidP="00260C52">
      <w:pPr>
        <w:pStyle w:val="SingleTxt"/>
      </w:pPr>
      <w:r w:rsidRPr="009564D9">
        <w:tab/>
        <w:t>i)</w:t>
      </w:r>
      <w:r w:rsidR="00260C52">
        <w:tab/>
      </w:r>
      <w:r w:rsidRPr="009564D9">
        <w:t>Proporción de la población con ingresos inferiores a 1 dólar de los Estados Unidos por día. El nivel de partida en 2000 era de 53,9%, que se había reducido a 39% en octubre de 2011. La meta fijada para 2015 es de 27%.</w:t>
      </w:r>
    </w:p>
    <w:p w:rsidR="009564D9" w:rsidRPr="009564D9" w:rsidRDefault="009564D9" w:rsidP="00260C52">
      <w:pPr>
        <w:pStyle w:val="SingleTxt"/>
      </w:pPr>
      <w:r w:rsidRPr="009564D9">
        <w:tab/>
        <w:t>ii)</w:t>
      </w:r>
      <w:r w:rsidR="00260C52">
        <w:tab/>
      </w:r>
      <w:r w:rsidRPr="009564D9">
        <w:t>Coeficiente de la brecha de pobreza. El nivel de partida en 2000 era de 18,6%, que se había reducido a 17,8% en octubre de 2011. La meta fijada para 2015 es de 8%.</w:t>
      </w:r>
    </w:p>
    <w:p w:rsidR="009564D9" w:rsidRPr="009564D9" w:rsidRDefault="009564D9" w:rsidP="00260C52">
      <w:pPr>
        <w:pStyle w:val="SingleTxt"/>
      </w:pPr>
      <w:r w:rsidRPr="009564D9">
        <w:tab/>
        <w:t>iii)</w:t>
      </w:r>
      <w:r w:rsidR="00260C52">
        <w:tab/>
      </w:r>
      <w:r w:rsidRPr="009564D9">
        <w:t>Proporción del consumo nacional que corresponde a la quinta parte más pobre de la población. El nivel de partida en 2000 era de 10%. En octubre de 2011 la proporción era de 10,1%. La meta fijada para 2015 es de 20%.</w:t>
      </w:r>
    </w:p>
    <w:p w:rsidR="009564D9" w:rsidRPr="009564D9" w:rsidRDefault="009564D9" w:rsidP="00260C52">
      <w:pPr>
        <w:pStyle w:val="SingleTxt"/>
      </w:pPr>
      <w:r w:rsidRPr="009564D9">
        <w:tab/>
        <w:t>iv)</w:t>
      </w:r>
      <w:r w:rsidR="00260C52">
        <w:tab/>
      </w:r>
      <w:r w:rsidRPr="009564D9">
        <w:t>Proporción de niños con peso inferior al normal. El nivel de partida en</w:t>
      </w:r>
      <w:r w:rsidR="00D27624">
        <w:t> </w:t>
      </w:r>
      <w:r w:rsidRPr="009564D9">
        <w:t>2000 era de 25,4%, que se había reducido a 12,8% en octubre de 2011. La meta fijada para 2015 es de 14%.</w:t>
      </w:r>
    </w:p>
    <w:p w:rsidR="009564D9" w:rsidRPr="009564D9" w:rsidRDefault="009564D9" w:rsidP="00260C52">
      <w:pPr>
        <w:pStyle w:val="SingleTxt"/>
      </w:pPr>
      <w:r w:rsidRPr="009564D9">
        <w:tab/>
        <w:t>v)</w:t>
      </w:r>
      <w:r w:rsidR="00260C52">
        <w:tab/>
      </w:r>
      <w:r w:rsidRPr="009564D9">
        <w:t>Proporción de la población que no alcanza el nivel mínimo de consumo de energía alimentaria. El nivel de partida en 2000 era de 23,6%, que se había reducido a 15% en octubre de 2011. La meta fijada para 2015 es de 11,8%.</w:t>
      </w:r>
    </w:p>
    <w:p w:rsidR="009564D9" w:rsidRPr="009564D9" w:rsidRDefault="00260C52" w:rsidP="00260C52">
      <w:pPr>
        <w:pStyle w:val="SingleTxt"/>
      </w:pPr>
      <w:r>
        <w:t>A</w:t>
      </w:r>
      <w:r w:rsidR="009564D9" w:rsidRPr="009564D9">
        <w:t xml:space="preserve"> la luz de esos datos, es probable que se pueda alcanzar el primer ODM,</w:t>
      </w:r>
      <w:r>
        <w:t xml:space="preserve"> </w:t>
      </w:r>
      <w:r w:rsidR="009564D9" w:rsidRPr="009564D9">
        <w:t xml:space="preserve">consistente en erradicar la pobreza extrema y el hambre. </w:t>
      </w:r>
    </w:p>
    <w:p w:rsidR="009564D9" w:rsidRPr="00260C52" w:rsidRDefault="009564D9" w:rsidP="00260C52">
      <w:pPr>
        <w:pStyle w:val="SingleTxt"/>
        <w:spacing w:after="0" w:line="120" w:lineRule="exact"/>
        <w:rPr>
          <w:sz w:val="10"/>
        </w:rPr>
      </w:pPr>
    </w:p>
    <w:p w:rsidR="009564D9" w:rsidRPr="009564D9" w:rsidRDefault="00260C52" w:rsidP="00260C5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9564D9" w:rsidRPr="009564D9">
        <w:t>b)</w:t>
      </w:r>
      <w:r w:rsidR="009564D9" w:rsidRPr="009564D9">
        <w:tab/>
        <w:t>Lograr la enseñanza primaria universal</w:t>
      </w:r>
    </w:p>
    <w:p w:rsidR="009564D9" w:rsidRPr="00260C52" w:rsidRDefault="009564D9" w:rsidP="00260C52">
      <w:pPr>
        <w:pStyle w:val="SingleTxt"/>
        <w:spacing w:after="0" w:line="120" w:lineRule="exact"/>
        <w:rPr>
          <w:sz w:val="10"/>
        </w:rPr>
      </w:pPr>
    </w:p>
    <w:p w:rsidR="009564D9" w:rsidRPr="009564D9" w:rsidRDefault="009564D9" w:rsidP="00260C52">
      <w:pPr>
        <w:pStyle w:val="SingleTxt"/>
      </w:pPr>
      <w:r w:rsidRPr="009564D9">
        <w:tab/>
        <w:t>i)</w:t>
      </w:r>
      <w:r w:rsidR="00260C52">
        <w:tab/>
        <w:t>T</w:t>
      </w:r>
      <w:r w:rsidRPr="009564D9">
        <w:t>asa neta de matriculación en la enseñanza primaria. El nivel de partida en</w:t>
      </w:r>
      <w:r w:rsidR="00D27624">
        <w:t> </w:t>
      </w:r>
      <w:r w:rsidRPr="009564D9">
        <w:t>2000 era de 78%, que había aumentado a 80,2% en octubre de 2011. La meta fijada para 2015 es de 100%.</w:t>
      </w:r>
    </w:p>
    <w:p w:rsidR="009564D9" w:rsidRPr="009564D9" w:rsidRDefault="009564D9" w:rsidP="00260C52">
      <w:pPr>
        <w:pStyle w:val="SingleTxt"/>
      </w:pPr>
      <w:r w:rsidRPr="009564D9">
        <w:lastRenderedPageBreak/>
        <w:tab/>
        <w:t>ii)</w:t>
      </w:r>
      <w:r w:rsidR="00260C52">
        <w:tab/>
      </w:r>
      <w:r w:rsidRPr="009564D9">
        <w:t xml:space="preserve">Proporción de alumnos que comienzan el </w:t>
      </w:r>
      <w:r w:rsidR="00A1556F">
        <w:t>1º</w:t>
      </w:r>
      <w:r w:rsidRPr="009564D9">
        <w:t xml:space="preserve"> y llegan al </w:t>
      </w:r>
      <w:r w:rsidR="00A1556F">
        <w:t>5º</w:t>
      </w:r>
      <w:r w:rsidRPr="009564D9">
        <w:t>. El nivel de partida en 2000 era de 69%, que había aumentado a 73,5% en octubre de 2011. La meta fijada para 2015 es de 100%.</w:t>
      </w:r>
    </w:p>
    <w:p w:rsidR="009564D9" w:rsidRPr="009564D9" w:rsidRDefault="009564D9" w:rsidP="00260C52">
      <w:pPr>
        <w:pStyle w:val="SingleTxt"/>
      </w:pPr>
      <w:r w:rsidRPr="009564D9">
        <w:tab/>
        <w:t>iii)</w:t>
      </w:r>
      <w:r w:rsidR="00260C52">
        <w:tab/>
      </w:r>
      <w:r w:rsidRPr="009564D9">
        <w:t>Tasa de alfabetización de las personas de 15 a 24 años de edad. El nivel de partida en 2000 era de 68,1%, que había aumentado a 84% en 2011. La meta fijada para 2015 es de 100%.</w:t>
      </w:r>
    </w:p>
    <w:p w:rsidR="009564D9" w:rsidRPr="009564D9" w:rsidRDefault="009564D9" w:rsidP="00260C52">
      <w:pPr>
        <w:pStyle w:val="SingleTxt"/>
      </w:pPr>
      <w:r w:rsidRPr="009564D9">
        <w:t>No es probable que se pueda alcanzar para 2015 el ODM consistente en lograr la enseñanza primaria universal.</w:t>
      </w:r>
    </w:p>
    <w:p w:rsidR="009564D9" w:rsidRPr="00260C52" w:rsidRDefault="009564D9" w:rsidP="00260C52">
      <w:pPr>
        <w:pStyle w:val="SingleTxt"/>
        <w:spacing w:after="0" w:line="120" w:lineRule="exact"/>
        <w:rPr>
          <w:sz w:val="10"/>
        </w:rPr>
      </w:pPr>
    </w:p>
    <w:p w:rsidR="009564D9" w:rsidRPr="009564D9" w:rsidRDefault="00260C52" w:rsidP="00260C5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9564D9" w:rsidRPr="009564D9">
        <w:t>c)</w:t>
      </w:r>
      <w:r w:rsidR="009564D9" w:rsidRPr="009564D9">
        <w:tab/>
        <w:t>Promover la igualdad de género y la autonomía de la mujer</w:t>
      </w:r>
    </w:p>
    <w:p w:rsidR="009564D9" w:rsidRPr="00260C52" w:rsidRDefault="009564D9" w:rsidP="00260C52">
      <w:pPr>
        <w:pStyle w:val="SingleTxt"/>
        <w:spacing w:after="0" w:line="120" w:lineRule="exact"/>
        <w:rPr>
          <w:sz w:val="10"/>
        </w:rPr>
      </w:pPr>
    </w:p>
    <w:p w:rsidR="009564D9" w:rsidRPr="009564D9" w:rsidRDefault="009564D9" w:rsidP="00260C52">
      <w:pPr>
        <w:pStyle w:val="SingleTxt"/>
      </w:pPr>
      <w:r w:rsidRPr="009564D9">
        <w:tab/>
        <w:t>i)</w:t>
      </w:r>
      <w:r w:rsidR="00260C52">
        <w:tab/>
      </w:r>
      <w:r w:rsidRPr="009564D9">
        <w:t>Relación niñas/niños en la enseñanza primaria. El nivel de partida en 2000 era de 0,91, que había aumentado a 1 en octubre de 2011. La meta fijada para 2015 es</w:t>
      </w:r>
      <w:r w:rsidR="00260C52">
        <w:t> </w:t>
      </w:r>
      <w:r w:rsidRPr="009564D9">
        <w:t>1.</w:t>
      </w:r>
    </w:p>
    <w:p w:rsidR="009564D9" w:rsidRPr="009564D9" w:rsidRDefault="009564D9" w:rsidP="00260C52">
      <w:pPr>
        <w:pStyle w:val="SingleTxt"/>
      </w:pPr>
      <w:r w:rsidRPr="009564D9">
        <w:tab/>
        <w:t>ii)</w:t>
      </w:r>
      <w:r w:rsidR="006328AC">
        <w:tab/>
      </w:r>
      <w:r w:rsidRPr="009564D9">
        <w:t>Relación niñas/niños en la enseñanza secundaria. El nivel de partida en</w:t>
      </w:r>
      <w:r w:rsidR="006328AC">
        <w:t> </w:t>
      </w:r>
      <w:r w:rsidRPr="009564D9">
        <w:t>2000 era de 0,6, que había aumentado a 0,78 en octubre de 2011. La meta fijada para 2015 es 1.</w:t>
      </w:r>
    </w:p>
    <w:p w:rsidR="009564D9" w:rsidRPr="009564D9" w:rsidRDefault="009564D9" w:rsidP="00260C52">
      <w:pPr>
        <w:pStyle w:val="SingleTxt"/>
      </w:pPr>
      <w:r w:rsidRPr="009564D9">
        <w:tab/>
        <w:t>iii)</w:t>
      </w:r>
      <w:r w:rsidR="00260C52">
        <w:tab/>
      </w:r>
      <w:r w:rsidRPr="009564D9">
        <w:t>Relación mujeres/hombres entre las personas alfabetizadas de 15 a 24 años de edad. El nivel de partida en 2000 era de 0,82, que había aumentado a 0,94 en octubre de 2011. La meta fijada para 2015 es 1.</w:t>
      </w:r>
    </w:p>
    <w:p w:rsidR="009564D9" w:rsidRPr="009564D9" w:rsidRDefault="009564D9" w:rsidP="00260C52">
      <w:pPr>
        <w:pStyle w:val="SingleTxt"/>
      </w:pPr>
      <w:r w:rsidRPr="009564D9">
        <w:tab/>
        <w:t>iv)</w:t>
      </w:r>
      <w:r w:rsidR="00260C52">
        <w:tab/>
      </w:r>
      <w:r w:rsidRPr="009564D9">
        <w:t>Proporción de mujeres con empleos remunerados en el sector no agrícola. El nivel de partida en 2000 era de 13,1%, que había aumentado a 15% en octubre de</w:t>
      </w:r>
      <w:r w:rsidR="006328AC">
        <w:t> </w:t>
      </w:r>
      <w:r w:rsidRPr="009564D9">
        <w:t>2011. La meta fijada para 2015 es de 50%.</w:t>
      </w:r>
    </w:p>
    <w:p w:rsidR="009564D9" w:rsidRPr="009564D9" w:rsidRDefault="009564D9" w:rsidP="00260C52">
      <w:pPr>
        <w:pStyle w:val="SingleTxt"/>
      </w:pPr>
      <w:r w:rsidRPr="009564D9">
        <w:tab/>
        <w:t>v)</w:t>
      </w:r>
      <w:r w:rsidR="00260C52">
        <w:tab/>
      </w:r>
      <w:r w:rsidRPr="009564D9">
        <w:t>Proporción de escaños ocupados por mujeres en el Parlamento. El nivel de partida en 2000 era de 9,3%, que había aumentado a 22% en octubre de 2011. La meta fijada para 2015 es de 50%.</w:t>
      </w:r>
    </w:p>
    <w:p w:rsidR="009564D9" w:rsidRPr="009564D9" w:rsidRDefault="009564D9" w:rsidP="00260C52">
      <w:pPr>
        <w:pStyle w:val="SingleTxt"/>
      </w:pPr>
      <w:r w:rsidRPr="009564D9">
        <w:t>No es probable que se pueda alcanzar el tercer ODM, consistente en promover la igualdad de género y la autonomía de la mujer.</w:t>
      </w:r>
    </w:p>
    <w:p w:rsidR="009564D9" w:rsidRPr="00260C52" w:rsidRDefault="009564D9" w:rsidP="00260C52">
      <w:pPr>
        <w:pStyle w:val="SingleTxt"/>
        <w:spacing w:after="0" w:line="120" w:lineRule="exact"/>
        <w:rPr>
          <w:sz w:val="10"/>
        </w:rPr>
      </w:pPr>
    </w:p>
    <w:p w:rsidR="009564D9" w:rsidRPr="009564D9" w:rsidRDefault="00260C52" w:rsidP="00260C52">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9564D9" w:rsidRPr="009564D9">
        <w:t>d)</w:t>
      </w:r>
      <w:r>
        <w:tab/>
      </w:r>
      <w:r w:rsidR="009564D9" w:rsidRPr="009564D9">
        <w:t>Reducir la mortalidad infantil</w:t>
      </w:r>
    </w:p>
    <w:p w:rsidR="009564D9" w:rsidRPr="00260C52" w:rsidRDefault="009564D9" w:rsidP="00260C52">
      <w:pPr>
        <w:pStyle w:val="SingleTxt"/>
        <w:spacing w:after="0" w:line="120" w:lineRule="exact"/>
        <w:rPr>
          <w:sz w:val="10"/>
        </w:rPr>
      </w:pPr>
    </w:p>
    <w:p w:rsidR="009564D9" w:rsidRPr="009564D9" w:rsidRDefault="009564D9" w:rsidP="00260C52">
      <w:pPr>
        <w:pStyle w:val="SingleTxt"/>
      </w:pPr>
      <w:r w:rsidRPr="009564D9">
        <w:tab/>
        <w:t>i</w:t>
      </w:r>
      <w:r w:rsidR="00260C52">
        <w:t>)</w:t>
      </w:r>
      <w:r w:rsidR="00260C52">
        <w:tab/>
      </w:r>
      <w:r w:rsidRPr="009564D9">
        <w:t>Tasa de mortalidad de los niños menores de 5 años. El nivel de partida en</w:t>
      </w:r>
      <w:r w:rsidR="001218A0">
        <w:t> </w:t>
      </w:r>
      <w:r w:rsidRPr="009564D9">
        <w:t>2000 era de 189‰, que se había reducido a 112‰ en octubre de 2011. La meta fijada para 2015 es de 78‰.</w:t>
      </w:r>
    </w:p>
    <w:p w:rsidR="009564D9" w:rsidRPr="009564D9" w:rsidRDefault="00260C52" w:rsidP="00260C52">
      <w:pPr>
        <w:pStyle w:val="SingleTxt"/>
      </w:pPr>
      <w:r>
        <w:tab/>
      </w:r>
      <w:r w:rsidR="009564D9" w:rsidRPr="009564D9">
        <w:t>ii)</w:t>
      </w:r>
      <w:r>
        <w:tab/>
      </w:r>
      <w:r w:rsidR="004F3DC0">
        <w:t>T</w:t>
      </w:r>
      <w:r w:rsidR="009564D9" w:rsidRPr="009564D9">
        <w:t>asa de mortalidad infantil . El nivel de partida en 2000 era de 103‰, que se había reducido a 66‰ en octubre de 2011. La meta fijada para 2015 es de 44,7‰.</w:t>
      </w:r>
    </w:p>
    <w:p w:rsidR="009564D9" w:rsidRPr="009564D9" w:rsidRDefault="009564D9" w:rsidP="004F3DC0">
      <w:pPr>
        <w:pStyle w:val="SingleTxt"/>
      </w:pPr>
      <w:r w:rsidRPr="009564D9">
        <w:tab/>
        <w:t>iii)</w:t>
      </w:r>
      <w:r w:rsidR="004F3DC0">
        <w:tab/>
      </w:r>
      <w:r w:rsidRPr="009564D9">
        <w:t>Proporción de niños de 1 año inmunizados contra el sarampión. El nivel de partida en 2000 era de 83,1%, que había aumentado a 93% en octubre de 2011. La meta fijada para 2015 es de 100%.</w:t>
      </w:r>
    </w:p>
    <w:p w:rsidR="009564D9" w:rsidRPr="009564D9" w:rsidRDefault="009564D9" w:rsidP="004F3DC0">
      <w:pPr>
        <w:pStyle w:val="SingleTxt"/>
      </w:pPr>
      <w:r w:rsidRPr="009564D9">
        <w:t>Es probable que se pueda alcanzar el cuarto ODM, consistente en reducir la mortalidad infantil.</w:t>
      </w:r>
    </w:p>
    <w:p w:rsidR="009564D9" w:rsidRPr="004F3DC0" w:rsidRDefault="009564D9" w:rsidP="004F3DC0">
      <w:pPr>
        <w:pStyle w:val="SingleTxt"/>
        <w:spacing w:after="0" w:line="120" w:lineRule="exact"/>
        <w:rPr>
          <w:sz w:val="10"/>
        </w:rPr>
      </w:pPr>
    </w:p>
    <w:p w:rsidR="009564D9" w:rsidRPr="009564D9" w:rsidRDefault="004F3DC0" w:rsidP="004F3DC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9564D9" w:rsidRPr="009564D9">
        <w:t>e)</w:t>
      </w:r>
      <w:r>
        <w:tab/>
      </w:r>
      <w:r w:rsidR="009564D9" w:rsidRPr="009564D9">
        <w:t>Mejorar la salud materna</w:t>
      </w:r>
    </w:p>
    <w:p w:rsidR="009564D9" w:rsidRPr="004F3DC0" w:rsidRDefault="009564D9" w:rsidP="004F3DC0">
      <w:pPr>
        <w:pStyle w:val="SingleTxt"/>
        <w:spacing w:after="0" w:line="120" w:lineRule="exact"/>
        <w:rPr>
          <w:sz w:val="10"/>
        </w:rPr>
      </w:pPr>
    </w:p>
    <w:p w:rsidR="009564D9" w:rsidRPr="009564D9" w:rsidRDefault="009564D9" w:rsidP="004F3DC0">
      <w:pPr>
        <w:pStyle w:val="SingleTxt"/>
      </w:pPr>
      <w:r w:rsidRPr="009564D9">
        <w:tab/>
        <w:t>i)</w:t>
      </w:r>
      <w:r w:rsidR="004F3DC0">
        <w:tab/>
      </w:r>
      <w:r w:rsidRPr="009564D9">
        <w:t>Tasa de mortalidad materna. El nivel de partida en 2000 era de 1.120 por 100.000, que se había reducido a 675 por 100.000 en octubre de 2011. La meta fijada para 2015 es de 155 por 100.000.</w:t>
      </w:r>
    </w:p>
    <w:p w:rsidR="009564D9" w:rsidRPr="009564D9" w:rsidRDefault="004F3DC0" w:rsidP="004F3DC0">
      <w:pPr>
        <w:pStyle w:val="SingleTxt"/>
      </w:pPr>
      <w:r>
        <w:tab/>
      </w:r>
      <w:r w:rsidR="009564D9" w:rsidRPr="009564D9">
        <w:t>ii)</w:t>
      </w:r>
      <w:r>
        <w:tab/>
      </w:r>
      <w:r w:rsidR="009564D9" w:rsidRPr="009564D9">
        <w:t>Proporción de partos con asistencia de personal sanitario especializado. El nivel de partida en 2000 era de 55,6%, que había aumentado a 73% en octubre de</w:t>
      </w:r>
      <w:r w:rsidR="001218A0">
        <w:t> </w:t>
      </w:r>
      <w:r w:rsidR="009564D9" w:rsidRPr="009564D9">
        <w:t>2011. La meta fijada para 2015 es de 100%.</w:t>
      </w:r>
    </w:p>
    <w:p w:rsidR="009564D9" w:rsidRDefault="009564D9" w:rsidP="004F3DC0">
      <w:pPr>
        <w:pStyle w:val="SingleTxt"/>
      </w:pPr>
      <w:r w:rsidRPr="009564D9">
        <w:lastRenderedPageBreak/>
        <w:t>No es probable que se pueda alcanzar el quinto ODM, consistente en mejorar la salud materna.</w:t>
      </w:r>
    </w:p>
    <w:p w:rsidR="004F3DC0" w:rsidRPr="004F3DC0" w:rsidRDefault="004F3DC0" w:rsidP="004F3DC0">
      <w:pPr>
        <w:pStyle w:val="SingleTxt"/>
        <w:spacing w:after="0" w:line="120" w:lineRule="exact"/>
        <w:rPr>
          <w:sz w:val="10"/>
        </w:rPr>
      </w:pPr>
    </w:p>
    <w:p w:rsidR="009564D9" w:rsidRPr="009564D9" w:rsidRDefault="004F3DC0" w:rsidP="001D582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9564D9" w:rsidRPr="009564D9">
        <w:t>f)</w:t>
      </w:r>
      <w:r>
        <w:tab/>
      </w:r>
      <w:r w:rsidR="009564D9" w:rsidRPr="009564D9">
        <w:t>Combatir el VIH/SIDA, la malaria y otras enfermedades</w:t>
      </w:r>
    </w:p>
    <w:p w:rsidR="009564D9" w:rsidRPr="004F3DC0" w:rsidRDefault="009564D9" w:rsidP="001D582A">
      <w:pPr>
        <w:pStyle w:val="SingleTxt"/>
        <w:keepNext/>
        <w:keepLines/>
        <w:spacing w:after="0" w:line="120" w:lineRule="exact"/>
        <w:rPr>
          <w:sz w:val="10"/>
        </w:rPr>
      </w:pPr>
    </w:p>
    <w:p w:rsidR="009564D9" w:rsidRPr="009564D9" w:rsidRDefault="009564D9" w:rsidP="001D582A">
      <w:pPr>
        <w:pStyle w:val="SingleTxt"/>
        <w:keepNext/>
        <w:keepLines/>
      </w:pPr>
      <w:r w:rsidRPr="009564D9">
        <w:tab/>
        <w:t>i)</w:t>
      </w:r>
      <w:r w:rsidR="004F3DC0">
        <w:tab/>
      </w:r>
      <w:r w:rsidRPr="009564D9">
        <w:t>Prevalencia del VIH entre las mujeres embarazadas de 15 a 24 años de edad. El nivel de partida en 2000 era de 24,1%, que se había reducido a 12% en octubre de 2011. La meta fijada para 2015 es de 0%.</w:t>
      </w:r>
    </w:p>
    <w:p w:rsidR="009564D9" w:rsidRPr="009564D9" w:rsidRDefault="009564D9" w:rsidP="004F3DC0">
      <w:pPr>
        <w:pStyle w:val="SingleTxt"/>
      </w:pPr>
      <w:r w:rsidRPr="009564D9">
        <w:tab/>
        <w:t>ii)</w:t>
      </w:r>
      <w:r w:rsidR="004F3DC0">
        <w:tab/>
      </w:r>
      <w:r w:rsidRPr="009564D9">
        <w:t xml:space="preserve">Relación entre la asistencia escolar de niños huérfanos y la de niños no huérfanos. El nivel de partida en 2000 era de 0,121, que se había reducido ligeramente a 0,12 en octubre de 2011. </w:t>
      </w:r>
    </w:p>
    <w:p w:rsidR="009564D9" w:rsidRPr="009564D9" w:rsidRDefault="009564D9" w:rsidP="004F3DC0">
      <w:pPr>
        <w:pStyle w:val="SingleTxt"/>
      </w:pPr>
      <w:r w:rsidRPr="009564D9">
        <w:tab/>
        <w:t>iii)</w:t>
      </w:r>
      <w:r w:rsidR="004F3DC0">
        <w:tab/>
      </w:r>
      <w:r w:rsidRPr="009564D9">
        <w:t xml:space="preserve">Tasa de mortalidad por malaria. El nivel de partida en 2000 era de 3,6%, que se había reducido a 2,8% en octubre de 2011. </w:t>
      </w:r>
    </w:p>
    <w:p w:rsidR="009564D9" w:rsidRPr="009564D9" w:rsidRDefault="009564D9" w:rsidP="004F3DC0">
      <w:pPr>
        <w:pStyle w:val="SingleTxt"/>
      </w:pPr>
      <w:r w:rsidRPr="009564D9">
        <w:tab/>
        <w:t>iv)</w:t>
      </w:r>
      <w:r w:rsidR="004F3DC0">
        <w:tab/>
      </w:r>
      <w:r w:rsidRPr="009564D9">
        <w:t xml:space="preserve">Acceso a tratamiento contra la malaria. El nivel de partida en 2000 era de 8%, que había disminuido a 2,8% en octubre de 2011. </w:t>
      </w:r>
    </w:p>
    <w:p w:rsidR="009564D9" w:rsidRPr="009564D9" w:rsidRDefault="009564D9" w:rsidP="004F3DC0">
      <w:pPr>
        <w:pStyle w:val="SingleTxt"/>
      </w:pPr>
      <w:r w:rsidRPr="009564D9">
        <w:tab/>
        <w:t>v)</w:t>
      </w:r>
      <w:r w:rsidR="004F3DC0">
        <w:tab/>
      </w:r>
      <w:r w:rsidRPr="009564D9">
        <w:t xml:space="preserve">Proporción de hogares que cuentan por lo menos con un mosquitero impregnado de insecticida. El nivel de partida en 2000 era de 31%, que había aumentado a 56,8% en octubre de 2011. </w:t>
      </w:r>
    </w:p>
    <w:p w:rsidR="009564D9" w:rsidRPr="009564D9" w:rsidRDefault="004F3DC0" w:rsidP="004F3DC0">
      <w:pPr>
        <w:pStyle w:val="SingleTxt"/>
      </w:pPr>
      <w:r>
        <w:tab/>
        <w:t>v</w:t>
      </w:r>
      <w:r w:rsidR="009564D9" w:rsidRPr="009564D9">
        <w:t>i)</w:t>
      </w:r>
      <w:r>
        <w:tab/>
      </w:r>
      <w:r w:rsidR="009564D9" w:rsidRPr="009564D9">
        <w:t>Tasa de mortalidad por tuberculosis. El nivel de partida en 2000 era de</w:t>
      </w:r>
      <w:r w:rsidR="001218A0">
        <w:t> </w:t>
      </w:r>
      <w:r w:rsidR="009564D9" w:rsidRPr="009564D9">
        <w:t xml:space="preserve">22%, que se había reducido a 7% en octubre de 2011. </w:t>
      </w:r>
    </w:p>
    <w:p w:rsidR="009564D9" w:rsidRPr="009564D9" w:rsidRDefault="009564D9" w:rsidP="004F3DC0">
      <w:pPr>
        <w:pStyle w:val="SingleTxt"/>
      </w:pPr>
      <w:r w:rsidRPr="009564D9">
        <w:tab/>
        <w:t>vii)</w:t>
      </w:r>
      <w:r w:rsidR="004F3DC0">
        <w:tab/>
      </w:r>
      <w:r w:rsidRPr="009564D9">
        <w:t xml:space="preserve">Proporción de casos de tuberculosis detectados y curados con el tratamiento breve bajo observación directa. El nivel de partida en 2000 era de 57%, que había aumentado a 87% en octubre de 2011. </w:t>
      </w:r>
    </w:p>
    <w:p w:rsidR="009564D9" w:rsidRPr="009564D9" w:rsidRDefault="009564D9" w:rsidP="004F3DC0">
      <w:pPr>
        <w:pStyle w:val="SingleTxt"/>
      </w:pPr>
      <w:r w:rsidRPr="009564D9">
        <w:t xml:space="preserve">Es probable que se pueda alcanzar el sexto ODM, consistente en combatir el VIH/SIDA, la malaria y otras enfermedades. </w:t>
      </w:r>
    </w:p>
    <w:p w:rsidR="009564D9" w:rsidRPr="004F3DC0" w:rsidRDefault="009564D9" w:rsidP="004F3DC0">
      <w:pPr>
        <w:pStyle w:val="SingleTxt"/>
        <w:spacing w:after="0" w:line="120" w:lineRule="exact"/>
        <w:rPr>
          <w:sz w:val="10"/>
        </w:rPr>
      </w:pPr>
    </w:p>
    <w:p w:rsidR="009564D9" w:rsidRDefault="004F3DC0" w:rsidP="004F3DC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9564D9" w:rsidRPr="009564D9">
        <w:t>g)</w:t>
      </w:r>
      <w:r>
        <w:tab/>
      </w:r>
      <w:r w:rsidR="009564D9" w:rsidRPr="009564D9">
        <w:t>Garantizar la sostenibilidad del medio ambiente</w:t>
      </w:r>
    </w:p>
    <w:p w:rsidR="004F3DC0" w:rsidRPr="004F3DC0" w:rsidRDefault="004F3DC0" w:rsidP="004F3DC0">
      <w:pPr>
        <w:pStyle w:val="SingleTxt"/>
        <w:spacing w:after="0" w:line="120" w:lineRule="exact"/>
        <w:rPr>
          <w:sz w:val="10"/>
        </w:rPr>
      </w:pPr>
    </w:p>
    <w:p w:rsidR="009564D9" w:rsidRPr="009564D9" w:rsidRDefault="009564D9" w:rsidP="004F3DC0">
      <w:pPr>
        <w:pStyle w:val="SingleTxt"/>
      </w:pPr>
      <w:r w:rsidRPr="009564D9">
        <w:tab/>
        <w:t>i)</w:t>
      </w:r>
      <w:r w:rsidR="004F3DC0">
        <w:tab/>
      </w:r>
      <w:r w:rsidRPr="009564D9">
        <w:t>Proporción de la superficie de tierras cubierta por bosques. El nivel de partida en 2000 era de 37,9%, que había disminuido a 36,2% en octubre de 2011. La meta fijada para 2015 es de 50%.</w:t>
      </w:r>
    </w:p>
    <w:p w:rsidR="009564D9" w:rsidRPr="009564D9" w:rsidRDefault="009564D9" w:rsidP="004F3DC0">
      <w:pPr>
        <w:pStyle w:val="SingleTxt"/>
      </w:pPr>
      <w:r w:rsidRPr="009564D9">
        <w:tab/>
        <w:t>ii</w:t>
      </w:r>
      <w:r w:rsidR="004F3DC0">
        <w:t>)</w:t>
      </w:r>
      <w:r w:rsidR="004F3DC0">
        <w:tab/>
      </w:r>
      <w:r w:rsidRPr="009564D9">
        <w:t>Proporción de la superficie de tierras protegida para mantener la diversidad biológica. El nivel de partida en 2000 era de 0,16%, y el nivel seguía siendo el mismo en octubre de 2011. La meta fijada para 2015 es de 0,18%.</w:t>
      </w:r>
    </w:p>
    <w:p w:rsidR="009564D9" w:rsidRPr="009564D9" w:rsidRDefault="009564D9" w:rsidP="004F3DC0">
      <w:pPr>
        <w:pStyle w:val="SingleTxt"/>
      </w:pPr>
      <w:r w:rsidRPr="009564D9">
        <w:tab/>
        <w:t>iii)</w:t>
      </w:r>
      <w:r w:rsidR="004F3DC0">
        <w:tab/>
      </w:r>
      <w:r w:rsidRPr="009564D9">
        <w:t>Proporción de la población que utiliza combustible sólido. El nivel de partida en 2000 era de 97,9%, que había aumentado a 98% en octubre de 2011. La meta fijada para 2015 es de 0%.</w:t>
      </w:r>
    </w:p>
    <w:p w:rsidR="009564D9" w:rsidRPr="009564D9" w:rsidRDefault="009564D9" w:rsidP="004F3DC0">
      <w:pPr>
        <w:pStyle w:val="SingleTxt"/>
      </w:pPr>
      <w:r w:rsidRPr="009564D9">
        <w:tab/>
        <w:t>iv)</w:t>
      </w:r>
      <w:r w:rsidR="004F3DC0">
        <w:tab/>
      </w:r>
      <w:r w:rsidRPr="009564D9">
        <w:t>Proporción de la población con acceso sostenible a mejores fuentes de agua potable. El nivel de partida en 2000 era de 47%, que había aumentado a 81% en octubre de 2011. La meta fijada para 2015 es de 74%.</w:t>
      </w:r>
    </w:p>
    <w:p w:rsidR="009564D9" w:rsidRPr="009564D9" w:rsidRDefault="009564D9" w:rsidP="004F3DC0">
      <w:pPr>
        <w:pStyle w:val="SingleTxt"/>
      </w:pPr>
      <w:r w:rsidRPr="009564D9">
        <w:tab/>
        <w:t>v)</w:t>
      </w:r>
      <w:r w:rsidR="004F3DC0">
        <w:tab/>
      </w:r>
      <w:r w:rsidRPr="009564D9">
        <w:t>Proporción de la población con acceso sostenible a mejores servicios de saneamiento. El nivel de partida en 2000 era de 81,4%, que había aumentado a 93% en octubre de 2011. La meta fijada para 2015 es de 86,2%.</w:t>
      </w:r>
    </w:p>
    <w:p w:rsidR="009564D9" w:rsidRPr="009564D9" w:rsidRDefault="009564D9" w:rsidP="004F3DC0">
      <w:pPr>
        <w:pStyle w:val="SingleTxt"/>
      </w:pPr>
      <w:r w:rsidRPr="009564D9">
        <w:tab/>
        <w:t>vi)</w:t>
      </w:r>
      <w:r w:rsidR="004F3DC0">
        <w:tab/>
      </w:r>
      <w:r w:rsidRPr="009564D9">
        <w:t xml:space="preserve">Proporción de la población urbana que vive en barrios marginales. El nivel de partida en 2000 era de 92%, que había disminuido a 67,7% en octubre de 2011. </w:t>
      </w:r>
    </w:p>
    <w:p w:rsidR="009564D9" w:rsidRPr="009564D9" w:rsidRDefault="009564D9" w:rsidP="004F3DC0">
      <w:pPr>
        <w:pStyle w:val="SingleTxt"/>
      </w:pPr>
      <w:r w:rsidRPr="009564D9">
        <w:t>No es seguro que se pueda alcanzar el séptimo ODM, consistente en garantizar la sostenibilidad del medio ambiente.</w:t>
      </w:r>
    </w:p>
    <w:p w:rsidR="009564D9" w:rsidRPr="004F3DC0" w:rsidRDefault="009564D9" w:rsidP="004F3DC0">
      <w:pPr>
        <w:pStyle w:val="SingleTxt"/>
        <w:spacing w:after="0" w:line="120" w:lineRule="exact"/>
        <w:rPr>
          <w:sz w:val="10"/>
        </w:rPr>
      </w:pPr>
    </w:p>
    <w:p w:rsidR="009564D9" w:rsidRPr="009564D9" w:rsidRDefault="004F3DC0" w:rsidP="001D582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lastRenderedPageBreak/>
        <w:tab/>
      </w:r>
      <w:r w:rsidR="009564D9" w:rsidRPr="009564D9">
        <w:t>h)</w:t>
      </w:r>
      <w:r>
        <w:tab/>
      </w:r>
      <w:r w:rsidR="009564D9" w:rsidRPr="009564D9">
        <w:t>Fomentar una asociación mundial para el desarrollo</w:t>
      </w:r>
    </w:p>
    <w:p w:rsidR="009564D9" w:rsidRPr="004F3DC0" w:rsidRDefault="009564D9" w:rsidP="001D582A">
      <w:pPr>
        <w:pStyle w:val="SingleTxt"/>
        <w:keepNext/>
        <w:keepLines/>
        <w:spacing w:after="0" w:line="120" w:lineRule="exact"/>
        <w:rPr>
          <w:sz w:val="10"/>
        </w:rPr>
      </w:pPr>
    </w:p>
    <w:p w:rsidR="009564D9" w:rsidRPr="009564D9" w:rsidRDefault="009564D9" w:rsidP="001D582A">
      <w:pPr>
        <w:pStyle w:val="SingleTxt"/>
        <w:keepNext/>
        <w:keepLines/>
      </w:pPr>
      <w:r w:rsidRPr="009564D9">
        <w:tab/>
        <w:t>i)</w:t>
      </w:r>
      <w:r w:rsidR="004F3DC0">
        <w:tab/>
      </w:r>
      <w:r w:rsidRPr="009564D9">
        <w:t xml:space="preserve">Asistencia oficial para el desarrollo neta como porcentaje del producto interno bruto real. El nivel de partida en 2000 era de 12%, que había aumentado a 13% en octubre de 2011. </w:t>
      </w:r>
    </w:p>
    <w:p w:rsidR="009564D9" w:rsidRPr="009564D9" w:rsidRDefault="009564D9" w:rsidP="004F3DC0">
      <w:pPr>
        <w:pStyle w:val="SingleTxt"/>
      </w:pPr>
      <w:r w:rsidRPr="009564D9">
        <w:tab/>
        <w:t>ii)</w:t>
      </w:r>
      <w:r w:rsidR="004F3DC0">
        <w:tab/>
      </w:r>
      <w:r w:rsidRPr="009564D9">
        <w:t>Tasa de desempleo entre la población urbana de 15 a 24 años de edad. El nivel de partida en 2000 era de 1%, que había aumentado a 4% en octubre de 2011.</w:t>
      </w:r>
    </w:p>
    <w:p w:rsidR="009564D9" w:rsidRPr="009564D9" w:rsidRDefault="009564D9" w:rsidP="004F3DC0">
      <w:pPr>
        <w:pStyle w:val="SingleTxt"/>
      </w:pPr>
      <w:r w:rsidRPr="009564D9">
        <w:tab/>
        <w:t>iii)</w:t>
      </w:r>
      <w:r w:rsidR="004F3DC0">
        <w:tab/>
      </w:r>
      <w:r w:rsidRPr="009564D9">
        <w:t xml:space="preserve">Abonados a teléfonos celulares por cada 1.000 habitantes. El nivel de partida en 2000 era de 1,8%, que había aumentado a 22,5% en octubre de 2011. </w:t>
      </w:r>
    </w:p>
    <w:p w:rsidR="009564D9" w:rsidRPr="009564D9" w:rsidRDefault="009564D9" w:rsidP="004F3DC0">
      <w:pPr>
        <w:pStyle w:val="SingleTxt"/>
      </w:pPr>
      <w:r w:rsidRPr="009564D9">
        <w:tab/>
      </w:r>
      <w:r w:rsidR="001218A0">
        <w:t>i</w:t>
      </w:r>
      <w:r w:rsidRPr="009564D9">
        <w:t>v)</w:t>
      </w:r>
      <w:r w:rsidR="004F3DC0">
        <w:tab/>
      </w:r>
      <w:r w:rsidRPr="009564D9">
        <w:t xml:space="preserve">Líneas telefónicas por cada 1.000 habitantes. El nivel de partida en 2000 era de 0,57%, que había aumentado a 1,19% en octubre de 2011. </w:t>
      </w:r>
    </w:p>
    <w:p w:rsidR="009564D9" w:rsidRPr="009564D9" w:rsidRDefault="009564D9" w:rsidP="004F3DC0">
      <w:pPr>
        <w:pStyle w:val="SingleTxt"/>
      </w:pPr>
      <w:r w:rsidRPr="009564D9">
        <w:tab/>
        <w:t>v)</w:t>
      </w:r>
      <w:r w:rsidR="004F3DC0">
        <w:tab/>
      </w:r>
      <w:r w:rsidRPr="009564D9">
        <w:t xml:space="preserve">Usuarios de Internet por cada 1.000 habitantes. El nivel de partida en 2000 era de 0,007%, que había aumentado a 16,8% en octubre de 2011. </w:t>
      </w:r>
    </w:p>
    <w:p w:rsidR="009564D9" w:rsidRPr="009564D9" w:rsidRDefault="009564D9" w:rsidP="004F3DC0">
      <w:pPr>
        <w:pStyle w:val="SingleTxt"/>
      </w:pPr>
      <w:r w:rsidRPr="009564D9">
        <w:t>Es probable que se pueda alcanzar el octavo ODM, consistente en fomentar una asociación mundial para el desarrollo.</w:t>
      </w:r>
    </w:p>
    <w:p w:rsidR="009564D9" w:rsidRPr="004F3DC0" w:rsidRDefault="009564D9" w:rsidP="004F3DC0">
      <w:pPr>
        <w:pStyle w:val="SingleTxt"/>
        <w:spacing w:after="0" w:line="120" w:lineRule="exact"/>
        <w:rPr>
          <w:sz w:val="10"/>
        </w:rPr>
      </w:pPr>
    </w:p>
    <w:p w:rsidR="009564D9" w:rsidRPr="009564D9" w:rsidRDefault="004F3DC0" w:rsidP="004F3DC0">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tab/>
      </w:r>
      <w:r w:rsidR="009564D9" w:rsidRPr="009564D9">
        <w:t>4.</w:t>
      </w:r>
      <w:r>
        <w:tab/>
      </w:r>
      <w:r w:rsidR="009564D9" w:rsidRPr="009564D9">
        <w:t>Tasa de delincuencia</w:t>
      </w:r>
    </w:p>
    <w:p w:rsidR="009564D9" w:rsidRPr="004F3DC0" w:rsidRDefault="009564D9" w:rsidP="004F3DC0">
      <w:pPr>
        <w:pStyle w:val="SingleTxt"/>
        <w:spacing w:after="0" w:line="120" w:lineRule="exact"/>
        <w:rPr>
          <w:sz w:val="10"/>
        </w:rPr>
      </w:pPr>
    </w:p>
    <w:p w:rsidR="009564D9" w:rsidRPr="009564D9" w:rsidRDefault="009564D9" w:rsidP="004F3DC0">
      <w:pPr>
        <w:pStyle w:val="SingleTxt"/>
        <w:numPr>
          <w:ilvl w:val="0"/>
          <w:numId w:val="14"/>
        </w:numPr>
        <w:suppressAutoHyphens w:val="0"/>
        <w:ind w:left="1267"/>
      </w:pPr>
      <w:r w:rsidRPr="009564D9">
        <w:t>Uno de los objetivos de la ECDM es el de reducir la tasa de delincuencia para mejorar la seguridad de los ciudadanos del país. En el gráfico 2 se muestra la evolución de la tasa de delincuencia en Malawi entre 2006 y 2010. La tasa de delincuencia se define como el número total de delitos denunciados a la policía y registrados por esta en el año correspondiente, dividido por la población total y multiplicado por 100.000. La evaluación de referencia realizada en 2010 indica que la tasa de delincuencia disminuyó de 726 casos por 100.000 habitantes en 2006 a 719 en</w:t>
      </w:r>
      <w:r w:rsidR="009900C3">
        <w:t> </w:t>
      </w:r>
      <w:r w:rsidRPr="009564D9">
        <w:t>2007, lo que representa una reducción del 1%. Sin embargo, en 2008 volvió a aumentar en un 5%, a 757 casos por 100.000 habitantes, antes de disminuir de nuevo en 2009 a 691 casos (lo que representa una reducción del 9%) y en 2010 a 615 casos (lo que representa una reducción del 11%). Del análisis se desprende que la tasa de delincuencia está disminuyendo, tendencia que, de mantenerse, se traducirá en mejores resultados.</w:t>
      </w:r>
    </w:p>
    <w:p w:rsidR="009564D9" w:rsidRDefault="009564D9" w:rsidP="004F3DC0">
      <w:pPr>
        <w:pStyle w:val="SingleTxt"/>
        <w:numPr>
          <w:ilvl w:val="0"/>
          <w:numId w:val="14"/>
        </w:numPr>
        <w:suppressAutoHyphens w:val="0"/>
        <w:ind w:left="1267"/>
      </w:pPr>
      <w:r w:rsidRPr="009564D9">
        <w:t>Conviene prestar especial atención a los delitos sexuales. En 2010 se denunciaron a la policía y fueron registrados por esta 1.679 delitos de ese tipo, frente a los 1.183 casos registrados en 2009, lo que representa un incremento del 42% y arroja un promedio de casi 140 delitos sexuales por mes (Jefatura Nacional de la Policía,</w:t>
      </w:r>
      <w:r w:rsidR="009900C3">
        <w:t> </w:t>
      </w:r>
      <w:r w:rsidRPr="009564D9">
        <w:t>2010).</w:t>
      </w:r>
    </w:p>
    <w:p w:rsidR="004F3DC0" w:rsidRDefault="00230141" w:rsidP="001D582A">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pPr>
      <w:r>
        <w:lastRenderedPageBreak/>
        <w:tab/>
      </w:r>
      <w:r>
        <w:tab/>
      </w:r>
      <w:r w:rsidRPr="00230141">
        <w:rPr>
          <w:b w:val="0"/>
        </w:rPr>
        <w:t>Gráfico 2</w:t>
      </w:r>
      <w:r>
        <w:br/>
        <w:t>Delitos denunciados a la policía por cada 100.000 habitantes, 2006 a 2010</w:t>
      </w:r>
    </w:p>
    <w:p w:rsidR="004010A8" w:rsidRPr="00230141" w:rsidRDefault="004010A8" w:rsidP="001D582A">
      <w:pPr>
        <w:pStyle w:val="SingleTxt"/>
        <w:keepNext/>
        <w:keepLines/>
        <w:spacing w:after="0" w:line="120" w:lineRule="exact"/>
        <w:rPr>
          <w:sz w:val="10"/>
        </w:rPr>
      </w:pPr>
    </w:p>
    <w:p w:rsidR="00230141" w:rsidRPr="004010A8" w:rsidRDefault="00230141" w:rsidP="001D582A">
      <w:pPr>
        <w:pStyle w:val="SingleTxt"/>
        <w:keepNext/>
        <w:keepLines/>
        <w:spacing w:after="0" w:line="120" w:lineRule="exact"/>
        <w:rPr>
          <w:sz w:val="10"/>
        </w:rPr>
      </w:pPr>
    </w:p>
    <w:p w:rsidR="004010A8" w:rsidRDefault="004010A8" w:rsidP="006E04DA">
      <w:pPr>
        <w:suppressAutoHyphens w:val="0"/>
        <w:spacing w:line="240" w:lineRule="atLeast"/>
        <w:ind w:left="1267"/>
        <w:rPr>
          <w:rFonts w:eastAsia="Times New Roman"/>
          <w:spacing w:val="0"/>
          <w:w w:val="100"/>
          <w:szCs w:val="20"/>
          <w:lang w:eastAsia="es-ES"/>
        </w:rPr>
      </w:pPr>
      <w:r w:rsidRPr="004010A8">
        <w:rPr>
          <w:rFonts w:eastAsia="Times New Roman"/>
          <w:noProof/>
          <w:spacing w:val="0"/>
          <w:w w:val="100"/>
          <w:szCs w:val="20"/>
          <w:lang w:eastAsia="es-ES"/>
        </w:rPr>
        <w:drawing>
          <wp:inline distT="0" distB="0" distL="0" distR="0" wp14:anchorId="3984DEF7" wp14:editId="396A7423">
            <wp:extent cx="4589039" cy="2184206"/>
            <wp:effectExtent l="19050" t="19050" r="21590" b="26035"/>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9039" cy="2184206"/>
                    </a:xfrm>
                    <a:prstGeom prst="rect">
                      <a:avLst/>
                    </a:prstGeom>
                    <a:noFill/>
                    <a:ln w="6350" cmpd="sng">
                      <a:solidFill>
                        <a:srgbClr val="000000"/>
                      </a:solidFill>
                      <a:miter lim="800000"/>
                      <a:headEnd/>
                      <a:tailEnd/>
                    </a:ln>
                    <a:effectLst/>
                  </pic:spPr>
                </pic:pic>
              </a:graphicData>
            </a:graphic>
          </wp:inline>
        </w:drawing>
      </w:r>
    </w:p>
    <w:p w:rsidR="00F12564" w:rsidRPr="00F12564" w:rsidRDefault="00F12564" w:rsidP="00F12564">
      <w:pPr>
        <w:pStyle w:val="SingleTxt"/>
        <w:spacing w:after="0" w:line="120" w:lineRule="exact"/>
        <w:rPr>
          <w:w w:val="100"/>
          <w:sz w:val="10"/>
          <w:lang w:eastAsia="es-ES"/>
        </w:rPr>
      </w:pPr>
    </w:p>
    <w:p w:rsidR="00F12564" w:rsidRPr="00F12564" w:rsidRDefault="00F12564" w:rsidP="00F12564">
      <w:pPr>
        <w:pStyle w:val="FootnoteText"/>
        <w:tabs>
          <w:tab w:val="clear" w:pos="418"/>
          <w:tab w:val="right" w:pos="1476"/>
          <w:tab w:val="left" w:pos="1548"/>
          <w:tab w:val="right" w:pos="1836"/>
          <w:tab w:val="left" w:pos="1908"/>
        </w:tabs>
        <w:ind w:left="1548" w:right="1267" w:hanging="288"/>
        <w:rPr>
          <w:w w:val="100"/>
          <w:sz w:val="10"/>
          <w:lang w:eastAsia="es-ES"/>
        </w:rPr>
      </w:pPr>
      <w:r w:rsidRPr="00F12564">
        <w:rPr>
          <w:i/>
        </w:rPr>
        <w:t>Fuente</w:t>
      </w:r>
      <w:r w:rsidRPr="009900C3">
        <w:rPr>
          <w:i/>
          <w:w w:val="100"/>
          <w:sz w:val="10"/>
          <w:lang w:eastAsia="es-ES"/>
        </w:rPr>
        <w:t>:</w:t>
      </w:r>
      <w:r>
        <w:rPr>
          <w:w w:val="100"/>
          <w:sz w:val="10"/>
          <w:lang w:eastAsia="es-ES"/>
        </w:rPr>
        <w:t xml:space="preserve"> </w:t>
      </w:r>
      <w:r w:rsidRPr="00F12564">
        <w:t>Estudio de referencia sobre la justicia en Malawi, 2011.</w:t>
      </w:r>
    </w:p>
    <w:p w:rsidR="00F12564" w:rsidRPr="009900C3" w:rsidRDefault="00F12564" w:rsidP="009900C3">
      <w:pPr>
        <w:pStyle w:val="SingleTxt"/>
        <w:spacing w:after="0" w:line="120" w:lineRule="exact"/>
        <w:rPr>
          <w:w w:val="100"/>
          <w:sz w:val="10"/>
          <w:lang w:eastAsia="es-ES"/>
        </w:rPr>
      </w:pPr>
    </w:p>
    <w:p w:rsidR="009900C3" w:rsidRPr="006E04DA" w:rsidRDefault="009900C3" w:rsidP="006E04DA">
      <w:pPr>
        <w:pStyle w:val="SingleTxt"/>
        <w:spacing w:after="0" w:line="120" w:lineRule="exact"/>
        <w:rPr>
          <w:w w:val="100"/>
          <w:sz w:val="10"/>
          <w:lang w:eastAsia="es-ES"/>
        </w:rPr>
      </w:pPr>
    </w:p>
    <w:p w:rsidR="006E04DA" w:rsidRPr="00F12564" w:rsidRDefault="006E04DA" w:rsidP="00F12564">
      <w:pPr>
        <w:pStyle w:val="SingleTxt"/>
        <w:spacing w:after="0" w:line="120" w:lineRule="exact"/>
        <w:rPr>
          <w:w w:val="100"/>
          <w:sz w:val="10"/>
          <w:lang w:eastAsia="es-ES"/>
        </w:rPr>
      </w:pPr>
    </w:p>
    <w:p w:rsidR="00F12564" w:rsidRDefault="00F12564" w:rsidP="00F12564">
      <w:pPr>
        <w:pStyle w:val="SingleTxt"/>
        <w:numPr>
          <w:ilvl w:val="0"/>
          <w:numId w:val="14"/>
        </w:numPr>
        <w:suppressAutoHyphens w:val="0"/>
        <w:ind w:left="1267"/>
        <w:rPr>
          <w:w w:val="100"/>
          <w:lang w:eastAsia="es-ES"/>
        </w:rPr>
      </w:pPr>
      <w:r w:rsidRPr="00F12564">
        <w:rPr>
          <w:w w:val="100"/>
          <w:lang w:eastAsia="es-ES"/>
        </w:rPr>
        <w:t>Con el fin de fundamentar las reformas y seleccionar las intervenciones más eficaces, se analizaron los datos para determinar qué tipos de delitos, según la clasificación del siguiente gráfico, estaban aumentando o disminuyendo. Los resultados del análisis indican que los delitos contra la propiedad disminuyeron durante el período comprendido entre 2008 y 2010, y la misma evolución se aprecia bajo el epígrafe de otros delitos, mientras que los delitos violentos parecen haber aumentado desde 2006.</w:t>
      </w:r>
    </w:p>
    <w:p w:rsidR="00F12564" w:rsidRPr="00F12564" w:rsidRDefault="00F12564" w:rsidP="00F12564">
      <w:pPr>
        <w:pStyle w:val="SingleTxt"/>
        <w:suppressAutoHyphens w:val="0"/>
        <w:spacing w:after="0" w:line="120" w:lineRule="exact"/>
        <w:rPr>
          <w:w w:val="100"/>
          <w:sz w:val="10"/>
          <w:lang w:eastAsia="es-ES"/>
        </w:rPr>
      </w:pPr>
    </w:p>
    <w:p w:rsidR="00F12564" w:rsidRPr="00F12564" w:rsidRDefault="00F12564" w:rsidP="00F12564">
      <w:pPr>
        <w:pStyle w:val="SingleTxt"/>
        <w:suppressAutoHyphens w:val="0"/>
        <w:spacing w:after="0" w:line="120" w:lineRule="exact"/>
        <w:rPr>
          <w:w w:val="100"/>
          <w:sz w:val="10"/>
          <w:lang w:eastAsia="es-ES"/>
        </w:rPr>
      </w:pPr>
    </w:p>
    <w:p w:rsidR="00F12564" w:rsidRDefault="00F12564" w:rsidP="00F12564">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w w:val="100"/>
          <w:lang w:eastAsia="es-ES"/>
        </w:rPr>
      </w:pPr>
      <w:r>
        <w:rPr>
          <w:w w:val="100"/>
          <w:lang w:eastAsia="es-ES"/>
        </w:rPr>
        <w:tab/>
      </w:r>
      <w:r>
        <w:rPr>
          <w:w w:val="100"/>
          <w:lang w:eastAsia="es-ES"/>
        </w:rPr>
        <w:tab/>
      </w:r>
      <w:r w:rsidRPr="00F12564">
        <w:rPr>
          <w:b w:val="0"/>
          <w:w w:val="100"/>
          <w:lang w:eastAsia="es-ES"/>
        </w:rPr>
        <w:t>Gráfico 3</w:t>
      </w:r>
      <w:r>
        <w:rPr>
          <w:w w:val="100"/>
          <w:lang w:eastAsia="es-ES"/>
        </w:rPr>
        <w:br/>
        <w:t>Evolución de la tasa de delincuencia en Malawi, 2006 a 2010</w:t>
      </w:r>
    </w:p>
    <w:p w:rsidR="00F12564" w:rsidRPr="009400F9" w:rsidRDefault="00F12564" w:rsidP="009400F9">
      <w:pPr>
        <w:pStyle w:val="SingleTxt"/>
        <w:spacing w:after="0" w:line="120" w:lineRule="exact"/>
        <w:rPr>
          <w:sz w:val="10"/>
          <w:lang w:eastAsia="es-ES"/>
        </w:rPr>
      </w:pPr>
    </w:p>
    <w:p w:rsidR="009400F9" w:rsidRPr="009400F9" w:rsidRDefault="009400F9" w:rsidP="009400F9">
      <w:pPr>
        <w:pStyle w:val="SingleTxt"/>
        <w:spacing w:after="0" w:line="120" w:lineRule="exact"/>
        <w:rPr>
          <w:sz w:val="10"/>
          <w:lang w:eastAsia="es-ES"/>
        </w:rPr>
      </w:pPr>
    </w:p>
    <w:p w:rsidR="009400F9" w:rsidRPr="009400F9" w:rsidRDefault="000A5E56" w:rsidP="009400F9">
      <w:pPr>
        <w:suppressAutoHyphens w:val="0"/>
        <w:spacing w:line="240" w:lineRule="atLeast"/>
        <w:jc w:val="center"/>
        <w:rPr>
          <w:rFonts w:eastAsia="Times New Roman"/>
          <w:spacing w:val="0"/>
          <w:w w:val="100"/>
          <w:szCs w:val="20"/>
          <w:lang w:eastAsia="es-ES"/>
        </w:rPr>
      </w:pPr>
      <w:r w:rsidRPr="00E73B03">
        <w:rPr>
          <w:noProof/>
          <w:bdr w:val="single" w:sz="4" w:space="0" w:color="auto"/>
          <w:lang w:eastAsia="es-ES"/>
        </w:rPr>
        <w:drawing>
          <wp:inline distT="0" distB="0" distL="0" distR="0" wp14:anchorId="5076C27C" wp14:editId="770FFA1E">
            <wp:extent cx="4696358" cy="2919198"/>
            <wp:effectExtent l="0" t="0" r="9525"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700742" cy="2921923"/>
                    </a:xfrm>
                    <a:prstGeom prst="rect">
                      <a:avLst/>
                    </a:prstGeom>
                    <a:noFill/>
                    <a:ln>
                      <a:noFill/>
                    </a:ln>
                  </pic:spPr>
                </pic:pic>
              </a:graphicData>
            </a:graphic>
          </wp:inline>
        </w:drawing>
      </w:r>
    </w:p>
    <w:p w:rsidR="00F12564" w:rsidRDefault="00F12564" w:rsidP="00F12564">
      <w:pPr>
        <w:pStyle w:val="SingleTxt"/>
        <w:spacing w:after="0" w:line="120" w:lineRule="exact"/>
        <w:rPr>
          <w:sz w:val="10"/>
          <w:lang w:eastAsia="es-ES"/>
        </w:rPr>
      </w:pPr>
    </w:p>
    <w:p w:rsidR="00F12564" w:rsidRDefault="009400F9" w:rsidP="009400F9">
      <w:pPr>
        <w:pStyle w:val="FootnoteText"/>
        <w:tabs>
          <w:tab w:val="clear" w:pos="418"/>
          <w:tab w:val="right" w:pos="1476"/>
          <w:tab w:val="left" w:pos="1548"/>
          <w:tab w:val="right" w:pos="1836"/>
          <w:tab w:val="left" w:pos="1908"/>
        </w:tabs>
        <w:ind w:left="1548" w:right="1267" w:hanging="288"/>
        <w:rPr>
          <w:lang w:eastAsia="es-ES"/>
        </w:rPr>
      </w:pPr>
      <w:r w:rsidRPr="009400F9">
        <w:rPr>
          <w:i/>
          <w:lang w:eastAsia="es-ES"/>
        </w:rPr>
        <w:t xml:space="preserve">Fuente: </w:t>
      </w:r>
      <w:r>
        <w:rPr>
          <w:lang w:eastAsia="es-ES"/>
        </w:rPr>
        <w:t>Estudio de referencia sobre la justicia en Malawi, 2011.</w:t>
      </w:r>
    </w:p>
    <w:p w:rsidR="00F12564" w:rsidRPr="009400F9" w:rsidRDefault="00F12564" w:rsidP="009400F9">
      <w:pPr>
        <w:pStyle w:val="SingleTxt"/>
        <w:spacing w:after="0" w:line="120" w:lineRule="exact"/>
        <w:rPr>
          <w:sz w:val="10"/>
          <w:lang w:eastAsia="es-ES"/>
        </w:rPr>
      </w:pPr>
    </w:p>
    <w:p w:rsidR="009400F9" w:rsidRPr="0083542A" w:rsidRDefault="009400F9" w:rsidP="0083542A">
      <w:pPr>
        <w:pStyle w:val="SingleTxt"/>
        <w:spacing w:after="0" w:line="120" w:lineRule="exact"/>
        <w:rPr>
          <w:sz w:val="10"/>
          <w:lang w:eastAsia="es-ES"/>
        </w:rPr>
      </w:pPr>
    </w:p>
    <w:p w:rsidR="009400F9" w:rsidRDefault="009400F9" w:rsidP="009400F9">
      <w:pPr>
        <w:pStyle w:val="SingleTxt"/>
        <w:numPr>
          <w:ilvl w:val="0"/>
          <w:numId w:val="14"/>
        </w:numPr>
        <w:suppressAutoHyphens w:val="0"/>
        <w:ind w:left="1267"/>
        <w:rPr>
          <w:lang w:eastAsia="es-ES"/>
        </w:rPr>
      </w:pPr>
      <w:r w:rsidRPr="009400F9">
        <w:rPr>
          <w:lang w:eastAsia="es-ES"/>
        </w:rPr>
        <w:t xml:space="preserve">La tasa de esclarecimiento de delitos es un indicador de resultados que puede contribuir a reducir los niveles de delincuencia. Se define como el número de casos </w:t>
      </w:r>
      <w:r w:rsidRPr="009400F9">
        <w:rPr>
          <w:lang w:eastAsia="es-ES"/>
        </w:rPr>
        <w:lastRenderedPageBreak/>
        <w:t>investigados en los que llegan a formularse cargos divididos por el número de casos denunciados a la policía. Según la evaluación de referencia, esa tasa fue de alrededor del 86% en 2010. En 2006 había sido del 63%, y había aumentado al 79% en 2007 y al</w:t>
      </w:r>
      <w:r w:rsidR="0083542A">
        <w:rPr>
          <w:lang w:eastAsia="es-ES"/>
        </w:rPr>
        <w:t> </w:t>
      </w:r>
      <w:r w:rsidRPr="009400F9">
        <w:rPr>
          <w:lang w:eastAsia="es-ES"/>
        </w:rPr>
        <w:t>94% en 2009. Esa evolución ha supuesto una mejora en comparación con el nivel de referencia de 24% en 2005 (ECDM, 2006). Los resultados indican que el aumento de la tasa de esclarecimiento va acompañado de una disminución de la tasa de delincuencia.</w:t>
      </w:r>
    </w:p>
    <w:p w:rsidR="009400F9" w:rsidRPr="009400F9" w:rsidRDefault="009400F9" w:rsidP="009400F9">
      <w:pPr>
        <w:pStyle w:val="SingleTxt"/>
        <w:suppressAutoHyphens w:val="0"/>
        <w:spacing w:after="0" w:line="120" w:lineRule="exact"/>
        <w:rPr>
          <w:sz w:val="10"/>
          <w:lang w:eastAsia="es-ES"/>
        </w:rPr>
      </w:pPr>
    </w:p>
    <w:p w:rsidR="009400F9" w:rsidRPr="009400F9" w:rsidRDefault="009400F9" w:rsidP="009400F9">
      <w:pPr>
        <w:pStyle w:val="SingleTxt"/>
        <w:suppressAutoHyphens w:val="0"/>
        <w:spacing w:after="0" w:line="120" w:lineRule="exact"/>
        <w:rPr>
          <w:sz w:val="10"/>
          <w:lang w:eastAsia="es-ES"/>
        </w:rPr>
      </w:pPr>
    </w:p>
    <w:p w:rsidR="009400F9" w:rsidRDefault="009400F9" w:rsidP="00256C9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eastAsia="es-ES"/>
        </w:rPr>
      </w:pPr>
      <w:r>
        <w:rPr>
          <w:lang w:eastAsia="es-ES"/>
        </w:rPr>
        <w:tab/>
      </w:r>
      <w:r>
        <w:rPr>
          <w:lang w:eastAsia="es-ES"/>
        </w:rPr>
        <w:tab/>
      </w:r>
      <w:r w:rsidRPr="009400F9">
        <w:rPr>
          <w:b w:val="0"/>
          <w:lang w:eastAsia="es-ES"/>
        </w:rPr>
        <w:t>Gráfico 4</w:t>
      </w:r>
      <w:r>
        <w:rPr>
          <w:lang w:eastAsia="es-ES"/>
        </w:rPr>
        <w:br/>
        <w:t>Evolución de la tasa de esclarecimiento de delitos, 2006 a 2010</w:t>
      </w:r>
    </w:p>
    <w:p w:rsidR="009400F9" w:rsidRDefault="009400F9" w:rsidP="0079747B">
      <w:pPr>
        <w:pStyle w:val="SingleTxt"/>
        <w:keepNext/>
        <w:keepLines/>
        <w:spacing w:after="0" w:line="120" w:lineRule="exact"/>
        <w:rPr>
          <w:sz w:val="10"/>
          <w:lang w:eastAsia="es-ES"/>
        </w:rPr>
      </w:pPr>
    </w:p>
    <w:p w:rsidR="0079747B" w:rsidRDefault="0079747B" w:rsidP="0079747B">
      <w:pPr>
        <w:pStyle w:val="SingleTxt"/>
        <w:keepNext/>
        <w:keepLines/>
        <w:spacing w:after="0" w:line="120" w:lineRule="exact"/>
        <w:rPr>
          <w:sz w:val="10"/>
          <w:lang w:eastAsia="es-ES"/>
        </w:rPr>
      </w:pPr>
    </w:p>
    <w:p w:rsidR="0079747B" w:rsidRDefault="0079747B" w:rsidP="0079747B">
      <w:pPr>
        <w:pStyle w:val="SingleTxt"/>
        <w:keepNext/>
        <w:keepLines/>
        <w:spacing w:after="0" w:line="240" w:lineRule="auto"/>
        <w:rPr>
          <w:sz w:val="10"/>
          <w:lang w:eastAsia="es-ES"/>
        </w:rPr>
      </w:pPr>
      <w:r w:rsidRPr="002258C5">
        <w:rPr>
          <w:noProof/>
          <w:bdr w:val="single" w:sz="4" w:space="0" w:color="auto"/>
          <w:lang w:eastAsia="es-ES"/>
        </w:rPr>
        <w:drawing>
          <wp:inline distT="0" distB="0" distL="0" distR="0" wp14:anchorId="409AF711" wp14:editId="14052331">
            <wp:extent cx="4664844" cy="2210717"/>
            <wp:effectExtent l="0" t="0" r="2540" b="0"/>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91231" cy="2223222"/>
                    </a:xfrm>
                    <a:prstGeom prst="rect">
                      <a:avLst/>
                    </a:prstGeom>
                    <a:noFill/>
                    <a:ln>
                      <a:noFill/>
                    </a:ln>
                  </pic:spPr>
                </pic:pic>
              </a:graphicData>
            </a:graphic>
          </wp:inline>
        </w:drawing>
      </w:r>
    </w:p>
    <w:p w:rsidR="0079747B" w:rsidRDefault="0079747B" w:rsidP="0079747B">
      <w:pPr>
        <w:pStyle w:val="SingleTxt"/>
        <w:keepNext/>
        <w:keepLines/>
        <w:spacing w:after="0" w:line="120" w:lineRule="exact"/>
        <w:rPr>
          <w:sz w:val="10"/>
          <w:lang w:eastAsia="es-ES"/>
        </w:rPr>
      </w:pPr>
    </w:p>
    <w:p w:rsidR="009400F9" w:rsidRDefault="00256C91" w:rsidP="00256C91">
      <w:pPr>
        <w:pStyle w:val="FootnoteText"/>
        <w:tabs>
          <w:tab w:val="clear" w:pos="418"/>
          <w:tab w:val="right" w:pos="1476"/>
          <w:tab w:val="left" w:pos="1548"/>
          <w:tab w:val="right" w:pos="1836"/>
          <w:tab w:val="left" w:pos="1908"/>
        </w:tabs>
        <w:ind w:left="1548" w:right="1267" w:hanging="288"/>
        <w:rPr>
          <w:lang w:eastAsia="es-ES"/>
        </w:rPr>
      </w:pPr>
      <w:r w:rsidRPr="00256C91">
        <w:rPr>
          <w:i/>
          <w:lang w:eastAsia="es-ES"/>
        </w:rPr>
        <w:t>Fuente:</w:t>
      </w:r>
      <w:r>
        <w:rPr>
          <w:lang w:eastAsia="es-ES"/>
        </w:rPr>
        <w:t xml:space="preserve"> Estudio de </w:t>
      </w:r>
      <w:r w:rsidR="00336A5E">
        <w:rPr>
          <w:lang w:eastAsia="es-ES"/>
        </w:rPr>
        <w:t>referencia</w:t>
      </w:r>
      <w:r>
        <w:rPr>
          <w:lang w:eastAsia="es-ES"/>
        </w:rPr>
        <w:t xml:space="preserve"> sobre la justicia en Malawi, 2011.</w:t>
      </w:r>
    </w:p>
    <w:p w:rsidR="00256C91" w:rsidRPr="00256C91" w:rsidRDefault="00256C91" w:rsidP="00256C91">
      <w:pPr>
        <w:pStyle w:val="FootnoteText"/>
        <w:tabs>
          <w:tab w:val="clear" w:pos="418"/>
          <w:tab w:val="right" w:pos="1476"/>
          <w:tab w:val="left" w:pos="1548"/>
          <w:tab w:val="right" w:pos="1836"/>
          <w:tab w:val="left" w:pos="1908"/>
        </w:tabs>
        <w:spacing w:line="120" w:lineRule="exact"/>
        <w:ind w:left="1548" w:right="1267" w:hanging="288"/>
        <w:rPr>
          <w:sz w:val="10"/>
          <w:lang w:eastAsia="es-ES"/>
        </w:rPr>
      </w:pPr>
    </w:p>
    <w:p w:rsidR="00256C91" w:rsidRPr="006E04DA" w:rsidRDefault="00256C91" w:rsidP="006E04DA">
      <w:pPr>
        <w:pStyle w:val="SingleTxt"/>
        <w:spacing w:after="0" w:line="120" w:lineRule="exact"/>
        <w:rPr>
          <w:sz w:val="10"/>
          <w:lang w:eastAsia="es-ES"/>
        </w:rPr>
      </w:pPr>
    </w:p>
    <w:p w:rsidR="006E04DA" w:rsidRPr="00256C91" w:rsidRDefault="006E04DA" w:rsidP="00256C91">
      <w:pPr>
        <w:pStyle w:val="SingleTxt"/>
        <w:spacing w:after="0" w:line="120" w:lineRule="exact"/>
        <w:rPr>
          <w:sz w:val="10"/>
          <w:lang w:eastAsia="es-ES"/>
        </w:rPr>
      </w:pPr>
    </w:p>
    <w:p w:rsidR="00256C91" w:rsidRDefault="00256C91" w:rsidP="00256C91">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eastAsia="es-ES"/>
        </w:rPr>
      </w:pPr>
      <w:r>
        <w:rPr>
          <w:lang w:eastAsia="es-ES"/>
        </w:rPr>
        <w:tab/>
        <w:t>5.</w:t>
      </w:r>
      <w:r>
        <w:rPr>
          <w:lang w:eastAsia="es-ES"/>
        </w:rPr>
        <w:tab/>
        <w:t xml:space="preserve">VIH y </w:t>
      </w:r>
      <w:r w:rsidR="006E04DA">
        <w:rPr>
          <w:lang w:eastAsia="es-ES"/>
        </w:rPr>
        <w:t>SIDA</w:t>
      </w:r>
    </w:p>
    <w:p w:rsidR="00256C91" w:rsidRPr="00256C91" w:rsidRDefault="00256C91" w:rsidP="00256C91">
      <w:pPr>
        <w:pStyle w:val="SingleTxt"/>
        <w:spacing w:after="0" w:line="120" w:lineRule="exact"/>
        <w:rPr>
          <w:sz w:val="10"/>
          <w:lang w:eastAsia="es-ES"/>
        </w:rPr>
      </w:pPr>
    </w:p>
    <w:p w:rsidR="00256C91" w:rsidRDefault="00256C91" w:rsidP="00256C91">
      <w:pPr>
        <w:pStyle w:val="SingleTxt"/>
        <w:numPr>
          <w:ilvl w:val="0"/>
          <w:numId w:val="14"/>
        </w:numPr>
        <w:suppressAutoHyphens w:val="0"/>
        <w:ind w:left="1267"/>
        <w:rPr>
          <w:lang w:eastAsia="es-ES"/>
        </w:rPr>
      </w:pPr>
      <w:r>
        <w:rPr>
          <w:lang w:eastAsia="es-ES"/>
        </w:rPr>
        <w:t xml:space="preserve">El primer caso de infección por VIH en Malawi se registró en 1985. La primera respuesta a la nueva enfermedad consistió en la aplicación de un enfoque biomédico. En 1989 se estableció, en el marco del Ministerio de Salud, el Programa </w:t>
      </w:r>
      <w:r w:rsidR="0083542A">
        <w:rPr>
          <w:lang w:eastAsia="es-ES"/>
        </w:rPr>
        <w:t xml:space="preserve">Nacional </w:t>
      </w:r>
      <w:r>
        <w:rPr>
          <w:lang w:eastAsia="es-ES"/>
        </w:rPr>
        <w:t xml:space="preserve">de </w:t>
      </w:r>
      <w:r w:rsidR="0083542A">
        <w:rPr>
          <w:lang w:eastAsia="es-ES"/>
        </w:rPr>
        <w:t xml:space="preserve">Lucha </w:t>
      </w:r>
      <w:r>
        <w:rPr>
          <w:lang w:eastAsia="es-ES"/>
        </w:rPr>
        <w:t xml:space="preserve">contra el </w:t>
      </w:r>
      <w:r w:rsidR="0083542A">
        <w:rPr>
          <w:lang w:eastAsia="es-ES"/>
        </w:rPr>
        <w:t>Sida</w:t>
      </w:r>
      <w:r>
        <w:rPr>
          <w:lang w:eastAsia="es-ES"/>
        </w:rPr>
        <w:t xml:space="preserve">, que por su enfoque en gran medida biomédico dio lugar a diversos problemas de gobernanza y estructurales. Además, el Programa no tenía suficientes competencias para responder pronta y resueltamente a una epidemia en rápido crecimiento. </w:t>
      </w:r>
    </w:p>
    <w:p w:rsidR="00256C91" w:rsidRDefault="00256C91" w:rsidP="00256C91">
      <w:pPr>
        <w:pStyle w:val="SingleTxt"/>
        <w:numPr>
          <w:ilvl w:val="0"/>
          <w:numId w:val="14"/>
        </w:numPr>
        <w:suppressAutoHyphens w:val="0"/>
        <w:ind w:left="1267"/>
        <w:rPr>
          <w:lang w:eastAsia="es-ES"/>
        </w:rPr>
      </w:pPr>
      <w:r>
        <w:rPr>
          <w:lang w:eastAsia="es-ES"/>
        </w:rPr>
        <w:t xml:space="preserve">En 2001, el Gobierno sustituyó el Programa </w:t>
      </w:r>
      <w:r w:rsidR="0083542A">
        <w:rPr>
          <w:lang w:eastAsia="es-ES"/>
        </w:rPr>
        <w:t xml:space="preserve">Nacional </w:t>
      </w:r>
      <w:r>
        <w:rPr>
          <w:lang w:eastAsia="es-ES"/>
        </w:rPr>
        <w:t xml:space="preserve">de </w:t>
      </w:r>
      <w:r w:rsidR="0083542A">
        <w:rPr>
          <w:lang w:eastAsia="es-ES"/>
        </w:rPr>
        <w:t xml:space="preserve">Lucha </w:t>
      </w:r>
      <w:r>
        <w:rPr>
          <w:lang w:eastAsia="es-ES"/>
        </w:rPr>
        <w:t xml:space="preserve">contra el </w:t>
      </w:r>
      <w:r w:rsidR="006E04DA">
        <w:rPr>
          <w:lang w:eastAsia="es-ES"/>
        </w:rPr>
        <w:t xml:space="preserve">Sida </w:t>
      </w:r>
      <w:r>
        <w:rPr>
          <w:lang w:eastAsia="es-ES"/>
        </w:rPr>
        <w:t xml:space="preserve">por una entidad pública denominada Comisión Nacional de Lucha contra el </w:t>
      </w:r>
      <w:r w:rsidR="006E04DA">
        <w:rPr>
          <w:lang w:eastAsia="es-ES"/>
        </w:rPr>
        <w:t>Sida</w:t>
      </w:r>
      <w:r>
        <w:rPr>
          <w:lang w:eastAsia="es-ES"/>
        </w:rPr>
        <w:t>, destinada a establecer un nuevo paradigma para el VIH/SIDA que superara el enfoque biomédico. Hasta 2002, la Comisión dependía del Ministerio de Salud e informaba al Comité del VIH/SIDA y la Salud del Gabinete. En agosto de ese año, se modificó la estructura de rendición de cuentas y la Comisión pasó a informar, por conducto de la Oficina del Presidente y del Gabinete, al Ministro encargado del VIH/SIDA, que era el propio Presidente. Ese cambio se introdujo con el fin de facilitar la plena implicación de la más alta magistratura en la lucha contra la epidemia y para garantizar que las actividades de supervisión del Gobierno se realizaran al más alto nivel político. La nueva estructura jerárquica colocaba a la Comisión bajo el control directo del Presidente, por intermedio del Ministro de Estado de la Presidencia.</w:t>
      </w:r>
    </w:p>
    <w:p w:rsidR="00256C91" w:rsidRDefault="00256C91" w:rsidP="00256C91">
      <w:pPr>
        <w:pStyle w:val="SingleTxt"/>
        <w:numPr>
          <w:ilvl w:val="0"/>
          <w:numId w:val="14"/>
        </w:numPr>
        <w:suppressAutoHyphens w:val="0"/>
        <w:ind w:left="1267"/>
        <w:rPr>
          <w:lang w:eastAsia="es-ES"/>
        </w:rPr>
      </w:pPr>
      <w:r>
        <w:rPr>
          <w:lang w:eastAsia="es-ES"/>
        </w:rPr>
        <w:t>En abril de 2003, se estableció un ministerio dedicado exclusivamente a los asuntos relacionados con el VIH/SIDA, y el Presidente de la Comisión Nacional pasó a rendir cuentas directamente al Ministro. Tras las elecciones generales de mayo de</w:t>
      </w:r>
      <w:r w:rsidR="003D6048">
        <w:rPr>
          <w:lang w:eastAsia="es-ES"/>
        </w:rPr>
        <w:t> </w:t>
      </w:r>
      <w:r>
        <w:rPr>
          <w:lang w:eastAsia="es-ES"/>
        </w:rPr>
        <w:t xml:space="preserve">2004, se suprimió el Ministerio encargado del VIH/SIDA y, en el mismo año, se </w:t>
      </w:r>
      <w:r>
        <w:rPr>
          <w:lang w:eastAsia="es-ES"/>
        </w:rPr>
        <w:lastRenderedPageBreak/>
        <w:t>estableció el Departamento de Nutrición y VIH/SIDA, dependiente de la Oficina del Presidente y del Gabinete. El Gobierno había tomado conciencia de que, en un país en desarrollo como Malawi, los problemas de VIH/SIDA no podían separarse de los de nutrición. De conformidad con los principios normativos consignados en la Constitución, se consideraba que la aplicación de un enfoque nutricional como complemento de la lucha contra la propagación del VIH contribuiría, en medida importante, a prolongar la vida y mejorar las probabilidades de supervivencia de las personas infectadas.</w:t>
      </w:r>
    </w:p>
    <w:p w:rsidR="00256C91" w:rsidRDefault="00256C91" w:rsidP="00256C91">
      <w:pPr>
        <w:pStyle w:val="SingleTxt"/>
        <w:numPr>
          <w:ilvl w:val="0"/>
          <w:numId w:val="14"/>
        </w:numPr>
        <w:suppressAutoHyphens w:val="0"/>
        <w:ind w:left="1267"/>
        <w:rPr>
          <w:lang w:eastAsia="es-ES"/>
        </w:rPr>
      </w:pPr>
      <w:r>
        <w:rPr>
          <w:lang w:eastAsia="es-ES"/>
        </w:rPr>
        <w:t>El Departamento se estableció para proporcionar orientación y dirección normativas en ese ámbito, supervisar y facilitar la integración con otras medidas y programas, y establecer estructuras operacionales en relación con la nutrición y el VIH/SIDA. También es responsable de facilitar la promulgación y aplicación de la legislación y de establecer redes en relación con las cuestiones referentes a la nutrición y el VIH/SIDA. Los objetivos del Departamento son formular y examinar las políticas relacionadas con la nutrición y el VIH/SIDA y aplicar las estrategias correspondientes; proporcionar orientación y apoyo para la aplicación de las políticas gubernamentales relacionadas con la nutrición y el VIH/SIDA, y supervisar y evaluar la aplicación de esas políticas.</w:t>
      </w:r>
    </w:p>
    <w:p w:rsidR="00256C91" w:rsidRDefault="00256C91" w:rsidP="00256C91">
      <w:pPr>
        <w:pStyle w:val="SingleTxt"/>
        <w:numPr>
          <w:ilvl w:val="0"/>
          <w:numId w:val="14"/>
        </w:numPr>
        <w:suppressAutoHyphens w:val="0"/>
        <w:ind w:left="1267"/>
        <w:rPr>
          <w:lang w:eastAsia="es-ES"/>
        </w:rPr>
      </w:pPr>
      <w:r>
        <w:rPr>
          <w:lang w:eastAsia="es-ES"/>
        </w:rPr>
        <w:t xml:space="preserve">En octubre de 2003, Malawi adoptó su primera Política Nacional de Lucha contra el VIH/SIDA, denominada "Llamamiento a una acción renovada", que tenía por objetivos orientar la respuesta nacional, con miras a prevenir la ulterior propagación de la infección por VIH; y mitigar las consecuencias del VIH/SIDA en la situación socioeconómica de las personas, las familias, las comunidades y la nación en su conjunto. La Política expiró en 2008 y se ha revisado posteriormente. Una vez aprobada por el Gobierno, se pondrá en marcha la nueva política. </w:t>
      </w:r>
    </w:p>
    <w:p w:rsidR="00256C91" w:rsidRDefault="00256C91" w:rsidP="00256C91">
      <w:pPr>
        <w:pStyle w:val="SingleTxt"/>
        <w:numPr>
          <w:ilvl w:val="0"/>
          <w:numId w:val="14"/>
        </w:numPr>
        <w:suppressAutoHyphens w:val="0"/>
        <w:ind w:left="1267"/>
        <w:rPr>
          <w:lang w:eastAsia="es-ES"/>
        </w:rPr>
      </w:pPr>
      <w:r>
        <w:rPr>
          <w:lang w:eastAsia="es-ES"/>
        </w:rPr>
        <w:t>Esa nueva política tiene por objetivos promover la reprogramación y el fortalecimiento de la respuesta nacional contra el VIH/SIDA a la luz de los datos empíricos y teniendo en cuenta las cuestiones nuevas, las lagunas, los problemas y las enseñanzas resultantes de la aplicación de la primera Política Nacional de Lucha contra el VIH/SIDA, intensificar las intervenciones innovadoras basadas en los datos disponibles, y adecuar las medidas de respuesta contra el VIH/SIDA al actual programa de desarrollo del Gobierno.</w:t>
      </w:r>
    </w:p>
    <w:p w:rsidR="00256C91" w:rsidRDefault="00256C91" w:rsidP="00256C91">
      <w:pPr>
        <w:pStyle w:val="SingleTxt"/>
        <w:numPr>
          <w:ilvl w:val="0"/>
          <w:numId w:val="14"/>
        </w:numPr>
        <w:suppressAutoHyphens w:val="0"/>
        <w:ind w:left="1267"/>
        <w:rPr>
          <w:lang w:eastAsia="es-ES"/>
        </w:rPr>
      </w:pPr>
      <w:r>
        <w:rPr>
          <w:lang w:eastAsia="es-ES"/>
        </w:rPr>
        <w:t xml:space="preserve">En el ámbito de la legislación, la Comisión Jurídica estableció, en 2007, una comisión especial encargada de elaborar legislación relativa al VIH/SIDA a propuesta de la Comisión Nacional de Lucha contra el </w:t>
      </w:r>
      <w:r w:rsidR="00BC6A5D">
        <w:rPr>
          <w:lang w:eastAsia="es-ES"/>
        </w:rPr>
        <w:t xml:space="preserve">Sida </w:t>
      </w:r>
      <w:r>
        <w:rPr>
          <w:lang w:eastAsia="es-ES"/>
        </w:rPr>
        <w:t>y del Departamento de Nutrición y VIH/SIDA. La Comisión decidió adoptar un triple enfoque, que abarcaba la salud pública, los derechos humanos y el derecho penal. El informe resultante y la legislación propuesta, a pesar del debate entablado desde la publicación del informe, promueven un enfoque de la gestión y prevención del VIH/SIDA basado, en gran medida, en los derechos humanos. La Comisión especial consideraba que debían utilizarse todos los instrumentos disponibles para combatir la epidemia.</w:t>
      </w:r>
    </w:p>
    <w:p w:rsidR="00256C91" w:rsidRDefault="00256C91" w:rsidP="00256C91">
      <w:pPr>
        <w:pStyle w:val="SingleTxt"/>
        <w:numPr>
          <w:ilvl w:val="0"/>
          <w:numId w:val="14"/>
        </w:numPr>
        <w:suppressAutoHyphens w:val="0"/>
        <w:ind w:left="1267"/>
        <w:rPr>
          <w:lang w:eastAsia="es-ES"/>
        </w:rPr>
      </w:pPr>
      <w:r>
        <w:rPr>
          <w:lang w:eastAsia="es-ES"/>
        </w:rPr>
        <w:t xml:space="preserve">Sin embargo, en contra de la opinión predominante en el debate público, la legislación propuesta no solo no contempla pruebas obligatorias, sino que las prohíbe. Se prevén algunas excepciones, por ejemplo en el caso de mujeres embarazadas y sus parejas sexuales, de personas que se propongan formar parte de uniones polígamas, de delincuentes sexuales y de donantes de sangre y de tejidos. En el caso del personal uniformado y los trabajadores domésticos, se permite, en determinadas circunstancias, la realización de pruebas antes de la contratación, pero sin carácter obligatorio. Asimismo, la ley propuesta prohíbe y sanciona la discriminación por infección por VIH, real o aparente. También se prevén recursos efectivos, de conformidad con la Constitución, para las personas infectadas por VIH de forma deliberada, negligente o temeraria. Con ese fin se establecen sanciones penales para los causantes de esa </w:t>
      </w:r>
      <w:r>
        <w:rPr>
          <w:lang w:eastAsia="es-ES"/>
        </w:rPr>
        <w:lastRenderedPageBreak/>
        <w:t>infección. La Comisión considera que esa disposición complementa otras iniciativas tendentes específicamente a prevenir la ulterior propagación del VIH.</w:t>
      </w:r>
    </w:p>
    <w:p w:rsidR="00256C91" w:rsidRDefault="00256C91" w:rsidP="00256C91">
      <w:pPr>
        <w:pStyle w:val="SingleTxt"/>
        <w:numPr>
          <w:ilvl w:val="0"/>
          <w:numId w:val="14"/>
        </w:numPr>
        <w:suppressAutoHyphens w:val="0"/>
        <w:ind w:left="1267"/>
        <w:rPr>
          <w:lang w:eastAsia="es-ES"/>
        </w:rPr>
      </w:pPr>
      <w:r>
        <w:rPr>
          <w:lang w:eastAsia="es-ES"/>
        </w:rPr>
        <w:t>El informe, ultimado en diciembre de 2008, se ha sometido al Gabinete para su examen y, una vez aprobado, se remitirá al Parlamento para su promulgación.</w:t>
      </w:r>
    </w:p>
    <w:p w:rsidR="00256C91" w:rsidRPr="00256C91" w:rsidRDefault="00256C91" w:rsidP="00256C91">
      <w:pPr>
        <w:pStyle w:val="SingleTxt"/>
        <w:suppressAutoHyphens w:val="0"/>
        <w:spacing w:after="0" w:line="120" w:lineRule="exact"/>
        <w:rPr>
          <w:sz w:val="10"/>
          <w:lang w:eastAsia="es-ES"/>
        </w:rPr>
      </w:pPr>
    </w:p>
    <w:p w:rsidR="00256C91" w:rsidRPr="00256C91" w:rsidRDefault="00256C91" w:rsidP="00256C91">
      <w:pPr>
        <w:pStyle w:val="SingleTxt"/>
        <w:suppressAutoHyphens w:val="0"/>
        <w:spacing w:after="0" w:line="120" w:lineRule="exact"/>
        <w:rPr>
          <w:sz w:val="10"/>
          <w:lang w:eastAsia="es-ES"/>
        </w:rPr>
      </w:pPr>
    </w:p>
    <w:p w:rsidR="00256C91" w:rsidRDefault="00256C91" w:rsidP="00256C91">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eastAsia="es-ES"/>
        </w:rPr>
      </w:pPr>
      <w:r>
        <w:rPr>
          <w:lang w:eastAsia="es-ES"/>
        </w:rPr>
        <w:tab/>
        <w:t>II.</w:t>
      </w:r>
      <w:r>
        <w:rPr>
          <w:lang w:eastAsia="es-ES"/>
        </w:rPr>
        <w:tab/>
        <w:t>Estructura constitucional, política y jurídica de Malawi</w:t>
      </w:r>
    </w:p>
    <w:p w:rsidR="00256C91" w:rsidRPr="00256C91" w:rsidRDefault="00256C91" w:rsidP="00256C91">
      <w:pPr>
        <w:pStyle w:val="SingleTxt"/>
        <w:spacing w:after="0" w:line="120" w:lineRule="exact"/>
        <w:rPr>
          <w:sz w:val="10"/>
          <w:lang w:eastAsia="es-ES"/>
        </w:rPr>
      </w:pPr>
    </w:p>
    <w:p w:rsidR="00256C91" w:rsidRPr="00256C91" w:rsidRDefault="00256C91" w:rsidP="00256C91">
      <w:pPr>
        <w:pStyle w:val="SingleTxt"/>
        <w:spacing w:after="0" w:line="120" w:lineRule="exact"/>
        <w:rPr>
          <w:sz w:val="10"/>
          <w:lang w:eastAsia="es-ES"/>
        </w:rPr>
      </w:pPr>
    </w:p>
    <w:p w:rsidR="00256C91" w:rsidRDefault="00256C91" w:rsidP="00256C91">
      <w:pPr>
        <w:pStyle w:val="SingleTxt"/>
        <w:numPr>
          <w:ilvl w:val="0"/>
          <w:numId w:val="14"/>
        </w:numPr>
        <w:suppressAutoHyphens w:val="0"/>
        <w:ind w:left="1267"/>
        <w:rPr>
          <w:lang w:eastAsia="es-ES"/>
        </w:rPr>
      </w:pPr>
      <w:r>
        <w:rPr>
          <w:lang w:eastAsia="es-ES"/>
        </w:rPr>
        <w:t>Antes de acceder a la independencia política, Malawi era conocida por el nombre de Niasalandia y había sido declarada protectorado colonial británico en 1891. En</w:t>
      </w:r>
      <w:r w:rsidR="0083542A">
        <w:rPr>
          <w:lang w:eastAsia="es-ES"/>
        </w:rPr>
        <w:t> </w:t>
      </w:r>
      <w:r>
        <w:rPr>
          <w:lang w:eastAsia="es-ES"/>
        </w:rPr>
        <w:t>1953, Niasalandia se convirtió en parte de la Federación de Rhodesia y Niasalandia, que comprendía los territorios de Rhodesia del Sur (Zimbabwe) y Rhodesia del Norte (Zambia).</w:t>
      </w:r>
      <w:r w:rsidR="00981637">
        <w:rPr>
          <w:lang w:eastAsia="es-ES"/>
        </w:rPr>
        <w:t xml:space="preserve"> </w:t>
      </w:r>
      <w:r>
        <w:rPr>
          <w:lang w:eastAsia="es-ES"/>
        </w:rPr>
        <w:t>Los primeros vientos de cambio político empezaron a soplar hacia 1958 y desembocaron en el estado de emergencia en 1959. Las demandas de los “nativos”, como se denominaba por entonces a sus ciudadanos, eran que se disolviera la Federación y se les concediera el autogobierno. La Federación fue disuelta el 31 de diciembre de 1962 y Niasalandia accedió al autogobierno en 1963, con el Dr. Hastings Kamuzu Banda como Primer Ministro.</w:t>
      </w:r>
    </w:p>
    <w:p w:rsidR="00256C91" w:rsidRDefault="00256C91" w:rsidP="00256C91">
      <w:pPr>
        <w:pStyle w:val="SingleTxt"/>
        <w:numPr>
          <w:ilvl w:val="0"/>
          <w:numId w:val="14"/>
        </w:numPr>
        <w:suppressAutoHyphens w:val="0"/>
        <w:ind w:left="1267"/>
        <w:rPr>
          <w:lang w:eastAsia="es-ES"/>
        </w:rPr>
      </w:pPr>
      <w:r>
        <w:rPr>
          <w:lang w:eastAsia="es-ES"/>
        </w:rPr>
        <w:t>El 6 de julio de 1964, Niasalandia se convirtió en la nación independiente de Malawi, con el Monarca británico como Jefe del Estado, y en 1966 se constituyó en república, con el Dr. Hastings Kamuzu Banda como Presidente.</w:t>
      </w:r>
    </w:p>
    <w:p w:rsidR="00256C91" w:rsidRDefault="00256C91" w:rsidP="00981637">
      <w:pPr>
        <w:pStyle w:val="SingleTxt"/>
        <w:numPr>
          <w:ilvl w:val="0"/>
          <w:numId w:val="14"/>
        </w:numPr>
        <w:suppressAutoHyphens w:val="0"/>
        <w:ind w:left="1267"/>
        <w:rPr>
          <w:lang w:eastAsia="es-ES"/>
        </w:rPr>
      </w:pPr>
      <w:r>
        <w:rPr>
          <w:lang w:eastAsia="es-ES"/>
        </w:rPr>
        <w:t>La Constitución de la que se dotó Niasalandia al acceder a la independencia contenía una declaración de derechos y garantías. Sin embargo, al constituirse en república en 1966, se aprobó una nueva constitución en la que no figuraba tal declaración. Asimismo, Malawi se convirtió en un Estado con un régimen de partido único, en el que el Partido del Congreso de Malawi (MCP) era el único partido político reconocido legalmente.</w:t>
      </w:r>
    </w:p>
    <w:p w:rsidR="00256C91" w:rsidRDefault="00256C91" w:rsidP="00981637">
      <w:pPr>
        <w:pStyle w:val="SingleTxt"/>
        <w:numPr>
          <w:ilvl w:val="0"/>
          <w:numId w:val="14"/>
        </w:numPr>
        <w:suppressAutoHyphens w:val="0"/>
        <w:ind w:left="1267"/>
        <w:rPr>
          <w:lang w:eastAsia="es-ES"/>
        </w:rPr>
      </w:pPr>
      <w:r>
        <w:rPr>
          <w:lang w:eastAsia="es-ES"/>
        </w:rPr>
        <w:t>Al haberse convertido, de hecho, el país en una autocracia monopartidista y en ausencia de un mecanismo que pudiera imponer el respeto y la realización de los derechos humanos, se cometieron graves violaciones contra la población durante casi treinta años. En 1971, el Presidente se hizo nombrar Presidente vitalicio, con un sistema de gobierno nominalmente parlamentario.</w:t>
      </w:r>
    </w:p>
    <w:p w:rsidR="00256C91" w:rsidRDefault="00256C91" w:rsidP="00981637">
      <w:pPr>
        <w:pStyle w:val="SingleTxt"/>
        <w:numPr>
          <w:ilvl w:val="0"/>
          <w:numId w:val="14"/>
        </w:numPr>
        <w:suppressAutoHyphens w:val="0"/>
        <w:ind w:left="1267"/>
        <w:rPr>
          <w:lang w:eastAsia="es-ES"/>
        </w:rPr>
      </w:pPr>
      <w:r>
        <w:rPr>
          <w:lang w:eastAsia="es-ES"/>
        </w:rPr>
        <w:t xml:space="preserve">La segunda ola de cambio político se inició en 1992 con un doble objetivo: acabar con la autocracia monopartidista e instaurar una democracia pluripartidista en Malawi. A la publicación de una pastoral de los obispos católicos titulada "Vivir nuestra fe" no tardó en seguirle el regreso del Sr. Chakufwa Chihana, que, a su llegada, declaró que su propósito era desafiar la autocracia establecida y que fue detenido juzgado por sedición y encarcelado. Al aumentar la presión sobre el Gobierno para que introdujera cambios políticos, el Presidente convocó un </w:t>
      </w:r>
      <w:r w:rsidRPr="0083542A">
        <w:rPr>
          <w:i/>
          <w:lang w:eastAsia="es-ES"/>
        </w:rPr>
        <w:t>refer</w:t>
      </w:r>
      <w:r w:rsidR="0083542A" w:rsidRPr="0083542A">
        <w:rPr>
          <w:i/>
          <w:lang w:eastAsia="es-ES"/>
        </w:rPr>
        <w:t>e</w:t>
      </w:r>
      <w:r w:rsidRPr="0083542A">
        <w:rPr>
          <w:i/>
          <w:lang w:eastAsia="es-ES"/>
        </w:rPr>
        <w:t>ndum</w:t>
      </w:r>
      <w:r>
        <w:rPr>
          <w:lang w:eastAsia="es-ES"/>
        </w:rPr>
        <w:t xml:space="preserve"> para que los malawianos pudieran manifestar si deseaban mantener el régimen de partido único o establecer un sistema de pluralismo político. Por una mayoría del 67%, la nación se pronunció en favor del pluralismo político el 14 de junio de 19</w:t>
      </w:r>
      <w:r w:rsidR="0083542A">
        <w:rPr>
          <w:lang w:eastAsia="es-ES"/>
        </w:rPr>
        <w:t>9</w:t>
      </w:r>
      <w:r>
        <w:rPr>
          <w:lang w:eastAsia="es-ES"/>
        </w:rPr>
        <w:t>3.</w:t>
      </w:r>
    </w:p>
    <w:p w:rsidR="00256C91" w:rsidRDefault="00256C91" w:rsidP="00981637">
      <w:pPr>
        <w:pStyle w:val="SingleTxt"/>
        <w:numPr>
          <w:ilvl w:val="0"/>
          <w:numId w:val="14"/>
        </w:numPr>
        <w:suppressAutoHyphens w:val="0"/>
        <w:ind w:left="1267"/>
        <w:rPr>
          <w:lang w:eastAsia="es-ES"/>
        </w:rPr>
      </w:pPr>
      <w:r>
        <w:rPr>
          <w:lang w:eastAsia="es-ES"/>
        </w:rPr>
        <w:t xml:space="preserve">El Gobierno del MCP aceptó el resultado del </w:t>
      </w:r>
      <w:r w:rsidRPr="0083542A">
        <w:rPr>
          <w:i/>
          <w:lang w:eastAsia="es-ES"/>
        </w:rPr>
        <w:t>refer</w:t>
      </w:r>
      <w:r w:rsidR="0083542A" w:rsidRPr="0083542A">
        <w:rPr>
          <w:i/>
          <w:lang w:eastAsia="es-ES"/>
        </w:rPr>
        <w:t>e</w:t>
      </w:r>
      <w:r w:rsidRPr="0083542A">
        <w:rPr>
          <w:i/>
          <w:lang w:eastAsia="es-ES"/>
        </w:rPr>
        <w:t>ndum</w:t>
      </w:r>
      <w:r>
        <w:rPr>
          <w:lang w:eastAsia="es-ES"/>
        </w:rPr>
        <w:t xml:space="preserve"> e inició el proceso de transición hacia un sistema político pluralista, que culminó en la celebración de las primeras elecciones generales multipartidistas en 1994. Los principales partidos participantes fueron la Alianza para la Democracia (Aforo), que tenía su bastión en la Región Septentrional y cuyo líder era el Sr. Chakufwa Chihana; el MCP, dirigido por el Presidente, Dr. H. Kamuzu Banda, y que tenía su bastión en la Región Central, y el Frente Democrático Unido (UDF), firmemente implantado en la poblada Región Meridional y liderado por el Sr. Elson Bakili Muluzi.</w:t>
      </w:r>
    </w:p>
    <w:p w:rsidR="00256C91" w:rsidRDefault="00256C91" w:rsidP="00981637">
      <w:pPr>
        <w:pStyle w:val="SingleTxt"/>
        <w:numPr>
          <w:ilvl w:val="0"/>
          <w:numId w:val="14"/>
        </w:numPr>
        <w:suppressAutoHyphens w:val="0"/>
        <w:ind w:left="1267"/>
        <w:rPr>
          <w:lang w:eastAsia="es-ES"/>
        </w:rPr>
      </w:pPr>
      <w:r>
        <w:rPr>
          <w:lang w:eastAsia="es-ES"/>
        </w:rPr>
        <w:lastRenderedPageBreak/>
        <w:t>El Sr. Bakili Muluzi y el UDF obtuvieron una cómoda mayoría que les permitió constituir un gobierno. El UDF ganó las dos elecciones generales siguientes, la primera en 1999 bajo el liderazgo del Sr. Bakili Muluzi, y la segunda en 2004, cuando, después de haber fracasado en su intento de obtener un tercer mandato renovable, aquel fue sustituido por el Dr. Bingu wa Mutharika, de su mismo partido. Menos de un año después de que el UDF hubiera logrado un tercer mandato, el Dr. Bingu wa Mutharika abandonó el partido, en febrero de 2005, y explicó que la corrupción había sido la razón principal de su abandono. Posteriormente, el Dr. wa Mutharika fundó el Partido Progresista Democrático (DPP) y automáticamente el UDF se convirtió en un partido de la oposición. En las cuartas elecciones generales desde 1994 (las celebradas en 2009), el DPP logró una gran mayoría bajo la dirección del Presidente Bingu wa Mutharika.</w:t>
      </w:r>
    </w:p>
    <w:p w:rsidR="00256C91" w:rsidRDefault="00256C91" w:rsidP="00981637">
      <w:pPr>
        <w:pStyle w:val="SingleTxt"/>
        <w:numPr>
          <w:ilvl w:val="0"/>
          <w:numId w:val="14"/>
        </w:numPr>
        <w:suppressAutoHyphens w:val="0"/>
        <w:ind w:left="1267"/>
        <w:rPr>
          <w:lang w:eastAsia="es-ES"/>
        </w:rPr>
      </w:pPr>
      <w:r>
        <w:rPr>
          <w:lang w:eastAsia="es-ES"/>
        </w:rPr>
        <w:t>En las elecciones de 2009 se eligió a la primera Vicepresidenta, la Sra. Joyce Banda, junto al Presidente wa Mutharika. Menos de un año después de la clamorosa victoria, empezaron a abrirse grietas en el DPP, pues diversos miembros destacados del partido empezaron a apoyar al Profesor Arthur Peter Mutharika, hermano del Presidente wa Mutharika, como candidato presidencial del partido para 2014. La Vicepresidenta, que se negó a apoyar al candidato, el cual estaba considerado públicamente como un candidato impuesto, fue expulsada del partido, junto con el Sr.</w:t>
      </w:r>
      <w:r w:rsidR="0083542A">
        <w:rPr>
          <w:lang w:eastAsia="es-ES"/>
        </w:rPr>
        <w:t> </w:t>
      </w:r>
      <w:r>
        <w:rPr>
          <w:lang w:eastAsia="es-ES"/>
        </w:rPr>
        <w:t>Khumbo Kachali, que era el segundo Vicepresidente del DPP. Ambos emprendieron la constitución del Partido Popular (PP) y afrontaron dificultades para registrarlo. Otros miembros antiguos del DPP que no habían apoyado al hermano del Presidente o cuyas opiniones se consideraba que disentían de las del partido fueron expulsados rápidamente.</w:t>
      </w:r>
    </w:p>
    <w:p w:rsidR="00256C91" w:rsidRDefault="00256C91" w:rsidP="00981637">
      <w:pPr>
        <w:pStyle w:val="SingleTxt"/>
        <w:numPr>
          <w:ilvl w:val="0"/>
          <w:numId w:val="14"/>
        </w:numPr>
        <w:suppressAutoHyphens w:val="0"/>
        <w:ind w:left="1267"/>
        <w:rPr>
          <w:lang w:eastAsia="es-ES"/>
        </w:rPr>
      </w:pPr>
      <w:r>
        <w:rPr>
          <w:lang w:eastAsia="es-ES"/>
        </w:rPr>
        <w:t>En aquella época, empezaron a agriarse las relaciones de Malawi con la mayoría de sus vecinos y donantes tradicionales. En 2011, Malawi expulsó al Alto Comisionado británico entre acusaciones suscitadas por un cable diplomático filtrado que los anfitriones consideraron despreciativo. El aumento de la carencia de combustible y divisas exacerbó la situación, lo que hizo que hubiera una serie de manifestaciones en todo el país el 20 de julio de 2011, en las que resultaron muertas</w:t>
      </w:r>
      <w:r w:rsidR="00981637">
        <w:rPr>
          <w:lang w:eastAsia="es-ES"/>
        </w:rPr>
        <w:t> </w:t>
      </w:r>
      <w:r>
        <w:rPr>
          <w:lang w:eastAsia="es-ES"/>
        </w:rPr>
        <w:t>20 personas.</w:t>
      </w:r>
    </w:p>
    <w:p w:rsidR="00256C91" w:rsidRDefault="00256C91" w:rsidP="00981637">
      <w:pPr>
        <w:pStyle w:val="SingleTxt"/>
        <w:numPr>
          <w:ilvl w:val="0"/>
          <w:numId w:val="14"/>
        </w:numPr>
        <w:suppressAutoHyphens w:val="0"/>
        <w:ind w:left="1267"/>
        <w:rPr>
          <w:lang w:eastAsia="es-ES"/>
        </w:rPr>
      </w:pPr>
      <w:r>
        <w:rPr>
          <w:lang w:eastAsia="es-ES"/>
        </w:rPr>
        <w:t xml:space="preserve">El 5 de abril de 2012, el Presidente Mutharika sufrió un colapso en la Casa de Gobierno de Lilongwe y fue trasladado urgentemente al Hospital Central de esa localidad, donde falleció a mediodía. Posteriormente su cadáver se trasladó a Sudáfrica por vía aérea, en medio de una atmósfera tensa, en la que su fallecimiento no se reveló hasta el 7 de abril. Aunque se rumoreó que había habido intentos de eludir el requisito constitucional de que la Vicepresidenta, Sra. Joyce Banda, sustituyera al difunto durante el resto del mandato, aquella juró su cargo como cuarto Presidente, y primera Presidenta, del país en la tarde del 7 de abril. Procedió a nombrar Vicepresidente suyo al Sr. Khumbo Kachali. Desde que la Sra. Banda pasó a ocupar el cargo, se han restablecido las relaciones diplomáticas con los donantes principales, se ha otorgado libertad a los medios de difusión para que entrevisten a toda clase de personas con opiniones políticas diversas y se ha reducido la carencia de combustible, divisas y medicamentos. El 20 de mayo de 2014, Malawi celebró sus primeras elecciones tripartitas, que ganó el Profesor </w:t>
      </w:r>
      <w:r w:rsidR="00873FB1">
        <w:rPr>
          <w:lang w:eastAsia="es-ES"/>
        </w:rPr>
        <w:t xml:space="preserve">Arthur </w:t>
      </w:r>
      <w:r>
        <w:rPr>
          <w:lang w:eastAsia="es-ES"/>
        </w:rPr>
        <w:t>Peter Mutharika, del DPP, que se convirtió en el quinto Presidente del país.</w:t>
      </w:r>
    </w:p>
    <w:p w:rsidR="00256C91" w:rsidRDefault="00256C91" w:rsidP="00981637">
      <w:pPr>
        <w:pStyle w:val="SingleTxt"/>
        <w:numPr>
          <w:ilvl w:val="0"/>
          <w:numId w:val="15"/>
        </w:numPr>
        <w:tabs>
          <w:tab w:val="num" w:pos="1742"/>
        </w:tabs>
        <w:suppressAutoHyphens w:val="0"/>
        <w:ind w:left="1267"/>
        <w:rPr>
          <w:lang w:eastAsia="es-ES"/>
        </w:rPr>
      </w:pPr>
      <w:r>
        <w:rPr>
          <w:lang w:eastAsia="es-ES"/>
        </w:rPr>
        <w:t xml:space="preserve">Desde 1994 y dentro de la transformación política de Malawi, ha venido aumentando el número de partidos políticos que participan en las elecciones generales y en la política nacional en general. Los partidos políticos han de inscribirse ante el Registrador de Partidos Políticos, en la Oficina del Registrador General, que depende del Ministerio de Justicia y Asuntos Constitucionales. La inscripción de los partidos no ha suscitado controversias por lo general, salvo en algún caso en que, al ser </w:t>
      </w:r>
      <w:r>
        <w:rPr>
          <w:lang w:eastAsia="es-ES"/>
        </w:rPr>
        <w:lastRenderedPageBreak/>
        <w:t>impugnada la decisión del Registrador de Partidos Políticos, ha tenido que pronunciarse al respecto un tribunal competente</w:t>
      </w:r>
      <w:r w:rsidR="0012353E">
        <w:rPr>
          <w:rStyle w:val="FootnoteReference"/>
          <w:lang w:eastAsia="es-ES"/>
        </w:rPr>
        <w:footnoteReference w:id="4"/>
      </w:r>
      <w:r>
        <w:rPr>
          <w:lang w:eastAsia="es-ES"/>
        </w:rPr>
        <w:t>.</w:t>
      </w:r>
    </w:p>
    <w:p w:rsidR="00256C91" w:rsidRDefault="00256C91" w:rsidP="00981637">
      <w:pPr>
        <w:pStyle w:val="SingleTxt"/>
        <w:numPr>
          <w:ilvl w:val="0"/>
          <w:numId w:val="15"/>
        </w:numPr>
        <w:suppressAutoHyphens w:val="0"/>
        <w:ind w:left="1267"/>
        <w:rPr>
          <w:lang w:eastAsia="es-ES"/>
        </w:rPr>
      </w:pPr>
      <w:r>
        <w:rPr>
          <w:lang w:eastAsia="es-ES"/>
        </w:rPr>
        <w:t>Además de los partidos que obtenían un número considerable de escaños, siempre han estado representados en la Asamblea Nacional partidos minoritarios, con uno o dos escaños por lo menos. Algunos parlamentarios han entrado en la Asamblea Nacional como candidatos independientes, aunque, en algún caso, esos candidatos han regresado a los partidos que habían abandonado o a los que se habían negado a representar anteriormente o han aceptado nombramientos del Gobierno en general.</w:t>
      </w:r>
    </w:p>
    <w:p w:rsidR="00256C91" w:rsidRDefault="00256C91" w:rsidP="00981637">
      <w:pPr>
        <w:pStyle w:val="SingleTxt"/>
        <w:numPr>
          <w:ilvl w:val="0"/>
          <w:numId w:val="15"/>
        </w:numPr>
        <w:suppressAutoHyphens w:val="0"/>
        <w:ind w:left="1267"/>
        <w:rPr>
          <w:lang w:eastAsia="es-ES"/>
        </w:rPr>
      </w:pPr>
      <w:r>
        <w:rPr>
          <w:lang w:eastAsia="es-ES"/>
        </w:rPr>
        <w:t>Cuando se aprobó la nueva constitución en mayo de 1994, esta estuvo en vigor provisionalmente durante un año. La Constitución provisional transformó, por completo, las relaciones entre los ciudadanos y el Estado y las relaciones entre las propias instituciones estatales. Las primeras se vieron fortalecidas por la aprobación de los Principios de política nacional y de una Declaración de derechos y garantías entre otras cosas, y las segundas, por la instauración de la doctrina de la separación entre los poderes ejecutivo, legislativo y judicial. El sistema de gobierno de supremacía parlamentaria fue sustituido por el de supremacía constitucional, de conformidad con el artículo 5 de la Constitución</w:t>
      </w:r>
      <w:r w:rsidR="0012353E">
        <w:rPr>
          <w:rStyle w:val="FootnoteReference"/>
          <w:lang w:eastAsia="es-ES"/>
        </w:rPr>
        <w:footnoteReference w:id="5"/>
      </w:r>
      <w:r>
        <w:rPr>
          <w:lang w:eastAsia="es-ES"/>
        </w:rPr>
        <w:t>.</w:t>
      </w:r>
    </w:p>
    <w:p w:rsidR="00256C91" w:rsidRDefault="00256C91" w:rsidP="00981637">
      <w:pPr>
        <w:pStyle w:val="SingleTxt"/>
        <w:numPr>
          <w:ilvl w:val="0"/>
          <w:numId w:val="15"/>
        </w:numPr>
        <w:suppressAutoHyphens w:val="0"/>
        <w:ind w:left="1267"/>
        <w:rPr>
          <w:lang w:eastAsia="es-ES"/>
        </w:rPr>
      </w:pPr>
      <w:r>
        <w:rPr>
          <w:lang w:eastAsia="es-ES"/>
        </w:rPr>
        <w:t>La Constitución entró definitivamente en vigor en mayo de 1995, y en ella se articulan como sigue los tres poderes</w:t>
      </w:r>
      <w:r w:rsidR="00981637">
        <w:rPr>
          <w:lang w:eastAsia="es-ES"/>
        </w:rPr>
        <w:t>.</w:t>
      </w:r>
    </w:p>
    <w:p w:rsidR="00981637" w:rsidRPr="00981637" w:rsidRDefault="00981637" w:rsidP="00981637">
      <w:pPr>
        <w:pStyle w:val="SingleTxt"/>
        <w:spacing w:after="0" w:line="120" w:lineRule="exact"/>
        <w:rPr>
          <w:sz w:val="10"/>
          <w:lang w:eastAsia="es-ES"/>
        </w:rPr>
      </w:pPr>
    </w:p>
    <w:p w:rsidR="00256C91" w:rsidRDefault="00981637" w:rsidP="0098163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eastAsia="es-ES"/>
        </w:rPr>
      </w:pPr>
      <w:r>
        <w:rPr>
          <w:lang w:eastAsia="es-ES"/>
        </w:rPr>
        <w:tab/>
      </w:r>
      <w:r w:rsidR="00256C91">
        <w:rPr>
          <w:lang w:eastAsia="es-ES"/>
        </w:rPr>
        <w:t>a)</w:t>
      </w:r>
      <w:r>
        <w:rPr>
          <w:lang w:eastAsia="es-ES"/>
        </w:rPr>
        <w:tab/>
      </w:r>
      <w:r w:rsidR="00256C91">
        <w:rPr>
          <w:lang w:eastAsia="es-ES"/>
        </w:rPr>
        <w:t>Poder ejecutivo</w:t>
      </w:r>
    </w:p>
    <w:p w:rsidR="00256C91" w:rsidRPr="00981637" w:rsidRDefault="00256C91" w:rsidP="00981637">
      <w:pPr>
        <w:pStyle w:val="SingleTxt"/>
        <w:spacing w:after="0" w:line="120" w:lineRule="exact"/>
        <w:rPr>
          <w:sz w:val="10"/>
          <w:lang w:eastAsia="es-ES"/>
        </w:rPr>
      </w:pPr>
    </w:p>
    <w:p w:rsidR="00256C91" w:rsidRDefault="00256C91" w:rsidP="00981637">
      <w:pPr>
        <w:pStyle w:val="SingleTxt"/>
        <w:numPr>
          <w:ilvl w:val="0"/>
          <w:numId w:val="15"/>
        </w:numPr>
        <w:suppressAutoHyphens w:val="0"/>
        <w:ind w:left="1267"/>
        <w:rPr>
          <w:lang w:eastAsia="es-ES"/>
        </w:rPr>
      </w:pPr>
      <w:r>
        <w:rPr>
          <w:lang w:eastAsia="es-ES"/>
        </w:rPr>
        <w:t>El artículo 7 de la Constitución dispone que el poder ejecutivo será el responsable de poner en marcha políticas y proponer legislación y de la aplicación de todas las leyes que respondan a la voluntad explícita del pueblo de Malawi y promuevan los principios de la Constitución.</w:t>
      </w:r>
    </w:p>
    <w:p w:rsidR="00256C91" w:rsidRDefault="00256C91" w:rsidP="00981637">
      <w:pPr>
        <w:pStyle w:val="SingleTxt"/>
        <w:numPr>
          <w:ilvl w:val="0"/>
          <w:numId w:val="15"/>
        </w:numPr>
        <w:suppressAutoHyphens w:val="0"/>
        <w:ind w:left="1267"/>
        <w:rPr>
          <w:lang w:eastAsia="es-ES"/>
        </w:rPr>
      </w:pPr>
      <w:r>
        <w:rPr>
          <w:lang w:eastAsia="es-ES"/>
        </w:rPr>
        <w:t>El Presidente, como cabeza del poder ejecutivo, es el responsable de dirigir la actuación de este en interés de la unidad nacional y de conformidad con la Constitución y las leyes de la República</w:t>
      </w:r>
      <w:r w:rsidR="0012353E">
        <w:rPr>
          <w:rStyle w:val="FootnoteReference"/>
          <w:lang w:eastAsia="es-ES"/>
        </w:rPr>
        <w:footnoteReference w:id="6"/>
      </w:r>
      <w:r>
        <w:rPr>
          <w:lang w:eastAsia="es-ES"/>
        </w:rPr>
        <w:t>. El Presidente es también Jefe del Estado y del Gobierno y Comandante en Jefe de las Fuerzas Armadas de Malawi. En virtud del artículo 88 1) de la Constitución, le compete, asimism</w:t>
      </w:r>
      <w:r w:rsidR="00873FB1">
        <w:rPr>
          <w:lang w:eastAsia="es-ES"/>
        </w:rPr>
        <w:t>o</w:t>
      </w:r>
      <w:r>
        <w:rPr>
          <w:lang w:eastAsia="es-ES"/>
        </w:rPr>
        <w:t>, garantizar la observancia de la Constitución por el poder ejecutivo y defender y preservar la Constitución como ley suprema del país.</w:t>
      </w:r>
    </w:p>
    <w:p w:rsidR="00256C91" w:rsidRDefault="00256C91" w:rsidP="00981637">
      <w:pPr>
        <w:pStyle w:val="SingleTxt"/>
        <w:numPr>
          <w:ilvl w:val="0"/>
          <w:numId w:val="15"/>
        </w:numPr>
        <w:suppressAutoHyphens w:val="0"/>
        <w:ind w:left="1267"/>
        <w:rPr>
          <w:lang w:eastAsia="es-ES"/>
        </w:rPr>
      </w:pPr>
      <w:r>
        <w:rPr>
          <w:lang w:eastAsia="es-ES"/>
        </w:rPr>
        <w:t>La Presidencia abarca los cargos de Presidente, Vicepresidente y Segundo Vicepresidente. La Oficina del Presidente se rige por el artículo 78 de la Constitución y la del Vicepresidente, por el artículo 79, que le atribuye las funciones de prestar asistencia al Presidente y desempeñar los cometidos que le encomienden, en su caso, la Constitución, una ley del Parlamento o el propio Presidente. Los miembros de la Presidencia podrán ocupar sus cargos durante un máximo de dos mandatos consecutivos de cinco años.</w:t>
      </w:r>
    </w:p>
    <w:p w:rsidR="00256C91" w:rsidRDefault="00256C91" w:rsidP="00981637">
      <w:pPr>
        <w:pStyle w:val="SingleTxt"/>
        <w:numPr>
          <w:ilvl w:val="0"/>
          <w:numId w:val="15"/>
        </w:numPr>
        <w:suppressAutoHyphens w:val="0"/>
        <w:ind w:left="1267"/>
        <w:rPr>
          <w:lang w:eastAsia="es-ES"/>
        </w:rPr>
      </w:pPr>
      <w:r>
        <w:rPr>
          <w:lang w:eastAsia="es-ES"/>
        </w:rPr>
        <w:t>El Gabinete, que se rige por el artículo 92 1) de la Constitución, comprende la Presidencia y los ministros y viceministros que nombre a tal efecto el Presidente.</w:t>
      </w:r>
    </w:p>
    <w:p w:rsidR="00256C91" w:rsidRDefault="00256C91" w:rsidP="00981637">
      <w:pPr>
        <w:pStyle w:val="SingleTxt"/>
        <w:numPr>
          <w:ilvl w:val="0"/>
          <w:numId w:val="15"/>
        </w:numPr>
        <w:suppressAutoHyphens w:val="0"/>
        <w:ind w:left="1267"/>
        <w:rPr>
          <w:lang w:eastAsia="es-ES"/>
        </w:rPr>
      </w:pPr>
      <w:r>
        <w:rPr>
          <w:lang w:eastAsia="es-ES"/>
        </w:rPr>
        <w:t xml:space="preserve">El Gabinete tiene por funciones asesorar al Presidente; dirigir, coordinar y supervisar las actividades de los departamentos de la administración pública, incluidos los órganos paraestatales; elaborar proyectos de ley para su presentación a la </w:t>
      </w:r>
      <w:r>
        <w:rPr>
          <w:lang w:eastAsia="es-ES"/>
        </w:rPr>
        <w:lastRenderedPageBreak/>
        <w:t>Asamblea Nacional, y explicar esas iniciativas legislativas; preparar, explicar y formular, ante el Parlamento, el presupuesto del Estado y sus programas económicos; mantenerse a disposición del Parlamento para responder a cualquier consulta o participar en cualquier debate sobre el contenido de las políticas del Gobierno; ayudar al Presidente a determinar los acuerdos internacionales que conviene concertar o a los que conviene adherirse, e informar al respecto al Parlamento; asumir la responsabilidad de la aplicación y administración de las leyes, y desempeñar cualesquiera otras funciones que resulten razonablemente necesarias para el cumplimiento de sus obligaciones conformes con la presente Constitución y prescritas por ley del Parlamento o del Presidente</w:t>
      </w:r>
      <w:r w:rsidR="0012353E">
        <w:rPr>
          <w:rStyle w:val="FootnoteReference"/>
          <w:lang w:eastAsia="es-ES"/>
        </w:rPr>
        <w:footnoteReference w:id="7"/>
      </w:r>
      <w:r>
        <w:rPr>
          <w:lang w:eastAsia="es-ES"/>
        </w:rPr>
        <w:t>.</w:t>
      </w:r>
    </w:p>
    <w:p w:rsidR="00256C91" w:rsidRPr="00981637" w:rsidRDefault="00256C91" w:rsidP="00981637">
      <w:pPr>
        <w:pStyle w:val="SingleTxt"/>
        <w:spacing w:after="0" w:line="120" w:lineRule="exact"/>
        <w:rPr>
          <w:sz w:val="10"/>
          <w:lang w:eastAsia="es-ES"/>
        </w:rPr>
      </w:pPr>
    </w:p>
    <w:p w:rsidR="00256C91" w:rsidRDefault="00981637" w:rsidP="0098163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eastAsia="es-ES"/>
        </w:rPr>
      </w:pPr>
      <w:r>
        <w:rPr>
          <w:lang w:eastAsia="es-ES"/>
        </w:rPr>
        <w:tab/>
        <w:t>b)</w:t>
      </w:r>
      <w:r>
        <w:rPr>
          <w:lang w:eastAsia="es-ES"/>
        </w:rPr>
        <w:tab/>
      </w:r>
      <w:r w:rsidR="00256C91">
        <w:rPr>
          <w:lang w:eastAsia="es-ES"/>
        </w:rPr>
        <w:t>Poder legislativo</w:t>
      </w:r>
    </w:p>
    <w:p w:rsidR="00256C91" w:rsidRPr="00981637" w:rsidRDefault="00256C91" w:rsidP="00981637">
      <w:pPr>
        <w:pStyle w:val="SingleTxt"/>
        <w:spacing w:after="0" w:line="120" w:lineRule="exact"/>
        <w:rPr>
          <w:sz w:val="10"/>
          <w:lang w:eastAsia="es-ES"/>
        </w:rPr>
      </w:pPr>
    </w:p>
    <w:p w:rsidR="00256C91" w:rsidRDefault="00256C91" w:rsidP="00981637">
      <w:pPr>
        <w:pStyle w:val="SingleTxt"/>
        <w:numPr>
          <w:ilvl w:val="0"/>
          <w:numId w:val="15"/>
        </w:numPr>
        <w:suppressAutoHyphens w:val="0"/>
        <w:ind w:left="1267"/>
        <w:rPr>
          <w:lang w:eastAsia="es-ES"/>
        </w:rPr>
      </w:pPr>
      <w:r>
        <w:rPr>
          <w:lang w:eastAsia="es-ES"/>
        </w:rPr>
        <w:t>En 1994, el poder legislativo estaba integrado por el Presidente, la Asamblea Nacional y el Senado, que no llegó nunca a constituirse y fue disuelto oficialmente en</w:t>
      </w:r>
      <w:r w:rsidR="00873FB1">
        <w:rPr>
          <w:lang w:eastAsia="es-ES"/>
        </w:rPr>
        <w:t> </w:t>
      </w:r>
      <w:r>
        <w:rPr>
          <w:lang w:eastAsia="es-ES"/>
        </w:rPr>
        <w:t>2001. En la actualidad comprende la Asamblea Nacional y el Presidente, en su calidad de Jefe del Estado</w:t>
      </w:r>
      <w:r w:rsidR="0012353E">
        <w:rPr>
          <w:rStyle w:val="FootnoteReference"/>
          <w:lang w:eastAsia="es-ES"/>
        </w:rPr>
        <w:footnoteReference w:id="8"/>
      </w:r>
      <w:r>
        <w:rPr>
          <w:lang w:eastAsia="es-ES"/>
        </w:rPr>
        <w:t>. La Asamblea Nacional es una cámara de 193 miembros, que son elegidos directamente por el pueblo de Malawi de conformidad con la Constitución y la ley electoral vigente. En virtud del artículo 62 de la Constitución, el número de escaños de la Asamblea Nacional corresponde a las circunscripciones de Malawi determinadas por la Comisión Electoral. La función de la Asamblea Nacional es la promulgación de leyes que respondan a los intereses explícitos del pueblo de Malawi y promuevan los valores de la Constitución</w:t>
      </w:r>
      <w:r w:rsidR="0012353E">
        <w:rPr>
          <w:rStyle w:val="FootnoteReference"/>
          <w:lang w:eastAsia="es-ES"/>
        </w:rPr>
        <w:footnoteReference w:id="9"/>
      </w:r>
      <w:r>
        <w:rPr>
          <w:lang w:eastAsia="es-ES"/>
        </w:rPr>
        <w:t>.</w:t>
      </w:r>
    </w:p>
    <w:p w:rsidR="00256C91" w:rsidRDefault="00256C91" w:rsidP="00981637">
      <w:pPr>
        <w:pStyle w:val="SingleTxt"/>
        <w:numPr>
          <w:ilvl w:val="0"/>
          <w:numId w:val="15"/>
        </w:numPr>
        <w:suppressAutoHyphens w:val="0"/>
        <w:ind w:left="1267"/>
        <w:rPr>
          <w:lang w:eastAsia="es-ES"/>
        </w:rPr>
      </w:pPr>
      <w:r>
        <w:rPr>
          <w:lang w:eastAsia="es-ES"/>
        </w:rPr>
        <w:t>Aunque no se explicite en la Constitución, la Asamblea Nacional tiene a su frente un Presidente, que cuenta con la asistencia de dos Vicepresidentes y es elegido por mayoría de los miembros de la Asamblea en la primera sesión de cada legislatura. Puesto que se trata de un cargo independiente, el Presidente ha de desempeñar sus funciones sin instrucciones ni injerencias de ninguna persona ni autoridad y de conformidad con las disposiciones del reglamento de la Asamblea Nacional. La principal función del Presidente es presidir todas las sesiones de la Asamblea.</w:t>
      </w:r>
    </w:p>
    <w:p w:rsidR="00256C91" w:rsidRDefault="00256C91" w:rsidP="00981637">
      <w:pPr>
        <w:pStyle w:val="SingleTxt"/>
        <w:numPr>
          <w:ilvl w:val="0"/>
          <w:numId w:val="15"/>
        </w:numPr>
        <w:suppressAutoHyphens w:val="0"/>
        <w:ind w:left="1267"/>
        <w:rPr>
          <w:lang w:eastAsia="es-ES"/>
        </w:rPr>
      </w:pPr>
      <w:r>
        <w:rPr>
          <w:lang w:eastAsia="es-ES"/>
        </w:rPr>
        <w:t>La actividad del Parlamento se centra en la tramitación de mociones y proyectos de ley. El 90%, por lo menos, de esa actividad (incluidas las propuestas legislativas) es fruto de iniciativas del poder ejecutivo (cargos de la administración y ministros del Gabinete), al que compete directamente proponer nueva legislación o reformar la existente. No obstante, los miembros del Parlamento pueden influir en la legislación por medio de los debates, especialmente en las comisiones parlamentarias a las que se remiten, en ocasiones, los proyectos de ley después de su primera lectura en la Cámara. Cualesquiera miembros de la Cámara u otros grupos de intereses pueden formular, en la comisión parlamentaria competente, propuestas de enmiendas para que las examine en su momento la Cámara. Esas propuestas deben guardar conformidad con el programa nacional de desarrollo.</w:t>
      </w:r>
    </w:p>
    <w:p w:rsidR="00256C91" w:rsidRDefault="00256C91" w:rsidP="00981637">
      <w:pPr>
        <w:pStyle w:val="SingleTxt"/>
        <w:numPr>
          <w:ilvl w:val="0"/>
          <w:numId w:val="15"/>
        </w:numPr>
        <w:suppressAutoHyphens w:val="0"/>
        <w:ind w:left="1267"/>
        <w:rPr>
          <w:lang w:eastAsia="es-ES"/>
        </w:rPr>
      </w:pPr>
      <w:r>
        <w:rPr>
          <w:lang w:eastAsia="es-ES"/>
        </w:rPr>
        <w:t>La Constitución faculta, asimismo, al Parlamento para fiscalizar los recursos públicos y regular su utilización por medio del proceso presupuestario, y obliga al Gobierno a rendir cuentas, al Parlamento, de sus políticas y prácticas administrativas en relación con el empleo de recursos públicos para promover el desarrollo de la nación.</w:t>
      </w:r>
    </w:p>
    <w:p w:rsidR="00256C91" w:rsidRDefault="00256C91" w:rsidP="00981637">
      <w:pPr>
        <w:pStyle w:val="SingleTxt"/>
        <w:numPr>
          <w:ilvl w:val="0"/>
          <w:numId w:val="15"/>
        </w:numPr>
        <w:suppressAutoHyphens w:val="0"/>
        <w:ind w:left="1267"/>
        <w:rPr>
          <w:lang w:eastAsia="es-ES"/>
        </w:rPr>
      </w:pPr>
      <w:r>
        <w:rPr>
          <w:lang w:eastAsia="es-ES"/>
        </w:rPr>
        <w:t xml:space="preserve">Por medio de los representantes elegidos que lo integran, el Parlamento ha de mantener una estrecha vinculación con los problemas que se plantean en las diversas circunscripciones, ejercer una función de liderazgo y participar en los acontecimientos </w:t>
      </w:r>
      <w:r>
        <w:rPr>
          <w:lang w:eastAsia="es-ES"/>
        </w:rPr>
        <w:lastRenderedPageBreak/>
        <w:t>y funciones oficiales a nivel local. Los miembros del Parlamento han de ser capaces de motivar a sus electores para que busquen soluciones locales a determinados problemas al tiempo que tratan de obtener ayuda complementaria del Estado u otros asociados en el desarrollo.</w:t>
      </w:r>
    </w:p>
    <w:p w:rsidR="00256C91" w:rsidRDefault="00256C91" w:rsidP="00981637">
      <w:pPr>
        <w:pStyle w:val="SingleTxt"/>
        <w:numPr>
          <w:ilvl w:val="0"/>
          <w:numId w:val="15"/>
        </w:numPr>
        <w:suppressAutoHyphens w:val="0"/>
        <w:ind w:left="1267"/>
        <w:rPr>
          <w:lang w:eastAsia="es-ES"/>
        </w:rPr>
      </w:pPr>
      <w:r>
        <w:rPr>
          <w:lang w:eastAsia="es-ES"/>
        </w:rPr>
        <w:t>Compete, asimismo, al Parlamento autorizar anualmente el gasto público propuesto por el Gobierno. Los miembros del Parlamento tienen el cometido de examinar, debatir y aprobar las estimaciones financieras (presupuesto), incluidas las medidas tributarias tendentes a aumentar los ingresos para financiar los programas y proyectos públicos de desarrollo presentados por el ejecutivo. El Parlamento ha de velar, pues, por que se asignen a los departamentos gubernamentales recursos suficientes para la buena gobernanza y el desarrollo nacional.</w:t>
      </w:r>
    </w:p>
    <w:p w:rsidR="00256C91" w:rsidRPr="00981637" w:rsidRDefault="00256C91" w:rsidP="00981637">
      <w:pPr>
        <w:pStyle w:val="SingleTxt"/>
        <w:spacing w:after="0" w:line="120" w:lineRule="exact"/>
        <w:rPr>
          <w:sz w:val="10"/>
          <w:lang w:eastAsia="es-ES"/>
        </w:rPr>
      </w:pPr>
    </w:p>
    <w:p w:rsidR="00256C91" w:rsidRDefault="00981637" w:rsidP="00981637">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eastAsia="es-ES"/>
        </w:rPr>
      </w:pPr>
      <w:r>
        <w:rPr>
          <w:lang w:eastAsia="es-ES"/>
        </w:rPr>
        <w:tab/>
        <w:t>c)</w:t>
      </w:r>
      <w:r>
        <w:rPr>
          <w:lang w:eastAsia="es-ES"/>
        </w:rPr>
        <w:tab/>
      </w:r>
      <w:r w:rsidR="00256C91">
        <w:rPr>
          <w:lang w:eastAsia="es-ES"/>
        </w:rPr>
        <w:t>Poder judicial</w:t>
      </w:r>
    </w:p>
    <w:p w:rsidR="00256C91" w:rsidRPr="00981637" w:rsidRDefault="00256C91" w:rsidP="00981637">
      <w:pPr>
        <w:pStyle w:val="SingleTxt"/>
        <w:spacing w:after="0" w:line="120" w:lineRule="exact"/>
        <w:rPr>
          <w:sz w:val="10"/>
          <w:lang w:eastAsia="es-ES"/>
        </w:rPr>
      </w:pPr>
    </w:p>
    <w:p w:rsidR="00256C91" w:rsidRDefault="00256C91" w:rsidP="00981637">
      <w:pPr>
        <w:pStyle w:val="SingleTxt"/>
        <w:numPr>
          <w:ilvl w:val="0"/>
          <w:numId w:val="15"/>
        </w:numPr>
        <w:suppressAutoHyphens w:val="0"/>
        <w:ind w:left="1267"/>
        <w:rPr>
          <w:lang w:eastAsia="es-ES"/>
        </w:rPr>
      </w:pPr>
      <w:r>
        <w:rPr>
          <w:lang w:eastAsia="es-ES"/>
        </w:rPr>
        <w:t>Antes de 1994, existía en Malawi un sistema de tribunales tradicionales paralelo a la estructura del Tribunal Superior. Los tribunales tradicionales se regían por la Ley de Tribunales Tradicionales</w:t>
      </w:r>
      <w:r w:rsidR="0012353E">
        <w:rPr>
          <w:rStyle w:val="FootnoteReference"/>
          <w:lang w:eastAsia="es-ES"/>
        </w:rPr>
        <w:footnoteReference w:id="10"/>
      </w:r>
      <w:r>
        <w:rPr>
          <w:lang w:eastAsia="es-ES"/>
        </w:rPr>
        <w:t>, que no se derogó tras la aprobación de la Constitución de</w:t>
      </w:r>
      <w:r w:rsidR="003D6048">
        <w:rPr>
          <w:lang w:eastAsia="es-ES"/>
        </w:rPr>
        <w:t> </w:t>
      </w:r>
      <w:r>
        <w:rPr>
          <w:lang w:eastAsia="es-ES"/>
        </w:rPr>
        <w:t>1994. Sin embargo, el funcionamiento de los tribunales tradicionales quedó suspendido hasta la promulgación, en 2011, de la Ley de Tribunales Locales</w:t>
      </w:r>
      <w:r w:rsidR="0012353E">
        <w:rPr>
          <w:rStyle w:val="FootnoteReference"/>
          <w:lang w:eastAsia="es-ES"/>
        </w:rPr>
        <w:footnoteReference w:id="11"/>
      </w:r>
      <w:r>
        <w:rPr>
          <w:lang w:eastAsia="es-ES"/>
        </w:rPr>
        <w:t xml:space="preserve">. La suspensión del funcionamiento de los tribunales tradicionales en 1994 se basó, en gran medida, en el artículo 103 3) de la Constitución, en el que se disponía que </w:t>
      </w:r>
      <w:r w:rsidR="00233368">
        <w:rPr>
          <w:lang w:eastAsia="es-ES"/>
        </w:rPr>
        <w:t>“</w:t>
      </w:r>
      <w:r>
        <w:rPr>
          <w:lang w:eastAsia="es-ES"/>
        </w:rPr>
        <w:t>[N]o habrá tribunales de jurisdicción superior o paralela a la del Tribunal Supremo de Apelación o el Tribunal Superior</w:t>
      </w:r>
      <w:r w:rsidR="00233368">
        <w:rPr>
          <w:lang w:eastAsia="es-ES"/>
        </w:rPr>
        <w:t>”</w:t>
      </w:r>
      <w:r>
        <w:rPr>
          <w:lang w:eastAsia="es-ES"/>
        </w:rPr>
        <w:t>.</w:t>
      </w:r>
    </w:p>
    <w:p w:rsidR="00256C91" w:rsidRDefault="00256C91" w:rsidP="00981637">
      <w:pPr>
        <w:pStyle w:val="SingleTxt"/>
        <w:numPr>
          <w:ilvl w:val="0"/>
          <w:numId w:val="15"/>
        </w:numPr>
        <w:suppressAutoHyphens w:val="0"/>
        <w:ind w:left="1267"/>
        <w:rPr>
          <w:lang w:eastAsia="es-ES"/>
        </w:rPr>
      </w:pPr>
      <w:r>
        <w:rPr>
          <w:lang w:eastAsia="es-ES"/>
        </w:rPr>
        <w:t>La función del poder judicial es la de interpretar, proteger y aplicar la Constitución, y las demás leyes a la luz de la Constitución, de forma independiente e imparcial y atendiendo solo a los hechos jurídicamente pertinentes y a lo dispuesto en las propias leyes</w:t>
      </w:r>
      <w:r w:rsidR="0012353E">
        <w:rPr>
          <w:rStyle w:val="FootnoteReference"/>
          <w:lang w:eastAsia="es-ES"/>
        </w:rPr>
        <w:footnoteReference w:id="12"/>
      </w:r>
      <w:r>
        <w:rPr>
          <w:lang w:eastAsia="es-ES"/>
        </w:rPr>
        <w:t>.</w:t>
      </w:r>
    </w:p>
    <w:p w:rsidR="00256C91" w:rsidRDefault="00256C91" w:rsidP="00981637">
      <w:pPr>
        <w:pStyle w:val="SingleTxt"/>
        <w:numPr>
          <w:ilvl w:val="0"/>
          <w:numId w:val="15"/>
        </w:numPr>
        <w:suppressAutoHyphens w:val="0"/>
        <w:ind w:left="1267"/>
        <w:rPr>
          <w:lang w:eastAsia="es-ES"/>
        </w:rPr>
      </w:pPr>
      <w:r>
        <w:rPr>
          <w:lang w:eastAsia="es-ES"/>
        </w:rPr>
        <w:t xml:space="preserve">La judicatura está debidamente facultada para defender la supremacía de la Constitución, para imponer el respeto de los derechos humanos y para declarar nulas y carentes de validez la legislación y otras disposiciones del Gobierno que vulneren la Constitución. Para cumplir eficazmente ese mandato, los tribunales deben mantenerse vigilantes y actuar resueltamente. En palabras de Kapanda J. en </w:t>
      </w:r>
      <w:r w:rsidRPr="009D1A93">
        <w:rPr>
          <w:i/>
          <w:lang w:eastAsia="es-ES"/>
        </w:rPr>
        <w:t>Jumbe y Mvula c. el Fiscal General</w:t>
      </w:r>
      <w:r>
        <w:rPr>
          <w:lang w:eastAsia="es-ES"/>
        </w:rPr>
        <w:t xml:space="preserve"> (causas constitucionales</w:t>
      </w:r>
      <w:r w:rsidR="009D1A93">
        <w:rPr>
          <w:lang w:eastAsia="es-ES"/>
        </w:rPr>
        <w:t xml:space="preserve"> N</w:t>
      </w:r>
      <w:r w:rsidR="009D1A93" w:rsidRPr="009D1A93">
        <w:rPr>
          <w:vertAlign w:val="superscript"/>
          <w:lang w:eastAsia="es-ES"/>
        </w:rPr>
        <w:t>os</w:t>
      </w:r>
      <w:r>
        <w:rPr>
          <w:lang w:eastAsia="es-ES"/>
        </w:rPr>
        <w:t xml:space="preserve"> 1 y 2 de 2005), </w:t>
      </w:r>
      <w:r w:rsidR="00233368">
        <w:rPr>
          <w:lang w:eastAsia="es-ES"/>
        </w:rPr>
        <w:t>“</w:t>
      </w:r>
      <w:r>
        <w:rPr>
          <w:lang w:eastAsia="es-ES"/>
        </w:rPr>
        <w:t>[A] menos que los tribunales mantengan su vigilancia, no se podrá impedir que el Estado pisotee los derechos de los ciudadanos</w:t>
      </w:r>
      <w:r w:rsidR="00233368">
        <w:rPr>
          <w:lang w:eastAsia="es-ES"/>
        </w:rPr>
        <w:t>”</w:t>
      </w:r>
      <w:r>
        <w:rPr>
          <w:lang w:eastAsia="es-ES"/>
        </w:rPr>
        <w:t>.</w:t>
      </w:r>
    </w:p>
    <w:p w:rsidR="00256C91" w:rsidRDefault="00256C91" w:rsidP="00981637">
      <w:pPr>
        <w:pStyle w:val="SingleTxt"/>
        <w:numPr>
          <w:ilvl w:val="0"/>
          <w:numId w:val="15"/>
        </w:numPr>
        <w:suppressAutoHyphens w:val="0"/>
        <w:ind w:left="1267"/>
        <w:rPr>
          <w:lang w:eastAsia="es-ES"/>
        </w:rPr>
      </w:pPr>
      <w:r>
        <w:rPr>
          <w:lang w:eastAsia="es-ES"/>
        </w:rPr>
        <w:t>El sistema judicial comprende, por orden de precedencia, el Tribunal Supremo de Apelación, el Tribunal Superior y los tribunales subordinados, a saber, el Tribunal de Relaciones Laborales, los tribunales de magistrados y los tribunales locales.</w:t>
      </w:r>
    </w:p>
    <w:p w:rsidR="00981637" w:rsidRDefault="00256C91" w:rsidP="00256C91">
      <w:pPr>
        <w:pStyle w:val="SingleTxt"/>
        <w:numPr>
          <w:ilvl w:val="0"/>
          <w:numId w:val="15"/>
        </w:numPr>
        <w:suppressAutoHyphens w:val="0"/>
        <w:ind w:left="1267"/>
        <w:rPr>
          <w:lang w:eastAsia="es-ES"/>
        </w:rPr>
      </w:pPr>
      <w:r>
        <w:rPr>
          <w:lang w:eastAsia="es-ES"/>
        </w:rPr>
        <w:t>El Tribunal Supremo de Apelación, establecido en virtud del artículo 104 de la Constitución, es el más alto tribunal de casación de Malawi y no tiene jurisdicción de primera instancia en ningún ámbito. Es un tribunal superior de segunda instancia y puede ejercer los poderes que le confieran la Constitución o cualquier otra ley. El Tribunal Supremo de Apelación puede examinar los recursos contra decisiones del Tribunal Superior o de cualquier otro tribunal, según lo dispuesto por una ley del Parlamento.</w:t>
      </w:r>
    </w:p>
    <w:p w:rsidR="00256C91" w:rsidRDefault="00256C91" w:rsidP="00256C91">
      <w:pPr>
        <w:pStyle w:val="SingleTxt"/>
        <w:numPr>
          <w:ilvl w:val="0"/>
          <w:numId w:val="15"/>
        </w:numPr>
        <w:suppressAutoHyphens w:val="0"/>
        <w:ind w:left="1267"/>
        <w:rPr>
          <w:lang w:eastAsia="es-ES"/>
        </w:rPr>
      </w:pPr>
      <w:r>
        <w:rPr>
          <w:lang w:eastAsia="es-ES"/>
        </w:rPr>
        <w:t xml:space="preserve">El poder judicial está dividido administrativamente en registros al nivel del Tribunal Superior y de los cuatro tribunales subordinados. El Registro Principal del Tribunal Superior se encuentra en Blantyre, en la Región Meridional. Complementan </w:t>
      </w:r>
      <w:r>
        <w:rPr>
          <w:lang w:eastAsia="es-ES"/>
        </w:rPr>
        <w:lastRenderedPageBreak/>
        <w:t>la estructura los registros de los distritos de Zomba, en la Región Oriental; Lilongwe, en la Región Central, y Mzuzu, en la Región Septentrional. Cada uno de los registros del Tribunal Superior está presidido por el juez decano, conocido como Juez Presidente.</w:t>
      </w:r>
    </w:p>
    <w:p w:rsidR="00256C91" w:rsidRDefault="00256C91" w:rsidP="00981637">
      <w:pPr>
        <w:pStyle w:val="SingleTxt"/>
        <w:numPr>
          <w:ilvl w:val="0"/>
          <w:numId w:val="15"/>
        </w:numPr>
        <w:suppressAutoHyphens w:val="0"/>
        <w:ind w:left="1267"/>
        <w:rPr>
          <w:lang w:eastAsia="es-ES"/>
        </w:rPr>
      </w:pPr>
      <w:r>
        <w:rPr>
          <w:lang w:eastAsia="es-ES"/>
        </w:rPr>
        <w:t>El Tribunal Superior, por su parte, tiene jurisdicción ilimitada de primera instancia para entender y resolver de cualquier asunto civil o penal en relación con cualquier ley</w:t>
      </w:r>
      <w:r w:rsidR="0012353E">
        <w:rPr>
          <w:rStyle w:val="FootnoteReference"/>
          <w:lang w:eastAsia="es-ES"/>
        </w:rPr>
        <w:footnoteReference w:id="13"/>
      </w:r>
      <w:r>
        <w:rPr>
          <w:lang w:eastAsia="es-ES"/>
        </w:rPr>
        <w:t>.</w:t>
      </w:r>
    </w:p>
    <w:p w:rsidR="00256C91" w:rsidRDefault="00256C91" w:rsidP="00981637">
      <w:pPr>
        <w:pStyle w:val="SingleTxt"/>
        <w:numPr>
          <w:ilvl w:val="0"/>
          <w:numId w:val="15"/>
        </w:numPr>
        <w:suppressAutoHyphens w:val="0"/>
        <w:ind w:left="1267"/>
        <w:rPr>
          <w:lang w:eastAsia="es-ES"/>
        </w:rPr>
      </w:pPr>
      <w:r>
        <w:rPr>
          <w:lang w:eastAsia="es-ES"/>
        </w:rPr>
        <w:t>Además de tener jurisdicción dual, de primera instancia y de apelación, el Tribunal Superior ejerce funciones generales de supervisión sobre los tribunales subordinados y puede revisar las decisiones de los tribunales de magistrados en cualquier etapa del procedimiento del tribunal inferior. En ejercicio de esas mismas funciones de supervisión puede, asimismo, confirmar las decisiones de los tribunales de magistrados. Además de su División General, el Tribunal Superior cuenta, desde hace poco, con otras dos divisiones establecidas por ley, la División Comercial, que entiende exclusivamente en asuntos comerciales, y la División Constitucional, que examina diferencias en materia de constitucionalidad.</w:t>
      </w:r>
    </w:p>
    <w:p w:rsidR="00256C91" w:rsidRDefault="00256C91" w:rsidP="00981637">
      <w:pPr>
        <w:pStyle w:val="SingleTxt"/>
        <w:numPr>
          <w:ilvl w:val="0"/>
          <w:numId w:val="15"/>
        </w:numPr>
        <w:suppressAutoHyphens w:val="0"/>
        <w:ind w:left="1267"/>
        <w:rPr>
          <w:lang w:eastAsia="es-ES"/>
        </w:rPr>
      </w:pPr>
      <w:r>
        <w:rPr>
          <w:lang w:eastAsia="es-ES"/>
        </w:rPr>
        <w:t>El artículo 110 1) de la Constitución prevé el funcionamiento de tribunales subordinados al Tribunal Superior si así se dispone en una ley del Parlamento. Los tribunales de magistrados pueden ser presididos por magistrados profesionales o legos.</w:t>
      </w:r>
    </w:p>
    <w:p w:rsidR="00256C91" w:rsidRDefault="00256C91" w:rsidP="00981637">
      <w:pPr>
        <w:pStyle w:val="SingleTxt"/>
        <w:numPr>
          <w:ilvl w:val="0"/>
          <w:numId w:val="15"/>
        </w:numPr>
        <w:suppressAutoHyphens w:val="0"/>
        <w:ind w:left="1267"/>
        <w:rPr>
          <w:lang w:eastAsia="es-ES"/>
        </w:rPr>
      </w:pPr>
      <w:r>
        <w:rPr>
          <w:lang w:eastAsia="es-ES"/>
        </w:rPr>
        <w:t>El artículo 110 2) de la Constitución prevé el establecimiento del Tribunal de Relaciones Laborales, subordinado al Tribunal Superior, con jurisdicción de primera instancia en conflictos laborales y otras cuestiones relacionadas con el empleo.</w:t>
      </w:r>
    </w:p>
    <w:p w:rsidR="00256C91" w:rsidRDefault="00256C91" w:rsidP="00981637">
      <w:pPr>
        <w:pStyle w:val="SingleTxt"/>
        <w:numPr>
          <w:ilvl w:val="0"/>
          <w:numId w:val="15"/>
        </w:numPr>
        <w:suppressAutoHyphens w:val="0"/>
        <w:ind w:left="1267"/>
        <w:rPr>
          <w:lang w:eastAsia="es-ES"/>
        </w:rPr>
      </w:pPr>
      <w:r>
        <w:rPr>
          <w:lang w:eastAsia="es-ES"/>
        </w:rPr>
        <w:t>En virtud de la Ley de Tribunales Locales se establecieron tribunales locales que entienden en causas penales menores. Con esos tribunales, contemplados en la Constitución, se pretende mejorar el acceso a la justicia, entendida como justicia primaria, pues pueden acudir fácilmente a ellos los habitantes de las zonas rurales.</w:t>
      </w:r>
    </w:p>
    <w:p w:rsidR="00256C91" w:rsidRDefault="00256C91" w:rsidP="00981637">
      <w:pPr>
        <w:pStyle w:val="SingleTxt"/>
        <w:numPr>
          <w:ilvl w:val="0"/>
          <w:numId w:val="15"/>
        </w:numPr>
        <w:suppressAutoHyphens w:val="0"/>
        <w:ind w:left="1267"/>
        <w:rPr>
          <w:lang w:eastAsia="es-ES"/>
        </w:rPr>
      </w:pPr>
      <w:r>
        <w:rPr>
          <w:lang w:eastAsia="es-ES"/>
        </w:rPr>
        <w:t>La Constitución es la ley suprema de Malawi, y a ella están subordinadas, en la arquitectura legislativa del país, las leyes del Parlamento, la legislación subsidiaria, los instrumentos internacionales y las normas consuetudinarias. La legislación subsidiaria puede ser promulgada por la Asamblea Nacional o bajo su autoridad. Los instrumentos internacionales, sean o no vinculantes, no forman parte de la estructura legislativa nacional justiciable, a menos que así lo disponga una ley. A ese respecto, pues, Malawi tiene un ordenamiento jurídico dual. Las normas consuetudinarias no son uniformes, pues existen diferentes grupos étnicos en el país. No obstante, el derecho consuetudinario está reconocido como tal y, en algunos casos, su existencia y eficacia están refrendadas por la propia legislación.</w:t>
      </w:r>
    </w:p>
    <w:p w:rsidR="00256C91" w:rsidRDefault="00256C91" w:rsidP="00981637">
      <w:pPr>
        <w:pStyle w:val="SingleTxt"/>
        <w:numPr>
          <w:ilvl w:val="0"/>
          <w:numId w:val="15"/>
        </w:numPr>
        <w:suppressAutoHyphens w:val="0"/>
        <w:ind w:left="1267"/>
        <w:rPr>
          <w:lang w:eastAsia="es-ES"/>
        </w:rPr>
      </w:pPr>
      <w:r>
        <w:rPr>
          <w:lang w:eastAsia="es-ES"/>
        </w:rPr>
        <w:t>En ese entorno legislativo, el Gobierno elabora e impulsa un conjunto de políticas insertadas en el marco general de la ECDM II. En el marco general de la ECDM, el Gobierno impulsa políticas sectoriales en ámbitos tales como los del VIH/SIDA, la igualdad de género, los derechos de salud sexual y reproductiva, la asistencia social, la educación, las tierras, el agua, la protección de la infancia, y la agricultura.</w:t>
      </w:r>
    </w:p>
    <w:p w:rsidR="00256C91" w:rsidRPr="00981637" w:rsidRDefault="00256C91" w:rsidP="00981637">
      <w:pPr>
        <w:pStyle w:val="SingleTxt"/>
        <w:spacing w:after="0" w:line="120" w:lineRule="exact"/>
        <w:rPr>
          <w:sz w:val="10"/>
          <w:lang w:eastAsia="es-ES"/>
        </w:rPr>
      </w:pPr>
    </w:p>
    <w:p w:rsidR="00981637" w:rsidRPr="00981637" w:rsidRDefault="00981637" w:rsidP="00981637">
      <w:pPr>
        <w:pStyle w:val="SingleTxt"/>
        <w:spacing w:after="0" w:line="120" w:lineRule="exact"/>
        <w:rPr>
          <w:sz w:val="10"/>
          <w:lang w:eastAsia="es-ES"/>
        </w:rPr>
      </w:pPr>
    </w:p>
    <w:p w:rsidR="00256C91" w:rsidRDefault="00981637" w:rsidP="009D1A93">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eastAsia="es-ES"/>
        </w:rPr>
      </w:pPr>
      <w:r>
        <w:rPr>
          <w:lang w:eastAsia="es-ES"/>
        </w:rPr>
        <w:lastRenderedPageBreak/>
        <w:tab/>
      </w:r>
      <w:r w:rsidR="00256C91">
        <w:rPr>
          <w:lang w:eastAsia="es-ES"/>
        </w:rPr>
        <w:t>III.</w:t>
      </w:r>
      <w:r>
        <w:rPr>
          <w:lang w:eastAsia="es-ES"/>
        </w:rPr>
        <w:tab/>
      </w:r>
      <w:r w:rsidR="00256C91">
        <w:rPr>
          <w:lang w:eastAsia="es-ES"/>
        </w:rPr>
        <w:t>Marco general de protección y promoción de lo</w:t>
      </w:r>
      <w:r>
        <w:rPr>
          <w:lang w:eastAsia="es-ES"/>
        </w:rPr>
        <w:t>s</w:t>
      </w:r>
      <w:r>
        <w:rPr>
          <w:lang w:eastAsia="es-ES"/>
        </w:rPr>
        <w:br/>
      </w:r>
      <w:r w:rsidR="00256C91">
        <w:rPr>
          <w:lang w:eastAsia="es-ES"/>
        </w:rPr>
        <w:t>derechos humanos</w:t>
      </w:r>
    </w:p>
    <w:p w:rsidR="00256C91" w:rsidRPr="00981637" w:rsidRDefault="00256C91" w:rsidP="009D1A93">
      <w:pPr>
        <w:pStyle w:val="SingleTxt"/>
        <w:keepNext/>
        <w:keepLines/>
        <w:spacing w:after="0" w:line="120" w:lineRule="exact"/>
        <w:rPr>
          <w:sz w:val="10"/>
          <w:lang w:eastAsia="es-ES"/>
        </w:rPr>
      </w:pPr>
    </w:p>
    <w:p w:rsidR="00981637" w:rsidRPr="00981637" w:rsidRDefault="00981637" w:rsidP="009D1A93">
      <w:pPr>
        <w:pStyle w:val="SingleTxt"/>
        <w:keepNext/>
        <w:keepLines/>
        <w:spacing w:after="0" w:line="120" w:lineRule="exact"/>
        <w:rPr>
          <w:sz w:val="10"/>
          <w:lang w:eastAsia="es-ES"/>
        </w:rPr>
      </w:pPr>
    </w:p>
    <w:p w:rsidR="00256C91" w:rsidRDefault="00981637" w:rsidP="009D1A93">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eastAsia="es-ES"/>
        </w:rPr>
      </w:pPr>
      <w:r>
        <w:rPr>
          <w:lang w:eastAsia="es-ES"/>
        </w:rPr>
        <w:tab/>
      </w:r>
      <w:r w:rsidR="00256C91">
        <w:rPr>
          <w:lang w:eastAsia="es-ES"/>
        </w:rPr>
        <w:t>A.</w:t>
      </w:r>
      <w:r>
        <w:rPr>
          <w:lang w:eastAsia="es-ES"/>
        </w:rPr>
        <w:tab/>
      </w:r>
      <w:r w:rsidR="00256C91">
        <w:rPr>
          <w:lang w:eastAsia="es-ES"/>
        </w:rPr>
        <w:t>Marco general</w:t>
      </w:r>
    </w:p>
    <w:p w:rsidR="00256C91" w:rsidRPr="00981637" w:rsidRDefault="00256C91" w:rsidP="009D1A93">
      <w:pPr>
        <w:pStyle w:val="SingleTxt"/>
        <w:keepNext/>
        <w:keepLines/>
        <w:spacing w:after="0" w:line="120" w:lineRule="exact"/>
        <w:rPr>
          <w:sz w:val="10"/>
          <w:lang w:eastAsia="es-ES"/>
        </w:rPr>
      </w:pPr>
    </w:p>
    <w:p w:rsidR="00981637" w:rsidRPr="00981637" w:rsidRDefault="00981637" w:rsidP="009D1A93">
      <w:pPr>
        <w:pStyle w:val="SingleTxt"/>
        <w:keepNext/>
        <w:keepLines/>
        <w:spacing w:after="0" w:line="120" w:lineRule="exact"/>
        <w:rPr>
          <w:sz w:val="10"/>
          <w:lang w:eastAsia="es-ES"/>
        </w:rPr>
      </w:pPr>
    </w:p>
    <w:p w:rsidR="00256C91" w:rsidRDefault="00256C91" w:rsidP="009D1A93">
      <w:pPr>
        <w:pStyle w:val="SingleTxt"/>
        <w:keepNext/>
        <w:keepLines/>
        <w:numPr>
          <w:ilvl w:val="0"/>
          <w:numId w:val="15"/>
        </w:numPr>
        <w:suppressAutoHyphens w:val="0"/>
        <w:ind w:left="1267"/>
        <w:rPr>
          <w:lang w:eastAsia="es-ES"/>
        </w:rPr>
      </w:pPr>
      <w:r>
        <w:rPr>
          <w:lang w:eastAsia="es-ES"/>
        </w:rPr>
        <w:t xml:space="preserve">El marco general de derechos humanos se rige por la Constitución, en la que se consignan explícitamente la mayor parte de los derechos concretos y que establece un modelo que abarca el marco institucional y de aplicación; las normas de legitimación procesal; los derechos concretos; las limitaciones y restricciones; y los supuestos de inaplicabilidad de derechos. Cabe señalar que la Constitución contempla también derechos no justiciables al formular los principios de política nacional, que tienen </w:t>
      </w:r>
      <w:r w:rsidR="00233368">
        <w:rPr>
          <w:lang w:eastAsia="es-ES"/>
        </w:rPr>
        <w:t>“</w:t>
      </w:r>
      <w:r>
        <w:rPr>
          <w:lang w:eastAsia="es-ES"/>
        </w:rPr>
        <w:t>carácter orientativo</w:t>
      </w:r>
      <w:r w:rsidR="00233368">
        <w:rPr>
          <w:lang w:eastAsia="es-ES"/>
        </w:rPr>
        <w:t>”</w:t>
      </w:r>
      <w:r>
        <w:rPr>
          <w:lang w:eastAsia="es-ES"/>
        </w:rPr>
        <w:t>, pero a los que pueden remitirse los tribunales para interpretar y aplicar cualquier disposición de la Constitución o de otras leyes con el fin de determinar la validez de las decisiones del poder ejecutivo, o para interpretar la propia Constitución.</w:t>
      </w:r>
    </w:p>
    <w:p w:rsidR="00256C91" w:rsidRDefault="00256C91" w:rsidP="00981637">
      <w:pPr>
        <w:pStyle w:val="SingleTxt"/>
        <w:numPr>
          <w:ilvl w:val="0"/>
          <w:numId w:val="15"/>
        </w:numPr>
        <w:suppressAutoHyphens w:val="0"/>
        <w:ind w:left="1267"/>
        <w:rPr>
          <w:lang w:eastAsia="es-ES"/>
        </w:rPr>
      </w:pPr>
      <w:r>
        <w:rPr>
          <w:lang w:eastAsia="es-ES"/>
        </w:rPr>
        <w:t>En relación con el marco institucional y de aplicación, se han mencionado ya diversas instituciones, como los tribunales, la Oficina del Defensor del Pueblo, la Comisión de Derechos Humanos y otros órganos gubernamentales. En ese sentido, instituciones como la Comisión Jurídica, que está facultada para examinar y reformar cualquier ley, incluida la Constitución, pueden desempeñar un papel importante en la promoción y protección de los derechos humanos. Puesto que en la Constitución se tipifican como delitos punibles las prácticas discriminatorias y su propagación, también instituciones tales como la policía y el sistema penitenciario pueden desempeñar un papel en el marco de derechos humanos, sin perjuicio de sus demás funciones.</w:t>
      </w:r>
    </w:p>
    <w:p w:rsidR="00256C91" w:rsidRDefault="00256C91" w:rsidP="00981637">
      <w:pPr>
        <w:pStyle w:val="SingleTxt"/>
        <w:numPr>
          <w:ilvl w:val="0"/>
          <w:numId w:val="15"/>
        </w:numPr>
        <w:suppressAutoHyphens w:val="0"/>
        <w:ind w:left="1267"/>
        <w:rPr>
          <w:lang w:eastAsia="es-ES"/>
        </w:rPr>
      </w:pPr>
      <w:r>
        <w:rPr>
          <w:lang w:eastAsia="es-ES"/>
        </w:rPr>
        <w:t xml:space="preserve">Aunque el régimen definido por la Constitución es restrictivo en cuanto a la legitimación procesal para promover, proteger y hacer valer los derechos humanos, los tribunales han venido relajando progresivamente la norma que requiere la existencia de un </w:t>
      </w:r>
      <w:r w:rsidR="00233368">
        <w:rPr>
          <w:lang w:eastAsia="es-ES"/>
        </w:rPr>
        <w:t>“</w:t>
      </w:r>
      <w:r>
        <w:rPr>
          <w:lang w:eastAsia="es-ES"/>
        </w:rPr>
        <w:t>interés suficiente</w:t>
      </w:r>
      <w:r w:rsidR="00233368">
        <w:rPr>
          <w:lang w:eastAsia="es-ES"/>
        </w:rPr>
        <w:t>”</w:t>
      </w:r>
      <w:r>
        <w:rPr>
          <w:lang w:eastAsia="es-ES"/>
        </w:rPr>
        <w:t xml:space="preserve"> para incoar procedimientos tendentes a hacer valer derechos o a castigar violaciones de derechos.</w:t>
      </w:r>
    </w:p>
    <w:p w:rsidR="00256C91" w:rsidRDefault="00256C91" w:rsidP="00981637">
      <w:pPr>
        <w:pStyle w:val="SingleTxt"/>
        <w:numPr>
          <w:ilvl w:val="0"/>
          <w:numId w:val="15"/>
        </w:numPr>
        <w:suppressAutoHyphens w:val="0"/>
        <w:ind w:left="1267"/>
        <w:rPr>
          <w:lang w:eastAsia="es-ES"/>
        </w:rPr>
      </w:pPr>
      <w:r>
        <w:rPr>
          <w:lang w:eastAsia="es-ES"/>
        </w:rPr>
        <w:t>En cuando a los derechos concretos, la Constitución ha proclamado algunos de ellos como principios no justiciables en su artículo 13. Es el caso de los derechos relacionados con la igualdad de género, la nutrición, el medio ambiente, la educación, la protección de las personas de edad, y la solución pacífica de diferencias. Algunos de esos principios se han proclamado explícitamente como derechos, como los de igualdad de género, protección de la infancia, y educación. En el caso de todos los principios de política nacional, el titular de las obligaciones es, en última instancia, el Estado. En la Declaración de Derechos (cap. IV) figuran, además de los derechos civiles y políticos, los económicos, sociales y culturales.</w:t>
      </w:r>
    </w:p>
    <w:p w:rsidR="00256C91" w:rsidRDefault="00256C91" w:rsidP="00981637">
      <w:pPr>
        <w:pStyle w:val="SingleTxt"/>
        <w:numPr>
          <w:ilvl w:val="0"/>
          <w:numId w:val="15"/>
        </w:numPr>
        <w:suppressAutoHyphens w:val="0"/>
        <w:ind w:left="1267"/>
        <w:rPr>
          <w:lang w:eastAsia="es-ES"/>
        </w:rPr>
      </w:pPr>
      <w:r>
        <w:rPr>
          <w:lang w:eastAsia="es-ES"/>
        </w:rPr>
        <w:t>La Declaración de Derechos se inserta también en un marco internacional de derechos humanos constituido por diversos instrumentos internacionales, continentales y regionales, entre los que destacan la Declaración Universal de Derechos Humanos, el Pacto Internacional de Derechos Civiles y Políticos, el Pacto Internacional de Derechos Económicos, Sociales y Culturales, la Carta Africana de Derechos Humanos y de los Pueblos, y el Protocolo sobre género y desarrollo aprobado por la Comunidad del África Meridional para el Desarrollo. Sin embargo, esos instrumentos internacionales solo pueden aplicarse de conformidad con la Constitución, por lo que no pueden invocarse ante los tribunales de Malawi si no han sido incorporados por ley al ordenamiento jurídico del país.</w:t>
      </w:r>
    </w:p>
    <w:p w:rsidR="00256C91" w:rsidRDefault="00256C91" w:rsidP="00981637">
      <w:pPr>
        <w:pStyle w:val="SingleTxt"/>
        <w:numPr>
          <w:ilvl w:val="0"/>
          <w:numId w:val="15"/>
        </w:numPr>
        <w:suppressAutoHyphens w:val="0"/>
        <w:ind w:left="1267"/>
        <w:rPr>
          <w:lang w:eastAsia="es-ES"/>
        </w:rPr>
      </w:pPr>
      <w:r>
        <w:rPr>
          <w:lang w:eastAsia="es-ES"/>
        </w:rPr>
        <w:t xml:space="preserve">El disfrute de los derechos no es absoluto en todos los casos ni para todos los derechos. La Constitución establece condiciones estrictas para la limitación o restricción de los derechos en ella proclamados: la limitación o restricción debe </w:t>
      </w:r>
      <w:r>
        <w:rPr>
          <w:lang w:eastAsia="es-ES"/>
        </w:rPr>
        <w:lastRenderedPageBreak/>
        <w:t>disponerse en una ley de aplicación general; ser razonable; no negar el contenido esencial del derecho; ser reconocida por normas internacionales de derechos humanos; y responder a las necesidades de una sociedad abierta y democrática.</w:t>
      </w:r>
    </w:p>
    <w:p w:rsidR="00256C91" w:rsidRDefault="00256C91" w:rsidP="00981637">
      <w:pPr>
        <w:pStyle w:val="SingleTxt"/>
        <w:numPr>
          <w:ilvl w:val="0"/>
          <w:numId w:val="15"/>
        </w:numPr>
        <w:suppressAutoHyphens w:val="0"/>
        <w:ind w:left="1267"/>
        <w:rPr>
          <w:lang w:eastAsia="es-ES"/>
        </w:rPr>
      </w:pPr>
      <w:r>
        <w:rPr>
          <w:lang w:eastAsia="es-ES"/>
        </w:rPr>
        <w:t>La Constitución, de conformidad con los instrumentos internacionales fundamentales de derechos humanos, permite la suspensión, durante un estado de emergencia, de algunos derechos humanos especificados, como los de libertad de expresión, de información, de circulación y de reunión. También pueden suspenderse el derecho a ser llevado prontamente ante un tribunal y a no permanecer detenido sin juicio. Esa suspensión, sin embargo, ha de ser compatible con las obligaciones de Malawi dimanantes del derecho internacional. Además, todas las medidas de suspensión de derechos, como la detención de sospechosos sin juicio, pueden ser objeto de peticiones y recursos ante el Tribunal Superior.</w:t>
      </w:r>
    </w:p>
    <w:p w:rsidR="00256C91" w:rsidRPr="003D6048" w:rsidRDefault="00256C91" w:rsidP="003D6048">
      <w:pPr>
        <w:pStyle w:val="SingleTxt"/>
        <w:spacing w:after="0" w:line="120" w:lineRule="exact"/>
        <w:rPr>
          <w:sz w:val="10"/>
          <w:lang w:eastAsia="es-ES"/>
        </w:rPr>
      </w:pPr>
    </w:p>
    <w:p w:rsidR="003D6048" w:rsidRPr="00981637" w:rsidRDefault="003D6048" w:rsidP="00981637">
      <w:pPr>
        <w:pStyle w:val="SingleTxt"/>
        <w:spacing w:after="0" w:line="120" w:lineRule="exact"/>
        <w:rPr>
          <w:sz w:val="10"/>
          <w:lang w:eastAsia="es-ES"/>
        </w:rPr>
      </w:pPr>
    </w:p>
    <w:p w:rsidR="00256C91" w:rsidRDefault="00981637" w:rsidP="00981637">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eastAsia="es-ES"/>
        </w:rPr>
      </w:pPr>
      <w:r>
        <w:rPr>
          <w:lang w:eastAsia="es-ES"/>
        </w:rPr>
        <w:tab/>
      </w:r>
      <w:r w:rsidR="00256C91">
        <w:rPr>
          <w:lang w:eastAsia="es-ES"/>
        </w:rPr>
        <w:t>B.</w:t>
      </w:r>
      <w:r>
        <w:rPr>
          <w:lang w:eastAsia="es-ES"/>
        </w:rPr>
        <w:tab/>
      </w:r>
      <w:r w:rsidR="00256C91">
        <w:rPr>
          <w:lang w:eastAsia="es-ES"/>
        </w:rPr>
        <w:t>Examen periódico universal</w:t>
      </w:r>
    </w:p>
    <w:p w:rsidR="00256C91" w:rsidRPr="003D6048" w:rsidRDefault="00256C91" w:rsidP="003D6048">
      <w:pPr>
        <w:pStyle w:val="SingleTxt"/>
        <w:spacing w:after="0" w:line="120" w:lineRule="exact"/>
        <w:rPr>
          <w:sz w:val="10"/>
          <w:lang w:eastAsia="es-ES"/>
        </w:rPr>
      </w:pPr>
    </w:p>
    <w:p w:rsidR="003D6048" w:rsidRPr="00981637" w:rsidRDefault="003D6048" w:rsidP="00981637">
      <w:pPr>
        <w:pStyle w:val="SingleTxt"/>
        <w:spacing w:after="0" w:line="120" w:lineRule="exact"/>
        <w:rPr>
          <w:sz w:val="10"/>
          <w:lang w:eastAsia="es-ES"/>
        </w:rPr>
      </w:pPr>
    </w:p>
    <w:p w:rsidR="00256C91" w:rsidRDefault="00256C91" w:rsidP="00981637">
      <w:pPr>
        <w:pStyle w:val="SingleTxt"/>
        <w:numPr>
          <w:ilvl w:val="0"/>
          <w:numId w:val="15"/>
        </w:numPr>
        <w:suppressAutoHyphens w:val="0"/>
        <w:ind w:left="1267"/>
        <w:rPr>
          <w:lang w:eastAsia="es-ES"/>
        </w:rPr>
      </w:pPr>
      <w:r>
        <w:rPr>
          <w:lang w:eastAsia="es-ES"/>
        </w:rPr>
        <w:t>Malawi se sometió, en 2010, al proceso de examen periódico universal del Consejo de Derechos Humanos de las Naciones Unidas. Para coordinar el informe correspondiente se estableció un Grupo de Tareas Nacional, integrado por representantes del Ministerio de Justicia, que ejerció la presidencia; el Ministerio de Relaciones Exteriores, la Oficina del Presidente y del Gabinete; el Ministerio de Seguridad Interior; el Ministerio de Educación; el Ministerio de Información, el Ministerio de Trabajo; el Ministerio de Hacienda; el Ministerio de Salud; la Comisión Jurídica; la Comisión de Derechos Humanos; la Oficina del Defensor del Pueblo; la Asamblea Nacional, y la sociedad civil. El Grupo de Tareas Nacional formulará un plan de aplicación en el marco de los preparativos de Malawi para presentar un informe de mitad del período en noviembre de 2012.</w:t>
      </w:r>
    </w:p>
    <w:p w:rsidR="00981637" w:rsidRPr="003D6048" w:rsidRDefault="00981637" w:rsidP="003D6048">
      <w:pPr>
        <w:pStyle w:val="SingleTxt"/>
        <w:spacing w:after="0" w:line="120" w:lineRule="exact"/>
        <w:rPr>
          <w:sz w:val="10"/>
          <w:lang w:eastAsia="es-ES"/>
        </w:rPr>
      </w:pPr>
    </w:p>
    <w:p w:rsidR="003D6048" w:rsidRPr="00981637" w:rsidRDefault="003D6048" w:rsidP="00981637">
      <w:pPr>
        <w:pStyle w:val="SingleTxt"/>
        <w:spacing w:after="0" w:line="120" w:lineRule="exact"/>
        <w:rPr>
          <w:sz w:val="10"/>
          <w:lang w:eastAsia="es-ES"/>
        </w:rPr>
      </w:pPr>
    </w:p>
    <w:p w:rsidR="00256C91" w:rsidRDefault="00981637" w:rsidP="00981637">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eastAsia="es-ES"/>
        </w:rPr>
      </w:pPr>
      <w:r>
        <w:rPr>
          <w:lang w:eastAsia="es-ES"/>
        </w:rPr>
        <w:tab/>
      </w:r>
      <w:r w:rsidR="00256C91">
        <w:rPr>
          <w:lang w:eastAsia="es-ES"/>
        </w:rPr>
        <w:t>C.</w:t>
      </w:r>
      <w:r>
        <w:rPr>
          <w:lang w:eastAsia="es-ES"/>
        </w:rPr>
        <w:tab/>
      </w:r>
      <w:r w:rsidR="00256C91">
        <w:rPr>
          <w:lang w:eastAsia="es-ES"/>
        </w:rPr>
        <w:t>Instrumentos internacionales de derechos humanos y</w:t>
      </w:r>
      <w:r>
        <w:rPr>
          <w:lang w:eastAsia="es-ES"/>
        </w:rPr>
        <w:br/>
      </w:r>
      <w:r w:rsidR="00256C91">
        <w:rPr>
          <w:lang w:eastAsia="es-ES"/>
        </w:rPr>
        <w:t>transposición nacional de los tratados</w:t>
      </w:r>
    </w:p>
    <w:p w:rsidR="00256C91" w:rsidRPr="003D6048" w:rsidRDefault="00256C91" w:rsidP="003D6048">
      <w:pPr>
        <w:pStyle w:val="SingleTxt"/>
        <w:spacing w:after="0" w:line="120" w:lineRule="exact"/>
        <w:rPr>
          <w:sz w:val="10"/>
          <w:lang w:eastAsia="es-ES"/>
        </w:rPr>
      </w:pPr>
    </w:p>
    <w:p w:rsidR="003D6048" w:rsidRPr="00981637" w:rsidRDefault="003D6048" w:rsidP="00981637">
      <w:pPr>
        <w:pStyle w:val="SingleTxt"/>
        <w:spacing w:after="0" w:line="120" w:lineRule="exact"/>
        <w:rPr>
          <w:sz w:val="10"/>
          <w:lang w:eastAsia="es-ES"/>
        </w:rPr>
      </w:pPr>
    </w:p>
    <w:p w:rsidR="00256C91" w:rsidRDefault="00256C91" w:rsidP="00981637">
      <w:pPr>
        <w:pStyle w:val="SingleTxt"/>
        <w:numPr>
          <w:ilvl w:val="0"/>
          <w:numId w:val="15"/>
        </w:numPr>
        <w:suppressAutoHyphens w:val="0"/>
        <w:ind w:left="1267"/>
        <w:rPr>
          <w:lang w:eastAsia="es-ES"/>
        </w:rPr>
      </w:pPr>
      <w:r>
        <w:rPr>
          <w:lang w:eastAsia="es-ES"/>
        </w:rPr>
        <w:t>Malawi otorga gran importancia a la promoción y protección de los derechos humanos como principios y normas universalmente compartidos que se proclaman en la Carta de las Naciones Unidas, la Declaración Universal de Derechos Humanos y otros instrumentos de derechos humanos pertinentes. Todos los acuerdos internacionales suscritos por Malawi antes de 1994 forman parte integrante del ordenamiento jurídico del país. Los instrumentos internacionales ratificados por Malawi después de 1994 se incorporan a la legislación nacional mediante una ley del Parlamento. En el anexo 2 figuran algunos de los instrumentos internacionales de derechos humanos y de derecho humanitario en los que Malawi es parte.</w:t>
      </w:r>
    </w:p>
    <w:p w:rsidR="00981637" w:rsidRPr="003D6048" w:rsidRDefault="00981637" w:rsidP="003D6048">
      <w:pPr>
        <w:pStyle w:val="SingleTxt"/>
        <w:spacing w:after="0" w:line="120" w:lineRule="exact"/>
        <w:rPr>
          <w:sz w:val="10"/>
          <w:lang w:eastAsia="es-ES"/>
        </w:rPr>
      </w:pPr>
    </w:p>
    <w:p w:rsidR="003D6048" w:rsidRPr="00981637" w:rsidRDefault="003D6048" w:rsidP="00981637">
      <w:pPr>
        <w:pStyle w:val="SingleTxt"/>
        <w:spacing w:after="0" w:line="120" w:lineRule="exact"/>
        <w:rPr>
          <w:sz w:val="10"/>
          <w:lang w:eastAsia="es-ES"/>
        </w:rPr>
      </w:pPr>
    </w:p>
    <w:p w:rsidR="00256C91" w:rsidRDefault="00981637" w:rsidP="00981637">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eastAsia="es-ES"/>
        </w:rPr>
      </w:pPr>
      <w:r>
        <w:rPr>
          <w:lang w:eastAsia="es-ES"/>
        </w:rPr>
        <w:tab/>
      </w:r>
      <w:r w:rsidR="00256C91">
        <w:rPr>
          <w:lang w:eastAsia="es-ES"/>
        </w:rPr>
        <w:t>D.</w:t>
      </w:r>
      <w:r>
        <w:rPr>
          <w:lang w:eastAsia="es-ES"/>
        </w:rPr>
        <w:tab/>
      </w:r>
      <w:r w:rsidR="00256C91">
        <w:rPr>
          <w:lang w:eastAsia="es-ES"/>
        </w:rPr>
        <w:t>Poder judicial</w:t>
      </w:r>
    </w:p>
    <w:p w:rsidR="00256C91" w:rsidRPr="003D6048" w:rsidRDefault="00256C91" w:rsidP="003D6048">
      <w:pPr>
        <w:pStyle w:val="SingleTxt"/>
        <w:spacing w:after="0" w:line="120" w:lineRule="exact"/>
        <w:rPr>
          <w:sz w:val="10"/>
          <w:lang w:eastAsia="es-ES"/>
        </w:rPr>
      </w:pPr>
    </w:p>
    <w:p w:rsidR="003D6048" w:rsidRPr="00981637" w:rsidRDefault="003D6048" w:rsidP="00981637">
      <w:pPr>
        <w:pStyle w:val="SingleTxt"/>
        <w:spacing w:after="0" w:line="120" w:lineRule="exact"/>
        <w:rPr>
          <w:sz w:val="10"/>
          <w:lang w:eastAsia="es-ES"/>
        </w:rPr>
      </w:pPr>
    </w:p>
    <w:p w:rsidR="00256C91" w:rsidRDefault="00256C91" w:rsidP="00981637">
      <w:pPr>
        <w:pStyle w:val="SingleTxt"/>
        <w:numPr>
          <w:ilvl w:val="0"/>
          <w:numId w:val="15"/>
        </w:numPr>
        <w:suppressAutoHyphens w:val="0"/>
        <w:ind w:left="1267"/>
        <w:rPr>
          <w:lang w:eastAsia="es-ES"/>
        </w:rPr>
      </w:pPr>
      <w:r>
        <w:rPr>
          <w:lang w:eastAsia="es-ES"/>
        </w:rPr>
        <w:t>La Constitución establece, en su artículo 11, que, al interpretar las disposiciones constitucionales, los tribunales de Malawi deberán tener en cuenta las actuales normas del derecho internacional público y la jurisprudencia comparable de otros países. En sus observaciones sobre la aplicación, en el país, de las actuales normas del derecho internacional público y la jurisprudencia comparable de otros países, el Tribunal Supremo de Apelación de Malawi ha señalado lo siguiente:</w:t>
      </w:r>
    </w:p>
    <w:p w:rsidR="00256C91" w:rsidRDefault="00256C91" w:rsidP="00256C91">
      <w:pPr>
        <w:pStyle w:val="SingleTxt"/>
        <w:rPr>
          <w:lang w:eastAsia="es-ES"/>
        </w:rPr>
      </w:pPr>
      <w:r>
        <w:rPr>
          <w:lang w:eastAsia="es-ES"/>
        </w:rPr>
        <w:tab/>
      </w:r>
      <w:r w:rsidR="00233368">
        <w:rPr>
          <w:lang w:eastAsia="es-ES"/>
        </w:rPr>
        <w:t>“</w:t>
      </w:r>
      <w:r>
        <w:rPr>
          <w:lang w:eastAsia="es-ES"/>
        </w:rPr>
        <w:t xml:space="preserve">El artículo 11 de la Constitución faculta expresamente a este Tribunal para elaborar criterios de interpretación constitucional. Esos criterios han de promover los valores en los que se fundamenta una sociedad abierta y democrática y tener </w:t>
      </w:r>
      <w:r>
        <w:rPr>
          <w:lang w:eastAsia="es-ES"/>
        </w:rPr>
        <w:lastRenderedPageBreak/>
        <w:t>plenamente en cuenta los principios fundamentales que subyacen al texto constitucional y sus disposiciones sobre derechos humanos. En el artículo 11 también se establece explícitamente que, siempre que sea posible, deberemos tomar en consideración las actuales normas de derecho internacional público y la jurisprudencia comparable de otros países. Somos conscientes de que nuestros criterios interpretativos han de ser acordes con el carácter singular de la Constitución en tanto que ley suprema del país. Deben contribuir a reforzar ese carácter fundamental de la Constitución y promover los valores de una sociedad abierta y democrática que impregnan todo el marco constitucional de Malawi. Estamos, pues, convencidos de que hemos de orientarnos por el examen del conjunto del texto constitucional para determinar cómo se propusieron, los redactores de la Constitución, promover el objetivo general de la Constitución, que no es otro que el de crear un marco democrático en el que la población pueda participar libremente en la elección de su gobierno, es decir, el de crear una sociedad abierta y democrática.</w:t>
      </w:r>
      <w:r w:rsidR="00233368">
        <w:rPr>
          <w:lang w:eastAsia="es-ES"/>
        </w:rPr>
        <w:t>”</w:t>
      </w:r>
    </w:p>
    <w:p w:rsidR="00256C91" w:rsidRDefault="00256C91" w:rsidP="00981637">
      <w:pPr>
        <w:pStyle w:val="SingleTxt"/>
        <w:numPr>
          <w:ilvl w:val="0"/>
          <w:numId w:val="15"/>
        </w:numPr>
        <w:suppressAutoHyphens w:val="0"/>
        <w:ind w:left="1267"/>
        <w:rPr>
          <w:lang w:eastAsia="es-ES"/>
        </w:rPr>
      </w:pPr>
      <w:r>
        <w:rPr>
          <w:lang w:eastAsia="es-ES"/>
        </w:rPr>
        <w:t>Por consiguiente, el poder judicial de Malawi está debidamente facultado para aplicar las normas internacionales de derechos humanos.</w:t>
      </w:r>
    </w:p>
    <w:p w:rsidR="00256C91" w:rsidRDefault="00256C91" w:rsidP="00981637">
      <w:pPr>
        <w:pStyle w:val="SingleTxt"/>
        <w:numPr>
          <w:ilvl w:val="0"/>
          <w:numId w:val="15"/>
        </w:numPr>
        <w:suppressAutoHyphens w:val="0"/>
        <w:ind w:left="1267"/>
        <w:rPr>
          <w:lang w:eastAsia="es-ES"/>
        </w:rPr>
      </w:pPr>
      <w:r>
        <w:rPr>
          <w:lang w:eastAsia="es-ES"/>
        </w:rPr>
        <w:t>La Constitución ha establecido varias instituciones independientes encargadas de promover y proteger los derechos humanos y libertades fundamentales y supervisar su disfrute, a saber, la Comisión de Derechos Humanos, la Oficina del Defensor del Pueblo y la Comisión Jurídica.</w:t>
      </w:r>
    </w:p>
    <w:p w:rsidR="00256C91" w:rsidRPr="003D6048" w:rsidRDefault="00256C91" w:rsidP="003D6048">
      <w:pPr>
        <w:pStyle w:val="SingleTxt"/>
        <w:spacing w:after="0" w:line="120" w:lineRule="exact"/>
        <w:rPr>
          <w:sz w:val="10"/>
          <w:lang w:eastAsia="es-ES"/>
        </w:rPr>
      </w:pPr>
    </w:p>
    <w:p w:rsidR="003D6048" w:rsidRPr="003B0859" w:rsidRDefault="003D6048" w:rsidP="003B0859">
      <w:pPr>
        <w:pStyle w:val="SingleTxt"/>
        <w:spacing w:after="0" w:line="120" w:lineRule="exact"/>
        <w:rPr>
          <w:sz w:val="10"/>
          <w:lang w:eastAsia="es-ES"/>
        </w:rPr>
      </w:pPr>
    </w:p>
    <w:p w:rsidR="00256C91" w:rsidRDefault="003B0859" w:rsidP="003B0859">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eastAsia="es-ES"/>
        </w:rPr>
      </w:pPr>
      <w:r>
        <w:rPr>
          <w:lang w:eastAsia="es-ES"/>
        </w:rPr>
        <w:tab/>
      </w:r>
      <w:r w:rsidR="00256C91">
        <w:rPr>
          <w:lang w:eastAsia="es-ES"/>
        </w:rPr>
        <w:t>E.</w:t>
      </w:r>
      <w:r>
        <w:rPr>
          <w:lang w:eastAsia="es-ES"/>
        </w:rPr>
        <w:tab/>
      </w:r>
      <w:r w:rsidR="00256C91">
        <w:rPr>
          <w:lang w:eastAsia="es-ES"/>
        </w:rPr>
        <w:t>Comisión de Derechos Humanos</w:t>
      </w:r>
    </w:p>
    <w:p w:rsidR="00256C91" w:rsidRPr="003D6048" w:rsidRDefault="00256C91" w:rsidP="003D6048">
      <w:pPr>
        <w:pStyle w:val="SingleTxt"/>
        <w:spacing w:after="0" w:line="120" w:lineRule="exact"/>
        <w:rPr>
          <w:sz w:val="10"/>
          <w:lang w:eastAsia="es-ES"/>
        </w:rPr>
      </w:pPr>
    </w:p>
    <w:p w:rsidR="003D6048" w:rsidRPr="003B0859" w:rsidRDefault="003D6048" w:rsidP="003B0859">
      <w:pPr>
        <w:pStyle w:val="SingleTxt"/>
        <w:spacing w:after="0" w:line="120" w:lineRule="exact"/>
        <w:rPr>
          <w:sz w:val="10"/>
          <w:lang w:eastAsia="es-ES"/>
        </w:rPr>
      </w:pPr>
    </w:p>
    <w:p w:rsidR="00256C91" w:rsidRDefault="00256C91" w:rsidP="003B0859">
      <w:pPr>
        <w:pStyle w:val="SingleTxt"/>
        <w:numPr>
          <w:ilvl w:val="0"/>
          <w:numId w:val="15"/>
        </w:numPr>
        <w:suppressAutoHyphens w:val="0"/>
        <w:ind w:left="1267"/>
        <w:rPr>
          <w:lang w:eastAsia="es-ES"/>
        </w:rPr>
      </w:pPr>
      <w:r>
        <w:rPr>
          <w:lang w:eastAsia="es-ES"/>
        </w:rPr>
        <w:t>La Comisión de Derechos Humanos es un órgano independiente establecido en virtud del artículo 129 de la Constitución y que tiene por función investigar y formular recomendaciones razonablemente necesarias para la promoción efectiva de los derechos humanos. Está facultada para estudiar las leyes, las decisiones judiciales, las disposiciones administrativas, los proyectos de ley y las propuestas administrativas con el fin de cerciorarse de que guarden conformidad con los principios fundamentales de derechos humanos. En el desempeño de ese mandato, la Comisión recibe reclamaciones, lleva a cabo investigaciones y celebra audiencias en relación con casos de vulneración de los derechos humanos.</w:t>
      </w:r>
    </w:p>
    <w:p w:rsidR="00256C91" w:rsidRPr="003D6048" w:rsidRDefault="00256C91" w:rsidP="003D6048">
      <w:pPr>
        <w:pStyle w:val="SingleTxt"/>
        <w:spacing w:after="0" w:line="120" w:lineRule="exact"/>
        <w:rPr>
          <w:sz w:val="10"/>
          <w:lang w:eastAsia="es-ES"/>
        </w:rPr>
      </w:pPr>
    </w:p>
    <w:p w:rsidR="003D6048" w:rsidRPr="003B0859" w:rsidRDefault="003D6048" w:rsidP="003B0859">
      <w:pPr>
        <w:pStyle w:val="SingleTxt"/>
        <w:spacing w:after="0" w:line="120" w:lineRule="exact"/>
        <w:rPr>
          <w:sz w:val="10"/>
          <w:lang w:eastAsia="es-ES"/>
        </w:rPr>
      </w:pPr>
    </w:p>
    <w:p w:rsidR="00256C91" w:rsidRDefault="003B0859" w:rsidP="003B0859">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eastAsia="es-ES"/>
        </w:rPr>
      </w:pPr>
      <w:r>
        <w:rPr>
          <w:lang w:eastAsia="es-ES"/>
        </w:rPr>
        <w:tab/>
      </w:r>
      <w:r w:rsidR="00256C91">
        <w:rPr>
          <w:lang w:eastAsia="es-ES"/>
        </w:rPr>
        <w:t>F.</w:t>
      </w:r>
      <w:r>
        <w:rPr>
          <w:lang w:eastAsia="es-ES"/>
        </w:rPr>
        <w:tab/>
      </w:r>
      <w:r w:rsidR="00256C91">
        <w:rPr>
          <w:lang w:eastAsia="es-ES"/>
        </w:rPr>
        <w:t>Oficina del Defensor del Pueblo</w:t>
      </w:r>
    </w:p>
    <w:p w:rsidR="00256C91" w:rsidRPr="003D6048" w:rsidRDefault="00256C91" w:rsidP="003D6048">
      <w:pPr>
        <w:pStyle w:val="SingleTxt"/>
        <w:spacing w:after="0" w:line="120" w:lineRule="exact"/>
        <w:rPr>
          <w:sz w:val="10"/>
          <w:lang w:eastAsia="es-ES"/>
        </w:rPr>
      </w:pPr>
    </w:p>
    <w:p w:rsidR="003D6048" w:rsidRPr="003B0859" w:rsidRDefault="003D6048" w:rsidP="003B0859">
      <w:pPr>
        <w:pStyle w:val="SingleTxt"/>
        <w:spacing w:after="0" w:line="120" w:lineRule="exact"/>
        <w:rPr>
          <w:sz w:val="10"/>
          <w:lang w:eastAsia="es-ES"/>
        </w:rPr>
      </w:pPr>
    </w:p>
    <w:p w:rsidR="00256C91" w:rsidRDefault="00256C91" w:rsidP="003B0859">
      <w:pPr>
        <w:pStyle w:val="SingleTxt"/>
        <w:numPr>
          <w:ilvl w:val="0"/>
          <w:numId w:val="15"/>
        </w:numPr>
        <w:suppressAutoHyphens w:val="0"/>
        <w:ind w:left="1267"/>
        <w:rPr>
          <w:lang w:eastAsia="es-ES"/>
        </w:rPr>
      </w:pPr>
      <w:r>
        <w:rPr>
          <w:lang w:eastAsia="es-ES"/>
        </w:rPr>
        <w:t>La Oficina del Defensor del Pueblo se creó en virtud del artículo 120 de la Constitución. Es independiente de toda injerencia u orden de cualquier persona y debe rendir cuentas al Parlamento. Está facultada para investigar cualquier caso en que una persona alegue haber sido víctima de una injusticia y no parezca haber recursos disponibles en procedimientos judiciales, apelaciones de un tribunal o cualquier otro recurso factible. Las competencias del Defensor del Pueblo no sustituyen a la jurisdicción de los tribunales, y sus decisiones son recurribles ante el Tribunal Superior. En 2010, por primera vez en la historia del país, se designó a una mujer para el cargo de Defensor del Pueblo.</w:t>
      </w:r>
    </w:p>
    <w:p w:rsidR="00256C91" w:rsidRPr="006E04DA" w:rsidRDefault="00256C91" w:rsidP="006E04DA">
      <w:pPr>
        <w:pStyle w:val="SingleTxt"/>
        <w:spacing w:after="0" w:line="120" w:lineRule="exact"/>
        <w:rPr>
          <w:sz w:val="10"/>
          <w:lang w:eastAsia="es-ES"/>
        </w:rPr>
      </w:pPr>
    </w:p>
    <w:p w:rsidR="006E04DA" w:rsidRPr="003B0859" w:rsidRDefault="006E04DA" w:rsidP="003B0859">
      <w:pPr>
        <w:pStyle w:val="SingleTxt"/>
        <w:spacing w:after="0" w:line="120" w:lineRule="exact"/>
        <w:rPr>
          <w:sz w:val="10"/>
          <w:lang w:eastAsia="es-ES"/>
        </w:rPr>
      </w:pPr>
    </w:p>
    <w:p w:rsidR="00256C91" w:rsidRDefault="003B0859" w:rsidP="003B0859">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eastAsia="es-ES"/>
        </w:rPr>
      </w:pPr>
      <w:r>
        <w:rPr>
          <w:lang w:eastAsia="es-ES"/>
        </w:rPr>
        <w:tab/>
      </w:r>
      <w:r w:rsidR="00256C91">
        <w:rPr>
          <w:lang w:eastAsia="es-ES"/>
        </w:rPr>
        <w:t>G.</w:t>
      </w:r>
      <w:r>
        <w:rPr>
          <w:lang w:eastAsia="es-ES"/>
        </w:rPr>
        <w:tab/>
      </w:r>
      <w:r w:rsidR="00256C91">
        <w:rPr>
          <w:lang w:eastAsia="es-ES"/>
        </w:rPr>
        <w:t>Comisión Jurídica</w:t>
      </w:r>
    </w:p>
    <w:p w:rsidR="00256C91" w:rsidRPr="006E04DA" w:rsidRDefault="00256C91" w:rsidP="006E04DA">
      <w:pPr>
        <w:pStyle w:val="SingleTxt"/>
        <w:spacing w:after="0" w:line="120" w:lineRule="exact"/>
        <w:rPr>
          <w:sz w:val="10"/>
          <w:lang w:eastAsia="es-ES"/>
        </w:rPr>
      </w:pPr>
    </w:p>
    <w:p w:rsidR="006E04DA" w:rsidRPr="003B0859" w:rsidRDefault="006E04DA" w:rsidP="003B0859">
      <w:pPr>
        <w:pStyle w:val="SingleTxt"/>
        <w:spacing w:after="0" w:line="120" w:lineRule="exact"/>
        <w:rPr>
          <w:sz w:val="10"/>
          <w:lang w:eastAsia="es-ES"/>
        </w:rPr>
      </w:pPr>
    </w:p>
    <w:p w:rsidR="00256C91" w:rsidRDefault="00256C91" w:rsidP="003B0859">
      <w:pPr>
        <w:pStyle w:val="SingleTxt"/>
        <w:numPr>
          <w:ilvl w:val="0"/>
          <w:numId w:val="15"/>
        </w:numPr>
        <w:suppressAutoHyphens w:val="0"/>
        <w:ind w:left="1267"/>
        <w:rPr>
          <w:lang w:eastAsia="es-ES"/>
        </w:rPr>
      </w:pPr>
      <w:r>
        <w:rPr>
          <w:lang w:eastAsia="es-ES"/>
        </w:rPr>
        <w:t xml:space="preserve">La Comisión Jurídica, establecida con arreglo al capítulo XII de la Constitución y su ley de habilitación, la Ley de la Comisión Jurídica (cap. 3:09), entró en funcionamiento con el nombramiento del Primer Comisionado Jurídico en 1996. Las funciones que le asigna la Constitución son las de examinar las cuestiones relacionadas con las leyes de Malawi y su conformidad con la Constitución y las </w:t>
      </w:r>
      <w:r>
        <w:rPr>
          <w:lang w:eastAsia="es-ES"/>
        </w:rPr>
        <w:lastRenderedPageBreak/>
        <w:t>normas internacionales pertinentes, y formular recomendaciones al respecto; formular recomendaciones sobre cualquier asunto relacionado con la Constitución; examinar cualquier propuesta que presenten personas o entidades respecto de las leyes o la Constitución de Malawi, y remitir sus constataciones y recomendaciones al Parlamento por conducto del Ministro de Justicia.</w:t>
      </w:r>
    </w:p>
    <w:p w:rsidR="00256C91" w:rsidRDefault="00256C91" w:rsidP="003B0859">
      <w:pPr>
        <w:pStyle w:val="SingleTxt"/>
        <w:numPr>
          <w:ilvl w:val="0"/>
          <w:numId w:val="15"/>
        </w:numPr>
        <w:suppressAutoHyphens w:val="0"/>
        <w:ind w:left="1267"/>
        <w:rPr>
          <w:lang w:eastAsia="es-ES"/>
        </w:rPr>
      </w:pPr>
      <w:r>
        <w:rPr>
          <w:lang w:eastAsia="es-ES"/>
        </w:rPr>
        <w:t>El artículo 6 de la Ley de la Comisión Jurídica asigna a la Comisión, además de sus funciones de examen constitucional, la de revisar las leyes de Malawi con el fin de promover el desarrollo y la reforma sistemáticos de la legislación, incluidas, en particular, las tareas siguientes:</w:t>
      </w:r>
    </w:p>
    <w:p w:rsidR="00256C91" w:rsidRDefault="003B0859" w:rsidP="00256C91">
      <w:pPr>
        <w:pStyle w:val="SingleTxt"/>
        <w:rPr>
          <w:lang w:eastAsia="es-ES"/>
        </w:rPr>
      </w:pPr>
      <w:r>
        <w:rPr>
          <w:lang w:eastAsia="es-ES"/>
        </w:rPr>
        <w:tab/>
      </w:r>
      <w:r w:rsidR="00256C91">
        <w:rPr>
          <w:lang w:eastAsia="es-ES"/>
        </w:rPr>
        <w:t>a)</w:t>
      </w:r>
      <w:r w:rsidR="00256C91">
        <w:rPr>
          <w:lang w:eastAsia="es-ES"/>
        </w:rPr>
        <w:tab/>
        <w:t>Modernizar las leyes poniéndolas en conformidad con los actuales criterios y normas nacionales e internacionales;</w:t>
      </w:r>
    </w:p>
    <w:p w:rsidR="00256C91" w:rsidRDefault="003B0859" w:rsidP="00256C91">
      <w:pPr>
        <w:pStyle w:val="SingleTxt"/>
        <w:rPr>
          <w:lang w:eastAsia="es-ES"/>
        </w:rPr>
      </w:pPr>
      <w:r>
        <w:rPr>
          <w:lang w:eastAsia="es-ES"/>
        </w:rPr>
        <w:tab/>
      </w:r>
      <w:r w:rsidR="00256C91">
        <w:rPr>
          <w:lang w:eastAsia="es-ES"/>
        </w:rPr>
        <w:t>b)</w:t>
      </w:r>
      <w:r w:rsidR="00256C91">
        <w:rPr>
          <w:lang w:eastAsia="es-ES"/>
        </w:rPr>
        <w:tab/>
        <w:t>Subsanar posibles vicios de las leyes, ya sean de procedimiento, sustantivos o de política;</w:t>
      </w:r>
    </w:p>
    <w:p w:rsidR="00256C91" w:rsidRDefault="003B0859" w:rsidP="00256C91">
      <w:pPr>
        <w:pStyle w:val="SingleTxt"/>
        <w:rPr>
          <w:lang w:eastAsia="es-ES"/>
        </w:rPr>
      </w:pPr>
      <w:r>
        <w:rPr>
          <w:lang w:eastAsia="es-ES"/>
        </w:rPr>
        <w:tab/>
      </w:r>
      <w:r w:rsidR="00256C91">
        <w:rPr>
          <w:lang w:eastAsia="es-ES"/>
        </w:rPr>
        <w:t>c)</w:t>
      </w:r>
      <w:r w:rsidR="00256C91">
        <w:rPr>
          <w:lang w:eastAsia="es-ES"/>
        </w:rPr>
        <w:tab/>
        <w:t>Simplificar las leyes;</w:t>
      </w:r>
    </w:p>
    <w:p w:rsidR="00256C91" w:rsidRDefault="003B0859" w:rsidP="00256C91">
      <w:pPr>
        <w:pStyle w:val="SingleTxt"/>
        <w:rPr>
          <w:lang w:eastAsia="es-ES"/>
        </w:rPr>
      </w:pPr>
      <w:r>
        <w:rPr>
          <w:lang w:eastAsia="es-ES"/>
        </w:rPr>
        <w:tab/>
      </w:r>
      <w:r w:rsidR="00256C91">
        <w:rPr>
          <w:lang w:eastAsia="es-ES"/>
        </w:rPr>
        <w:t>d)</w:t>
      </w:r>
      <w:r w:rsidR="00256C91">
        <w:rPr>
          <w:lang w:eastAsia="es-ES"/>
        </w:rPr>
        <w:tab/>
        <w:t>Formular recomendaciones sobre métodos y procedimientos nuevos o más eficaces para la administración de las leyes;</w:t>
      </w:r>
    </w:p>
    <w:p w:rsidR="00256C91" w:rsidRDefault="003B0859" w:rsidP="00256C91">
      <w:pPr>
        <w:pStyle w:val="SingleTxt"/>
        <w:rPr>
          <w:lang w:eastAsia="es-ES"/>
        </w:rPr>
      </w:pPr>
      <w:r>
        <w:rPr>
          <w:lang w:eastAsia="es-ES"/>
        </w:rPr>
        <w:tab/>
      </w:r>
      <w:r w:rsidR="00256C91">
        <w:rPr>
          <w:lang w:eastAsia="es-ES"/>
        </w:rPr>
        <w:t>e)</w:t>
      </w:r>
      <w:r w:rsidR="00256C91">
        <w:rPr>
          <w:lang w:eastAsia="es-ES"/>
        </w:rPr>
        <w:tab/>
        <w:t>Formular recomendaciones para la fusión o armonización de las normas consuetudinarias con otras leyes de Malawi;</w:t>
      </w:r>
    </w:p>
    <w:p w:rsidR="00256C91" w:rsidRDefault="003B0859" w:rsidP="00256C91">
      <w:pPr>
        <w:pStyle w:val="SingleTxt"/>
        <w:rPr>
          <w:lang w:eastAsia="es-ES"/>
        </w:rPr>
      </w:pPr>
      <w:r>
        <w:rPr>
          <w:lang w:eastAsia="es-ES"/>
        </w:rPr>
        <w:tab/>
      </w:r>
      <w:r w:rsidR="00256C91">
        <w:rPr>
          <w:lang w:eastAsia="es-ES"/>
        </w:rPr>
        <w:t>f)</w:t>
      </w:r>
      <w:r w:rsidR="00256C91">
        <w:rPr>
          <w:lang w:eastAsia="es-ES"/>
        </w:rPr>
        <w:tab/>
        <w:t>Formular recomendaciones para la codificación de cualquier rama del derecho o cualesquiera normas consuetudinarias, y promover el conocimiento de las leyes y de la Constitución por la población en general y por los departamentos del Gobierno y otras autoridades u órganos.</w:t>
      </w:r>
    </w:p>
    <w:p w:rsidR="00256C91" w:rsidRDefault="00256C91" w:rsidP="003B0859">
      <w:pPr>
        <w:pStyle w:val="SingleTxt"/>
        <w:numPr>
          <w:ilvl w:val="0"/>
          <w:numId w:val="15"/>
        </w:numPr>
        <w:suppressAutoHyphens w:val="0"/>
        <w:ind w:left="1267"/>
        <w:rPr>
          <w:lang w:eastAsia="es-ES"/>
        </w:rPr>
      </w:pPr>
      <w:r>
        <w:rPr>
          <w:lang w:eastAsia="es-ES"/>
        </w:rPr>
        <w:t>La secretaría de la Comisión está integrada por el Comisionado Jurídico, como jefe ejecutivo de la institución, y otros cargos subordinados. El Comisionado Jurídico es nombrado por el Presidente a recomendación de la Comisión de la Magistratura por un período renovable de cinco años. Los demás cargos de la Comisión son nombrados por la propia Comisión y tienen la consideración de funcionarios.</w:t>
      </w:r>
    </w:p>
    <w:p w:rsidR="00256C91" w:rsidRDefault="00256C91" w:rsidP="003B0859">
      <w:pPr>
        <w:pStyle w:val="SingleTxt"/>
        <w:numPr>
          <w:ilvl w:val="0"/>
          <w:numId w:val="15"/>
        </w:numPr>
        <w:suppressAutoHyphens w:val="0"/>
        <w:ind w:left="1267"/>
        <w:rPr>
          <w:lang w:eastAsia="es-ES"/>
        </w:rPr>
      </w:pPr>
      <w:r>
        <w:rPr>
          <w:lang w:eastAsia="es-ES"/>
        </w:rPr>
        <w:t>La Comisión cuenta con dos divisiones principales: la División de Reforma Legislativa y la División de Servicios Institucionales. La principal actividad de la institución es la reforma legislativa, que entraña tareas de investigación jurídica, desarrollo legislativo, examen de las leyes, redacción de textos legislativos y educación cívica. La División de Servicios Institucionales proporciona servicios de apoyo en relación con la administración general y la gestión de los recursos humanos.</w:t>
      </w:r>
    </w:p>
    <w:p w:rsidR="00256C91" w:rsidRDefault="00256C91" w:rsidP="003B0859">
      <w:pPr>
        <w:pStyle w:val="SingleTxt"/>
        <w:numPr>
          <w:ilvl w:val="0"/>
          <w:numId w:val="15"/>
        </w:numPr>
        <w:suppressAutoHyphens w:val="0"/>
        <w:ind w:left="1267"/>
        <w:rPr>
          <w:lang w:eastAsia="es-ES"/>
        </w:rPr>
      </w:pPr>
      <w:r>
        <w:rPr>
          <w:lang w:eastAsia="es-ES"/>
        </w:rPr>
        <w:t>Con arreglo a lo dispuesto en la Ley de la Comisión Jurídica, la Comisión p</w:t>
      </w:r>
      <w:r w:rsidR="00541103">
        <w:rPr>
          <w:lang w:eastAsia="es-ES"/>
        </w:rPr>
        <w:t>u</w:t>
      </w:r>
      <w:r>
        <w:rPr>
          <w:lang w:eastAsia="es-ES"/>
        </w:rPr>
        <w:t>blica, de vez en cuando, su programa de trabajo para un período determinado no superior a un año civil, enumerando las cuestiones que han de abordarse por orden de prioridad.</w:t>
      </w:r>
    </w:p>
    <w:p w:rsidR="00256C91" w:rsidRDefault="00256C91" w:rsidP="003B0859">
      <w:pPr>
        <w:pStyle w:val="SingleTxt"/>
        <w:numPr>
          <w:ilvl w:val="0"/>
          <w:numId w:val="15"/>
        </w:numPr>
        <w:suppressAutoHyphens w:val="0"/>
        <w:ind w:left="1267"/>
        <w:rPr>
          <w:lang w:eastAsia="es-ES"/>
        </w:rPr>
      </w:pPr>
      <w:r>
        <w:rPr>
          <w:lang w:eastAsia="es-ES"/>
        </w:rPr>
        <w:t>La Comisión Jurídica, en consulta con la Comisión de la Magistratura, nombra, de vez en cuando, a comisionados para participar en comisiones especiales en las que se lleva a cabo el proceso de revisión de las leyes en sesiones plenarias y mediante investigaciones y consultas jurídicas. La comisión especial de que se trate prepara, entonces, un informe para su publicación, en el que se indican las esferas problemáticas, la situación de la legislación en Malawi, incluidos los instrumentos internacionales, y las constataciones y recomendaciones de reforma de la comisión especial, teniendo en cuenta los resultados de las investigaciones, las aportaciones recibidas de las partes interesadas, las políticas gubernamentales pertinentes, y las tendencias legislativas en jurisdicciones extranjeras y regionales comparables.</w:t>
      </w:r>
    </w:p>
    <w:p w:rsidR="00256C91" w:rsidRDefault="00256C91" w:rsidP="003B0859">
      <w:pPr>
        <w:pStyle w:val="SingleTxt"/>
        <w:numPr>
          <w:ilvl w:val="0"/>
          <w:numId w:val="15"/>
        </w:numPr>
        <w:suppressAutoHyphens w:val="0"/>
        <w:ind w:left="1267"/>
        <w:rPr>
          <w:lang w:eastAsia="es-ES"/>
        </w:rPr>
      </w:pPr>
      <w:r>
        <w:rPr>
          <w:lang w:eastAsia="es-ES"/>
        </w:rPr>
        <w:lastRenderedPageBreak/>
        <w:t xml:space="preserve">El informe de acompañamiento de una propuesta legislativa (un proyecto de ley) se presenta al Ministro de Justicia para su publicación en nombre del Ministro en el </w:t>
      </w:r>
      <w:r w:rsidRPr="003B0859">
        <w:rPr>
          <w:i/>
          <w:lang w:eastAsia="es-ES"/>
        </w:rPr>
        <w:t>Boletín Oficial</w:t>
      </w:r>
      <w:r>
        <w:rPr>
          <w:lang w:eastAsia="es-ES"/>
        </w:rPr>
        <w:t>, y el Ministro somete al Parlamento el informe publicado. También lo somete al Gabinete y, si este aprueba las recomendaciones de la Comisión, la legislación propuesta se presenta al Parlamento como proyecto de ley del Gobierno para su promulgación.</w:t>
      </w:r>
    </w:p>
    <w:p w:rsidR="00256C91" w:rsidRDefault="00256C91" w:rsidP="003B0859">
      <w:pPr>
        <w:pStyle w:val="SingleTxt"/>
        <w:numPr>
          <w:ilvl w:val="0"/>
          <w:numId w:val="15"/>
        </w:numPr>
        <w:suppressAutoHyphens w:val="0"/>
        <w:ind w:left="1267"/>
        <w:rPr>
          <w:lang w:eastAsia="es-ES"/>
        </w:rPr>
      </w:pPr>
      <w:r>
        <w:rPr>
          <w:lang w:eastAsia="es-ES"/>
        </w:rPr>
        <w:t>En el anexo I figuran los programas de reforma legislativa emprendidos por la Comisión Jurídica desde que entró en funcionamiento en 1996.</w:t>
      </w:r>
    </w:p>
    <w:p w:rsidR="00256C91" w:rsidRDefault="00256C91" w:rsidP="00256C91">
      <w:pPr>
        <w:pStyle w:val="SingleTxt"/>
        <w:numPr>
          <w:ilvl w:val="0"/>
          <w:numId w:val="15"/>
        </w:numPr>
        <w:suppressAutoHyphens w:val="0"/>
        <w:ind w:left="1267"/>
        <w:rPr>
          <w:lang w:eastAsia="es-ES"/>
        </w:rPr>
      </w:pPr>
      <w:r>
        <w:rPr>
          <w:lang w:eastAsia="es-ES"/>
        </w:rPr>
        <w:t>Con arreglo a su programa de trabajo para 2012, la Comisión Jurídica acometerá el examen de determinadas disposiciones y leyes que suscitan inquietud, como el artículo 35 de la Ley de Policía; el artículo 10 de la Ley de Procedimiento Civil (Demandas del Gobierno o contra el Gobierno); la Ley de Tribunales Locales; los artículos 137A, 153 y 156 del Código Penal, atendiendo a las preocupaciones manifestadas en relación con esas disposiciones por distintos sectores de la sociedad. La Comisión se propone impulsar un verdadero proceso de reforma y formular, en consecuencia, recomendaciones respecto de las disposiciones y leyes mencionadas. Con arreglo al mismo programa de trabajo, la Comisión Jurídica examinará también la Ley de Prisiones a la luz de las aportaciones del Departamento de Instituciones Penitenciarias.</w:t>
      </w:r>
    </w:p>
    <w:p w:rsidR="001D5A48" w:rsidRPr="001D5A48" w:rsidRDefault="001D5A48" w:rsidP="001D5A48">
      <w:pPr>
        <w:pStyle w:val="SingleTxt"/>
        <w:suppressAutoHyphens w:val="0"/>
        <w:spacing w:after="0" w:line="120" w:lineRule="exact"/>
        <w:rPr>
          <w:sz w:val="10"/>
          <w:lang w:eastAsia="es-ES"/>
        </w:rPr>
      </w:pPr>
    </w:p>
    <w:p w:rsidR="001D5A48" w:rsidRPr="001D5A48" w:rsidRDefault="001D5A48" w:rsidP="001D5A48">
      <w:pPr>
        <w:pStyle w:val="SingleTxt"/>
        <w:suppressAutoHyphens w:val="0"/>
        <w:spacing w:after="0" w:line="120" w:lineRule="exact"/>
        <w:rPr>
          <w:sz w:val="10"/>
          <w:lang w:eastAsia="es-ES"/>
        </w:rPr>
      </w:pPr>
    </w:p>
    <w:p w:rsidR="00256C91" w:rsidRDefault="003B0859" w:rsidP="003B0859">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eastAsia="es-ES"/>
        </w:rPr>
      </w:pPr>
      <w:r>
        <w:rPr>
          <w:lang w:eastAsia="es-ES"/>
        </w:rPr>
        <w:tab/>
      </w:r>
      <w:r w:rsidR="00256C91">
        <w:rPr>
          <w:lang w:eastAsia="es-ES"/>
        </w:rPr>
        <w:t>H.</w:t>
      </w:r>
      <w:r>
        <w:rPr>
          <w:lang w:eastAsia="es-ES"/>
        </w:rPr>
        <w:tab/>
      </w:r>
      <w:r w:rsidR="00256C91">
        <w:rPr>
          <w:lang w:eastAsia="es-ES"/>
        </w:rPr>
        <w:t>Comisión Electoral</w:t>
      </w:r>
    </w:p>
    <w:p w:rsidR="00256C91" w:rsidRPr="003D6048" w:rsidRDefault="00256C91" w:rsidP="003D6048">
      <w:pPr>
        <w:pStyle w:val="SingleTxt"/>
        <w:spacing w:after="0" w:line="120" w:lineRule="exact"/>
        <w:rPr>
          <w:sz w:val="10"/>
          <w:lang w:eastAsia="es-ES"/>
        </w:rPr>
      </w:pPr>
    </w:p>
    <w:p w:rsidR="003D6048" w:rsidRPr="003B0859" w:rsidRDefault="003D6048" w:rsidP="003B0859">
      <w:pPr>
        <w:pStyle w:val="SingleTxt"/>
        <w:spacing w:after="0" w:line="120" w:lineRule="exact"/>
        <w:rPr>
          <w:sz w:val="10"/>
          <w:lang w:eastAsia="es-ES"/>
        </w:rPr>
      </w:pPr>
    </w:p>
    <w:p w:rsidR="00256C91" w:rsidRDefault="00256C91" w:rsidP="003B0859">
      <w:pPr>
        <w:pStyle w:val="SingleTxt"/>
        <w:numPr>
          <w:ilvl w:val="0"/>
          <w:numId w:val="15"/>
        </w:numPr>
        <w:suppressAutoHyphens w:val="0"/>
        <w:ind w:left="1267"/>
        <w:rPr>
          <w:lang w:eastAsia="es-ES"/>
        </w:rPr>
      </w:pPr>
      <w:r>
        <w:rPr>
          <w:lang w:eastAsia="es-ES"/>
        </w:rPr>
        <w:t>La Comisión Electoral, establecida en virtud del artículo 75 1) de la Constitución, es el órgano responsable de la celebración de las elecciones en Malawi y está presidida por un juez nombrado por la Comisión de Servicios Judiciales. En el artículo 76 2) de la Constitución se indican las siguientes funciones de la Comisión Electoral: delimitación imparcial de las circunscripciones de manera que en todas resida un número similar de electores potenciales; revisar la delimitación de las circunscripciones a intervalos de no más de cinco años con el fin de atender a las peticiones y quejas electorales relacionadas con la celebración de las elecciones; velar por el cumplimiento de las disposiciones de la presente Constitución y de cualquier otra ley del Parlamento, y realizar cualesquiera otras funciones que prescriban la Constitución o una ley del Parlamento.</w:t>
      </w:r>
    </w:p>
    <w:p w:rsidR="00256C91" w:rsidRDefault="00256C91" w:rsidP="003B0859">
      <w:pPr>
        <w:pStyle w:val="SingleTxt"/>
        <w:numPr>
          <w:ilvl w:val="0"/>
          <w:numId w:val="15"/>
        </w:numPr>
        <w:suppressAutoHyphens w:val="0"/>
        <w:ind w:left="1267"/>
        <w:rPr>
          <w:lang w:eastAsia="es-ES"/>
        </w:rPr>
      </w:pPr>
      <w:r>
        <w:rPr>
          <w:lang w:eastAsia="es-ES"/>
        </w:rPr>
        <w:t>Malawi ha celebrado cuatro elecciones parlamentarias y presidenciales desde</w:t>
      </w:r>
      <w:r w:rsidR="001D5A48">
        <w:rPr>
          <w:lang w:eastAsia="es-ES"/>
        </w:rPr>
        <w:t> </w:t>
      </w:r>
      <w:r>
        <w:rPr>
          <w:lang w:eastAsia="es-ES"/>
        </w:rPr>
        <w:t>1994. Aunque esos comicios han sido considerados, por lo general, libres y limpios, subsisten problemas relacionados con diversos aspectos del proceso electoral, como la capacidad y la independencia de la Comisión Electoral, el comportamiento de los medios públicos de radiodifusión y el uso indebido de recursos públicos durante las campañas.</w:t>
      </w:r>
    </w:p>
    <w:p w:rsidR="00256C91" w:rsidRPr="003D6048" w:rsidRDefault="00256C91" w:rsidP="003D6048">
      <w:pPr>
        <w:pStyle w:val="SingleTxt"/>
        <w:spacing w:after="0" w:line="120" w:lineRule="exact"/>
        <w:rPr>
          <w:sz w:val="10"/>
          <w:lang w:eastAsia="es-ES"/>
        </w:rPr>
      </w:pPr>
    </w:p>
    <w:p w:rsidR="003D6048" w:rsidRPr="003B0859" w:rsidRDefault="003D6048" w:rsidP="003B0859">
      <w:pPr>
        <w:pStyle w:val="SingleTxt"/>
        <w:spacing w:after="0" w:line="120" w:lineRule="exact"/>
        <w:rPr>
          <w:sz w:val="10"/>
          <w:lang w:eastAsia="es-ES"/>
        </w:rPr>
      </w:pPr>
    </w:p>
    <w:p w:rsidR="00256C91" w:rsidRDefault="003B0859" w:rsidP="003B0859">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eastAsia="es-ES"/>
        </w:rPr>
      </w:pPr>
      <w:r>
        <w:rPr>
          <w:lang w:eastAsia="es-ES"/>
        </w:rPr>
        <w:tab/>
      </w:r>
      <w:r w:rsidR="00256C91">
        <w:rPr>
          <w:lang w:eastAsia="es-ES"/>
        </w:rPr>
        <w:t>I.</w:t>
      </w:r>
      <w:r>
        <w:rPr>
          <w:lang w:eastAsia="es-ES"/>
        </w:rPr>
        <w:tab/>
      </w:r>
      <w:r w:rsidR="00256C91">
        <w:rPr>
          <w:lang w:eastAsia="es-ES"/>
        </w:rPr>
        <w:t>Servicio de Prisiones</w:t>
      </w:r>
    </w:p>
    <w:p w:rsidR="00256C91" w:rsidRPr="003D6048" w:rsidRDefault="00256C91" w:rsidP="003D6048">
      <w:pPr>
        <w:pStyle w:val="SingleTxt"/>
        <w:spacing w:after="0" w:line="120" w:lineRule="exact"/>
        <w:rPr>
          <w:sz w:val="10"/>
          <w:lang w:eastAsia="es-ES"/>
        </w:rPr>
      </w:pPr>
    </w:p>
    <w:p w:rsidR="003D6048" w:rsidRPr="003B0859" w:rsidRDefault="003D6048" w:rsidP="003B0859">
      <w:pPr>
        <w:pStyle w:val="SingleTxt"/>
        <w:spacing w:after="0" w:line="120" w:lineRule="exact"/>
        <w:rPr>
          <w:sz w:val="10"/>
          <w:lang w:eastAsia="es-ES"/>
        </w:rPr>
      </w:pPr>
    </w:p>
    <w:p w:rsidR="00256C91" w:rsidRDefault="00256C91" w:rsidP="003B0859">
      <w:pPr>
        <w:pStyle w:val="SingleTxt"/>
        <w:numPr>
          <w:ilvl w:val="0"/>
          <w:numId w:val="15"/>
        </w:numPr>
        <w:suppressAutoHyphens w:val="0"/>
        <w:ind w:left="1267"/>
        <w:rPr>
          <w:lang w:eastAsia="es-ES"/>
        </w:rPr>
      </w:pPr>
      <w:r>
        <w:rPr>
          <w:lang w:eastAsia="es-ES"/>
        </w:rPr>
        <w:t>La Constitución trata del Servicio de Prisiones en su artículo 163, de la Oficina del Comisionado Jefe de Prisiones en el artículo 164, y de la Comisión del Servicio de Prisiones y de la Inspección de Prisiones en los artículos 167 y 169 respectivamente. El Servicio de Prisiones está dirigido por el Comisionado Jefe, encargado de velar por la buena administración de las instituciones penitenciarias, la protección de los derechos humanos, el respeto de las órdenes e instrucciones judiciales y la aplicación de las normas internacionales.</w:t>
      </w:r>
    </w:p>
    <w:p w:rsidR="00256C91" w:rsidRDefault="00256C91" w:rsidP="003B0859">
      <w:pPr>
        <w:pStyle w:val="SingleTxt"/>
        <w:numPr>
          <w:ilvl w:val="0"/>
          <w:numId w:val="15"/>
        </w:numPr>
        <w:suppressAutoHyphens w:val="0"/>
        <w:ind w:left="1267"/>
        <w:rPr>
          <w:lang w:eastAsia="es-ES"/>
        </w:rPr>
      </w:pPr>
      <w:r>
        <w:rPr>
          <w:lang w:eastAsia="es-ES"/>
        </w:rPr>
        <w:t xml:space="preserve">Con arreglo al artículo 8 de la Ley de </w:t>
      </w:r>
      <w:r w:rsidR="001D5A48">
        <w:rPr>
          <w:lang w:eastAsia="es-ES"/>
        </w:rPr>
        <w:t>Prisiones</w:t>
      </w:r>
      <w:r>
        <w:rPr>
          <w:lang w:eastAsia="es-ES"/>
        </w:rPr>
        <w:t xml:space="preserve">, el Servicio de Prisiones de Malawi comprende todas las instituciones penales, los campos de trabajo, las escuelas </w:t>
      </w:r>
      <w:r>
        <w:rPr>
          <w:lang w:eastAsia="es-ES"/>
        </w:rPr>
        <w:lastRenderedPageBreak/>
        <w:t>especiales y de seguridad y otras instituciones utilizadas para alojar, mantener recluidas y rehabilitar a personas condenadas a penas de privación de libertad en todas sus formas, pero no los calabozos de las comisarías de policía. La Ley de Prisiones, por la que se rigen la administración y la estructura del Servicio de Prisiones, se promulgó en 1955 y precisa, con urgencia, de una reforma a fondo.</w:t>
      </w:r>
    </w:p>
    <w:p w:rsidR="00256C91" w:rsidRDefault="00256C91" w:rsidP="003B0859">
      <w:pPr>
        <w:pStyle w:val="SingleTxt"/>
        <w:numPr>
          <w:ilvl w:val="0"/>
          <w:numId w:val="15"/>
        </w:numPr>
        <w:suppressAutoHyphens w:val="0"/>
        <w:ind w:left="1267"/>
        <w:rPr>
          <w:lang w:eastAsia="es-ES"/>
        </w:rPr>
      </w:pPr>
      <w:r>
        <w:rPr>
          <w:lang w:eastAsia="es-ES"/>
        </w:rPr>
        <w:t>El Servicio tiene su sede en Zomba y cuenta con oficinas en las tres regiones, dirigidas por sendos comisionados regionales. Cada prisión está dirigida por un oficial encargado al que compete supervisar y controlar tanto al personal penitenciario como a los reclusos, asistido por funcionarios de prisiones responsables de diversas funciones. La Comisión del Servicio de Prisiones y la Inspección de Prisiones supervisan el funcionamiento de las instituciones penitenciarias. La principal responsabilidad del Comisionado Jefe de Prisiones es velar por la administración adecuada y eficiente de las instituciones penales dependientes del Servicio de Prisiones de Malawi. Con arreglo al artículo 2 de la Ley de Prisiones, por recluso se entiende cualquier persona, condenada o no, que se encuentre recluida en una institución penitenciaria. Recluso no condenado es cualquier persona que, sin haber sido condenada, se encuentre en situación de privación de libertad en virtud de un mandamiento o una orden judicial, de una orden de detención emitida por una persona autorizada para ello por la ley, o de una orden de un consejo de guerra.</w:t>
      </w:r>
    </w:p>
    <w:p w:rsidR="005C42D6" w:rsidRDefault="00256C91" w:rsidP="003B0859">
      <w:pPr>
        <w:pStyle w:val="SingleTxt"/>
        <w:numPr>
          <w:ilvl w:val="0"/>
          <w:numId w:val="15"/>
        </w:numPr>
        <w:suppressAutoHyphens w:val="0"/>
        <w:ind w:left="1267"/>
        <w:rPr>
          <w:lang w:eastAsia="es-ES"/>
        </w:rPr>
      </w:pPr>
      <w:r>
        <w:rPr>
          <w:lang w:eastAsia="es-ES"/>
        </w:rPr>
        <w:t xml:space="preserve">Entre los numerosos problemas que tiene planteados el Servicio de Prisiones destaca el de la capacidad. En 2010, el personal penitenciario sumaba 1.109 personas, de las que 886 eran hombres y 223 mujeres. Un indicador importante de la situación penitenciaria es la relación guardias-reclusos, que en 2005 era de 1:16. Según la encuesta de referencia de 2010, la relación era de 1:11, y los datos desglosados por género indicaban una relación más elevada entre las mujeres (1:1,4) que entre los hombres (1:13). Hay en Malawi 32 prisiones, en su mayoría construidas antes de la independencia del país. En el cuadro 3 </w:t>
      </w:r>
      <w:r w:rsidRPr="001D5A48">
        <w:rPr>
          <w:i/>
          <w:lang w:eastAsia="es-ES"/>
        </w:rPr>
        <w:t>infra</w:t>
      </w:r>
      <w:r>
        <w:rPr>
          <w:lang w:eastAsia="es-ES"/>
        </w:rPr>
        <w:t>, figuran los datos sobre prisiones, personal penitenciario y número de reclusos entre 2006 y 2010.</w:t>
      </w:r>
    </w:p>
    <w:p w:rsidR="005C42D6" w:rsidRPr="005C42D6" w:rsidRDefault="005C42D6" w:rsidP="005C42D6">
      <w:pPr>
        <w:pStyle w:val="SingleTxt"/>
        <w:suppressAutoHyphens w:val="0"/>
        <w:spacing w:after="0" w:line="120" w:lineRule="exact"/>
        <w:rPr>
          <w:sz w:val="10"/>
          <w:lang w:eastAsia="es-ES"/>
        </w:rPr>
      </w:pPr>
    </w:p>
    <w:p w:rsidR="005C42D6" w:rsidRPr="005C42D6" w:rsidRDefault="005C42D6" w:rsidP="005C42D6">
      <w:pPr>
        <w:pStyle w:val="SingleTxt"/>
        <w:suppressAutoHyphens w:val="0"/>
        <w:spacing w:after="0" w:line="120" w:lineRule="exact"/>
        <w:rPr>
          <w:sz w:val="10"/>
          <w:lang w:eastAsia="es-ES"/>
        </w:rPr>
      </w:pPr>
    </w:p>
    <w:p w:rsidR="005C42D6" w:rsidRDefault="005C42D6" w:rsidP="005C42D6">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eastAsia="es-ES"/>
        </w:rPr>
      </w:pPr>
      <w:r>
        <w:rPr>
          <w:lang w:eastAsia="es-ES"/>
        </w:rPr>
        <w:tab/>
      </w:r>
      <w:r>
        <w:rPr>
          <w:lang w:eastAsia="es-ES"/>
        </w:rPr>
        <w:tab/>
      </w:r>
      <w:r w:rsidRPr="005C42D6">
        <w:rPr>
          <w:b w:val="0"/>
          <w:lang w:eastAsia="es-ES"/>
        </w:rPr>
        <w:t>Cuadro 3</w:t>
      </w:r>
      <w:r>
        <w:rPr>
          <w:lang w:eastAsia="es-ES"/>
        </w:rPr>
        <w:br/>
        <w:t>Prisiones, personal penitenciario y reclusos, 2006 a 2010</w:t>
      </w:r>
    </w:p>
    <w:p w:rsidR="005C42D6" w:rsidRPr="005C42D6" w:rsidRDefault="005C42D6" w:rsidP="005C42D6">
      <w:pPr>
        <w:pStyle w:val="SingleTxt"/>
        <w:spacing w:after="0" w:line="120" w:lineRule="exact"/>
        <w:rPr>
          <w:sz w:val="10"/>
          <w:lang w:eastAsia="es-ES"/>
        </w:rPr>
      </w:pPr>
    </w:p>
    <w:p w:rsidR="005C42D6" w:rsidRPr="005C42D6" w:rsidRDefault="005C42D6" w:rsidP="005C42D6">
      <w:pPr>
        <w:pStyle w:val="SingleTxt"/>
        <w:spacing w:after="0" w:line="120" w:lineRule="exact"/>
        <w:rPr>
          <w:sz w:val="10"/>
          <w:lang w:eastAsia="es-ES"/>
        </w:rPr>
      </w:pPr>
    </w:p>
    <w:tbl>
      <w:tblPr>
        <w:tblW w:w="0" w:type="auto"/>
        <w:tblInd w:w="1260" w:type="dxa"/>
        <w:tblLayout w:type="fixed"/>
        <w:tblCellMar>
          <w:left w:w="0" w:type="dxa"/>
          <w:right w:w="0" w:type="dxa"/>
        </w:tblCellMar>
        <w:tblLook w:val="0000" w:firstRow="0" w:lastRow="0" w:firstColumn="0" w:lastColumn="0" w:noHBand="0" w:noVBand="0"/>
      </w:tblPr>
      <w:tblGrid>
        <w:gridCol w:w="2790"/>
        <w:gridCol w:w="1530"/>
        <w:gridCol w:w="858"/>
        <w:gridCol w:w="858"/>
        <w:gridCol w:w="858"/>
        <w:gridCol w:w="858"/>
        <w:gridCol w:w="858"/>
      </w:tblGrid>
      <w:tr w:rsidR="006E04DA" w:rsidRPr="005C42D6" w:rsidTr="006E04DA">
        <w:trPr>
          <w:tblHeader/>
        </w:trPr>
        <w:tc>
          <w:tcPr>
            <w:tcW w:w="2790" w:type="dxa"/>
            <w:tcBorders>
              <w:top w:val="single" w:sz="4" w:space="0" w:color="auto"/>
              <w:bottom w:val="single" w:sz="12" w:space="0" w:color="auto"/>
            </w:tcBorders>
            <w:shd w:val="clear" w:color="auto" w:fill="auto"/>
            <w:vAlign w:val="bottom"/>
          </w:tcPr>
          <w:p w:rsidR="005C42D6" w:rsidRPr="005C42D6" w:rsidRDefault="0050031E" w:rsidP="005C42D6">
            <w:pPr>
              <w:tabs>
                <w:tab w:val="left" w:pos="288"/>
                <w:tab w:val="left" w:pos="576"/>
                <w:tab w:val="left" w:pos="864"/>
                <w:tab w:val="left" w:pos="1152"/>
              </w:tabs>
              <w:spacing w:before="80" w:after="80" w:line="160" w:lineRule="exact"/>
              <w:ind w:right="40"/>
              <w:rPr>
                <w:i/>
                <w:sz w:val="14"/>
                <w:lang w:eastAsia="es-ES"/>
              </w:rPr>
            </w:pPr>
            <w:r>
              <w:rPr>
                <w:i/>
                <w:sz w:val="14"/>
                <w:lang w:eastAsia="es-ES"/>
              </w:rPr>
              <w:t>Indicador</w:t>
            </w:r>
          </w:p>
        </w:tc>
        <w:tc>
          <w:tcPr>
            <w:tcW w:w="1530" w:type="dxa"/>
            <w:tcBorders>
              <w:top w:val="single" w:sz="4" w:space="0" w:color="auto"/>
              <w:bottom w:val="single" w:sz="12" w:space="0" w:color="auto"/>
            </w:tcBorders>
            <w:shd w:val="clear" w:color="auto" w:fill="auto"/>
            <w:vAlign w:val="bottom"/>
          </w:tcPr>
          <w:p w:rsidR="005C42D6" w:rsidRPr="005C42D6" w:rsidRDefault="0050031E" w:rsidP="003D6048">
            <w:pPr>
              <w:tabs>
                <w:tab w:val="left" w:pos="288"/>
                <w:tab w:val="left" w:pos="576"/>
                <w:tab w:val="left" w:pos="864"/>
                <w:tab w:val="left" w:pos="1152"/>
              </w:tabs>
              <w:spacing w:before="80" w:after="80" w:line="160" w:lineRule="exact"/>
              <w:ind w:right="40"/>
              <w:rPr>
                <w:i/>
                <w:sz w:val="14"/>
                <w:lang w:eastAsia="es-ES"/>
              </w:rPr>
            </w:pPr>
            <w:r>
              <w:rPr>
                <w:i/>
                <w:sz w:val="14"/>
                <w:lang w:eastAsia="es-ES"/>
              </w:rPr>
              <w:t>Unidad</w:t>
            </w:r>
          </w:p>
        </w:tc>
        <w:tc>
          <w:tcPr>
            <w:tcW w:w="858" w:type="dxa"/>
            <w:tcBorders>
              <w:top w:val="single" w:sz="4" w:space="0" w:color="auto"/>
              <w:bottom w:val="single" w:sz="12" w:space="0" w:color="auto"/>
            </w:tcBorders>
            <w:shd w:val="clear" w:color="auto" w:fill="auto"/>
            <w:vAlign w:val="bottom"/>
          </w:tcPr>
          <w:p w:rsidR="005C42D6" w:rsidRPr="005C42D6" w:rsidRDefault="0050031E" w:rsidP="005C42D6">
            <w:pPr>
              <w:tabs>
                <w:tab w:val="left" w:pos="288"/>
                <w:tab w:val="left" w:pos="576"/>
                <w:tab w:val="left" w:pos="864"/>
                <w:tab w:val="left" w:pos="1152"/>
              </w:tabs>
              <w:spacing w:before="80" w:after="80" w:line="160" w:lineRule="exact"/>
              <w:ind w:right="40"/>
              <w:jc w:val="right"/>
              <w:rPr>
                <w:i/>
                <w:sz w:val="14"/>
                <w:lang w:eastAsia="es-ES"/>
              </w:rPr>
            </w:pPr>
            <w:r>
              <w:rPr>
                <w:i/>
                <w:sz w:val="14"/>
                <w:lang w:eastAsia="es-ES"/>
              </w:rPr>
              <w:t>2006</w:t>
            </w:r>
          </w:p>
        </w:tc>
        <w:tc>
          <w:tcPr>
            <w:tcW w:w="858" w:type="dxa"/>
            <w:tcBorders>
              <w:top w:val="single" w:sz="4" w:space="0" w:color="auto"/>
              <w:bottom w:val="single" w:sz="12" w:space="0" w:color="auto"/>
            </w:tcBorders>
            <w:shd w:val="clear" w:color="auto" w:fill="auto"/>
            <w:vAlign w:val="bottom"/>
          </w:tcPr>
          <w:p w:rsidR="005C42D6" w:rsidRPr="005C42D6" w:rsidRDefault="0050031E" w:rsidP="005C42D6">
            <w:pPr>
              <w:tabs>
                <w:tab w:val="left" w:pos="288"/>
                <w:tab w:val="left" w:pos="576"/>
                <w:tab w:val="left" w:pos="864"/>
                <w:tab w:val="left" w:pos="1152"/>
              </w:tabs>
              <w:spacing w:before="80" w:after="80" w:line="160" w:lineRule="exact"/>
              <w:ind w:right="40"/>
              <w:jc w:val="right"/>
              <w:rPr>
                <w:i/>
                <w:sz w:val="14"/>
                <w:lang w:eastAsia="es-ES"/>
              </w:rPr>
            </w:pPr>
            <w:r>
              <w:rPr>
                <w:i/>
                <w:sz w:val="14"/>
                <w:lang w:eastAsia="es-ES"/>
              </w:rPr>
              <w:t>2007</w:t>
            </w:r>
          </w:p>
        </w:tc>
        <w:tc>
          <w:tcPr>
            <w:tcW w:w="858" w:type="dxa"/>
            <w:tcBorders>
              <w:top w:val="single" w:sz="4" w:space="0" w:color="auto"/>
              <w:bottom w:val="single" w:sz="12" w:space="0" w:color="auto"/>
            </w:tcBorders>
            <w:shd w:val="clear" w:color="auto" w:fill="auto"/>
            <w:vAlign w:val="bottom"/>
          </w:tcPr>
          <w:p w:rsidR="005C42D6" w:rsidRPr="005C42D6" w:rsidRDefault="0050031E" w:rsidP="005C42D6">
            <w:pPr>
              <w:tabs>
                <w:tab w:val="left" w:pos="288"/>
                <w:tab w:val="left" w:pos="576"/>
                <w:tab w:val="left" w:pos="864"/>
                <w:tab w:val="left" w:pos="1152"/>
              </w:tabs>
              <w:spacing w:before="80" w:after="80" w:line="160" w:lineRule="exact"/>
              <w:ind w:right="40"/>
              <w:jc w:val="right"/>
              <w:rPr>
                <w:i/>
                <w:sz w:val="14"/>
                <w:lang w:eastAsia="es-ES"/>
              </w:rPr>
            </w:pPr>
            <w:r>
              <w:rPr>
                <w:i/>
                <w:sz w:val="14"/>
                <w:lang w:eastAsia="es-ES"/>
              </w:rPr>
              <w:t>2008</w:t>
            </w:r>
          </w:p>
        </w:tc>
        <w:tc>
          <w:tcPr>
            <w:tcW w:w="858" w:type="dxa"/>
            <w:tcBorders>
              <w:top w:val="single" w:sz="4" w:space="0" w:color="auto"/>
              <w:bottom w:val="single" w:sz="12" w:space="0" w:color="auto"/>
            </w:tcBorders>
            <w:shd w:val="clear" w:color="auto" w:fill="auto"/>
            <w:vAlign w:val="bottom"/>
          </w:tcPr>
          <w:p w:rsidR="005C42D6" w:rsidRPr="005C42D6" w:rsidRDefault="0050031E" w:rsidP="005C42D6">
            <w:pPr>
              <w:tabs>
                <w:tab w:val="left" w:pos="288"/>
                <w:tab w:val="left" w:pos="576"/>
                <w:tab w:val="left" w:pos="864"/>
                <w:tab w:val="left" w:pos="1152"/>
              </w:tabs>
              <w:spacing w:before="80" w:after="80" w:line="160" w:lineRule="exact"/>
              <w:ind w:right="40"/>
              <w:jc w:val="right"/>
              <w:rPr>
                <w:i/>
                <w:sz w:val="14"/>
                <w:lang w:eastAsia="es-ES"/>
              </w:rPr>
            </w:pPr>
            <w:r>
              <w:rPr>
                <w:i/>
                <w:sz w:val="14"/>
                <w:lang w:eastAsia="es-ES"/>
              </w:rPr>
              <w:t>2009</w:t>
            </w:r>
          </w:p>
        </w:tc>
        <w:tc>
          <w:tcPr>
            <w:tcW w:w="858" w:type="dxa"/>
            <w:tcBorders>
              <w:top w:val="single" w:sz="4" w:space="0" w:color="auto"/>
              <w:bottom w:val="single" w:sz="12" w:space="0" w:color="auto"/>
            </w:tcBorders>
            <w:shd w:val="clear" w:color="auto" w:fill="auto"/>
            <w:vAlign w:val="bottom"/>
          </w:tcPr>
          <w:p w:rsidR="005C42D6" w:rsidRPr="005C42D6" w:rsidRDefault="0050031E" w:rsidP="005C42D6">
            <w:pPr>
              <w:tabs>
                <w:tab w:val="left" w:pos="288"/>
                <w:tab w:val="left" w:pos="576"/>
                <w:tab w:val="left" w:pos="864"/>
                <w:tab w:val="left" w:pos="1152"/>
              </w:tabs>
              <w:spacing w:before="80" w:after="80" w:line="160" w:lineRule="exact"/>
              <w:ind w:right="40"/>
              <w:jc w:val="right"/>
              <w:rPr>
                <w:i/>
                <w:sz w:val="14"/>
                <w:lang w:eastAsia="es-ES"/>
              </w:rPr>
            </w:pPr>
            <w:r>
              <w:rPr>
                <w:i/>
                <w:sz w:val="14"/>
                <w:lang w:eastAsia="es-ES"/>
              </w:rPr>
              <w:t>2010</w:t>
            </w:r>
          </w:p>
        </w:tc>
      </w:tr>
      <w:tr w:rsidR="006E04DA" w:rsidRPr="005C42D6" w:rsidTr="006E04DA">
        <w:trPr>
          <w:trHeight w:hRule="exact" w:val="115"/>
          <w:tblHeader/>
        </w:trPr>
        <w:tc>
          <w:tcPr>
            <w:tcW w:w="2790" w:type="dxa"/>
            <w:tcBorders>
              <w:top w:val="single" w:sz="12" w:space="0" w:color="auto"/>
            </w:tcBorders>
            <w:shd w:val="clear" w:color="auto" w:fill="auto"/>
            <w:vAlign w:val="bottom"/>
          </w:tcPr>
          <w:p w:rsidR="005C42D6" w:rsidRPr="005C42D6" w:rsidRDefault="005C42D6" w:rsidP="005C42D6">
            <w:pPr>
              <w:tabs>
                <w:tab w:val="left" w:pos="288"/>
                <w:tab w:val="left" w:pos="576"/>
                <w:tab w:val="left" w:pos="864"/>
                <w:tab w:val="left" w:pos="1152"/>
              </w:tabs>
              <w:spacing w:before="40" w:after="40" w:line="210" w:lineRule="exact"/>
              <w:ind w:right="40"/>
              <w:rPr>
                <w:sz w:val="17"/>
                <w:lang w:eastAsia="es-ES"/>
              </w:rPr>
            </w:pPr>
          </w:p>
        </w:tc>
        <w:tc>
          <w:tcPr>
            <w:tcW w:w="1530" w:type="dxa"/>
            <w:tcBorders>
              <w:top w:val="single" w:sz="12" w:space="0" w:color="auto"/>
            </w:tcBorders>
            <w:shd w:val="clear" w:color="auto" w:fill="auto"/>
            <w:vAlign w:val="bottom"/>
          </w:tcPr>
          <w:p w:rsidR="005C42D6" w:rsidRPr="005C42D6" w:rsidRDefault="005C42D6" w:rsidP="003D6048">
            <w:pPr>
              <w:tabs>
                <w:tab w:val="left" w:pos="288"/>
                <w:tab w:val="left" w:pos="576"/>
                <w:tab w:val="left" w:pos="864"/>
                <w:tab w:val="left" w:pos="1152"/>
              </w:tabs>
              <w:spacing w:before="40" w:after="40" w:line="210" w:lineRule="exact"/>
              <w:ind w:right="40"/>
              <w:rPr>
                <w:sz w:val="17"/>
                <w:lang w:eastAsia="es-ES"/>
              </w:rPr>
            </w:pPr>
          </w:p>
        </w:tc>
        <w:tc>
          <w:tcPr>
            <w:tcW w:w="858" w:type="dxa"/>
            <w:tcBorders>
              <w:top w:val="single" w:sz="12" w:space="0" w:color="auto"/>
            </w:tcBorders>
            <w:shd w:val="clear" w:color="auto" w:fill="auto"/>
            <w:vAlign w:val="bottom"/>
          </w:tcPr>
          <w:p w:rsidR="005C42D6" w:rsidRPr="005C42D6" w:rsidRDefault="005C42D6" w:rsidP="005C42D6">
            <w:pPr>
              <w:tabs>
                <w:tab w:val="left" w:pos="288"/>
                <w:tab w:val="left" w:pos="576"/>
                <w:tab w:val="left" w:pos="864"/>
                <w:tab w:val="left" w:pos="1152"/>
              </w:tabs>
              <w:spacing w:before="40" w:after="40" w:line="210" w:lineRule="exact"/>
              <w:ind w:right="40"/>
              <w:jc w:val="right"/>
              <w:rPr>
                <w:sz w:val="17"/>
                <w:lang w:eastAsia="es-ES"/>
              </w:rPr>
            </w:pPr>
          </w:p>
        </w:tc>
        <w:tc>
          <w:tcPr>
            <w:tcW w:w="858" w:type="dxa"/>
            <w:tcBorders>
              <w:top w:val="single" w:sz="12" w:space="0" w:color="auto"/>
            </w:tcBorders>
            <w:shd w:val="clear" w:color="auto" w:fill="auto"/>
            <w:vAlign w:val="bottom"/>
          </w:tcPr>
          <w:p w:rsidR="005C42D6" w:rsidRPr="005C42D6" w:rsidRDefault="005C42D6" w:rsidP="005C42D6">
            <w:pPr>
              <w:tabs>
                <w:tab w:val="left" w:pos="288"/>
                <w:tab w:val="left" w:pos="576"/>
                <w:tab w:val="left" w:pos="864"/>
                <w:tab w:val="left" w:pos="1152"/>
              </w:tabs>
              <w:spacing w:before="40" w:after="40" w:line="210" w:lineRule="exact"/>
              <w:ind w:right="40"/>
              <w:jc w:val="right"/>
              <w:rPr>
                <w:sz w:val="17"/>
                <w:lang w:eastAsia="es-ES"/>
              </w:rPr>
            </w:pPr>
          </w:p>
        </w:tc>
        <w:tc>
          <w:tcPr>
            <w:tcW w:w="858" w:type="dxa"/>
            <w:tcBorders>
              <w:top w:val="single" w:sz="12" w:space="0" w:color="auto"/>
            </w:tcBorders>
            <w:shd w:val="clear" w:color="auto" w:fill="auto"/>
            <w:vAlign w:val="bottom"/>
          </w:tcPr>
          <w:p w:rsidR="005C42D6" w:rsidRPr="005C42D6" w:rsidRDefault="005C42D6" w:rsidP="005C42D6">
            <w:pPr>
              <w:tabs>
                <w:tab w:val="left" w:pos="288"/>
                <w:tab w:val="left" w:pos="576"/>
                <w:tab w:val="left" w:pos="864"/>
                <w:tab w:val="left" w:pos="1152"/>
              </w:tabs>
              <w:spacing w:before="40" w:after="40" w:line="210" w:lineRule="exact"/>
              <w:ind w:right="40"/>
              <w:jc w:val="right"/>
              <w:rPr>
                <w:sz w:val="17"/>
                <w:lang w:eastAsia="es-ES"/>
              </w:rPr>
            </w:pPr>
          </w:p>
        </w:tc>
        <w:tc>
          <w:tcPr>
            <w:tcW w:w="858" w:type="dxa"/>
            <w:tcBorders>
              <w:top w:val="single" w:sz="12" w:space="0" w:color="auto"/>
            </w:tcBorders>
            <w:shd w:val="clear" w:color="auto" w:fill="auto"/>
            <w:vAlign w:val="bottom"/>
          </w:tcPr>
          <w:p w:rsidR="005C42D6" w:rsidRPr="005C42D6" w:rsidRDefault="005C42D6" w:rsidP="005C42D6">
            <w:pPr>
              <w:tabs>
                <w:tab w:val="left" w:pos="288"/>
                <w:tab w:val="left" w:pos="576"/>
                <w:tab w:val="left" w:pos="864"/>
                <w:tab w:val="left" w:pos="1152"/>
              </w:tabs>
              <w:spacing w:before="40" w:after="40" w:line="210" w:lineRule="exact"/>
              <w:ind w:right="40"/>
              <w:jc w:val="right"/>
              <w:rPr>
                <w:sz w:val="17"/>
                <w:lang w:eastAsia="es-ES"/>
              </w:rPr>
            </w:pPr>
          </w:p>
        </w:tc>
        <w:tc>
          <w:tcPr>
            <w:tcW w:w="858" w:type="dxa"/>
            <w:tcBorders>
              <w:top w:val="single" w:sz="12" w:space="0" w:color="auto"/>
            </w:tcBorders>
            <w:shd w:val="clear" w:color="auto" w:fill="auto"/>
            <w:vAlign w:val="bottom"/>
          </w:tcPr>
          <w:p w:rsidR="005C42D6" w:rsidRPr="005C42D6" w:rsidRDefault="005C42D6" w:rsidP="005C42D6">
            <w:pPr>
              <w:tabs>
                <w:tab w:val="left" w:pos="288"/>
                <w:tab w:val="left" w:pos="576"/>
                <w:tab w:val="left" w:pos="864"/>
                <w:tab w:val="left" w:pos="1152"/>
              </w:tabs>
              <w:spacing w:before="40" w:after="40" w:line="210" w:lineRule="exact"/>
              <w:ind w:right="40"/>
              <w:jc w:val="right"/>
              <w:rPr>
                <w:sz w:val="17"/>
                <w:lang w:eastAsia="es-ES"/>
              </w:rPr>
            </w:pPr>
          </w:p>
        </w:tc>
      </w:tr>
      <w:tr w:rsidR="006E04DA" w:rsidRPr="005C42D6" w:rsidTr="006E04DA">
        <w:tc>
          <w:tcPr>
            <w:tcW w:w="2790" w:type="dxa"/>
            <w:shd w:val="clear" w:color="auto" w:fill="auto"/>
            <w:vAlign w:val="bottom"/>
          </w:tcPr>
          <w:p w:rsidR="0050031E" w:rsidRPr="005C42D6" w:rsidRDefault="0050031E" w:rsidP="005C42D6">
            <w:pPr>
              <w:tabs>
                <w:tab w:val="left" w:pos="288"/>
                <w:tab w:val="left" w:pos="576"/>
                <w:tab w:val="left" w:pos="864"/>
                <w:tab w:val="left" w:pos="1152"/>
              </w:tabs>
              <w:spacing w:before="40" w:after="40" w:line="210" w:lineRule="exact"/>
              <w:ind w:right="40"/>
              <w:rPr>
                <w:sz w:val="17"/>
                <w:lang w:eastAsia="es-ES"/>
              </w:rPr>
            </w:pPr>
            <w:r>
              <w:rPr>
                <w:sz w:val="17"/>
                <w:lang w:eastAsia="es-ES"/>
              </w:rPr>
              <w:t xml:space="preserve">Número de </w:t>
            </w:r>
            <w:r w:rsidR="00336A5E">
              <w:rPr>
                <w:sz w:val="17"/>
                <w:lang w:eastAsia="es-ES"/>
              </w:rPr>
              <w:t>prisiones</w:t>
            </w:r>
            <w:r>
              <w:rPr>
                <w:sz w:val="17"/>
                <w:lang w:eastAsia="es-ES"/>
              </w:rPr>
              <w:t xml:space="preserve"> e instituciones penitenciarias</w:t>
            </w:r>
          </w:p>
        </w:tc>
        <w:tc>
          <w:tcPr>
            <w:tcW w:w="1530" w:type="dxa"/>
            <w:shd w:val="clear" w:color="auto" w:fill="auto"/>
            <w:vAlign w:val="bottom"/>
          </w:tcPr>
          <w:p w:rsidR="0050031E" w:rsidRPr="005C42D6" w:rsidRDefault="0050031E" w:rsidP="003D6048">
            <w:pPr>
              <w:tabs>
                <w:tab w:val="left" w:pos="288"/>
                <w:tab w:val="left" w:pos="576"/>
                <w:tab w:val="left" w:pos="864"/>
                <w:tab w:val="left" w:pos="1152"/>
              </w:tabs>
              <w:spacing w:before="40" w:after="40" w:line="210" w:lineRule="exact"/>
              <w:ind w:right="40"/>
              <w:rPr>
                <w:sz w:val="17"/>
                <w:lang w:eastAsia="es-ES"/>
              </w:rPr>
            </w:pPr>
            <w:r>
              <w:rPr>
                <w:sz w:val="17"/>
                <w:lang w:eastAsia="es-ES"/>
              </w:rPr>
              <w:t>Número</w:t>
            </w:r>
          </w:p>
        </w:tc>
        <w:tc>
          <w:tcPr>
            <w:tcW w:w="858" w:type="dxa"/>
            <w:shd w:val="clear" w:color="auto" w:fill="auto"/>
            <w:vAlign w:val="bottom"/>
          </w:tcPr>
          <w:p w:rsidR="0050031E" w:rsidRPr="0050031E" w:rsidRDefault="0050031E" w:rsidP="00111B4D">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 xml:space="preserve">32 </w:t>
            </w:r>
          </w:p>
        </w:tc>
        <w:tc>
          <w:tcPr>
            <w:tcW w:w="858" w:type="dxa"/>
            <w:shd w:val="clear" w:color="auto" w:fill="auto"/>
            <w:vAlign w:val="bottom"/>
          </w:tcPr>
          <w:p w:rsidR="0050031E" w:rsidRPr="0050031E" w:rsidRDefault="0050031E" w:rsidP="00111B4D">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 xml:space="preserve">32 </w:t>
            </w:r>
          </w:p>
        </w:tc>
        <w:tc>
          <w:tcPr>
            <w:tcW w:w="858" w:type="dxa"/>
            <w:shd w:val="clear" w:color="auto" w:fill="auto"/>
            <w:vAlign w:val="bottom"/>
          </w:tcPr>
          <w:p w:rsidR="0050031E" w:rsidRPr="0050031E" w:rsidRDefault="0050031E" w:rsidP="00111B4D">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 xml:space="preserve">32 </w:t>
            </w:r>
          </w:p>
        </w:tc>
        <w:tc>
          <w:tcPr>
            <w:tcW w:w="858" w:type="dxa"/>
            <w:shd w:val="clear" w:color="auto" w:fill="auto"/>
            <w:vAlign w:val="bottom"/>
          </w:tcPr>
          <w:p w:rsidR="0050031E" w:rsidRPr="0050031E" w:rsidRDefault="0050031E" w:rsidP="00111B4D">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 xml:space="preserve">32 </w:t>
            </w:r>
          </w:p>
        </w:tc>
        <w:tc>
          <w:tcPr>
            <w:tcW w:w="858" w:type="dxa"/>
            <w:shd w:val="clear" w:color="auto" w:fill="auto"/>
            <w:vAlign w:val="bottom"/>
          </w:tcPr>
          <w:p w:rsidR="0050031E" w:rsidRPr="0050031E" w:rsidRDefault="0050031E" w:rsidP="00111B4D">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 xml:space="preserve">32 </w:t>
            </w:r>
          </w:p>
        </w:tc>
      </w:tr>
      <w:tr w:rsidR="006E04DA" w:rsidRPr="005C42D6" w:rsidTr="006E04DA">
        <w:tc>
          <w:tcPr>
            <w:tcW w:w="2790" w:type="dxa"/>
            <w:shd w:val="clear" w:color="auto" w:fill="auto"/>
            <w:vAlign w:val="bottom"/>
          </w:tcPr>
          <w:p w:rsidR="0050031E" w:rsidRPr="005C42D6" w:rsidRDefault="0050031E" w:rsidP="005C42D6">
            <w:pPr>
              <w:tabs>
                <w:tab w:val="left" w:pos="288"/>
                <w:tab w:val="left" w:pos="576"/>
                <w:tab w:val="left" w:pos="864"/>
                <w:tab w:val="left" w:pos="1152"/>
              </w:tabs>
              <w:spacing w:before="40" w:after="40" w:line="210" w:lineRule="exact"/>
              <w:ind w:right="40"/>
              <w:rPr>
                <w:sz w:val="17"/>
                <w:lang w:eastAsia="es-ES"/>
              </w:rPr>
            </w:pPr>
            <w:r>
              <w:rPr>
                <w:sz w:val="17"/>
                <w:lang w:eastAsia="es-ES"/>
              </w:rPr>
              <w:t>Número de funcionarios de prisiones</w:t>
            </w:r>
          </w:p>
        </w:tc>
        <w:tc>
          <w:tcPr>
            <w:tcW w:w="1530" w:type="dxa"/>
            <w:shd w:val="clear" w:color="auto" w:fill="auto"/>
            <w:vAlign w:val="bottom"/>
          </w:tcPr>
          <w:p w:rsidR="0050031E" w:rsidRPr="005C42D6" w:rsidRDefault="0050031E" w:rsidP="003D6048">
            <w:pPr>
              <w:tabs>
                <w:tab w:val="left" w:pos="288"/>
                <w:tab w:val="left" w:pos="576"/>
                <w:tab w:val="left" w:pos="864"/>
                <w:tab w:val="left" w:pos="1152"/>
              </w:tabs>
              <w:spacing w:before="40" w:after="40" w:line="210" w:lineRule="exact"/>
              <w:ind w:right="40"/>
              <w:rPr>
                <w:sz w:val="17"/>
                <w:lang w:eastAsia="es-ES"/>
              </w:rPr>
            </w:pPr>
            <w:r>
              <w:rPr>
                <w:sz w:val="17"/>
                <w:lang w:eastAsia="es-ES"/>
              </w:rPr>
              <w:t>Total</w:t>
            </w:r>
          </w:p>
        </w:tc>
        <w:tc>
          <w:tcPr>
            <w:tcW w:w="858" w:type="dxa"/>
            <w:shd w:val="clear" w:color="auto" w:fill="auto"/>
            <w:vAlign w:val="bottom"/>
          </w:tcPr>
          <w:p w:rsidR="0050031E" w:rsidRPr="0050031E" w:rsidRDefault="0050031E" w:rsidP="00111B4D">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 xml:space="preserve">763 </w:t>
            </w:r>
          </w:p>
        </w:tc>
        <w:tc>
          <w:tcPr>
            <w:tcW w:w="858" w:type="dxa"/>
            <w:shd w:val="clear" w:color="auto" w:fill="auto"/>
            <w:vAlign w:val="bottom"/>
          </w:tcPr>
          <w:p w:rsidR="0050031E" w:rsidRPr="0050031E" w:rsidRDefault="0050031E" w:rsidP="00111B4D">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 xml:space="preserve">791 </w:t>
            </w:r>
          </w:p>
        </w:tc>
        <w:tc>
          <w:tcPr>
            <w:tcW w:w="858" w:type="dxa"/>
            <w:shd w:val="clear" w:color="auto" w:fill="auto"/>
            <w:vAlign w:val="bottom"/>
          </w:tcPr>
          <w:p w:rsidR="0050031E" w:rsidRPr="0050031E" w:rsidRDefault="0050031E" w:rsidP="00111B4D">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 xml:space="preserve">855 </w:t>
            </w:r>
          </w:p>
        </w:tc>
        <w:tc>
          <w:tcPr>
            <w:tcW w:w="858" w:type="dxa"/>
            <w:shd w:val="clear" w:color="auto" w:fill="auto"/>
            <w:vAlign w:val="bottom"/>
          </w:tcPr>
          <w:p w:rsidR="0050031E" w:rsidRPr="0050031E" w:rsidRDefault="0050031E" w:rsidP="001D5A48">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1</w:t>
            </w:r>
            <w:r w:rsidR="001D5A48">
              <w:rPr>
                <w:sz w:val="17"/>
                <w:lang w:eastAsia="es-ES"/>
              </w:rPr>
              <w:t xml:space="preserve"> </w:t>
            </w:r>
            <w:r w:rsidRPr="0050031E">
              <w:rPr>
                <w:sz w:val="17"/>
                <w:lang w:eastAsia="es-ES"/>
              </w:rPr>
              <w:t xml:space="preserve">002 </w:t>
            </w:r>
          </w:p>
        </w:tc>
        <w:tc>
          <w:tcPr>
            <w:tcW w:w="858" w:type="dxa"/>
            <w:shd w:val="clear" w:color="auto" w:fill="auto"/>
            <w:vAlign w:val="bottom"/>
          </w:tcPr>
          <w:p w:rsidR="0050031E" w:rsidRPr="0050031E" w:rsidRDefault="0050031E" w:rsidP="001D5A48">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1</w:t>
            </w:r>
            <w:r w:rsidR="001D5A48">
              <w:rPr>
                <w:sz w:val="17"/>
                <w:lang w:eastAsia="es-ES"/>
              </w:rPr>
              <w:t xml:space="preserve"> </w:t>
            </w:r>
            <w:r w:rsidRPr="0050031E">
              <w:rPr>
                <w:sz w:val="17"/>
                <w:lang w:eastAsia="es-ES"/>
              </w:rPr>
              <w:t xml:space="preserve">109 </w:t>
            </w:r>
          </w:p>
        </w:tc>
      </w:tr>
      <w:tr w:rsidR="006E04DA" w:rsidRPr="005C42D6" w:rsidTr="006E04DA">
        <w:tc>
          <w:tcPr>
            <w:tcW w:w="2790" w:type="dxa"/>
            <w:shd w:val="clear" w:color="auto" w:fill="auto"/>
            <w:vAlign w:val="bottom"/>
          </w:tcPr>
          <w:p w:rsidR="00EE1A49" w:rsidRDefault="00EE1A49" w:rsidP="005C42D6">
            <w:pPr>
              <w:tabs>
                <w:tab w:val="left" w:pos="288"/>
                <w:tab w:val="left" w:pos="576"/>
                <w:tab w:val="left" w:pos="864"/>
                <w:tab w:val="left" w:pos="1152"/>
              </w:tabs>
              <w:spacing w:before="40" w:after="40" w:line="210" w:lineRule="exact"/>
              <w:ind w:right="40"/>
              <w:rPr>
                <w:sz w:val="17"/>
                <w:lang w:eastAsia="es-ES"/>
              </w:rPr>
            </w:pPr>
          </w:p>
        </w:tc>
        <w:tc>
          <w:tcPr>
            <w:tcW w:w="1530" w:type="dxa"/>
            <w:shd w:val="clear" w:color="auto" w:fill="auto"/>
            <w:vAlign w:val="bottom"/>
          </w:tcPr>
          <w:p w:rsidR="00EE1A49" w:rsidRPr="005C42D6" w:rsidRDefault="00EE1A49" w:rsidP="003D6048">
            <w:pPr>
              <w:tabs>
                <w:tab w:val="left" w:pos="288"/>
                <w:tab w:val="left" w:pos="576"/>
                <w:tab w:val="left" w:pos="864"/>
                <w:tab w:val="left" w:pos="1152"/>
              </w:tabs>
              <w:spacing w:before="40" w:after="40" w:line="210" w:lineRule="exact"/>
              <w:ind w:right="40"/>
              <w:rPr>
                <w:sz w:val="17"/>
                <w:lang w:eastAsia="es-ES"/>
              </w:rPr>
            </w:pPr>
            <w:r>
              <w:rPr>
                <w:sz w:val="17"/>
                <w:lang w:eastAsia="es-ES"/>
              </w:rPr>
              <w:t xml:space="preserve">Hombres </w:t>
            </w:r>
          </w:p>
        </w:tc>
        <w:tc>
          <w:tcPr>
            <w:tcW w:w="858" w:type="dxa"/>
            <w:shd w:val="clear" w:color="auto" w:fill="auto"/>
            <w:vAlign w:val="bottom"/>
          </w:tcPr>
          <w:p w:rsidR="00EE1A49" w:rsidRPr="0050031E" w:rsidRDefault="00EE1A49" w:rsidP="00111B4D">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 xml:space="preserve">623 </w:t>
            </w:r>
          </w:p>
        </w:tc>
        <w:tc>
          <w:tcPr>
            <w:tcW w:w="858" w:type="dxa"/>
            <w:shd w:val="clear" w:color="auto" w:fill="auto"/>
            <w:vAlign w:val="bottom"/>
          </w:tcPr>
          <w:p w:rsidR="00EE1A49" w:rsidRPr="0050031E" w:rsidRDefault="00EE1A49" w:rsidP="00111B4D">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 xml:space="preserve">630 </w:t>
            </w:r>
          </w:p>
        </w:tc>
        <w:tc>
          <w:tcPr>
            <w:tcW w:w="858" w:type="dxa"/>
            <w:shd w:val="clear" w:color="auto" w:fill="auto"/>
            <w:vAlign w:val="bottom"/>
          </w:tcPr>
          <w:p w:rsidR="00EE1A49" w:rsidRPr="0050031E" w:rsidRDefault="00EE1A49" w:rsidP="00111B4D">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 xml:space="preserve">689 </w:t>
            </w:r>
          </w:p>
        </w:tc>
        <w:tc>
          <w:tcPr>
            <w:tcW w:w="858" w:type="dxa"/>
            <w:shd w:val="clear" w:color="auto" w:fill="auto"/>
            <w:vAlign w:val="bottom"/>
          </w:tcPr>
          <w:p w:rsidR="00EE1A49" w:rsidRPr="0050031E" w:rsidRDefault="00EE1A49" w:rsidP="00111B4D">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 xml:space="preserve">812 </w:t>
            </w:r>
          </w:p>
        </w:tc>
        <w:tc>
          <w:tcPr>
            <w:tcW w:w="858" w:type="dxa"/>
            <w:shd w:val="clear" w:color="auto" w:fill="auto"/>
            <w:vAlign w:val="bottom"/>
          </w:tcPr>
          <w:p w:rsidR="00EE1A49" w:rsidRPr="0050031E" w:rsidRDefault="00EE1A49" w:rsidP="00111B4D">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 xml:space="preserve">886 </w:t>
            </w:r>
          </w:p>
        </w:tc>
      </w:tr>
      <w:tr w:rsidR="006E04DA" w:rsidRPr="005C42D6" w:rsidTr="006E04DA">
        <w:tc>
          <w:tcPr>
            <w:tcW w:w="2790" w:type="dxa"/>
            <w:shd w:val="clear" w:color="auto" w:fill="auto"/>
            <w:vAlign w:val="bottom"/>
          </w:tcPr>
          <w:p w:rsidR="00EE1A49" w:rsidRDefault="00EE1A49" w:rsidP="005C42D6">
            <w:pPr>
              <w:tabs>
                <w:tab w:val="left" w:pos="288"/>
                <w:tab w:val="left" w:pos="576"/>
                <w:tab w:val="left" w:pos="864"/>
                <w:tab w:val="left" w:pos="1152"/>
              </w:tabs>
              <w:spacing w:before="40" w:after="40" w:line="210" w:lineRule="exact"/>
              <w:ind w:right="40"/>
              <w:rPr>
                <w:sz w:val="17"/>
                <w:lang w:eastAsia="es-ES"/>
              </w:rPr>
            </w:pPr>
          </w:p>
        </w:tc>
        <w:tc>
          <w:tcPr>
            <w:tcW w:w="1530" w:type="dxa"/>
            <w:shd w:val="clear" w:color="auto" w:fill="auto"/>
            <w:vAlign w:val="bottom"/>
          </w:tcPr>
          <w:p w:rsidR="00EE1A49" w:rsidRPr="005C42D6" w:rsidRDefault="00EE1A49" w:rsidP="003D6048">
            <w:pPr>
              <w:tabs>
                <w:tab w:val="left" w:pos="288"/>
                <w:tab w:val="left" w:pos="576"/>
                <w:tab w:val="left" w:pos="864"/>
                <w:tab w:val="left" w:pos="1152"/>
              </w:tabs>
              <w:spacing w:before="40" w:after="40" w:line="210" w:lineRule="exact"/>
              <w:ind w:right="40"/>
              <w:rPr>
                <w:sz w:val="17"/>
                <w:lang w:eastAsia="es-ES"/>
              </w:rPr>
            </w:pPr>
            <w:r>
              <w:rPr>
                <w:sz w:val="17"/>
                <w:lang w:eastAsia="es-ES"/>
              </w:rPr>
              <w:t>Mujeres</w:t>
            </w:r>
          </w:p>
        </w:tc>
        <w:tc>
          <w:tcPr>
            <w:tcW w:w="858" w:type="dxa"/>
            <w:shd w:val="clear" w:color="auto" w:fill="auto"/>
            <w:vAlign w:val="bottom"/>
          </w:tcPr>
          <w:p w:rsidR="00EE1A49" w:rsidRPr="0050031E" w:rsidRDefault="00EE1A49" w:rsidP="00111B4D">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 xml:space="preserve">140 </w:t>
            </w:r>
          </w:p>
        </w:tc>
        <w:tc>
          <w:tcPr>
            <w:tcW w:w="858" w:type="dxa"/>
            <w:shd w:val="clear" w:color="auto" w:fill="auto"/>
            <w:vAlign w:val="bottom"/>
          </w:tcPr>
          <w:p w:rsidR="00EE1A49" w:rsidRPr="0050031E" w:rsidRDefault="00EE1A49" w:rsidP="00111B4D">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 xml:space="preserve">161 </w:t>
            </w:r>
          </w:p>
        </w:tc>
        <w:tc>
          <w:tcPr>
            <w:tcW w:w="858" w:type="dxa"/>
            <w:shd w:val="clear" w:color="auto" w:fill="auto"/>
            <w:vAlign w:val="bottom"/>
          </w:tcPr>
          <w:p w:rsidR="00EE1A49" w:rsidRPr="0050031E" w:rsidRDefault="00EE1A49" w:rsidP="00111B4D">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 xml:space="preserve">166 </w:t>
            </w:r>
          </w:p>
        </w:tc>
        <w:tc>
          <w:tcPr>
            <w:tcW w:w="858" w:type="dxa"/>
            <w:shd w:val="clear" w:color="auto" w:fill="auto"/>
            <w:vAlign w:val="bottom"/>
          </w:tcPr>
          <w:p w:rsidR="00EE1A49" w:rsidRPr="0050031E" w:rsidRDefault="00EE1A49" w:rsidP="00111B4D">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 xml:space="preserve">190 </w:t>
            </w:r>
          </w:p>
        </w:tc>
        <w:tc>
          <w:tcPr>
            <w:tcW w:w="858" w:type="dxa"/>
            <w:shd w:val="clear" w:color="auto" w:fill="auto"/>
            <w:vAlign w:val="bottom"/>
          </w:tcPr>
          <w:p w:rsidR="00EE1A49" w:rsidRPr="0050031E" w:rsidRDefault="00EE1A49" w:rsidP="00111B4D">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 xml:space="preserve">223 </w:t>
            </w:r>
          </w:p>
        </w:tc>
      </w:tr>
      <w:tr w:rsidR="006E04DA" w:rsidRPr="005C42D6" w:rsidTr="006E04DA">
        <w:tc>
          <w:tcPr>
            <w:tcW w:w="2790" w:type="dxa"/>
            <w:shd w:val="clear" w:color="auto" w:fill="auto"/>
            <w:vAlign w:val="bottom"/>
          </w:tcPr>
          <w:p w:rsidR="001D7429" w:rsidRPr="005C42D6" w:rsidRDefault="001D7429" w:rsidP="005C42D6">
            <w:pPr>
              <w:tabs>
                <w:tab w:val="left" w:pos="288"/>
                <w:tab w:val="left" w:pos="576"/>
                <w:tab w:val="left" w:pos="864"/>
                <w:tab w:val="left" w:pos="1152"/>
              </w:tabs>
              <w:spacing w:before="40" w:after="40" w:line="210" w:lineRule="exact"/>
              <w:ind w:right="40"/>
              <w:rPr>
                <w:sz w:val="17"/>
                <w:lang w:eastAsia="es-ES"/>
              </w:rPr>
            </w:pPr>
            <w:r>
              <w:rPr>
                <w:sz w:val="17"/>
                <w:lang w:eastAsia="es-ES"/>
              </w:rPr>
              <w:t>Número de reclusos</w:t>
            </w:r>
          </w:p>
        </w:tc>
        <w:tc>
          <w:tcPr>
            <w:tcW w:w="1530" w:type="dxa"/>
            <w:shd w:val="clear" w:color="auto" w:fill="auto"/>
            <w:vAlign w:val="bottom"/>
          </w:tcPr>
          <w:p w:rsidR="001D7429" w:rsidRPr="005C42D6" w:rsidRDefault="001D7429" w:rsidP="003D6048">
            <w:pPr>
              <w:tabs>
                <w:tab w:val="left" w:pos="288"/>
                <w:tab w:val="left" w:pos="576"/>
                <w:tab w:val="left" w:pos="864"/>
                <w:tab w:val="left" w:pos="1152"/>
              </w:tabs>
              <w:spacing w:before="40" w:after="40" w:line="210" w:lineRule="exact"/>
              <w:ind w:right="40"/>
              <w:rPr>
                <w:sz w:val="17"/>
                <w:lang w:eastAsia="es-ES"/>
              </w:rPr>
            </w:pPr>
            <w:r>
              <w:rPr>
                <w:sz w:val="17"/>
                <w:lang w:eastAsia="es-ES"/>
              </w:rPr>
              <w:t>Condenados</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9</w:t>
            </w:r>
            <w:r>
              <w:rPr>
                <w:sz w:val="17"/>
                <w:lang w:eastAsia="es-ES"/>
              </w:rPr>
              <w:t xml:space="preserve"> </w:t>
            </w:r>
            <w:r w:rsidRPr="0050031E">
              <w:rPr>
                <w:sz w:val="17"/>
                <w:lang w:eastAsia="es-ES"/>
              </w:rPr>
              <w:t xml:space="preserve">004 </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9</w:t>
            </w:r>
            <w:r>
              <w:rPr>
                <w:sz w:val="17"/>
                <w:lang w:eastAsia="es-ES"/>
              </w:rPr>
              <w:t xml:space="preserve"> </w:t>
            </w:r>
            <w:r w:rsidRPr="0050031E">
              <w:rPr>
                <w:sz w:val="17"/>
                <w:lang w:eastAsia="es-ES"/>
              </w:rPr>
              <w:t xml:space="preserve">382 </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9</w:t>
            </w:r>
            <w:r>
              <w:rPr>
                <w:sz w:val="17"/>
                <w:lang w:eastAsia="es-ES"/>
              </w:rPr>
              <w:t xml:space="preserve"> </w:t>
            </w:r>
            <w:r w:rsidRPr="0050031E">
              <w:rPr>
                <w:sz w:val="17"/>
                <w:lang w:eastAsia="es-ES"/>
              </w:rPr>
              <w:t xml:space="preserve">567 </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9</w:t>
            </w:r>
            <w:r>
              <w:rPr>
                <w:sz w:val="17"/>
                <w:lang w:eastAsia="es-ES"/>
              </w:rPr>
              <w:t xml:space="preserve"> </w:t>
            </w:r>
            <w:r w:rsidRPr="0050031E">
              <w:rPr>
                <w:sz w:val="17"/>
                <w:lang w:eastAsia="es-ES"/>
              </w:rPr>
              <w:t xml:space="preserve">511 </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11</w:t>
            </w:r>
            <w:r>
              <w:rPr>
                <w:sz w:val="17"/>
                <w:lang w:eastAsia="es-ES"/>
              </w:rPr>
              <w:t xml:space="preserve"> </w:t>
            </w:r>
            <w:r w:rsidRPr="0050031E">
              <w:rPr>
                <w:sz w:val="17"/>
                <w:lang w:eastAsia="es-ES"/>
              </w:rPr>
              <w:t xml:space="preserve">050 </w:t>
            </w:r>
          </w:p>
        </w:tc>
      </w:tr>
      <w:tr w:rsidR="006E04DA" w:rsidRPr="005C42D6" w:rsidTr="006E04DA">
        <w:tc>
          <w:tcPr>
            <w:tcW w:w="2790" w:type="dxa"/>
            <w:shd w:val="clear" w:color="auto" w:fill="auto"/>
            <w:vAlign w:val="bottom"/>
          </w:tcPr>
          <w:p w:rsidR="001D7429" w:rsidRPr="005C42D6" w:rsidRDefault="001D7429" w:rsidP="005C42D6">
            <w:pPr>
              <w:tabs>
                <w:tab w:val="left" w:pos="288"/>
                <w:tab w:val="left" w:pos="576"/>
                <w:tab w:val="left" w:pos="864"/>
                <w:tab w:val="left" w:pos="1152"/>
              </w:tabs>
              <w:spacing w:before="40" w:after="40" w:line="210" w:lineRule="exact"/>
              <w:ind w:right="40"/>
              <w:rPr>
                <w:sz w:val="17"/>
                <w:lang w:eastAsia="es-ES"/>
              </w:rPr>
            </w:pPr>
          </w:p>
        </w:tc>
        <w:tc>
          <w:tcPr>
            <w:tcW w:w="1530" w:type="dxa"/>
            <w:shd w:val="clear" w:color="auto" w:fill="auto"/>
            <w:vAlign w:val="bottom"/>
          </w:tcPr>
          <w:p w:rsidR="001D7429" w:rsidRPr="005C42D6" w:rsidRDefault="001D7429" w:rsidP="00073303">
            <w:pPr>
              <w:tabs>
                <w:tab w:val="left" w:pos="288"/>
                <w:tab w:val="left" w:pos="576"/>
                <w:tab w:val="left" w:pos="864"/>
                <w:tab w:val="left" w:pos="1152"/>
              </w:tabs>
              <w:spacing w:before="40" w:after="40" w:line="210" w:lineRule="exact"/>
              <w:ind w:right="40"/>
              <w:rPr>
                <w:sz w:val="17"/>
                <w:lang w:eastAsia="es-ES"/>
              </w:rPr>
            </w:pPr>
            <w:r>
              <w:rPr>
                <w:sz w:val="17"/>
                <w:lang w:eastAsia="es-ES"/>
              </w:rPr>
              <w:t>En espera de juicio</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3</w:t>
            </w:r>
            <w:r>
              <w:rPr>
                <w:sz w:val="17"/>
                <w:lang w:eastAsia="es-ES"/>
              </w:rPr>
              <w:t xml:space="preserve"> </w:t>
            </w:r>
            <w:r w:rsidRPr="0050031E">
              <w:rPr>
                <w:sz w:val="17"/>
                <w:lang w:eastAsia="es-ES"/>
              </w:rPr>
              <w:t xml:space="preserve">087 </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3</w:t>
            </w:r>
            <w:r>
              <w:rPr>
                <w:sz w:val="17"/>
                <w:lang w:eastAsia="es-ES"/>
              </w:rPr>
              <w:t xml:space="preserve"> </w:t>
            </w:r>
            <w:r w:rsidRPr="0050031E">
              <w:rPr>
                <w:sz w:val="17"/>
                <w:lang w:eastAsia="es-ES"/>
              </w:rPr>
              <w:t xml:space="preserve">255 </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3</w:t>
            </w:r>
            <w:r>
              <w:rPr>
                <w:sz w:val="17"/>
                <w:lang w:eastAsia="es-ES"/>
              </w:rPr>
              <w:t xml:space="preserve"> </w:t>
            </w:r>
            <w:r w:rsidRPr="0050031E">
              <w:rPr>
                <w:sz w:val="17"/>
                <w:lang w:eastAsia="es-ES"/>
              </w:rPr>
              <w:t xml:space="preserve">550 </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3</w:t>
            </w:r>
            <w:r>
              <w:rPr>
                <w:sz w:val="17"/>
                <w:lang w:eastAsia="es-ES"/>
              </w:rPr>
              <w:t xml:space="preserve"> </w:t>
            </w:r>
            <w:r w:rsidRPr="0050031E">
              <w:rPr>
                <w:sz w:val="17"/>
                <w:lang w:eastAsia="es-ES"/>
              </w:rPr>
              <w:t xml:space="preserve">787 </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3</w:t>
            </w:r>
            <w:r>
              <w:rPr>
                <w:sz w:val="17"/>
                <w:lang w:eastAsia="es-ES"/>
              </w:rPr>
              <w:t xml:space="preserve"> </w:t>
            </w:r>
            <w:r w:rsidRPr="0050031E">
              <w:rPr>
                <w:sz w:val="17"/>
                <w:lang w:eastAsia="es-ES"/>
              </w:rPr>
              <w:t xml:space="preserve">424 </w:t>
            </w:r>
          </w:p>
        </w:tc>
      </w:tr>
      <w:tr w:rsidR="006E04DA" w:rsidRPr="005C42D6" w:rsidTr="006E04DA">
        <w:tc>
          <w:tcPr>
            <w:tcW w:w="2790" w:type="dxa"/>
            <w:shd w:val="clear" w:color="auto" w:fill="auto"/>
            <w:vAlign w:val="bottom"/>
          </w:tcPr>
          <w:p w:rsidR="001D7429" w:rsidRPr="005C42D6" w:rsidRDefault="001D7429" w:rsidP="005C42D6">
            <w:pPr>
              <w:tabs>
                <w:tab w:val="left" w:pos="288"/>
                <w:tab w:val="left" w:pos="576"/>
                <w:tab w:val="left" w:pos="864"/>
                <w:tab w:val="left" w:pos="1152"/>
              </w:tabs>
              <w:spacing w:before="40" w:after="40" w:line="210" w:lineRule="exact"/>
              <w:ind w:right="40"/>
              <w:rPr>
                <w:sz w:val="17"/>
                <w:lang w:eastAsia="es-ES"/>
              </w:rPr>
            </w:pPr>
            <w:r>
              <w:rPr>
                <w:sz w:val="17"/>
                <w:lang w:eastAsia="es-ES"/>
              </w:rPr>
              <w:t>Número de reclusos condenados</w:t>
            </w:r>
          </w:p>
        </w:tc>
        <w:tc>
          <w:tcPr>
            <w:tcW w:w="1530" w:type="dxa"/>
            <w:shd w:val="clear" w:color="auto" w:fill="auto"/>
            <w:vAlign w:val="bottom"/>
          </w:tcPr>
          <w:p w:rsidR="001D7429" w:rsidRPr="005C42D6" w:rsidRDefault="001D7429" w:rsidP="003D6048">
            <w:pPr>
              <w:tabs>
                <w:tab w:val="left" w:pos="288"/>
                <w:tab w:val="left" w:pos="576"/>
                <w:tab w:val="left" w:pos="864"/>
                <w:tab w:val="left" w:pos="1152"/>
              </w:tabs>
              <w:spacing w:before="40" w:after="40" w:line="210" w:lineRule="exact"/>
              <w:ind w:right="40"/>
              <w:rPr>
                <w:sz w:val="17"/>
                <w:lang w:eastAsia="es-ES"/>
              </w:rPr>
            </w:pPr>
            <w:r>
              <w:rPr>
                <w:sz w:val="17"/>
                <w:lang w:eastAsia="es-ES"/>
              </w:rPr>
              <w:t>Total</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10</w:t>
            </w:r>
            <w:r>
              <w:rPr>
                <w:sz w:val="17"/>
                <w:lang w:eastAsia="es-ES"/>
              </w:rPr>
              <w:t xml:space="preserve"> </w:t>
            </w:r>
            <w:r w:rsidRPr="0050031E">
              <w:rPr>
                <w:sz w:val="17"/>
                <w:lang w:eastAsia="es-ES"/>
              </w:rPr>
              <w:t xml:space="preserve">078 </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10</w:t>
            </w:r>
            <w:r>
              <w:rPr>
                <w:sz w:val="17"/>
                <w:lang w:eastAsia="es-ES"/>
              </w:rPr>
              <w:t xml:space="preserve"> </w:t>
            </w:r>
            <w:r w:rsidRPr="0050031E">
              <w:rPr>
                <w:sz w:val="17"/>
                <w:lang w:eastAsia="es-ES"/>
              </w:rPr>
              <w:t xml:space="preserve">368 </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10</w:t>
            </w:r>
            <w:r>
              <w:rPr>
                <w:sz w:val="17"/>
                <w:lang w:eastAsia="es-ES"/>
              </w:rPr>
              <w:t xml:space="preserve"> </w:t>
            </w:r>
            <w:r w:rsidRPr="0050031E">
              <w:rPr>
                <w:sz w:val="17"/>
                <w:lang w:eastAsia="es-ES"/>
              </w:rPr>
              <w:t xml:space="preserve">691 </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11</w:t>
            </w:r>
            <w:r>
              <w:rPr>
                <w:sz w:val="17"/>
                <w:lang w:eastAsia="es-ES"/>
              </w:rPr>
              <w:t xml:space="preserve"> </w:t>
            </w:r>
            <w:r w:rsidRPr="0050031E">
              <w:rPr>
                <w:sz w:val="17"/>
                <w:lang w:eastAsia="es-ES"/>
              </w:rPr>
              <w:t xml:space="preserve">722 </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11</w:t>
            </w:r>
            <w:r>
              <w:rPr>
                <w:sz w:val="17"/>
                <w:lang w:eastAsia="es-ES"/>
              </w:rPr>
              <w:t xml:space="preserve"> </w:t>
            </w:r>
            <w:r w:rsidRPr="0050031E">
              <w:rPr>
                <w:sz w:val="17"/>
                <w:lang w:eastAsia="es-ES"/>
              </w:rPr>
              <w:t xml:space="preserve">864 </w:t>
            </w:r>
          </w:p>
        </w:tc>
      </w:tr>
      <w:tr w:rsidR="006E04DA" w:rsidRPr="005C42D6" w:rsidTr="006E04DA">
        <w:tc>
          <w:tcPr>
            <w:tcW w:w="2790" w:type="dxa"/>
            <w:shd w:val="clear" w:color="auto" w:fill="auto"/>
            <w:vAlign w:val="bottom"/>
          </w:tcPr>
          <w:p w:rsidR="001D7429" w:rsidRPr="005C42D6" w:rsidRDefault="001D7429" w:rsidP="005C42D6">
            <w:pPr>
              <w:tabs>
                <w:tab w:val="left" w:pos="288"/>
                <w:tab w:val="left" w:pos="576"/>
                <w:tab w:val="left" w:pos="864"/>
                <w:tab w:val="left" w:pos="1152"/>
              </w:tabs>
              <w:spacing w:before="40" w:after="40" w:line="210" w:lineRule="exact"/>
              <w:ind w:right="40"/>
              <w:rPr>
                <w:sz w:val="17"/>
                <w:lang w:eastAsia="es-ES"/>
              </w:rPr>
            </w:pPr>
          </w:p>
        </w:tc>
        <w:tc>
          <w:tcPr>
            <w:tcW w:w="1530" w:type="dxa"/>
            <w:shd w:val="clear" w:color="auto" w:fill="auto"/>
            <w:vAlign w:val="bottom"/>
          </w:tcPr>
          <w:p w:rsidR="001D7429" w:rsidRPr="005C42D6" w:rsidRDefault="001D7429" w:rsidP="003D6048">
            <w:pPr>
              <w:tabs>
                <w:tab w:val="left" w:pos="288"/>
                <w:tab w:val="left" w:pos="576"/>
                <w:tab w:val="left" w:pos="864"/>
                <w:tab w:val="left" w:pos="1152"/>
              </w:tabs>
              <w:spacing w:before="40" w:after="40" w:line="210" w:lineRule="exact"/>
              <w:ind w:right="40"/>
              <w:rPr>
                <w:sz w:val="17"/>
                <w:lang w:eastAsia="es-ES"/>
              </w:rPr>
            </w:pPr>
            <w:r>
              <w:rPr>
                <w:sz w:val="17"/>
                <w:lang w:eastAsia="es-ES"/>
              </w:rPr>
              <w:t>Hombres</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9</w:t>
            </w:r>
            <w:r>
              <w:rPr>
                <w:sz w:val="17"/>
                <w:lang w:eastAsia="es-ES"/>
              </w:rPr>
              <w:t xml:space="preserve"> </w:t>
            </w:r>
            <w:r w:rsidRPr="0050031E">
              <w:rPr>
                <w:sz w:val="17"/>
                <w:lang w:eastAsia="es-ES"/>
              </w:rPr>
              <w:t xml:space="preserve">912 </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10</w:t>
            </w:r>
            <w:r>
              <w:rPr>
                <w:sz w:val="17"/>
                <w:lang w:eastAsia="es-ES"/>
              </w:rPr>
              <w:t xml:space="preserve"> </w:t>
            </w:r>
            <w:r w:rsidRPr="0050031E">
              <w:rPr>
                <w:sz w:val="17"/>
                <w:lang w:eastAsia="es-ES"/>
              </w:rPr>
              <w:t xml:space="preserve">187 </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10</w:t>
            </w:r>
            <w:r>
              <w:rPr>
                <w:sz w:val="17"/>
                <w:lang w:eastAsia="es-ES"/>
              </w:rPr>
              <w:t xml:space="preserve"> </w:t>
            </w:r>
            <w:r w:rsidRPr="0050031E">
              <w:rPr>
                <w:sz w:val="17"/>
                <w:lang w:eastAsia="es-ES"/>
              </w:rPr>
              <w:t xml:space="preserve">481 </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11</w:t>
            </w:r>
            <w:r>
              <w:rPr>
                <w:sz w:val="17"/>
                <w:lang w:eastAsia="es-ES"/>
              </w:rPr>
              <w:t xml:space="preserve"> </w:t>
            </w:r>
            <w:r w:rsidRPr="0050031E">
              <w:rPr>
                <w:sz w:val="17"/>
                <w:lang w:eastAsia="es-ES"/>
              </w:rPr>
              <w:t xml:space="preserve">452 </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11</w:t>
            </w:r>
            <w:r>
              <w:rPr>
                <w:sz w:val="17"/>
                <w:lang w:eastAsia="es-ES"/>
              </w:rPr>
              <w:t xml:space="preserve"> </w:t>
            </w:r>
            <w:r w:rsidRPr="0050031E">
              <w:rPr>
                <w:sz w:val="17"/>
                <w:lang w:eastAsia="es-ES"/>
              </w:rPr>
              <w:t xml:space="preserve">558 </w:t>
            </w:r>
          </w:p>
        </w:tc>
      </w:tr>
      <w:tr w:rsidR="006E04DA" w:rsidRPr="005C42D6" w:rsidTr="006E04DA">
        <w:tc>
          <w:tcPr>
            <w:tcW w:w="2790" w:type="dxa"/>
            <w:shd w:val="clear" w:color="auto" w:fill="auto"/>
            <w:vAlign w:val="bottom"/>
          </w:tcPr>
          <w:p w:rsidR="001D7429" w:rsidRPr="005C42D6" w:rsidRDefault="001D7429" w:rsidP="005C42D6">
            <w:pPr>
              <w:tabs>
                <w:tab w:val="left" w:pos="288"/>
                <w:tab w:val="left" w:pos="576"/>
                <w:tab w:val="left" w:pos="864"/>
                <w:tab w:val="left" w:pos="1152"/>
              </w:tabs>
              <w:spacing w:before="40" w:after="40" w:line="210" w:lineRule="exact"/>
              <w:ind w:right="40"/>
              <w:rPr>
                <w:sz w:val="17"/>
                <w:lang w:eastAsia="es-ES"/>
              </w:rPr>
            </w:pPr>
          </w:p>
        </w:tc>
        <w:tc>
          <w:tcPr>
            <w:tcW w:w="1530" w:type="dxa"/>
            <w:shd w:val="clear" w:color="auto" w:fill="auto"/>
            <w:vAlign w:val="bottom"/>
          </w:tcPr>
          <w:p w:rsidR="001D7429" w:rsidRPr="005C42D6" w:rsidRDefault="001D7429" w:rsidP="003D6048">
            <w:pPr>
              <w:tabs>
                <w:tab w:val="left" w:pos="288"/>
                <w:tab w:val="left" w:pos="576"/>
                <w:tab w:val="left" w:pos="864"/>
                <w:tab w:val="left" w:pos="1152"/>
              </w:tabs>
              <w:spacing w:before="40" w:after="40" w:line="210" w:lineRule="exact"/>
              <w:ind w:right="40"/>
              <w:rPr>
                <w:sz w:val="17"/>
                <w:lang w:eastAsia="es-ES"/>
              </w:rPr>
            </w:pPr>
            <w:r>
              <w:rPr>
                <w:sz w:val="17"/>
                <w:lang w:eastAsia="es-ES"/>
              </w:rPr>
              <w:t>Mujeres</w:t>
            </w:r>
          </w:p>
        </w:tc>
        <w:tc>
          <w:tcPr>
            <w:tcW w:w="858" w:type="dxa"/>
            <w:shd w:val="clear" w:color="auto" w:fill="auto"/>
            <w:vAlign w:val="bottom"/>
          </w:tcPr>
          <w:p w:rsidR="001D7429" w:rsidRPr="0050031E" w:rsidRDefault="001D7429" w:rsidP="00111B4D">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 xml:space="preserve">166 </w:t>
            </w:r>
          </w:p>
        </w:tc>
        <w:tc>
          <w:tcPr>
            <w:tcW w:w="858" w:type="dxa"/>
            <w:shd w:val="clear" w:color="auto" w:fill="auto"/>
            <w:vAlign w:val="bottom"/>
          </w:tcPr>
          <w:p w:rsidR="001D7429" w:rsidRPr="0050031E" w:rsidRDefault="001D7429" w:rsidP="00111B4D">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 xml:space="preserve">181 </w:t>
            </w:r>
          </w:p>
        </w:tc>
        <w:tc>
          <w:tcPr>
            <w:tcW w:w="858" w:type="dxa"/>
            <w:shd w:val="clear" w:color="auto" w:fill="auto"/>
            <w:vAlign w:val="bottom"/>
          </w:tcPr>
          <w:p w:rsidR="001D7429" w:rsidRPr="0050031E" w:rsidRDefault="001D7429" w:rsidP="00111B4D">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 xml:space="preserve">210 </w:t>
            </w:r>
          </w:p>
        </w:tc>
        <w:tc>
          <w:tcPr>
            <w:tcW w:w="858" w:type="dxa"/>
            <w:shd w:val="clear" w:color="auto" w:fill="auto"/>
            <w:vAlign w:val="bottom"/>
          </w:tcPr>
          <w:p w:rsidR="001D7429" w:rsidRPr="0050031E" w:rsidRDefault="001D7429" w:rsidP="00111B4D">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 xml:space="preserve">270 </w:t>
            </w:r>
          </w:p>
        </w:tc>
        <w:tc>
          <w:tcPr>
            <w:tcW w:w="858" w:type="dxa"/>
            <w:shd w:val="clear" w:color="auto" w:fill="auto"/>
            <w:vAlign w:val="bottom"/>
          </w:tcPr>
          <w:p w:rsidR="001D7429" w:rsidRPr="0050031E" w:rsidRDefault="001D7429" w:rsidP="00111B4D">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 xml:space="preserve">306 </w:t>
            </w:r>
          </w:p>
        </w:tc>
      </w:tr>
      <w:tr w:rsidR="006E04DA" w:rsidRPr="005C42D6" w:rsidTr="006E04DA">
        <w:tc>
          <w:tcPr>
            <w:tcW w:w="2790" w:type="dxa"/>
            <w:shd w:val="clear" w:color="auto" w:fill="auto"/>
            <w:vAlign w:val="bottom"/>
          </w:tcPr>
          <w:p w:rsidR="001D7429" w:rsidRPr="005C42D6" w:rsidRDefault="001D7429" w:rsidP="005C42D6">
            <w:pPr>
              <w:tabs>
                <w:tab w:val="left" w:pos="288"/>
                <w:tab w:val="left" w:pos="576"/>
                <w:tab w:val="left" w:pos="864"/>
                <w:tab w:val="left" w:pos="1152"/>
              </w:tabs>
              <w:spacing w:before="40" w:after="40" w:line="210" w:lineRule="exact"/>
              <w:ind w:right="40"/>
              <w:rPr>
                <w:sz w:val="17"/>
                <w:lang w:eastAsia="es-ES"/>
              </w:rPr>
            </w:pPr>
            <w:r>
              <w:rPr>
                <w:sz w:val="17"/>
                <w:lang w:eastAsia="es-ES"/>
              </w:rPr>
              <w:t>Número de reclusos por guardia</w:t>
            </w:r>
          </w:p>
        </w:tc>
        <w:tc>
          <w:tcPr>
            <w:tcW w:w="1530" w:type="dxa"/>
            <w:shd w:val="clear" w:color="auto" w:fill="auto"/>
            <w:vAlign w:val="bottom"/>
          </w:tcPr>
          <w:p w:rsidR="001D7429" w:rsidRPr="005C42D6" w:rsidRDefault="001D7429" w:rsidP="003D6048">
            <w:pPr>
              <w:tabs>
                <w:tab w:val="left" w:pos="288"/>
                <w:tab w:val="left" w:pos="576"/>
                <w:tab w:val="left" w:pos="864"/>
                <w:tab w:val="left" w:pos="1152"/>
              </w:tabs>
              <w:spacing w:before="40" w:after="40" w:line="210" w:lineRule="exact"/>
              <w:ind w:right="40"/>
              <w:rPr>
                <w:sz w:val="17"/>
                <w:lang w:eastAsia="es-ES"/>
              </w:rPr>
            </w:pPr>
            <w:r>
              <w:rPr>
                <w:sz w:val="17"/>
                <w:lang w:eastAsia="es-ES"/>
              </w:rPr>
              <w:t>Total</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13</w:t>
            </w:r>
            <w:r>
              <w:rPr>
                <w:sz w:val="17"/>
                <w:lang w:eastAsia="es-ES"/>
              </w:rPr>
              <w:t>,</w:t>
            </w:r>
            <w:r w:rsidRPr="0050031E">
              <w:rPr>
                <w:sz w:val="17"/>
                <w:lang w:eastAsia="es-ES"/>
              </w:rPr>
              <w:t xml:space="preserve">2 </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13</w:t>
            </w:r>
            <w:r>
              <w:rPr>
                <w:sz w:val="17"/>
                <w:lang w:eastAsia="es-ES"/>
              </w:rPr>
              <w:t>,</w:t>
            </w:r>
            <w:r w:rsidRPr="0050031E">
              <w:rPr>
                <w:sz w:val="17"/>
                <w:lang w:eastAsia="es-ES"/>
              </w:rPr>
              <w:t xml:space="preserve">1 </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12</w:t>
            </w:r>
            <w:r>
              <w:rPr>
                <w:sz w:val="17"/>
                <w:lang w:eastAsia="es-ES"/>
              </w:rPr>
              <w:t>,</w:t>
            </w:r>
            <w:r w:rsidRPr="0050031E">
              <w:rPr>
                <w:sz w:val="17"/>
                <w:lang w:eastAsia="es-ES"/>
              </w:rPr>
              <w:t xml:space="preserve">5 </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11</w:t>
            </w:r>
            <w:r>
              <w:rPr>
                <w:sz w:val="17"/>
                <w:lang w:eastAsia="es-ES"/>
              </w:rPr>
              <w:t>,</w:t>
            </w:r>
            <w:r w:rsidRPr="0050031E">
              <w:rPr>
                <w:sz w:val="17"/>
                <w:lang w:eastAsia="es-ES"/>
              </w:rPr>
              <w:t xml:space="preserve">7 </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10</w:t>
            </w:r>
            <w:r>
              <w:rPr>
                <w:sz w:val="17"/>
                <w:lang w:eastAsia="es-ES"/>
              </w:rPr>
              <w:t>,</w:t>
            </w:r>
            <w:r w:rsidRPr="0050031E">
              <w:rPr>
                <w:sz w:val="17"/>
                <w:lang w:eastAsia="es-ES"/>
              </w:rPr>
              <w:t xml:space="preserve">7 </w:t>
            </w:r>
          </w:p>
        </w:tc>
      </w:tr>
      <w:tr w:rsidR="006E04DA" w:rsidRPr="005C42D6" w:rsidTr="006E04DA">
        <w:tc>
          <w:tcPr>
            <w:tcW w:w="2790" w:type="dxa"/>
            <w:shd w:val="clear" w:color="auto" w:fill="auto"/>
            <w:vAlign w:val="bottom"/>
          </w:tcPr>
          <w:p w:rsidR="001D7429" w:rsidRDefault="001D7429" w:rsidP="005C42D6">
            <w:pPr>
              <w:tabs>
                <w:tab w:val="left" w:pos="288"/>
                <w:tab w:val="left" w:pos="576"/>
                <w:tab w:val="left" w:pos="864"/>
                <w:tab w:val="left" w:pos="1152"/>
              </w:tabs>
              <w:spacing w:before="40" w:after="40" w:line="210" w:lineRule="exact"/>
              <w:ind w:right="40"/>
              <w:rPr>
                <w:sz w:val="17"/>
                <w:lang w:eastAsia="es-ES"/>
              </w:rPr>
            </w:pPr>
          </w:p>
        </w:tc>
        <w:tc>
          <w:tcPr>
            <w:tcW w:w="1530" w:type="dxa"/>
            <w:shd w:val="clear" w:color="auto" w:fill="auto"/>
            <w:vAlign w:val="bottom"/>
          </w:tcPr>
          <w:p w:rsidR="001D7429" w:rsidRPr="005C42D6" w:rsidRDefault="001D7429" w:rsidP="003D6048">
            <w:pPr>
              <w:tabs>
                <w:tab w:val="left" w:pos="288"/>
                <w:tab w:val="left" w:pos="576"/>
                <w:tab w:val="left" w:pos="864"/>
                <w:tab w:val="left" w:pos="1152"/>
              </w:tabs>
              <w:spacing w:before="40" w:after="40" w:line="210" w:lineRule="exact"/>
              <w:ind w:right="40"/>
              <w:rPr>
                <w:sz w:val="17"/>
                <w:lang w:eastAsia="es-ES"/>
              </w:rPr>
            </w:pPr>
            <w:r>
              <w:rPr>
                <w:sz w:val="17"/>
                <w:lang w:eastAsia="es-ES"/>
              </w:rPr>
              <w:t>Hombres</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15</w:t>
            </w:r>
            <w:r>
              <w:rPr>
                <w:sz w:val="17"/>
                <w:lang w:eastAsia="es-ES"/>
              </w:rPr>
              <w:t>,</w:t>
            </w:r>
            <w:r w:rsidRPr="0050031E">
              <w:rPr>
                <w:sz w:val="17"/>
                <w:lang w:eastAsia="es-ES"/>
              </w:rPr>
              <w:t xml:space="preserve">9 </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16</w:t>
            </w:r>
            <w:r>
              <w:rPr>
                <w:sz w:val="17"/>
                <w:lang w:eastAsia="es-ES"/>
              </w:rPr>
              <w:t>,</w:t>
            </w:r>
            <w:r w:rsidRPr="0050031E">
              <w:rPr>
                <w:sz w:val="17"/>
                <w:lang w:eastAsia="es-ES"/>
              </w:rPr>
              <w:t xml:space="preserve">2 </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15</w:t>
            </w:r>
            <w:r>
              <w:rPr>
                <w:sz w:val="17"/>
                <w:lang w:eastAsia="es-ES"/>
              </w:rPr>
              <w:t>,</w:t>
            </w:r>
            <w:r w:rsidRPr="0050031E">
              <w:rPr>
                <w:sz w:val="17"/>
                <w:lang w:eastAsia="es-ES"/>
              </w:rPr>
              <w:t xml:space="preserve">2 </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14</w:t>
            </w:r>
            <w:r>
              <w:rPr>
                <w:sz w:val="17"/>
                <w:lang w:eastAsia="es-ES"/>
              </w:rPr>
              <w:t>,</w:t>
            </w:r>
            <w:r w:rsidRPr="0050031E">
              <w:rPr>
                <w:sz w:val="17"/>
                <w:lang w:eastAsia="es-ES"/>
              </w:rPr>
              <w:t xml:space="preserve">1 </w:t>
            </w:r>
          </w:p>
        </w:tc>
        <w:tc>
          <w:tcPr>
            <w:tcW w:w="858" w:type="dxa"/>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13</w:t>
            </w:r>
            <w:r>
              <w:rPr>
                <w:sz w:val="17"/>
                <w:lang w:eastAsia="es-ES"/>
              </w:rPr>
              <w:t>,</w:t>
            </w:r>
            <w:r w:rsidRPr="0050031E">
              <w:rPr>
                <w:sz w:val="17"/>
                <w:lang w:eastAsia="es-ES"/>
              </w:rPr>
              <w:t xml:space="preserve">0 </w:t>
            </w:r>
          </w:p>
        </w:tc>
      </w:tr>
      <w:tr w:rsidR="006E04DA" w:rsidRPr="005C42D6" w:rsidTr="006E04DA">
        <w:tc>
          <w:tcPr>
            <w:tcW w:w="2790" w:type="dxa"/>
            <w:tcBorders>
              <w:bottom w:val="single" w:sz="12" w:space="0" w:color="auto"/>
            </w:tcBorders>
            <w:shd w:val="clear" w:color="auto" w:fill="auto"/>
            <w:vAlign w:val="bottom"/>
          </w:tcPr>
          <w:p w:rsidR="001D7429" w:rsidRDefault="001D7429" w:rsidP="005C42D6">
            <w:pPr>
              <w:tabs>
                <w:tab w:val="left" w:pos="288"/>
                <w:tab w:val="left" w:pos="576"/>
                <w:tab w:val="left" w:pos="864"/>
                <w:tab w:val="left" w:pos="1152"/>
              </w:tabs>
              <w:spacing w:before="40" w:after="40" w:line="210" w:lineRule="exact"/>
              <w:ind w:right="40"/>
              <w:rPr>
                <w:sz w:val="17"/>
                <w:lang w:eastAsia="es-ES"/>
              </w:rPr>
            </w:pPr>
          </w:p>
        </w:tc>
        <w:tc>
          <w:tcPr>
            <w:tcW w:w="1530" w:type="dxa"/>
            <w:tcBorders>
              <w:bottom w:val="single" w:sz="12" w:space="0" w:color="auto"/>
            </w:tcBorders>
            <w:shd w:val="clear" w:color="auto" w:fill="auto"/>
            <w:vAlign w:val="bottom"/>
          </w:tcPr>
          <w:p w:rsidR="001D7429" w:rsidRPr="005C42D6" w:rsidRDefault="001D7429" w:rsidP="003D6048">
            <w:pPr>
              <w:tabs>
                <w:tab w:val="left" w:pos="288"/>
                <w:tab w:val="left" w:pos="576"/>
                <w:tab w:val="left" w:pos="864"/>
                <w:tab w:val="left" w:pos="1152"/>
              </w:tabs>
              <w:spacing w:before="40" w:after="40" w:line="210" w:lineRule="exact"/>
              <w:ind w:right="40"/>
              <w:rPr>
                <w:sz w:val="17"/>
                <w:lang w:eastAsia="es-ES"/>
              </w:rPr>
            </w:pPr>
            <w:r>
              <w:rPr>
                <w:sz w:val="17"/>
                <w:lang w:eastAsia="es-ES"/>
              </w:rPr>
              <w:t>Mujeres</w:t>
            </w:r>
          </w:p>
        </w:tc>
        <w:tc>
          <w:tcPr>
            <w:tcW w:w="858" w:type="dxa"/>
            <w:tcBorders>
              <w:bottom w:val="single" w:sz="12" w:space="0" w:color="auto"/>
            </w:tcBorders>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1</w:t>
            </w:r>
            <w:r>
              <w:rPr>
                <w:sz w:val="17"/>
                <w:lang w:eastAsia="es-ES"/>
              </w:rPr>
              <w:t>,</w:t>
            </w:r>
            <w:r w:rsidRPr="0050031E">
              <w:rPr>
                <w:sz w:val="17"/>
                <w:lang w:eastAsia="es-ES"/>
              </w:rPr>
              <w:t xml:space="preserve">2 </w:t>
            </w:r>
          </w:p>
        </w:tc>
        <w:tc>
          <w:tcPr>
            <w:tcW w:w="858" w:type="dxa"/>
            <w:tcBorders>
              <w:bottom w:val="single" w:sz="12" w:space="0" w:color="auto"/>
            </w:tcBorders>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1</w:t>
            </w:r>
            <w:r>
              <w:rPr>
                <w:sz w:val="17"/>
                <w:lang w:eastAsia="es-ES"/>
              </w:rPr>
              <w:t>,</w:t>
            </w:r>
            <w:r w:rsidRPr="0050031E">
              <w:rPr>
                <w:sz w:val="17"/>
                <w:lang w:eastAsia="es-ES"/>
              </w:rPr>
              <w:t xml:space="preserve">1 </w:t>
            </w:r>
          </w:p>
        </w:tc>
        <w:tc>
          <w:tcPr>
            <w:tcW w:w="858" w:type="dxa"/>
            <w:tcBorders>
              <w:bottom w:val="single" w:sz="12" w:space="0" w:color="auto"/>
            </w:tcBorders>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1</w:t>
            </w:r>
            <w:r>
              <w:rPr>
                <w:sz w:val="17"/>
                <w:lang w:eastAsia="es-ES"/>
              </w:rPr>
              <w:t>,</w:t>
            </w:r>
            <w:r w:rsidRPr="0050031E">
              <w:rPr>
                <w:sz w:val="17"/>
                <w:lang w:eastAsia="es-ES"/>
              </w:rPr>
              <w:t xml:space="preserve">3 </w:t>
            </w:r>
          </w:p>
        </w:tc>
        <w:tc>
          <w:tcPr>
            <w:tcW w:w="858" w:type="dxa"/>
            <w:tcBorders>
              <w:bottom w:val="single" w:sz="12" w:space="0" w:color="auto"/>
            </w:tcBorders>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1</w:t>
            </w:r>
            <w:r>
              <w:rPr>
                <w:sz w:val="17"/>
                <w:lang w:eastAsia="es-ES"/>
              </w:rPr>
              <w:t>,</w:t>
            </w:r>
            <w:r w:rsidRPr="0050031E">
              <w:rPr>
                <w:sz w:val="17"/>
                <w:lang w:eastAsia="es-ES"/>
              </w:rPr>
              <w:t xml:space="preserve">4 </w:t>
            </w:r>
          </w:p>
        </w:tc>
        <w:tc>
          <w:tcPr>
            <w:tcW w:w="858" w:type="dxa"/>
            <w:tcBorders>
              <w:bottom w:val="single" w:sz="12" w:space="0" w:color="auto"/>
            </w:tcBorders>
            <w:shd w:val="clear" w:color="auto" w:fill="auto"/>
            <w:vAlign w:val="bottom"/>
          </w:tcPr>
          <w:p w:rsidR="001D7429" w:rsidRPr="0050031E" w:rsidRDefault="001D7429" w:rsidP="001D7429">
            <w:pPr>
              <w:tabs>
                <w:tab w:val="left" w:pos="288"/>
                <w:tab w:val="left" w:pos="576"/>
                <w:tab w:val="left" w:pos="864"/>
                <w:tab w:val="left" w:pos="1152"/>
              </w:tabs>
              <w:spacing w:before="40" w:after="40" w:line="210" w:lineRule="exact"/>
              <w:ind w:right="40"/>
              <w:jc w:val="right"/>
              <w:rPr>
                <w:sz w:val="17"/>
                <w:lang w:eastAsia="es-ES"/>
              </w:rPr>
            </w:pPr>
            <w:r w:rsidRPr="0050031E">
              <w:rPr>
                <w:sz w:val="17"/>
                <w:lang w:eastAsia="es-ES"/>
              </w:rPr>
              <w:t>1</w:t>
            </w:r>
            <w:r>
              <w:rPr>
                <w:sz w:val="17"/>
                <w:lang w:eastAsia="es-ES"/>
              </w:rPr>
              <w:t>,</w:t>
            </w:r>
            <w:r w:rsidRPr="0050031E">
              <w:rPr>
                <w:sz w:val="17"/>
                <w:lang w:eastAsia="es-ES"/>
              </w:rPr>
              <w:t xml:space="preserve">4 </w:t>
            </w:r>
          </w:p>
        </w:tc>
      </w:tr>
    </w:tbl>
    <w:p w:rsidR="005C42D6" w:rsidRPr="003D6048" w:rsidRDefault="005C42D6" w:rsidP="003D6048">
      <w:pPr>
        <w:pStyle w:val="SingleTxt"/>
        <w:spacing w:after="0" w:line="120" w:lineRule="exact"/>
        <w:rPr>
          <w:sz w:val="10"/>
          <w:lang w:eastAsia="es-ES"/>
        </w:rPr>
      </w:pPr>
    </w:p>
    <w:p w:rsidR="001D7429" w:rsidRDefault="001D7429" w:rsidP="00833CA3">
      <w:pPr>
        <w:pStyle w:val="FootnoteText"/>
        <w:tabs>
          <w:tab w:val="clear" w:pos="418"/>
          <w:tab w:val="right" w:pos="1476"/>
          <w:tab w:val="left" w:pos="1548"/>
          <w:tab w:val="right" w:pos="1836"/>
          <w:tab w:val="left" w:pos="1908"/>
        </w:tabs>
        <w:ind w:left="1548" w:right="1267" w:hanging="288"/>
        <w:rPr>
          <w:lang w:eastAsia="es-ES"/>
        </w:rPr>
      </w:pPr>
      <w:r w:rsidRPr="00833CA3">
        <w:rPr>
          <w:i/>
          <w:lang w:eastAsia="es-ES"/>
        </w:rPr>
        <w:t>Fuente:</w:t>
      </w:r>
      <w:r>
        <w:rPr>
          <w:lang w:eastAsia="es-ES"/>
        </w:rPr>
        <w:t xml:space="preserve"> </w:t>
      </w:r>
      <w:r w:rsidR="001D5A48">
        <w:rPr>
          <w:lang w:eastAsia="es-ES"/>
        </w:rPr>
        <w:t>Departamento de Prisiones, 2011.</w:t>
      </w:r>
    </w:p>
    <w:p w:rsidR="005C42D6" w:rsidRPr="006E04DA" w:rsidRDefault="005C42D6" w:rsidP="006E04DA">
      <w:pPr>
        <w:pStyle w:val="SingleTxt"/>
        <w:spacing w:after="0" w:line="120" w:lineRule="exact"/>
        <w:rPr>
          <w:sz w:val="10"/>
          <w:lang w:eastAsia="es-ES"/>
        </w:rPr>
      </w:pPr>
    </w:p>
    <w:p w:rsidR="006E04DA" w:rsidRPr="001D5A48" w:rsidRDefault="006E04DA" w:rsidP="001D5A48">
      <w:pPr>
        <w:pStyle w:val="SingleTxt"/>
        <w:spacing w:after="0" w:line="120" w:lineRule="exact"/>
        <w:rPr>
          <w:sz w:val="10"/>
          <w:lang w:eastAsia="es-ES"/>
        </w:rPr>
      </w:pPr>
    </w:p>
    <w:p w:rsidR="00833CA3" w:rsidRDefault="00833CA3" w:rsidP="00833CA3">
      <w:pPr>
        <w:pStyle w:val="SingleTxt"/>
        <w:numPr>
          <w:ilvl w:val="0"/>
          <w:numId w:val="15"/>
        </w:numPr>
        <w:suppressAutoHyphens w:val="0"/>
        <w:ind w:left="1267"/>
        <w:rPr>
          <w:lang w:eastAsia="es-ES"/>
        </w:rPr>
      </w:pPr>
      <w:r>
        <w:rPr>
          <w:lang w:eastAsia="es-ES"/>
        </w:rPr>
        <w:lastRenderedPageBreak/>
        <w:t>Un problema importante del sistema penitenciario de Malawi es el hacinamiento. En su informe de 2010 sobre los derechos humanos, Amnistía Internacional resumió como sigue la situación general en las prisiones del país:</w:t>
      </w:r>
    </w:p>
    <w:p w:rsidR="00833CA3" w:rsidRDefault="00833CA3" w:rsidP="00833CA3">
      <w:pPr>
        <w:pStyle w:val="SingleTxt"/>
        <w:ind w:left="1742" w:firstLine="475"/>
        <w:rPr>
          <w:lang w:eastAsia="es-ES"/>
        </w:rPr>
      </w:pPr>
      <w:r>
        <w:rPr>
          <w:lang w:eastAsia="es-ES"/>
        </w:rPr>
        <w:tab/>
        <w:t>Las prisiones están congestionadas, y en la mayoría de las celdas se recluye al doble de presos de los inicialmente previstos. Por ejemplo, en diciembre la prisión de Maula (Región Central), construida para 700 reclusos, albergaba a alrededor de 2.200; la prisión de Zomba (Región Meridional), construida para</w:t>
      </w:r>
      <w:r w:rsidR="001D5A48">
        <w:rPr>
          <w:lang w:eastAsia="es-ES"/>
        </w:rPr>
        <w:t> </w:t>
      </w:r>
      <w:r>
        <w:rPr>
          <w:lang w:eastAsia="es-ES"/>
        </w:rPr>
        <w:t>900, a 2.176; la prisión de Chichiri, en Blantyre, construida para 700, a</w:t>
      </w:r>
      <w:r w:rsidR="001D5A48">
        <w:rPr>
          <w:lang w:eastAsia="es-ES"/>
        </w:rPr>
        <w:t> </w:t>
      </w:r>
      <w:r>
        <w:rPr>
          <w:lang w:eastAsia="es-ES"/>
        </w:rPr>
        <w:t>1.800; y la prisión de Mzuzu (Región Septentrional), construida para 200, a</w:t>
      </w:r>
      <w:r w:rsidR="001D5A48">
        <w:rPr>
          <w:lang w:eastAsia="es-ES"/>
        </w:rPr>
        <w:t> </w:t>
      </w:r>
      <w:r>
        <w:rPr>
          <w:lang w:eastAsia="es-ES"/>
        </w:rPr>
        <w:t>412. El hacinamiento dio lugar a la propagación de enfermedades infecciosas, como la tuberculosis y la sarna.</w:t>
      </w:r>
    </w:p>
    <w:p w:rsidR="00833CA3" w:rsidRDefault="00833CA3" w:rsidP="00833CA3">
      <w:pPr>
        <w:pStyle w:val="SingleTxt"/>
        <w:numPr>
          <w:ilvl w:val="0"/>
          <w:numId w:val="15"/>
        </w:numPr>
        <w:suppressAutoHyphens w:val="0"/>
        <w:ind w:left="1267"/>
        <w:rPr>
          <w:lang w:eastAsia="es-ES"/>
        </w:rPr>
      </w:pPr>
      <w:r>
        <w:rPr>
          <w:lang w:eastAsia="es-ES"/>
        </w:rPr>
        <w:t>Ante esa situación, el Gobierno ha adoptado diversas medidas, como la elaboración de un proyecto de ley de prisiones para reemplazar la actual Ley de Prisiones y ha acometido programas encaminados a la mejora general de las condiciones carcelarias. Se ha construido una prisión modelo en Mzimba, en la Región Septentrional, y se planea construir nuevas prisiones de alta seguridad en Lilongwe y Blantyre, en sustitución de las de Maula y Chichiri, ya obsoletas.</w:t>
      </w:r>
    </w:p>
    <w:p w:rsidR="00833CA3" w:rsidRPr="00EF58D0" w:rsidRDefault="00833CA3" w:rsidP="00EF58D0">
      <w:pPr>
        <w:pStyle w:val="SingleTxt"/>
        <w:spacing w:after="0" w:line="120" w:lineRule="exact"/>
        <w:rPr>
          <w:sz w:val="10"/>
          <w:lang w:eastAsia="es-ES"/>
        </w:rPr>
      </w:pPr>
    </w:p>
    <w:p w:rsidR="00EF58D0" w:rsidRPr="00833CA3" w:rsidRDefault="00EF58D0" w:rsidP="00833CA3">
      <w:pPr>
        <w:pStyle w:val="SingleTxt"/>
        <w:spacing w:after="0" w:line="120" w:lineRule="exact"/>
        <w:rPr>
          <w:sz w:val="10"/>
          <w:lang w:eastAsia="es-ES"/>
        </w:rPr>
      </w:pPr>
    </w:p>
    <w:p w:rsidR="00833CA3" w:rsidRDefault="00833CA3" w:rsidP="00833CA3">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eastAsia="es-ES"/>
        </w:rPr>
      </w:pPr>
      <w:r>
        <w:rPr>
          <w:lang w:eastAsia="es-ES"/>
        </w:rPr>
        <w:tab/>
        <w:t>J.</w:t>
      </w:r>
      <w:r>
        <w:rPr>
          <w:lang w:eastAsia="es-ES"/>
        </w:rPr>
        <w:tab/>
        <w:t>Servicio de Policía</w:t>
      </w:r>
    </w:p>
    <w:p w:rsidR="00833CA3" w:rsidRPr="00EF58D0" w:rsidRDefault="00833CA3" w:rsidP="00EF58D0">
      <w:pPr>
        <w:pStyle w:val="SingleTxt"/>
        <w:spacing w:after="0" w:line="120" w:lineRule="exact"/>
        <w:rPr>
          <w:sz w:val="10"/>
          <w:lang w:eastAsia="es-ES"/>
        </w:rPr>
      </w:pPr>
    </w:p>
    <w:p w:rsidR="00EF58D0" w:rsidRPr="00833CA3" w:rsidRDefault="00EF58D0" w:rsidP="00833CA3">
      <w:pPr>
        <w:pStyle w:val="SingleTxt"/>
        <w:spacing w:after="0" w:line="120" w:lineRule="exact"/>
        <w:rPr>
          <w:sz w:val="10"/>
          <w:lang w:eastAsia="es-ES"/>
        </w:rPr>
      </w:pPr>
    </w:p>
    <w:p w:rsidR="00833CA3" w:rsidRDefault="00833CA3" w:rsidP="00833CA3">
      <w:pPr>
        <w:pStyle w:val="SingleTxt"/>
        <w:numPr>
          <w:ilvl w:val="0"/>
          <w:numId w:val="15"/>
        </w:numPr>
        <w:suppressAutoHyphens w:val="0"/>
        <w:ind w:left="1267"/>
        <w:rPr>
          <w:lang w:eastAsia="es-ES"/>
        </w:rPr>
      </w:pPr>
      <w:r>
        <w:rPr>
          <w:lang w:eastAsia="es-ES"/>
        </w:rPr>
        <w:t>El Servicio de Policía de Malawi se estableció con arreglo al artículo 152 de la Constitución como órgano independiente del ejecutivo, con el cometido de proteger la seguridad pública y los derechos de las personas en Malawi, de conformidad con la Constitución y todas las leyes escritas del país. Está sujeto a la responsabilidad política del Ministerio de Seguridad Interior y dirigido por un Inspector General nombrado por el Presidente con la aprobación del Parlamento, con arreglo al artículo 154 2) de la Constitución. El Servicio tiene la siguiente estructura operativa:</w:t>
      </w:r>
    </w:p>
    <w:p w:rsidR="00833CA3" w:rsidRDefault="00833CA3" w:rsidP="00833CA3">
      <w:pPr>
        <w:pStyle w:val="SingleTxt"/>
        <w:rPr>
          <w:lang w:eastAsia="es-ES"/>
        </w:rPr>
      </w:pPr>
      <w:r>
        <w:rPr>
          <w:lang w:eastAsia="es-ES"/>
        </w:rPr>
        <w:tab/>
        <w:t>a)</w:t>
      </w:r>
      <w:r>
        <w:rPr>
          <w:lang w:eastAsia="es-ES"/>
        </w:rPr>
        <w:tab/>
        <w:t>Jefatura Nacional de la Policía;</w:t>
      </w:r>
    </w:p>
    <w:p w:rsidR="00833CA3" w:rsidRDefault="00833CA3" w:rsidP="00833CA3">
      <w:pPr>
        <w:pStyle w:val="SingleTxt"/>
        <w:rPr>
          <w:lang w:eastAsia="es-ES"/>
        </w:rPr>
      </w:pPr>
      <w:r>
        <w:rPr>
          <w:lang w:eastAsia="es-ES"/>
        </w:rPr>
        <w:tab/>
        <w:t>b)</w:t>
      </w:r>
      <w:r>
        <w:rPr>
          <w:lang w:eastAsia="es-ES"/>
        </w:rPr>
        <w:tab/>
        <w:t>Jefaturas regionales;</w:t>
      </w:r>
    </w:p>
    <w:p w:rsidR="00833CA3" w:rsidRDefault="00833CA3" w:rsidP="00833CA3">
      <w:pPr>
        <w:pStyle w:val="SingleTxt"/>
        <w:rPr>
          <w:lang w:eastAsia="es-ES"/>
        </w:rPr>
      </w:pPr>
      <w:r>
        <w:rPr>
          <w:lang w:eastAsia="es-ES"/>
        </w:rPr>
        <w:tab/>
        <w:t>c)</w:t>
      </w:r>
      <w:r>
        <w:rPr>
          <w:lang w:eastAsia="es-ES"/>
        </w:rPr>
        <w:tab/>
        <w:t>Comisarías;</w:t>
      </w:r>
    </w:p>
    <w:p w:rsidR="00833CA3" w:rsidRDefault="00833CA3" w:rsidP="00833CA3">
      <w:pPr>
        <w:pStyle w:val="SingleTxt"/>
        <w:rPr>
          <w:lang w:eastAsia="es-ES"/>
        </w:rPr>
      </w:pPr>
      <w:r>
        <w:rPr>
          <w:lang w:eastAsia="es-ES"/>
        </w:rPr>
        <w:tab/>
        <w:t>d)</w:t>
      </w:r>
      <w:r>
        <w:rPr>
          <w:lang w:eastAsia="es-ES"/>
        </w:rPr>
        <w:tab/>
        <w:t>Subcomisarías;</w:t>
      </w:r>
    </w:p>
    <w:p w:rsidR="00833CA3" w:rsidRDefault="00833CA3" w:rsidP="00833CA3">
      <w:pPr>
        <w:pStyle w:val="SingleTxt"/>
        <w:rPr>
          <w:lang w:eastAsia="es-ES"/>
        </w:rPr>
      </w:pPr>
      <w:r>
        <w:rPr>
          <w:lang w:eastAsia="es-ES"/>
        </w:rPr>
        <w:tab/>
        <w:t>e)</w:t>
      </w:r>
      <w:r>
        <w:rPr>
          <w:lang w:eastAsia="es-ES"/>
        </w:rPr>
        <w:tab/>
        <w:t>Puestos;</w:t>
      </w:r>
    </w:p>
    <w:p w:rsidR="00833CA3" w:rsidRDefault="00833CA3" w:rsidP="00833CA3">
      <w:pPr>
        <w:pStyle w:val="SingleTxt"/>
        <w:rPr>
          <w:lang w:eastAsia="es-ES"/>
        </w:rPr>
      </w:pPr>
      <w:r>
        <w:rPr>
          <w:lang w:eastAsia="es-ES"/>
        </w:rPr>
        <w:tab/>
        <w:t>f)</w:t>
      </w:r>
      <w:r>
        <w:rPr>
          <w:lang w:eastAsia="es-ES"/>
        </w:rPr>
        <w:tab/>
        <w:t>Unidades.</w:t>
      </w:r>
    </w:p>
    <w:p w:rsidR="00833CA3" w:rsidRDefault="00833CA3" w:rsidP="00833CA3">
      <w:pPr>
        <w:pStyle w:val="SingleTxt"/>
        <w:numPr>
          <w:ilvl w:val="0"/>
          <w:numId w:val="15"/>
        </w:numPr>
        <w:suppressAutoHyphens w:val="0"/>
        <w:ind w:left="1267"/>
        <w:rPr>
          <w:lang w:eastAsia="es-ES"/>
        </w:rPr>
      </w:pPr>
      <w:r>
        <w:rPr>
          <w:lang w:eastAsia="es-ES"/>
        </w:rPr>
        <w:t>El Servicio de Policía tiene su Jefatura Nacional en Lilongwe y cuatro oficinas regionales en el sur, el este, el centro y el norte. Cada oficina regional está a cargo de un Comisionado. En la actualidad hay en todo el país un total de 34 comisarías de policía, cada una de ellas encabezada por un oficial encargado auxiliado por un adjunto que se ocupa de las operaciones cotidianas, como la tramitación de las denuncias. Las funciones principales del Servicio de Policía de Malawi, detalladas en el artículo 4 1) de la Ley de Policía de 2010, son las de prevención, investigación y esclarecimiento de delitos, detención y enjuiciamiento de delincuentes, preservación de la ley y el orden, protección de la vida, las propiedades y los derechos y libertades fundamentales de las personas, y aplicación de todas las leyes que se encomiendan directamente a la policía.</w:t>
      </w:r>
    </w:p>
    <w:p w:rsidR="00833CA3" w:rsidRDefault="00833CA3" w:rsidP="00833CA3">
      <w:pPr>
        <w:pStyle w:val="SingleTxt"/>
        <w:numPr>
          <w:ilvl w:val="0"/>
          <w:numId w:val="15"/>
        </w:numPr>
        <w:suppressAutoHyphens w:val="0"/>
        <w:ind w:left="1267"/>
        <w:rPr>
          <w:lang w:eastAsia="es-ES"/>
        </w:rPr>
      </w:pPr>
      <w:r>
        <w:rPr>
          <w:lang w:eastAsia="es-ES"/>
        </w:rPr>
        <w:t xml:space="preserve">Es importante subrayar que el Servicio de Policía existe para proteger la vida de los ciudadanos de Malawi y garantizar el pleno disfrute de sus derechos. No se trata, por lo tanto, de un instrumento de opresión. A lo largo de la corta historia del país, se han tenido que superar dificultades para establecer un Servicio de Policía profesional y competente. Aunque en la Constitución de 1994 se definen claramente las funciones </w:t>
      </w:r>
      <w:r>
        <w:rPr>
          <w:lang w:eastAsia="es-ES"/>
        </w:rPr>
        <w:lastRenderedPageBreak/>
        <w:t xml:space="preserve">del Servicio, ha habido discrepancias entre los ideales proclamados en la ley y la realidad práctica sobre el terreno. Con la promulgación de la Ley de Policía en 2010 se buscaba introducir cambios drásticos para subsanar esas deficiencias. </w:t>
      </w:r>
    </w:p>
    <w:p w:rsidR="00833CA3" w:rsidRDefault="00833CA3" w:rsidP="00833CA3">
      <w:pPr>
        <w:pStyle w:val="SingleTxt"/>
        <w:numPr>
          <w:ilvl w:val="0"/>
          <w:numId w:val="15"/>
        </w:numPr>
        <w:suppressAutoHyphens w:val="0"/>
        <w:ind w:left="1267"/>
        <w:rPr>
          <w:lang w:eastAsia="es-ES"/>
        </w:rPr>
      </w:pPr>
      <w:r>
        <w:rPr>
          <w:lang w:eastAsia="es-ES"/>
        </w:rPr>
        <w:t>La Ley prevé el establecimiento de una Comisión de Reclamaciones de carácter independiente, que todavía no se ha constituido, encargada de investigar denuncias de brutalidad, muertes en circunstancias dudosas o casos de comportamiento indebido por parte de la policía. También ha establecido un sistema de visitantes legos, consistente en que un equipo integrado por representantes de la población local inspecciona las condiciones de detención en cada comisaría de policía. Además, en la Ley se regulan detalladamente la celebración de reuniones públicas y manifestaciones y las actividades de prevención de disturbios en los partidos de fútbol.</w:t>
      </w:r>
    </w:p>
    <w:p w:rsidR="00833CA3" w:rsidRDefault="00833CA3" w:rsidP="00833CA3">
      <w:pPr>
        <w:pStyle w:val="SingleTxt"/>
        <w:numPr>
          <w:ilvl w:val="0"/>
          <w:numId w:val="15"/>
        </w:numPr>
        <w:suppressAutoHyphens w:val="0"/>
        <w:ind w:left="1267"/>
        <w:rPr>
          <w:lang w:eastAsia="es-ES"/>
        </w:rPr>
      </w:pPr>
      <w:r>
        <w:rPr>
          <w:lang w:eastAsia="es-ES"/>
        </w:rPr>
        <w:t>Persisten muchos problemas, y ante todo el de la falta de recursos y de capacidad. Los resultados del Estudio de referencia sobre la justicia en Malawi realizado en 2010 indican que la relación entre efectivos de la policía y población sigue siendo baja, de menos de 1 agente de policía por cada 1.000 habitantes. En 2010, la relación era de 1:1.450, frente al objetivo recomendado de 1:500. La situación es peor en las zonas rurales, con una relación de 1:6.455, frente a la de 1:266 de las zonas urbanas.</w:t>
      </w:r>
    </w:p>
    <w:p w:rsidR="00833CA3" w:rsidRPr="00EF58D0" w:rsidRDefault="00833CA3" w:rsidP="00EF58D0">
      <w:pPr>
        <w:pStyle w:val="SingleTxt"/>
        <w:spacing w:after="0" w:line="120" w:lineRule="exact"/>
        <w:rPr>
          <w:sz w:val="10"/>
          <w:lang w:eastAsia="es-ES"/>
        </w:rPr>
      </w:pPr>
    </w:p>
    <w:p w:rsidR="00EF58D0" w:rsidRPr="00833CA3" w:rsidRDefault="00EF58D0" w:rsidP="00833CA3">
      <w:pPr>
        <w:pStyle w:val="SingleTxt"/>
        <w:spacing w:after="0" w:line="120" w:lineRule="exact"/>
        <w:rPr>
          <w:sz w:val="10"/>
          <w:lang w:eastAsia="es-ES"/>
        </w:rPr>
      </w:pPr>
    </w:p>
    <w:p w:rsidR="00833CA3" w:rsidRDefault="00833CA3" w:rsidP="006E04DA">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eastAsia="es-ES"/>
        </w:rPr>
      </w:pPr>
      <w:r>
        <w:rPr>
          <w:lang w:eastAsia="es-ES"/>
        </w:rPr>
        <w:tab/>
        <w:t>K.</w:t>
      </w:r>
      <w:r>
        <w:rPr>
          <w:lang w:eastAsia="es-ES"/>
        </w:rPr>
        <w:tab/>
        <w:t>Ministerio de Igualdad de Género, Protección de la Infancia</w:t>
      </w:r>
      <w:r>
        <w:rPr>
          <w:lang w:eastAsia="es-ES"/>
        </w:rPr>
        <w:br/>
        <w:t>y Asistencia Social</w:t>
      </w:r>
    </w:p>
    <w:p w:rsidR="00833CA3" w:rsidRPr="00EF58D0" w:rsidRDefault="00833CA3" w:rsidP="006E04DA">
      <w:pPr>
        <w:pStyle w:val="SingleTxt"/>
        <w:keepNext/>
        <w:keepLines/>
        <w:spacing w:after="0" w:line="120" w:lineRule="exact"/>
        <w:rPr>
          <w:sz w:val="10"/>
          <w:lang w:eastAsia="es-ES"/>
        </w:rPr>
      </w:pPr>
    </w:p>
    <w:p w:rsidR="00EF58D0" w:rsidRPr="00833CA3" w:rsidRDefault="00EF58D0" w:rsidP="006E04DA">
      <w:pPr>
        <w:pStyle w:val="SingleTxt"/>
        <w:keepNext/>
        <w:keepLines/>
        <w:spacing w:after="0" w:line="120" w:lineRule="exact"/>
        <w:rPr>
          <w:sz w:val="10"/>
          <w:lang w:eastAsia="es-ES"/>
        </w:rPr>
      </w:pPr>
    </w:p>
    <w:p w:rsidR="00833CA3" w:rsidRDefault="00833CA3" w:rsidP="00833CA3">
      <w:pPr>
        <w:pStyle w:val="SingleTxt"/>
        <w:numPr>
          <w:ilvl w:val="0"/>
          <w:numId w:val="15"/>
        </w:numPr>
        <w:suppressAutoHyphens w:val="0"/>
        <w:ind w:left="1267"/>
        <w:rPr>
          <w:lang w:eastAsia="es-ES"/>
        </w:rPr>
      </w:pPr>
      <w:r>
        <w:rPr>
          <w:lang w:eastAsia="es-ES"/>
        </w:rPr>
        <w:t xml:space="preserve">Este </w:t>
      </w:r>
      <w:r w:rsidR="001D5A48">
        <w:rPr>
          <w:lang w:eastAsia="es-ES"/>
        </w:rPr>
        <w:t xml:space="preserve">Ministerio </w:t>
      </w:r>
      <w:r>
        <w:rPr>
          <w:lang w:eastAsia="es-ES"/>
        </w:rPr>
        <w:t>es el motor que mueve la maquinaria gubernamental de aplicación de medidas relacionadas con la igualdad de género y la protección de la infancia, y se encarga de aplicar la Convención sobre la Eliminación de Todas las Formas de Discriminación contra la Mujer en nombre del Gobierno. El Ministerio tiene presencia en casi todos los distritos de Malawi. Dado que tiene un departamento encargado de asuntos de la infancia, también se encarga de la Convención sobre los Derechos del Niño. Ha sido decisivo en el establecimiento de centros de coordinación de los asuntos de igualdad de género en otros ministerios y departamentos, lo que ha aumentado su visibilidad general en el sector público. Desde su creación, el Ministerio de Igualdad de Género siempre ha estado dirigido por una ministra. En la actualidad, el Primer Secretario es una mujer que sustituyó a un hombre. Cabe señalar que el Director de Asuntos de Igualdad de Género es un hombre.</w:t>
      </w:r>
    </w:p>
    <w:p w:rsidR="00833CA3" w:rsidRPr="00EF58D0" w:rsidRDefault="00833CA3" w:rsidP="00EF58D0">
      <w:pPr>
        <w:pStyle w:val="SingleTxt"/>
        <w:spacing w:after="0" w:line="120" w:lineRule="exact"/>
        <w:rPr>
          <w:sz w:val="10"/>
          <w:lang w:eastAsia="es-ES"/>
        </w:rPr>
      </w:pPr>
    </w:p>
    <w:p w:rsidR="00EF58D0" w:rsidRPr="00833CA3" w:rsidRDefault="00EF58D0" w:rsidP="00833CA3">
      <w:pPr>
        <w:pStyle w:val="SingleTxt"/>
        <w:spacing w:after="0" w:line="120" w:lineRule="exact"/>
        <w:rPr>
          <w:sz w:val="10"/>
          <w:lang w:eastAsia="es-ES"/>
        </w:rPr>
      </w:pPr>
    </w:p>
    <w:p w:rsidR="00833CA3" w:rsidRDefault="00833CA3" w:rsidP="00833CA3">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eastAsia="es-ES"/>
        </w:rPr>
      </w:pPr>
      <w:r>
        <w:rPr>
          <w:lang w:eastAsia="es-ES"/>
        </w:rPr>
        <w:tab/>
        <w:t>L.</w:t>
      </w:r>
      <w:r>
        <w:rPr>
          <w:lang w:eastAsia="es-ES"/>
        </w:rPr>
        <w:tab/>
        <w:t>Ministerio de Justicia y Asuntos Constitucionales</w:t>
      </w:r>
    </w:p>
    <w:p w:rsidR="00833CA3" w:rsidRPr="00EF58D0" w:rsidRDefault="00833CA3" w:rsidP="00EF58D0">
      <w:pPr>
        <w:pStyle w:val="SingleTxt"/>
        <w:spacing w:after="0" w:line="120" w:lineRule="exact"/>
        <w:rPr>
          <w:sz w:val="10"/>
          <w:lang w:eastAsia="es-ES"/>
        </w:rPr>
      </w:pPr>
    </w:p>
    <w:p w:rsidR="00EF58D0" w:rsidRPr="00833CA3" w:rsidRDefault="00EF58D0" w:rsidP="00833CA3">
      <w:pPr>
        <w:pStyle w:val="SingleTxt"/>
        <w:spacing w:after="0" w:line="120" w:lineRule="exact"/>
        <w:rPr>
          <w:sz w:val="10"/>
          <w:lang w:eastAsia="es-ES"/>
        </w:rPr>
      </w:pPr>
    </w:p>
    <w:p w:rsidR="00833CA3" w:rsidRDefault="00833CA3" w:rsidP="00833CA3">
      <w:pPr>
        <w:pStyle w:val="SingleTxt"/>
        <w:numPr>
          <w:ilvl w:val="0"/>
          <w:numId w:val="15"/>
        </w:numPr>
        <w:suppressAutoHyphens w:val="0"/>
        <w:ind w:left="1267"/>
        <w:rPr>
          <w:lang w:eastAsia="es-ES"/>
        </w:rPr>
      </w:pPr>
      <w:r>
        <w:rPr>
          <w:lang w:eastAsia="es-ES"/>
        </w:rPr>
        <w:t xml:space="preserve">El Ministerio de Justicia y Asuntos Constitucionales desempeña un papel importante en el ámbito de los derechos humanos y el estado de derecho. El Ministerio estableció recientemente una Dependencia de Derechos Humanos encargada de coordinar las cuestiones relacionadas con los derechos humanos y la presentación de informes, que no dispone, sin embargo, del personal y la capacidad necesarios. La Dirección del Ministerio Público, responsable de todos los procedimientos penales, depende orgánicamente del Ministerio de Justicia. Su mandato se enuncia en los artículos 99 a 102 de la Constitución, que lo facultan para incoar, asumir, suspender y supervisar los procedimientos penales. Su Director es designado por el Presidente, con la aprobación del Comité de Nombramientos del Parlamento. La Dirección tiene el deber de garantizar que los sospechosos en causas penales gocen de todos sus derechos constitucionales, entre los que se incluye el de ser juzgados en un plazo razonable, lo que ha planteado dificultades considerables, especialmente en casos graves, como los de homicidio. En los últimos años ha mejorado algo la situación gracias al establecimiento del Grupo de Trabajo sobre Homicidios, integrado por </w:t>
      </w:r>
      <w:r>
        <w:rPr>
          <w:lang w:eastAsia="es-ES"/>
        </w:rPr>
        <w:lastRenderedPageBreak/>
        <w:t xml:space="preserve">componentes clave del sector de la justicia penal. Se han logrado, así, esclarecer 1.272 homicidios desde 2009. </w:t>
      </w:r>
    </w:p>
    <w:p w:rsidR="00833CA3" w:rsidRDefault="00833CA3" w:rsidP="00833CA3">
      <w:pPr>
        <w:pStyle w:val="SingleTxt"/>
        <w:numPr>
          <w:ilvl w:val="0"/>
          <w:numId w:val="15"/>
        </w:numPr>
        <w:suppressAutoHyphens w:val="0"/>
        <w:ind w:left="1267"/>
        <w:rPr>
          <w:lang w:eastAsia="es-ES"/>
        </w:rPr>
      </w:pPr>
      <w:r w:rsidRPr="00A10735">
        <w:rPr>
          <w:b/>
          <w:lang w:eastAsia="es-ES"/>
        </w:rPr>
        <w:t>El Departamento de Asistencia Jurídica</w:t>
      </w:r>
      <w:r>
        <w:rPr>
          <w:lang w:eastAsia="es-ES"/>
        </w:rPr>
        <w:t xml:space="preserve"> ha formado parte tradicionalmente del Ministerio de Justicia como dependencia encargada de la prestación de asistencia jurídica a los ciudadanos. La Ley de Asistencia Jurídica promulgada a principios de</w:t>
      </w:r>
      <w:r w:rsidR="001D5A48">
        <w:rPr>
          <w:lang w:eastAsia="es-ES"/>
        </w:rPr>
        <w:t> </w:t>
      </w:r>
      <w:r>
        <w:rPr>
          <w:lang w:eastAsia="es-ES"/>
        </w:rPr>
        <w:t>2011 ha modificado profundamente el entramado jurídico y organizativo de los servicios de asistencia jurídica en Malawi al disponer el establecimiento de la Oficina de Asistencia Jurídica como entidad independiente no integrada en el Ministerio de Justicia. Una vez establecida, la Oficina de Asistencia Jurídica funcionará con total independencia de cualquier persona o autoridad. La Oficina estará a cargo de un Director, asistido por un Director Adjunto. Con su establecimiento se planea subsanar las enormes lagunas que presentan los servicios de asistencia jurídica en Malawi, especialmente por las dificultades de acceso a esos servicios de las personas que más los necesitan. Por esa razón, la Oficina funcionará de forma descentralizada, con centros de asistencia jurídica repartidos por todo el país, a diferencia del Departamento de Asistencia Jurídica, que solo cuenta con oficinas en los centros urbanos de Blantyre, Lilongwe y Mzuzu.</w:t>
      </w:r>
    </w:p>
    <w:p w:rsidR="00833CA3" w:rsidRDefault="00833CA3" w:rsidP="00833CA3">
      <w:pPr>
        <w:pStyle w:val="SingleTxt"/>
        <w:numPr>
          <w:ilvl w:val="0"/>
          <w:numId w:val="15"/>
        </w:numPr>
        <w:suppressAutoHyphens w:val="0"/>
        <w:ind w:left="1267"/>
        <w:rPr>
          <w:lang w:eastAsia="es-ES"/>
        </w:rPr>
      </w:pPr>
      <w:r>
        <w:rPr>
          <w:lang w:eastAsia="es-ES"/>
        </w:rPr>
        <w:t>En el artículo 4 de la Ley se asignan a la Oficina los siguientes cometidos y funciones: prestación de asistencia jurídica, enlace y cooperación con las organizaciones de la sociedad civil y otras entidades para la prestación de asistencia jurídica, realización de investigaciones sobre diversos aspectos de la asistencia jurídica, y preparación de informes y recomendaciones al Ministro.</w:t>
      </w:r>
    </w:p>
    <w:p w:rsidR="00833CA3" w:rsidRDefault="00833CA3" w:rsidP="00833CA3">
      <w:pPr>
        <w:pStyle w:val="SingleTxt"/>
        <w:numPr>
          <w:ilvl w:val="0"/>
          <w:numId w:val="15"/>
        </w:numPr>
        <w:suppressAutoHyphens w:val="0"/>
        <w:ind w:left="1267"/>
        <w:rPr>
          <w:lang w:eastAsia="es-ES"/>
        </w:rPr>
      </w:pPr>
      <w:r>
        <w:rPr>
          <w:lang w:eastAsia="es-ES"/>
        </w:rPr>
        <w:t>La asistencia jurídica se ha definido en sentido amplio para incluir las funciones de asesoramiento jurídico, asistencia letrada, representación ante los tribunales y órganos y autoridades similares, y educación cívica e información sobre las leyes. La Oficina tiene, pues, un amplio mandato, en particular por la inclusión en él de disposiciones de educación cívica e información sobre las leyes como parte de los servicios de asistencia jurídica. También se prevé que la Oficina abra más oficinas locales por todo el país con el fin de facilitar el acceso a la asistencia jurídica. El artículo 28 de la Ley permite a la Oficina concertar lo que se denominan acuerdos de cooperación con organizaciones de la sociedad civil para la prestación de asistencia jurídica, lo que tiene gran importancia habida cuenta de la considerable presencia de las organizaciones de la sociedad civil en el sistema de justicia. Aunque ya se había observado y destacado el papel de la sociedad civil, la disposición dedicada específicamente a la cooperación entre la Oficina y las organizaciones de la sociedad civil otorga, por primera vez, a estas reconocimiento oficial en el sistema de justicia penal.</w:t>
      </w:r>
    </w:p>
    <w:p w:rsidR="00833CA3" w:rsidRDefault="00833CA3" w:rsidP="00833CA3">
      <w:pPr>
        <w:pStyle w:val="SingleTxt"/>
        <w:numPr>
          <w:ilvl w:val="0"/>
          <w:numId w:val="15"/>
        </w:numPr>
        <w:suppressAutoHyphens w:val="0"/>
        <w:ind w:left="1267"/>
        <w:rPr>
          <w:lang w:eastAsia="es-ES"/>
        </w:rPr>
      </w:pPr>
      <w:r>
        <w:rPr>
          <w:lang w:eastAsia="es-ES"/>
        </w:rPr>
        <w:t xml:space="preserve">Se establece, por ley, </w:t>
      </w:r>
      <w:r w:rsidRPr="00A10735">
        <w:rPr>
          <w:b/>
          <w:lang w:eastAsia="es-ES"/>
        </w:rPr>
        <w:t>una</w:t>
      </w:r>
      <w:r>
        <w:rPr>
          <w:lang w:eastAsia="es-ES"/>
        </w:rPr>
        <w:t xml:space="preserve"> </w:t>
      </w:r>
      <w:r w:rsidRPr="00A10735">
        <w:rPr>
          <w:b/>
          <w:lang w:eastAsia="es-ES"/>
        </w:rPr>
        <w:t>Oficina del Administrador General</w:t>
      </w:r>
      <w:r>
        <w:rPr>
          <w:lang w:eastAsia="es-ES"/>
        </w:rPr>
        <w:t>, que depende operativamente del Ministerio de Justicia y se encarga de administrar el patrimonio de las personas que hayan fallecido sin testar. La Oficina se rige, además de por la Ley del Administrador General, por la Ley del Impuesto sobre las Sucesiones y la Ley sobre la Sucesión de Personas Fallecidas (Testamentos, Herencias y Protección).</w:t>
      </w:r>
    </w:p>
    <w:p w:rsidR="00833CA3" w:rsidRDefault="00833CA3" w:rsidP="00833CA3">
      <w:pPr>
        <w:pStyle w:val="SingleTxt"/>
        <w:numPr>
          <w:ilvl w:val="0"/>
          <w:numId w:val="15"/>
        </w:numPr>
        <w:suppressAutoHyphens w:val="0"/>
        <w:ind w:left="1267"/>
        <w:rPr>
          <w:lang w:eastAsia="es-ES"/>
        </w:rPr>
      </w:pPr>
      <w:r>
        <w:rPr>
          <w:lang w:eastAsia="es-ES"/>
        </w:rPr>
        <w:t>A pesar haber sido establecida oficialmente y de contar con un mandato explícito, la Oficina tienen muchos problemas, que dan lugar a demoras en el cumplimiento de sus obligaciones. Hasta 2011, tenía su sede en Blantyre, que se halla en la Región Meridional del país, lo que provocó q</w:t>
      </w:r>
      <w:r w:rsidR="001D5A48">
        <w:rPr>
          <w:lang w:eastAsia="es-ES"/>
        </w:rPr>
        <w:t>ue</w:t>
      </w:r>
      <w:r>
        <w:rPr>
          <w:lang w:eastAsia="es-ES"/>
        </w:rPr>
        <w:t xml:space="preserve"> los beneficiarios tuvieran graves problemas de acceso. Las viudas que solían viajar hasta Blantyre para percibir las prestaciones a que tenían derecho por la muerte de sus difuntos esposos se encontraban con demoras que las obligaban a gastar el dinero que tenían para mantenerse, con lo que caían en la indigencia. Asimismo, el hecho de que los archivos no estuvieran informatizados hacía que, en numerosos casos, se perdieran datos, lo </w:t>
      </w:r>
      <w:r>
        <w:rPr>
          <w:lang w:eastAsia="es-ES"/>
        </w:rPr>
        <w:lastRenderedPageBreak/>
        <w:t>que menoscababa las probabilidades de que las personas dispusieran de esas prestaciones por muerte de familiares con puntualidad.</w:t>
      </w:r>
    </w:p>
    <w:p w:rsidR="00833CA3" w:rsidRDefault="00833CA3" w:rsidP="00833CA3">
      <w:pPr>
        <w:pStyle w:val="SingleTxt"/>
        <w:numPr>
          <w:ilvl w:val="0"/>
          <w:numId w:val="15"/>
        </w:numPr>
        <w:suppressAutoHyphens w:val="0"/>
        <w:ind w:left="1267"/>
        <w:rPr>
          <w:lang w:eastAsia="es-ES"/>
        </w:rPr>
      </w:pPr>
      <w:r>
        <w:rPr>
          <w:lang w:eastAsia="es-ES"/>
        </w:rPr>
        <w:t>Según el Administrador General, se están abordando y resolviendo esos problemas. Desde que la Oficina se trasladó a Lilongwe, ha mejorado el acceso que tienen a ella las personas procedentes de los extremos del país. Se han abierto más oficinas regionales, que han prestado asistencia a las personas con familiares fallecidos. Asimismo, la Oficina procura informatizar sus archivos, para reducir, si no erradicar, los casos de pérdida de datos y expedientes.</w:t>
      </w:r>
    </w:p>
    <w:p w:rsidR="00833CA3" w:rsidRPr="00EF58D0" w:rsidRDefault="00833CA3" w:rsidP="00EF58D0">
      <w:pPr>
        <w:pStyle w:val="SingleTxt"/>
        <w:spacing w:after="0" w:line="120" w:lineRule="exact"/>
        <w:rPr>
          <w:sz w:val="10"/>
          <w:lang w:eastAsia="es-ES"/>
        </w:rPr>
      </w:pPr>
    </w:p>
    <w:p w:rsidR="00EF58D0" w:rsidRPr="00833CA3" w:rsidRDefault="00EF58D0" w:rsidP="00833CA3">
      <w:pPr>
        <w:pStyle w:val="SingleTxt"/>
        <w:spacing w:after="0" w:line="120" w:lineRule="exact"/>
        <w:rPr>
          <w:sz w:val="10"/>
          <w:lang w:eastAsia="es-ES"/>
        </w:rPr>
      </w:pPr>
    </w:p>
    <w:p w:rsidR="00833CA3" w:rsidRDefault="00833CA3" w:rsidP="00833CA3">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eastAsia="es-ES"/>
        </w:rPr>
      </w:pPr>
      <w:r>
        <w:rPr>
          <w:lang w:eastAsia="es-ES"/>
        </w:rPr>
        <w:tab/>
        <w:t>M.</w:t>
      </w:r>
      <w:r>
        <w:rPr>
          <w:lang w:eastAsia="es-ES"/>
        </w:rPr>
        <w:tab/>
        <w:t>Sociedad civil</w:t>
      </w:r>
    </w:p>
    <w:p w:rsidR="00833CA3" w:rsidRPr="00EF58D0" w:rsidRDefault="00833CA3" w:rsidP="00EF58D0">
      <w:pPr>
        <w:pStyle w:val="SingleTxt"/>
        <w:spacing w:after="0" w:line="120" w:lineRule="exact"/>
        <w:rPr>
          <w:sz w:val="10"/>
          <w:lang w:eastAsia="es-ES"/>
        </w:rPr>
      </w:pPr>
    </w:p>
    <w:p w:rsidR="00EF58D0" w:rsidRPr="00833CA3" w:rsidRDefault="00EF58D0" w:rsidP="00833CA3">
      <w:pPr>
        <w:pStyle w:val="SingleTxt"/>
        <w:spacing w:after="0" w:line="120" w:lineRule="exact"/>
        <w:rPr>
          <w:sz w:val="10"/>
          <w:lang w:eastAsia="es-ES"/>
        </w:rPr>
      </w:pPr>
    </w:p>
    <w:p w:rsidR="00833CA3" w:rsidRDefault="00833CA3" w:rsidP="00833CA3">
      <w:pPr>
        <w:pStyle w:val="SingleTxt"/>
        <w:numPr>
          <w:ilvl w:val="0"/>
          <w:numId w:val="15"/>
        </w:numPr>
        <w:suppressAutoHyphens w:val="0"/>
        <w:ind w:left="1267"/>
        <w:rPr>
          <w:lang w:eastAsia="es-ES"/>
        </w:rPr>
      </w:pPr>
      <w:r>
        <w:rPr>
          <w:lang w:eastAsia="es-ES"/>
        </w:rPr>
        <w:t xml:space="preserve">Malawi cuenta con una dinámica sociedad civil, que ha ido adquiriendo creciente influencia en los últimos años. El funcionamiento de las organizaciones de la sociedad civil, conocidas como organizaciones no gubernamentales (ONG), se rige por la Ley de las Organizaciones No Gubernamentales (denominada en lo sucesivo Ley de las ONG) (capítulo 5:05 de las Leyes de Malawi), que se aplica a las instituciones u organizaciones constituidas para promover el bien común, con exclusión explícita de iglesias, organizaciones religiosas, partidos políticos, sindicatos y clubes sociales. Esa Ley, como marco de regulación de la actividad de las ONG, tiene por objeto promover el desarrollo y los valores de una sociedad civil dinámica e independiente, y está estructurada en torno a los tres componentes fundamentales de todo sistema de regulación de las ONG, a saber, la inscripción, la supervisión, y la detección y corrección de las prácticas indebidas. Los artículos 20 a 24 de la parte VI de la Ley de las ONG tratan del registro de las ONG en Malawi. Se establecen los siguientes requisitos para la inscripción: órgano rector y plan de actividades de la organización, fuentes de financiación, estados financieros anuales comprobados más recientes, y constancia de que la organización es miembro del Consejo de Organizaciones No Gubernamentales de Malawi (CONGOMA), que agrupa a todas las ONG del país. Con fines de supervisión y detección de las prácticas indebidas, la Ley establece la obligación de que las ONG informen sobre sus actividades a la Junta de las ONG, presenten anualmente estados financieros comprobados, revelen sus fuentes de financiación y comuniquen las actividades realizadas cada año. </w:t>
      </w:r>
    </w:p>
    <w:p w:rsidR="00833CA3" w:rsidRPr="00EF58D0" w:rsidRDefault="00833CA3" w:rsidP="00EF58D0">
      <w:pPr>
        <w:pStyle w:val="SingleTxt"/>
        <w:spacing w:after="0" w:line="120" w:lineRule="exact"/>
        <w:rPr>
          <w:sz w:val="10"/>
          <w:lang w:eastAsia="es-ES"/>
        </w:rPr>
      </w:pPr>
    </w:p>
    <w:p w:rsidR="00EF58D0" w:rsidRPr="00833CA3" w:rsidRDefault="00EF58D0" w:rsidP="00833CA3">
      <w:pPr>
        <w:pStyle w:val="SingleTxt"/>
        <w:spacing w:after="0" w:line="120" w:lineRule="exact"/>
        <w:rPr>
          <w:sz w:val="10"/>
          <w:lang w:eastAsia="es-ES"/>
        </w:rPr>
      </w:pPr>
    </w:p>
    <w:p w:rsidR="00833CA3" w:rsidRDefault="00833CA3" w:rsidP="00833CA3">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eastAsia="es-ES"/>
        </w:rPr>
      </w:pPr>
      <w:r>
        <w:rPr>
          <w:lang w:eastAsia="es-ES"/>
        </w:rPr>
        <w:tab/>
        <w:t>N.</w:t>
      </w:r>
      <w:r>
        <w:rPr>
          <w:lang w:eastAsia="es-ES"/>
        </w:rPr>
        <w:tab/>
        <w:t>Oficina de Lucha contra la Corrupción</w:t>
      </w:r>
    </w:p>
    <w:p w:rsidR="00833CA3" w:rsidRPr="00EF58D0" w:rsidRDefault="00833CA3" w:rsidP="00EF58D0">
      <w:pPr>
        <w:pStyle w:val="SingleTxt"/>
        <w:spacing w:after="0" w:line="120" w:lineRule="exact"/>
        <w:rPr>
          <w:sz w:val="10"/>
          <w:lang w:eastAsia="es-ES"/>
        </w:rPr>
      </w:pPr>
    </w:p>
    <w:p w:rsidR="00EF58D0" w:rsidRPr="00833CA3" w:rsidRDefault="00EF58D0" w:rsidP="00833CA3">
      <w:pPr>
        <w:pStyle w:val="SingleTxt"/>
        <w:spacing w:after="0" w:line="120" w:lineRule="exact"/>
        <w:rPr>
          <w:sz w:val="10"/>
          <w:lang w:eastAsia="es-ES"/>
        </w:rPr>
      </w:pPr>
    </w:p>
    <w:p w:rsidR="005C42D6" w:rsidRDefault="00833CA3" w:rsidP="00833CA3">
      <w:pPr>
        <w:pStyle w:val="SingleTxt"/>
        <w:numPr>
          <w:ilvl w:val="0"/>
          <w:numId w:val="15"/>
        </w:numPr>
        <w:suppressAutoHyphens w:val="0"/>
        <w:ind w:left="1267"/>
        <w:rPr>
          <w:lang w:eastAsia="es-ES"/>
        </w:rPr>
      </w:pPr>
      <w:r>
        <w:rPr>
          <w:lang w:eastAsia="es-ES"/>
        </w:rPr>
        <w:t>En sus esfuerzos por combatir la corrupción, el Gobierno creó, en 1998, la Oficina de Lucha contra la Corrupción como organismo estatal independiente, con el mandato de investigar los casos de corrupción, abuso de poder y otros delitos relacionados con la corrupción, e incoar las acciones judiciales correspondientes. En</w:t>
      </w:r>
      <w:r w:rsidR="001D5A48">
        <w:rPr>
          <w:lang w:eastAsia="es-ES"/>
        </w:rPr>
        <w:t> </w:t>
      </w:r>
      <w:r>
        <w:rPr>
          <w:lang w:eastAsia="es-ES"/>
        </w:rPr>
        <w:t xml:space="preserve">2005, el Gobierno anunció una política de tolerancia cero contra la corrupción. En el cuadro 4 </w:t>
      </w:r>
      <w:r w:rsidRPr="001D5A48">
        <w:rPr>
          <w:i/>
          <w:lang w:eastAsia="es-ES"/>
        </w:rPr>
        <w:t>infra</w:t>
      </w:r>
      <w:r>
        <w:rPr>
          <w:lang w:eastAsia="es-ES"/>
        </w:rPr>
        <w:t>, se muestran los casos de corrupción de los que se ha ocupado la Oficina desde 2005.</w:t>
      </w:r>
    </w:p>
    <w:p w:rsidR="00833CA3" w:rsidRPr="006321F8" w:rsidRDefault="00833CA3" w:rsidP="006321F8">
      <w:pPr>
        <w:pStyle w:val="SingleTxt"/>
        <w:suppressAutoHyphens w:val="0"/>
        <w:spacing w:after="0" w:line="120" w:lineRule="exact"/>
        <w:rPr>
          <w:sz w:val="10"/>
          <w:lang w:eastAsia="es-ES"/>
        </w:rPr>
      </w:pPr>
    </w:p>
    <w:p w:rsidR="006321F8" w:rsidRPr="006321F8" w:rsidRDefault="006321F8" w:rsidP="006321F8">
      <w:pPr>
        <w:pStyle w:val="SingleTxt"/>
        <w:suppressAutoHyphens w:val="0"/>
        <w:spacing w:after="0" w:line="120" w:lineRule="exact"/>
        <w:rPr>
          <w:sz w:val="10"/>
          <w:lang w:eastAsia="es-ES"/>
        </w:rPr>
      </w:pPr>
    </w:p>
    <w:p w:rsidR="006321F8" w:rsidRDefault="006321F8" w:rsidP="006321F8">
      <w:pPr>
        <w:pStyle w:val="H23"/>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eastAsia="es-ES"/>
        </w:rPr>
      </w:pPr>
      <w:r>
        <w:rPr>
          <w:lang w:eastAsia="es-ES"/>
        </w:rPr>
        <w:tab/>
      </w:r>
      <w:r>
        <w:rPr>
          <w:lang w:eastAsia="es-ES"/>
        </w:rPr>
        <w:tab/>
      </w:r>
      <w:r w:rsidRPr="006321F8">
        <w:rPr>
          <w:b w:val="0"/>
          <w:lang w:eastAsia="es-ES"/>
        </w:rPr>
        <w:t>Cuadro 4</w:t>
      </w:r>
      <w:r>
        <w:rPr>
          <w:lang w:eastAsia="es-ES"/>
        </w:rPr>
        <w:br/>
        <w:t>Número de casos tramitados por la Oficina de Lucha contra la</w:t>
      </w:r>
      <w:r>
        <w:rPr>
          <w:lang w:eastAsia="es-ES"/>
        </w:rPr>
        <w:br/>
        <w:t>Corrupción, 2005 a 2011</w:t>
      </w:r>
    </w:p>
    <w:p w:rsidR="006321F8" w:rsidRPr="006321F8" w:rsidRDefault="006321F8" w:rsidP="006321F8">
      <w:pPr>
        <w:pStyle w:val="SingleTxt"/>
        <w:spacing w:after="0" w:line="120" w:lineRule="exact"/>
        <w:rPr>
          <w:sz w:val="10"/>
          <w:lang w:eastAsia="es-ES"/>
        </w:rPr>
      </w:pPr>
    </w:p>
    <w:p w:rsidR="006321F8" w:rsidRPr="006321F8" w:rsidRDefault="006321F8" w:rsidP="006321F8">
      <w:pPr>
        <w:pStyle w:val="SingleTxt"/>
        <w:spacing w:after="0" w:line="120" w:lineRule="exact"/>
        <w:rPr>
          <w:sz w:val="10"/>
          <w:lang w:eastAsia="es-ES"/>
        </w:rPr>
      </w:pPr>
    </w:p>
    <w:tbl>
      <w:tblPr>
        <w:tblW w:w="0" w:type="auto"/>
        <w:tblInd w:w="1260" w:type="dxa"/>
        <w:tblLayout w:type="fixed"/>
        <w:tblCellMar>
          <w:left w:w="0" w:type="dxa"/>
          <w:right w:w="0" w:type="dxa"/>
        </w:tblCellMar>
        <w:tblLook w:val="0000" w:firstRow="0" w:lastRow="0" w:firstColumn="0" w:lastColumn="0" w:noHBand="0" w:noVBand="0"/>
      </w:tblPr>
      <w:tblGrid>
        <w:gridCol w:w="3260"/>
        <w:gridCol w:w="765"/>
        <w:gridCol w:w="766"/>
        <w:gridCol w:w="765"/>
        <w:gridCol w:w="766"/>
        <w:gridCol w:w="765"/>
        <w:gridCol w:w="766"/>
        <w:gridCol w:w="758"/>
      </w:tblGrid>
      <w:tr w:rsidR="0022482D" w:rsidRPr="006E04DA" w:rsidTr="006E04DA">
        <w:trPr>
          <w:tblHeader/>
        </w:trPr>
        <w:tc>
          <w:tcPr>
            <w:tcW w:w="3260" w:type="dxa"/>
            <w:tcBorders>
              <w:top w:val="single" w:sz="4" w:space="0" w:color="auto"/>
              <w:bottom w:val="single" w:sz="12" w:space="0" w:color="auto"/>
            </w:tcBorders>
            <w:shd w:val="clear" w:color="auto" w:fill="auto"/>
            <w:vAlign w:val="bottom"/>
          </w:tcPr>
          <w:p w:rsidR="006321F8" w:rsidRPr="006E04DA" w:rsidRDefault="006321F8" w:rsidP="006E04DA">
            <w:pPr>
              <w:tabs>
                <w:tab w:val="left" w:pos="288"/>
                <w:tab w:val="left" w:pos="576"/>
                <w:tab w:val="left" w:pos="864"/>
                <w:tab w:val="left" w:pos="1152"/>
              </w:tabs>
              <w:spacing w:before="80" w:after="80" w:line="160" w:lineRule="exact"/>
              <w:ind w:right="40"/>
              <w:rPr>
                <w:i/>
                <w:sz w:val="14"/>
                <w:lang w:eastAsia="es-ES"/>
              </w:rPr>
            </w:pPr>
          </w:p>
        </w:tc>
        <w:tc>
          <w:tcPr>
            <w:tcW w:w="765" w:type="dxa"/>
            <w:tcBorders>
              <w:top w:val="single" w:sz="4" w:space="0" w:color="auto"/>
              <w:bottom w:val="single" w:sz="12" w:space="0" w:color="auto"/>
            </w:tcBorders>
            <w:shd w:val="clear" w:color="auto" w:fill="auto"/>
            <w:vAlign w:val="bottom"/>
          </w:tcPr>
          <w:p w:rsidR="006321F8" w:rsidRPr="006E04DA" w:rsidRDefault="006321F8" w:rsidP="006E04DA">
            <w:pPr>
              <w:tabs>
                <w:tab w:val="left" w:pos="288"/>
                <w:tab w:val="left" w:pos="576"/>
                <w:tab w:val="left" w:pos="864"/>
                <w:tab w:val="left" w:pos="1152"/>
              </w:tabs>
              <w:spacing w:before="80" w:after="80" w:line="160" w:lineRule="exact"/>
              <w:ind w:right="40"/>
              <w:jc w:val="right"/>
              <w:rPr>
                <w:i/>
                <w:sz w:val="14"/>
                <w:lang w:eastAsia="es-ES"/>
              </w:rPr>
            </w:pPr>
            <w:r w:rsidRPr="006E04DA">
              <w:rPr>
                <w:i/>
                <w:sz w:val="14"/>
                <w:lang w:eastAsia="es-ES"/>
              </w:rPr>
              <w:t>2005-2006</w:t>
            </w:r>
          </w:p>
        </w:tc>
        <w:tc>
          <w:tcPr>
            <w:tcW w:w="766" w:type="dxa"/>
            <w:tcBorders>
              <w:top w:val="single" w:sz="4" w:space="0" w:color="auto"/>
              <w:bottom w:val="single" w:sz="12" w:space="0" w:color="auto"/>
            </w:tcBorders>
            <w:shd w:val="clear" w:color="auto" w:fill="auto"/>
            <w:vAlign w:val="bottom"/>
          </w:tcPr>
          <w:p w:rsidR="006321F8" w:rsidRPr="006E04DA" w:rsidRDefault="006321F8" w:rsidP="006E04DA">
            <w:pPr>
              <w:tabs>
                <w:tab w:val="left" w:pos="288"/>
                <w:tab w:val="left" w:pos="576"/>
                <w:tab w:val="left" w:pos="864"/>
                <w:tab w:val="left" w:pos="1152"/>
              </w:tabs>
              <w:spacing w:before="80" w:after="80" w:line="160" w:lineRule="exact"/>
              <w:ind w:right="40"/>
              <w:jc w:val="right"/>
              <w:rPr>
                <w:i/>
                <w:sz w:val="14"/>
                <w:lang w:eastAsia="es-ES"/>
              </w:rPr>
            </w:pPr>
            <w:r w:rsidRPr="006E04DA">
              <w:rPr>
                <w:i/>
                <w:sz w:val="14"/>
                <w:lang w:eastAsia="es-ES"/>
              </w:rPr>
              <w:t>2006-2007</w:t>
            </w:r>
          </w:p>
        </w:tc>
        <w:tc>
          <w:tcPr>
            <w:tcW w:w="765" w:type="dxa"/>
            <w:tcBorders>
              <w:top w:val="single" w:sz="4" w:space="0" w:color="auto"/>
              <w:bottom w:val="single" w:sz="12" w:space="0" w:color="auto"/>
            </w:tcBorders>
            <w:shd w:val="clear" w:color="auto" w:fill="auto"/>
            <w:vAlign w:val="bottom"/>
          </w:tcPr>
          <w:p w:rsidR="006321F8" w:rsidRPr="006E04DA" w:rsidRDefault="006321F8" w:rsidP="006E04DA">
            <w:pPr>
              <w:tabs>
                <w:tab w:val="left" w:pos="288"/>
                <w:tab w:val="left" w:pos="576"/>
                <w:tab w:val="left" w:pos="864"/>
                <w:tab w:val="left" w:pos="1152"/>
              </w:tabs>
              <w:spacing w:before="80" w:after="80" w:line="160" w:lineRule="exact"/>
              <w:ind w:right="40"/>
              <w:jc w:val="right"/>
              <w:rPr>
                <w:i/>
                <w:sz w:val="14"/>
                <w:lang w:eastAsia="es-ES"/>
              </w:rPr>
            </w:pPr>
            <w:r w:rsidRPr="006E04DA">
              <w:rPr>
                <w:i/>
                <w:sz w:val="14"/>
                <w:lang w:eastAsia="es-ES"/>
              </w:rPr>
              <w:t>2007-2008</w:t>
            </w:r>
          </w:p>
        </w:tc>
        <w:tc>
          <w:tcPr>
            <w:tcW w:w="766" w:type="dxa"/>
            <w:tcBorders>
              <w:top w:val="single" w:sz="4" w:space="0" w:color="auto"/>
              <w:bottom w:val="single" w:sz="12" w:space="0" w:color="auto"/>
            </w:tcBorders>
            <w:shd w:val="clear" w:color="auto" w:fill="auto"/>
            <w:vAlign w:val="bottom"/>
          </w:tcPr>
          <w:p w:rsidR="006321F8" w:rsidRPr="006E04DA" w:rsidRDefault="006321F8" w:rsidP="006E04DA">
            <w:pPr>
              <w:tabs>
                <w:tab w:val="left" w:pos="288"/>
                <w:tab w:val="left" w:pos="576"/>
                <w:tab w:val="left" w:pos="864"/>
                <w:tab w:val="left" w:pos="1152"/>
              </w:tabs>
              <w:spacing w:before="80" w:after="80" w:line="160" w:lineRule="exact"/>
              <w:ind w:right="40"/>
              <w:jc w:val="right"/>
              <w:rPr>
                <w:i/>
                <w:sz w:val="14"/>
                <w:lang w:eastAsia="es-ES"/>
              </w:rPr>
            </w:pPr>
            <w:r w:rsidRPr="006E04DA">
              <w:rPr>
                <w:i/>
                <w:sz w:val="14"/>
                <w:lang w:eastAsia="es-ES"/>
              </w:rPr>
              <w:t>2008-2009</w:t>
            </w:r>
          </w:p>
        </w:tc>
        <w:tc>
          <w:tcPr>
            <w:tcW w:w="765" w:type="dxa"/>
            <w:tcBorders>
              <w:top w:val="single" w:sz="4" w:space="0" w:color="auto"/>
              <w:bottom w:val="single" w:sz="12" w:space="0" w:color="auto"/>
            </w:tcBorders>
            <w:shd w:val="clear" w:color="auto" w:fill="auto"/>
            <w:vAlign w:val="bottom"/>
          </w:tcPr>
          <w:p w:rsidR="006321F8" w:rsidRPr="006E04DA" w:rsidRDefault="006321F8" w:rsidP="006E04DA">
            <w:pPr>
              <w:tabs>
                <w:tab w:val="left" w:pos="288"/>
                <w:tab w:val="left" w:pos="576"/>
                <w:tab w:val="left" w:pos="864"/>
                <w:tab w:val="left" w:pos="1152"/>
              </w:tabs>
              <w:spacing w:before="80" w:after="80" w:line="160" w:lineRule="exact"/>
              <w:ind w:right="40"/>
              <w:jc w:val="right"/>
              <w:rPr>
                <w:i/>
                <w:sz w:val="14"/>
                <w:lang w:eastAsia="es-ES"/>
              </w:rPr>
            </w:pPr>
            <w:r w:rsidRPr="006E04DA">
              <w:rPr>
                <w:i/>
                <w:sz w:val="14"/>
                <w:lang w:eastAsia="es-ES"/>
              </w:rPr>
              <w:t>2009-2010</w:t>
            </w:r>
          </w:p>
        </w:tc>
        <w:tc>
          <w:tcPr>
            <w:tcW w:w="766" w:type="dxa"/>
            <w:tcBorders>
              <w:top w:val="single" w:sz="4" w:space="0" w:color="auto"/>
              <w:bottom w:val="single" w:sz="12" w:space="0" w:color="auto"/>
            </w:tcBorders>
            <w:shd w:val="clear" w:color="auto" w:fill="auto"/>
            <w:vAlign w:val="bottom"/>
          </w:tcPr>
          <w:p w:rsidR="006321F8" w:rsidRPr="006E04DA" w:rsidRDefault="006321F8" w:rsidP="006E04DA">
            <w:pPr>
              <w:tabs>
                <w:tab w:val="left" w:pos="288"/>
                <w:tab w:val="left" w:pos="576"/>
                <w:tab w:val="left" w:pos="864"/>
                <w:tab w:val="left" w:pos="1152"/>
              </w:tabs>
              <w:spacing w:before="80" w:after="80" w:line="160" w:lineRule="exact"/>
              <w:ind w:right="40"/>
              <w:jc w:val="right"/>
              <w:rPr>
                <w:i/>
                <w:sz w:val="14"/>
                <w:lang w:eastAsia="es-ES"/>
              </w:rPr>
            </w:pPr>
            <w:r w:rsidRPr="006E04DA">
              <w:rPr>
                <w:i/>
                <w:sz w:val="14"/>
                <w:lang w:eastAsia="es-ES"/>
              </w:rPr>
              <w:t>2010-2011</w:t>
            </w:r>
          </w:p>
        </w:tc>
        <w:tc>
          <w:tcPr>
            <w:tcW w:w="758" w:type="dxa"/>
            <w:tcBorders>
              <w:top w:val="single" w:sz="4" w:space="0" w:color="auto"/>
              <w:bottom w:val="single" w:sz="12" w:space="0" w:color="auto"/>
            </w:tcBorders>
            <w:shd w:val="clear" w:color="auto" w:fill="auto"/>
            <w:vAlign w:val="bottom"/>
          </w:tcPr>
          <w:p w:rsidR="006321F8" w:rsidRPr="00A51FF3" w:rsidRDefault="006321F8" w:rsidP="006E04DA">
            <w:pPr>
              <w:tabs>
                <w:tab w:val="left" w:pos="288"/>
                <w:tab w:val="left" w:pos="576"/>
                <w:tab w:val="left" w:pos="864"/>
                <w:tab w:val="left" w:pos="1152"/>
              </w:tabs>
              <w:spacing w:before="80" w:after="80" w:line="160" w:lineRule="exact"/>
              <w:ind w:right="40"/>
              <w:jc w:val="right"/>
              <w:rPr>
                <w:b/>
                <w:i/>
                <w:sz w:val="14"/>
                <w:lang w:eastAsia="es-ES"/>
              </w:rPr>
            </w:pPr>
            <w:r w:rsidRPr="00A51FF3">
              <w:rPr>
                <w:b/>
                <w:i/>
                <w:sz w:val="14"/>
                <w:lang w:eastAsia="es-ES"/>
              </w:rPr>
              <w:t>Total</w:t>
            </w:r>
          </w:p>
        </w:tc>
      </w:tr>
      <w:tr w:rsidR="006321F8" w:rsidRPr="006E04DA" w:rsidTr="006E04DA">
        <w:trPr>
          <w:trHeight w:hRule="exact" w:val="115"/>
          <w:tblHeader/>
        </w:trPr>
        <w:tc>
          <w:tcPr>
            <w:tcW w:w="3260" w:type="dxa"/>
            <w:tcBorders>
              <w:top w:val="single" w:sz="12" w:space="0" w:color="auto"/>
            </w:tcBorders>
            <w:shd w:val="clear" w:color="auto" w:fill="auto"/>
            <w:vAlign w:val="bottom"/>
          </w:tcPr>
          <w:p w:rsidR="006321F8" w:rsidRPr="006E04DA" w:rsidRDefault="006321F8" w:rsidP="006E04DA">
            <w:pPr>
              <w:tabs>
                <w:tab w:val="left" w:pos="288"/>
                <w:tab w:val="left" w:pos="576"/>
                <w:tab w:val="left" w:pos="864"/>
                <w:tab w:val="left" w:pos="1152"/>
              </w:tabs>
              <w:spacing w:before="40" w:after="40" w:line="210" w:lineRule="exact"/>
              <w:ind w:right="40"/>
              <w:rPr>
                <w:sz w:val="17"/>
                <w:lang w:eastAsia="es-ES"/>
              </w:rPr>
            </w:pPr>
            <w:r w:rsidRPr="006E04DA">
              <w:rPr>
                <w:sz w:val="17"/>
                <w:lang w:eastAsia="es-ES"/>
              </w:rPr>
              <w:t>ci</w:t>
            </w:r>
          </w:p>
        </w:tc>
        <w:tc>
          <w:tcPr>
            <w:tcW w:w="765" w:type="dxa"/>
            <w:tcBorders>
              <w:top w:val="single" w:sz="12" w:space="0" w:color="auto"/>
            </w:tcBorders>
            <w:shd w:val="clear" w:color="auto" w:fill="auto"/>
            <w:vAlign w:val="bottom"/>
          </w:tcPr>
          <w:p w:rsidR="006321F8" w:rsidRPr="006E04DA" w:rsidRDefault="006321F8" w:rsidP="006E04DA">
            <w:pPr>
              <w:tabs>
                <w:tab w:val="left" w:pos="288"/>
                <w:tab w:val="left" w:pos="576"/>
                <w:tab w:val="left" w:pos="864"/>
                <w:tab w:val="left" w:pos="1152"/>
              </w:tabs>
              <w:spacing w:before="40" w:after="40" w:line="210" w:lineRule="exact"/>
              <w:ind w:right="40"/>
              <w:jc w:val="right"/>
              <w:rPr>
                <w:sz w:val="17"/>
                <w:lang w:eastAsia="es-ES"/>
              </w:rPr>
            </w:pPr>
          </w:p>
        </w:tc>
        <w:tc>
          <w:tcPr>
            <w:tcW w:w="766" w:type="dxa"/>
            <w:tcBorders>
              <w:top w:val="single" w:sz="12" w:space="0" w:color="auto"/>
            </w:tcBorders>
            <w:shd w:val="clear" w:color="auto" w:fill="auto"/>
            <w:vAlign w:val="bottom"/>
          </w:tcPr>
          <w:p w:rsidR="006321F8" w:rsidRPr="006E04DA" w:rsidRDefault="006321F8" w:rsidP="006E04DA">
            <w:pPr>
              <w:tabs>
                <w:tab w:val="left" w:pos="288"/>
                <w:tab w:val="left" w:pos="576"/>
                <w:tab w:val="left" w:pos="864"/>
                <w:tab w:val="left" w:pos="1152"/>
              </w:tabs>
              <w:spacing w:before="40" w:after="40" w:line="210" w:lineRule="exact"/>
              <w:ind w:right="40"/>
              <w:jc w:val="right"/>
              <w:rPr>
                <w:sz w:val="17"/>
                <w:lang w:eastAsia="es-ES"/>
              </w:rPr>
            </w:pPr>
          </w:p>
        </w:tc>
        <w:tc>
          <w:tcPr>
            <w:tcW w:w="765" w:type="dxa"/>
            <w:tcBorders>
              <w:top w:val="single" w:sz="12" w:space="0" w:color="auto"/>
            </w:tcBorders>
            <w:shd w:val="clear" w:color="auto" w:fill="auto"/>
            <w:vAlign w:val="bottom"/>
          </w:tcPr>
          <w:p w:rsidR="006321F8" w:rsidRPr="006E04DA" w:rsidRDefault="006321F8" w:rsidP="006E04DA">
            <w:pPr>
              <w:tabs>
                <w:tab w:val="left" w:pos="288"/>
                <w:tab w:val="left" w:pos="576"/>
                <w:tab w:val="left" w:pos="864"/>
                <w:tab w:val="left" w:pos="1152"/>
              </w:tabs>
              <w:spacing w:before="40" w:after="40" w:line="210" w:lineRule="exact"/>
              <w:ind w:right="40"/>
              <w:jc w:val="right"/>
              <w:rPr>
                <w:sz w:val="17"/>
                <w:lang w:eastAsia="es-ES"/>
              </w:rPr>
            </w:pPr>
          </w:p>
        </w:tc>
        <w:tc>
          <w:tcPr>
            <w:tcW w:w="766" w:type="dxa"/>
            <w:tcBorders>
              <w:top w:val="single" w:sz="12" w:space="0" w:color="auto"/>
            </w:tcBorders>
            <w:shd w:val="clear" w:color="auto" w:fill="auto"/>
            <w:vAlign w:val="bottom"/>
          </w:tcPr>
          <w:p w:rsidR="006321F8" w:rsidRPr="006E04DA" w:rsidRDefault="006321F8" w:rsidP="006E04DA">
            <w:pPr>
              <w:tabs>
                <w:tab w:val="left" w:pos="288"/>
                <w:tab w:val="left" w:pos="576"/>
                <w:tab w:val="left" w:pos="864"/>
                <w:tab w:val="left" w:pos="1152"/>
              </w:tabs>
              <w:spacing w:before="40" w:after="40" w:line="210" w:lineRule="exact"/>
              <w:ind w:right="40"/>
              <w:jc w:val="right"/>
              <w:rPr>
                <w:sz w:val="17"/>
                <w:lang w:eastAsia="es-ES"/>
              </w:rPr>
            </w:pPr>
          </w:p>
        </w:tc>
        <w:tc>
          <w:tcPr>
            <w:tcW w:w="765" w:type="dxa"/>
            <w:tcBorders>
              <w:top w:val="single" w:sz="12" w:space="0" w:color="auto"/>
            </w:tcBorders>
            <w:shd w:val="clear" w:color="auto" w:fill="auto"/>
            <w:vAlign w:val="bottom"/>
          </w:tcPr>
          <w:p w:rsidR="006321F8" w:rsidRPr="006E04DA" w:rsidRDefault="006321F8" w:rsidP="006E04DA">
            <w:pPr>
              <w:tabs>
                <w:tab w:val="left" w:pos="288"/>
                <w:tab w:val="left" w:pos="576"/>
                <w:tab w:val="left" w:pos="864"/>
                <w:tab w:val="left" w:pos="1152"/>
              </w:tabs>
              <w:spacing w:before="40" w:after="40" w:line="210" w:lineRule="exact"/>
              <w:ind w:right="40"/>
              <w:jc w:val="right"/>
              <w:rPr>
                <w:sz w:val="17"/>
                <w:lang w:eastAsia="es-ES"/>
              </w:rPr>
            </w:pPr>
          </w:p>
        </w:tc>
        <w:tc>
          <w:tcPr>
            <w:tcW w:w="766" w:type="dxa"/>
            <w:tcBorders>
              <w:top w:val="single" w:sz="12" w:space="0" w:color="auto"/>
            </w:tcBorders>
            <w:shd w:val="clear" w:color="auto" w:fill="auto"/>
            <w:vAlign w:val="bottom"/>
          </w:tcPr>
          <w:p w:rsidR="006321F8" w:rsidRPr="006E04DA" w:rsidRDefault="006321F8" w:rsidP="006E04DA">
            <w:pPr>
              <w:tabs>
                <w:tab w:val="left" w:pos="288"/>
                <w:tab w:val="left" w:pos="576"/>
                <w:tab w:val="left" w:pos="864"/>
                <w:tab w:val="left" w:pos="1152"/>
              </w:tabs>
              <w:spacing w:before="40" w:after="40" w:line="210" w:lineRule="exact"/>
              <w:ind w:right="40"/>
              <w:jc w:val="right"/>
              <w:rPr>
                <w:sz w:val="17"/>
                <w:lang w:eastAsia="es-ES"/>
              </w:rPr>
            </w:pPr>
          </w:p>
        </w:tc>
        <w:tc>
          <w:tcPr>
            <w:tcW w:w="758" w:type="dxa"/>
            <w:tcBorders>
              <w:top w:val="single" w:sz="12" w:space="0" w:color="auto"/>
            </w:tcBorders>
            <w:shd w:val="clear" w:color="auto" w:fill="auto"/>
            <w:vAlign w:val="bottom"/>
          </w:tcPr>
          <w:p w:rsidR="006321F8" w:rsidRPr="00A51FF3" w:rsidRDefault="006321F8" w:rsidP="006E04DA">
            <w:pPr>
              <w:tabs>
                <w:tab w:val="left" w:pos="288"/>
                <w:tab w:val="left" w:pos="576"/>
                <w:tab w:val="left" w:pos="864"/>
                <w:tab w:val="left" w:pos="1152"/>
              </w:tabs>
              <w:spacing w:before="40" w:after="40" w:line="210" w:lineRule="exact"/>
              <w:ind w:right="40"/>
              <w:jc w:val="right"/>
              <w:rPr>
                <w:b/>
                <w:sz w:val="17"/>
                <w:lang w:eastAsia="es-ES"/>
              </w:rPr>
            </w:pPr>
          </w:p>
        </w:tc>
      </w:tr>
      <w:tr w:rsidR="0022482D" w:rsidRPr="006E04DA" w:rsidTr="006E04DA">
        <w:tc>
          <w:tcPr>
            <w:tcW w:w="3260"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rPr>
                <w:sz w:val="17"/>
                <w:lang w:eastAsia="es-ES"/>
              </w:rPr>
            </w:pPr>
            <w:r w:rsidRPr="006E04DA">
              <w:rPr>
                <w:sz w:val="17"/>
                <w:lang w:eastAsia="es-ES"/>
              </w:rPr>
              <w:t>Reclamaciones recibidas</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1 008</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795</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938</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1 553</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2 104</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1 961</w:t>
            </w:r>
          </w:p>
        </w:tc>
        <w:tc>
          <w:tcPr>
            <w:tcW w:w="758" w:type="dxa"/>
            <w:shd w:val="clear" w:color="auto" w:fill="auto"/>
            <w:vAlign w:val="bottom"/>
          </w:tcPr>
          <w:p w:rsidR="0022482D" w:rsidRPr="00A51FF3" w:rsidRDefault="0022482D" w:rsidP="006E04DA">
            <w:pPr>
              <w:tabs>
                <w:tab w:val="left" w:pos="288"/>
                <w:tab w:val="left" w:pos="576"/>
                <w:tab w:val="left" w:pos="864"/>
                <w:tab w:val="left" w:pos="1152"/>
              </w:tabs>
              <w:spacing w:before="40" w:after="40" w:line="210" w:lineRule="exact"/>
              <w:ind w:right="40"/>
              <w:jc w:val="right"/>
              <w:rPr>
                <w:b/>
                <w:sz w:val="17"/>
                <w:lang w:eastAsia="es-ES"/>
              </w:rPr>
            </w:pPr>
            <w:r w:rsidRPr="00A51FF3">
              <w:rPr>
                <w:b/>
                <w:sz w:val="17"/>
                <w:lang w:eastAsia="es-ES"/>
              </w:rPr>
              <w:t>8 359</w:t>
            </w:r>
          </w:p>
        </w:tc>
      </w:tr>
      <w:tr w:rsidR="0022482D" w:rsidRPr="006E04DA" w:rsidTr="006E04DA">
        <w:tc>
          <w:tcPr>
            <w:tcW w:w="3260"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rPr>
                <w:sz w:val="17"/>
                <w:lang w:eastAsia="es-ES"/>
              </w:rPr>
            </w:pPr>
            <w:r w:rsidRPr="006E04DA">
              <w:rPr>
                <w:sz w:val="17"/>
                <w:lang w:eastAsia="es-ES"/>
              </w:rPr>
              <w:t>Reclamaciones sobre las que se ha autorizado una investigación</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175</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301</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134</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304</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351</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251</w:t>
            </w:r>
          </w:p>
        </w:tc>
        <w:tc>
          <w:tcPr>
            <w:tcW w:w="758" w:type="dxa"/>
            <w:shd w:val="clear" w:color="auto" w:fill="auto"/>
            <w:vAlign w:val="bottom"/>
          </w:tcPr>
          <w:p w:rsidR="0022482D" w:rsidRPr="00A51FF3" w:rsidRDefault="0022482D" w:rsidP="006E04DA">
            <w:pPr>
              <w:tabs>
                <w:tab w:val="left" w:pos="288"/>
                <w:tab w:val="left" w:pos="576"/>
                <w:tab w:val="left" w:pos="864"/>
                <w:tab w:val="left" w:pos="1152"/>
              </w:tabs>
              <w:spacing w:before="40" w:after="40" w:line="210" w:lineRule="exact"/>
              <w:ind w:right="40"/>
              <w:jc w:val="right"/>
              <w:rPr>
                <w:b/>
                <w:sz w:val="17"/>
                <w:lang w:eastAsia="es-ES"/>
              </w:rPr>
            </w:pPr>
            <w:r w:rsidRPr="00A51FF3">
              <w:rPr>
                <w:b/>
                <w:sz w:val="17"/>
                <w:lang w:eastAsia="es-ES"/>
              </w:rPr>
              <w:t>1 516</w:t>
            </w:r>
          </w:p>
        </w:tc>
      </w:tr>
      <w:tr w:rsidR="0022482D" w:rsidRPr="006E04DA" w:rsidTr="006E04DA">
        <w:tc>
          <w:tcPr>
            <w:tcW w:w="3260"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rPr>
                <w:sz w:val="17"/>
                <w:lang w:eastAsia="es-ES"/>
              </w:rPr>
            </w:pPr>
            <w:r w:rsidRPr="006E04DA">
              <w:rPr>
                <w:sz w:val="17"/>
                <w:lang w:eastAsia="es-ES"/>
              </w:rPr>
              <w:lastRenderedPageBreak/>
              <w:t>Reclamaciones pendientes de la adopción de medidas</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56</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42</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333</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834</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1 225</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1 293</w:t>
            </w:r>
          </w:p>
        </w:tc>
        <w:tc>
          <w:tcPr>
            <w:tcW w:w="758" w:type="dxa"/>
            <w:shd w:val="clear" w:color="auto" w:fill="auto"/>
            <w:vAlign w:val="bottom"/>
          </w:tcPr>
          <w:p w:rsidR="0022482D" w:rsidRPr="00A51FF3" w:rsidRDefault="0022482D" w:rsidP="006E04DA">
            <w:pPr>
              <w:tabs>
                <w:tab w:val="left" w:pos="288"/>
                <w:tab w:val="left" w:pos="576"/>
                <w:tab w:val="left" w:pos="864"/>
                <w:tab w:val="left" w:pos="1152"/>
              </w:tabs>
              <w:spacing w:before="40" w:after="40" w:line="210" w:lineRule="exact"/>
              <w:ind w:right="40"/>
              <w:jc w:val="right"/>
              <w:rPr>
                <w:b/>
                <w:sz w:val="17"/>
                <w:lang w:eastAsia="es-ES"/>
              </w:rPr>
            </w:pPr>
            <w:r w:rsidRPr="00A51FF3">
              <w:rPr>
                <w:b/>
                <w:sz w:val="17"/>
                <w:lang w:eastAsia="es-ES"/>
              </w:rPr>
              <w:t>3 673</w:t>
            </w:r>
          </w:p>
        </w:tc>
      </w:tr>
      <w:tr w:rsidR="0022482D" w:rsidRPr="006E04DA" w:rsidTr="006E04DA">
        <w:tc>
          <w:tcPr>
            <w:tcW w:w="3260"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rPr>
                <w:sz w:val="17"/>
                <w:lang w:eastAsia="es-ES"/>
              </w:rPr>
            </w:pPr>
            <w:r w:rsidRPr="006E04DA">
              <w:rPr>
                <w:sz w:val="17"/>
                <w:lang w:eastAsia="es-ES"/>
              </w:rPr>
              <w:t>Investigaciones concluidas</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255</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246</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276</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480</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634</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463</w:t>
            </w:r>
          </w:p>
        </w:tc>
        <w:tc>
          <w:tcPr>
            <w:tcW w:w="758" w:type="dxa"/>
            <w:shd w:val="clear" w:color="auto" w:fill="auto"/>
            <w:vAlign w:val="bottom"/>
          </w:tcPr>
          <w:p w:rsidR="0022482D" w:rsidRPr="00A51FF3" w:rsidRDefault="0022482D" w:rsidP="006E04DA">
            <w:pPr>
              <w:tabs>
                <w:tab w:val="left" w:pos="288"/>
                <w:tab w:val="left" w:pos="576"/>
                <w:tab w:val="left" w:pos="864"/>
                <w:tab w:val="left" w:pos="1152"/>
              </w:tabs>
              <w:spacing w:before="40" w:after="40" w:line="210" w:lineRule="exact"/>
              <w:ind w:right="40"/>
              <w:jc w:val="right"/>
              <w:rPr>
                <w:b/>
                <w:sz w:val="17"/>
                <w:lang w:eastAsia="es-ES"/>
              </w:rPr>
            </w:pPr>
            <w:r w:rsidRPr="00A51FF3">
              <w:rPr>
                <w:b/>
                <w:sz w:val="17"/>
                <w:lang w:eastAsia="es-ES"/>
              </w:rPr>
              <w:t>2 354</w:t>
            </w:r>
          </w:p>
        </w:tc>
      </w:tr>
      <w:tr w:rsidR="0022482D" w:rsidRPr="006E04DA" w:rsidTr="006E04DA">
        <w:tc>
          <w:tcPr>
            <w:tcW w:w="3260"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rPr>
                <w:sz w:val="17"/>
                <w:lang w:eastAsia="es-ES"/>
              </w:rPr>
            </w:pPr>
            <w:r w:rsidRPr="006E04DA">
              <w:rPr>
                <w:sz w:val="17"/>
                <w:lang w:eastAsia="es-ES"/>
              </w:rPr>
              <w:t>Casos cerrados/en revisión</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1 024</w:t>
            </w:r>
          </w:p>
        </w:tc>
        <w:tc>
          <w:tcPr>
            <w:tcW w:w="766" w:type="dxa"/>
            <w:shd w:val="clear" w:color="auto" w:fill="auto"/>
            <w:vAlign w:val="bottom"/>
          </w:tcPr>
          <w:p w:rsidR="0022482D" w:rsidRPr="006E04DA" w:rsidRDefault="001E027C" w:rsidP="001E027C">
            <w:pPr>
              <w:tabs>
                <w:tab w:val="left" w:pos="288"/>
                <w:tab w:val="left" w:pos="576"/>
                <w:tab w:val="left" w:pos="864"/>
                <w:tab w:val="left" w:pos="1152"/>
              </w:tabs>
              <w:spacing w:before="40" w:after="40" w:line="210" w:lineRule="exact"/>
              <w:ind w:right="40"/>
              <w:jc w:val="right"/>
              <w:rPr>
                <w:sz w:val="17"/>
                <w:lang w:eastAsia="es-ES"/>
              </w:rPr>
            </w:pPr>
            <w:r>
              <w:rPr>
                <w:sz w:val="17"/>
                <w:lang w:eastAsia="es-ES"/>
              </w:rPr>
              <w:t>0</w:t>
            </w:r>
          </w:p>
        </w:tc>
        <w:tc>
          <w:tcPr>
            <w:tcW w:w="765" w:type="dxa"/>
            <w:shd w:val="clear" w:color="auto" w:fill="auto"/>
            <w:vAlign w:val="bottom"/>
          </w:tcPr>
          <w:p w:rsidR="0022482D" w:rsidRPr="006E04DA" w:rsidRDefault="001E027C" w:rsidP="006E04DA">
            <w:pPr>
              <w:tabs>
                <w:tab w:val="left" w:pos="288"/>
                <w:tab w:val="left" w:pos="576"/>
                <w:tab w:val="left" w:pos="864"/>
                <w:tab w:val="left" w:pos="1152"/>
              </w:tabs>
              <w:spacing w:before="40" w:after="40" w:line="210" w:lineRule="exact"/>
              <w:ind w:right="40"/>
              <w:jc w:val="right"/>
              <w:rPr>
                <w:sz w:val="17"/>
                <w:lang w:eastAsia="es-ES"/>
              </w:rPr>
            </w:pPr>
            <w:r>
              <w:rPr>
                <w:sz w:val="17"/>
                <w:lang w:eastAsia="es-ES"/>
              </w:rPr>
              <w:t>0</w:t>
            </w:r>
          </w:p>
        </w:tc>
        <w:tc>
          <w:tcPr>
            <w:tcW w:w="766" w:type="dxa"/>
            <w:shd w:val="clear" w:color="auto" w:fill="auto"/>
            <w:vAlign w:val="bottom"/>
          </w:tcPr>
          <w:p w:rsidR="0022482D" w:rsidRPr="006E04DA" w:rsidRDefault="001E027C" w:rsidP="006E04DA">
            <w:pPr>
              <w:tabs>
                <w:tab w:val="left" w:pos="288"/>
                <w:tab w:val="left" w:pos="576"/>
                <w:tab w:val="left" w:pos="864"/>
                <w:tab w:val="left" w:pos="1152"/>
              </w:tabs>
              <w:spacing w:before="40" w:after="40" w:line="210" w:lineRule="exact"/>
              <w:ind w:right="40"/>
              <w:jc w:val="right"/>
              <w:rPr>
                <w:sz w:val="17"/>
                <w:lang w:eastAsia="es-ES"/>
              </w:rPr>
            </w:pPr>
            <w:r>
              <w:rPr>
                <w:sz w:val="17"/>
                <w:lang w:eastAsia="es-ES"/>
              </w:rPr>
              <w:t>0</w:t>
            </w:r>
          </w:p>
        </w:tc>
        <w:tc>
          <w:tcPr>
            <w:tcW w:w="765" w:type="dxa"/>
            <w:shd w:val="clear" w:color="auto" w:fill="auto"/>
            <w:vAlign w:val="bottom"/>
          </w:tcPr>
          <w:p w:rsidR="0022482D" w:rsidRPr="006E04DA" w:rsidRDefault="001E027C" w:rsidP="006E04DA">
            <w:pPr>
              <w:tabs>
                <w:tab w:val="left" w:pos="288"/>
                <w:tab w:val="left" w:pos="576"/>
                <w:tab w:val="left" w:pos="864"/>
                <w:tab w:val="left" w:pos="1152"/>
              </w:tabs>
              <w:spacing w:before="40" w:after="40" w:line="210" w:lineRule="exact"/>
              <w:ind w:right="40"/>
              <w:jc w:val="right"/>
              <w:rPr>
                <w:sz w:val="17"/>
                <w:lang w:eastAsia="es-ES"/>
              </w:rPr>
            </w:pPr>
            <w:r>
              <w:rPr>
                <w:sz w:val="17"/>
                <w:lang w:eastAsia="es-ES"/>
              </w:rPr>
              <w:t>0</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219</w:t>
            </w:r>
          </w:p>
        </w:tc>
        <w:tc>
          <w:tcPr>
            <w:tcW w:w="758" w:type="dxa"/>
            <w:shd w:val="clear" w:color="auto" w:fill="auto"/>
            <w:vAlign w:val="bottom"/>
          </w:tcPr>
          <w:p w:rsidR="0022482D" w:rsidRPr="00A51FF3" w:rsidRDefault="0022482D" w:rsidP="006E04DA">
            <w:pPr>
              <w:tabs>
                <w:tab w:val="left" w:pos="288"/>
                <w:tab w:val="left" w:pos="576"/>
                <w:tab w:val="left" w:pos="864"/>
                <w:tab w:val="left" w:pos="1152"/>
              </w:tabs>
              <w:spacing w:before="40" w:after="40" w:line="210" w:lineRule="exact"/>
              <w:ind w:right="40"/>
              <w:jc w:val="right"/>
              <w:rPr>
                <w:b/>
                <w:sz w:val="17"/>
                <w:lang w:eastAsia="es-ES"/>
              </w:rPr>
            </w:pPr>
            <w:r w:rsidRPr="00A51FF3">
              <w:rPr>
                <w:b/>
                <w:sz w:val="17"/>
                <w:lang w:eastAsia="es-ES"/>
              </w:rPr>
              <w:t>1 243</w:t>
            </w:r>
          </w:p>
        </w:tc>
      </w:tr>
      <w:tr w:rsidR="0022482D" w:rsidRPr="006E04DA" w:rsidTr="006E04DA">
        <w:tc>
          <w:tcPr>
            <w:tcW w:w="3260"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rPr>
                <w:sz w:val="17"/>
                <w:lang w:eastAsia="es-ES"/>
              </w:rPr>
            </w:pPr>
            <w:r w:rsidRPr="006E04DA">
              <w:rPr>
                <w:sz w:val="17"/>
                <w:lang w:eastAsia="es-ES"/>
              </w:rPr>
              <w:t>Casos remitidos a la fiscalía</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82</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68</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95</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128</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152</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153</w:t>
            </w:r>
          </w:p>
        </w:tc>
        <w:tc>
          <w:tcPr>
            <w:tcW w:w="758" w:type="dxa"/>
            <w:shd w:val="clear" w:color="auto" w:fill="auto"/>
            <w:vAlign w:val="bottom"/>
          </w:tcPr>
          <w:p w:rsidR="0022482D" w:rsidRPr="00A51FF3" w:rsidRDefault="0022482D" w:rsidP="006E04DA">
            <w:pPr>
              <w:tabs>
                <w:tab w:val="left" w:pos="288"/>
                <w:tab w:val="left" w:pos="576"/>
                <w:tab w:val="left" w:pos="864"/>
                <w:tab w:val="left" w:pos="1152"/>
              </w:tabs>
              <w:spacing w:before="40" w:after="40" w:line="210" w:lineRule="exact"/>
              <w:ind w:right="40"/>
              <w:jc w:val="right"/>
              <w:rPr>
                <w:b/>
                <w:sz w:val="17"/>
                <w:lang w:eastAsia="es-ES"/>
              </w:rPr>
            </w:pPr>
            <w:r w:rsidRPr="00A51FF3">
              <w:rPr>
                <w:b/>
                <w:sz w:val="17"/>
                <w:lang w:eastAsia="es-ES"/>
              </w:rPr>
              <w:t>678</w:t>
            </w:r>
          </w:p>
        </w:tc>
      </w:tr>
      <w:tr w:rsidR="0022482D" w:rsidRPr="006E04DA" w:rsidTr="006E04DA">
        <w:tc>
          <w:tcPr>
            <w:tcW w:w="3260"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rPr>
                <w:sz w:val="17"/>
                <w:lang w:eastAsia="es-ES"/>
              </w:rPr>
            </w:pPr>
            <w:r w:rsidRPr="006E04DA">
              <w:rPr>
                <w:sz w:val="17"/>
                <w:lang w:eastAsia="es-ES"/>
              </w:rPr>
              <w:t>Casos cerrados tras el dictamen jurídico</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168</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178</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198</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352</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482</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310</w:t>
            </w:r>
          </w:p>
        </w:tc>
        <w:tc>
          <w:tcPr>
            <w:tcW w:w="758" w:type="dxa"/>
            <w:shd w:val="clear" w:color="auto" w:fill="auto"/>
            <w:vAlign w:val="bottom"/>
          </w:tcPr>
          <w:p w:rsidR="0022482D" w:rsidRPr="00A51FF3" w:rsidRDefault="0022482D" w:rsidP="006E04DA">
            <w:pPr>
              <w:tabs>
                <w:tab w:val="left" w:pos="288"/>
                <w:tab w:val="left" w:pos="576"/>
                <w:tab w:val="left" w:pos="864"/>
                <w:tab w:val="left" w:pos="1152"/>
              </w:tabs>
              <w:spacing w:before="40" w:after="40" w:line="210" w:lineRule="exact"/>
              <w:ind w:right="40"/>
              <w:jc w:val="right"/>
              <w:rPr>
                <w:b/>
                <w:sz w:val="17"/>
                <w:lang w:eastAsia="es-ES"/>
              </w:rPr>
            </w:pPr>
            <w:r w:rsidRPr="00A51FF3">
              <w:rPr>
                <w:b/>
                <w:sz w:val="17"/>
                <w:lang w:eastAsia="es-ES"/>
              </w:rPr>
              <w:t>1 688</w:t>
            </w:r>
          </w:p>
        </w:tc>
      </w:tr>
      <w:tr w:rsidR="0022482D" w:rsidRPr="006E04DA" w:rsidTr="006E04DA">
        <w:tc>
          <w:tcPr>
            <w:tcW w:w="3260"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rPr>
                <w:sz w:val="17"/>
                <w:lang w:eastAsia="es-ES"/>
              </w:rPr>
            </w:pPr>
            <w:r w:rsidRPr="006E04DA">
              <w:rPr>
                <w:sz w:val="17"/>
                <w:lang w:eastAsia="es-ES"/>
              </w:rPr>
              <w:t xml:space="preserve">Casos pendientes de medidas administrativas </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5</w:t>
            </w:r>
          </w:p>
        </w:tc>
        <w:tc>
          <w:tcPr>
            <w:tcW w:w="766" w:type="dxa"/>
            <w:shd w:val="clear" w:color="auto" w:fill="auto"/>
            <w:vAlign w:val="bottom"/>
          </w:tcPr>
          <w:p w:rsidR="0022482D" w:rsidRPr="006E04DA" w:rsidRDefault="001E027C" w:rsidP="001E027C">
            <w:pPr>
              <w:tabs>
                <w:tab w:val="left" w:pos="288"/>
                <w:tab w:val="left" w:pos="576"/>
                <w:tab w:val="left" w:pos="864"/>
                <w:tab w:val="left" w:pos="1152"/>
              </w:tabs>
              <w:spacing w:before="40" w:after="40" w:line="210" w:lineRule="exact"/>
              <w:ind w:right="40"/>
              <w:jc w:val="right"/>
              <w:rPr>
                <w:sz w:val="17"/>
                <w:lang w:eastAsia="es-ES"/>
              </w:rPr>
            </w:pPr>
            <w:r>
              <w:rPr>
                <w:sz w:val="17"/>
                <w:lang w:eastAsia="es-ES"/>
              </w:rPr>
              <w:t>0</w:t>
            </w:r>
          </w:p>
        </w:tc>
        <w:tc>
          <w:tcPr>
            <w:tcW w:w="765" w:type="dxa"/>
            <w:shd w:val="clear" w:color="auto" w:fill="auto"/>
            <w:vAlign w:val="bottom"/>
          </w:tcPr>
          <w:p w:rsidR="0022482D" w:rsidRPr="006E04DA" w:rsidRDefault="001E027C" w:rsidP="001E027C">
            <w:pPr>
              <w:tabs>
                <w:tab w:val="left" w:pos="288"/>
                <w:tab w:val="left" w:pos="576"/>
                <w:tab w:val="left" w:pos="864"/>
                <w:tab w:val="left" w:pos="1152"/>
              </w:tabs>
              <w:spacing w:before="40" w:after="40" w:line="210" w:lineRule="exact"/>
              <w:ind w:right="40"/>
              <w:jc w:val="right"/>
              <w:rPr>
                <w:sz w:val="17"/>
                <w:lang w:eastAsia="es-ES"/>
              </w:rPr>
            </w:pPr>
            <w:r>
              <w:rPr>
                <w:sz w:val="17"/>
                <w:lang w:eastAsia="es-ES"/>
              </w:rPr>
              <w:t>0</w:t>
            </w:r>
          </w:p>
        </w:tc>
        <w:tc>
          <w:tcPr>
            <w:tcW w:w="766" w:type="dxa"/>
            <w:shd w:val="clear" w:color="auto" w:fill="auto"/>
            <w:vAlign w:val="bottom"/>
          </w:tcPr>
          <w:p w:rsidR="0022482D" w:rsidRPr="006E04DA" w:rsidRDefault="001E027C" w:rsidP="006E04DA">
            <w:pPr>
              <w:tabs>
                <w:tab w:val="left" w:pos="288"/>
                <w:tab w:val="left" w:pos="576"/>
                <w:tab w:val="left" w:pos="864"/>
                <w:tab w:val="left" w:pos="1152"/>
              </w:tabs>
              <w:spacing w:before="40" w:after="40" w:line="210" w:lineRule="exact"/>
              <w:ind w:right="40"/>
              <w:jc w:val="right"/>
              <w:rPr>
                <w:sz w:val="17"/>
                <w:lang w:eastAsia="es-ES"/>
              </w:rPr>
            </w:pPr>
            <w:r>
              <w:rPr>
                <w:sz w:val="17"/>
                <w:lang w:eastAsia="es-ES"/>
              </w:rPr>
              <w:t>0</w:t>
            </w:r>
          </w:p>
        </w:tc>
        <w:tc>
          <w:tcPr>
            <w:tcW w:w="765" w:type="dxa"/>
            <w:shd w:val="clear" w:color="auto" w:fill="auto"/>
            <w:vAlign w:val="bottom"/>
          </w:tcPr>
          <w:p w:rsidR="0022482D" w:rsidRPr="006E04DA" w:rsidRDefault="001E027C" w:rsidP="001E027C">
            <w:pPr>
              <w:tabs>
                <w:tab w:val="left" w:pos="288"/>
                <w:tab w:val="left" w:pos="576"/>
                <w:tab w:val="left" w:pos="864"/>
                <w:tab w:val="left" w:pos="1152"/>
              </w:tabs>
              <w:spacing w:before="40" w:after="40" w:line="210" w:lineRule="exact"/>
              <w:ind w:right="40"/>
              <w:jc w:val="right"/>
              <w:rPr>
                <w:sz w:val="17"/>
                <w:lang w:eastAsia="es-ES"/>
              </w:rPr>
            </w:pPr>
            <w:r>
              <w:rPr>
                <w:sz w:val="17"/>
                <w:lang w:eastAsia="es-ES"/>
              </w:rPr>
              <w:t>0</w:t>
            </w:r>
          </w:p>
        </w:tc>
        <w:tc>
          <w:tcPr>
            <w:tcW w:w="766" w:type="dxa"/>
            <w:shd w:val="clear" w:color="auto" w:fill="auto"/>
            <w:vAlign w:val="bottom"/>
          </w:tcPr>
          <w:p w:rsidR="0022482D" w:rsidRPr="006E04DA" w:rsidRDefault="001E027C" w:rsidP="006E04DA">
            <w:pPr>
              <w:tabs>
                <w:tab w:val="left" w:pos="288"/>
                <w:tab w:val="left" w:pos="576"/>
                <w:tab w:val="left" w:pos="864"/>
                <w:tab w:val="left" w:pos="1152"/>
              </w:tabs>
              <w:spacing w:before="40" w:after="40" w:line="210" w:lineRule="exact"/>
              <w:ind w:right="40"/>
              <w:jc w:val="right"/>
              <w:rPr>
                <w:sz w:val="17"/>
                <w:lang w:eastAsia="es-ES"/>
              </w:rPr>
            </w:pPr>
            <w:r>
              <w:rPr>
                <w:sz w:val="17"/>
                <w:lang w:eastAsia="es-ES"/>
              </w:rPr>
              <w:t>0</w:t>
            </w:r>
          </w:p>
        </w:tc>
        <w:tc>
          <w:tcPr>
            <w:tcW w:w="758" w:type="dxa"/>
            <w:shd w:val="clear" w:color="auto" w:fill="auto"/>
            <w:vAlign w:val="bottom"/>
          </w:tcPr>
          <w:p w:rsidR="0022482D" w:rsidRPr="00A51FF3" w:rsidRDefault="0022482D" w:rsidP="006E04DA">
            <w:pPr>
              <w:tabs>
                <w:tab w:val="left" w:pos="288"/>
                <w:tab w:val="left" w:pos="576"/>
                <w:tab w:val="left" w:pos="864"/>
                <w:tab w:val="left" w:pos="1152"/>
              </w:tabs>
              <w:spacing w:before="40" w:after="40" w:line="210" w:lineRule="exact"/>
              <w:ind w:right="40"/>
              <w:jc w:val="right"/>
              <w:rPr>
                <w:b/>
                <w:sz w:val="17"/>
                <w:lang w:eastAsia="es-ES"/>
              </w:rPr>
            </w:pPr>
            <w:r w:rsidRPr="00A51FF3">
              <w:rPr>
                <w:b/>
                <w:sz w:val="17"/>
                <w:lang w:eastAsia="es-ES"/>
              </w:rPr>
              <w:t>5</w:t>
            </w:r>
          </w:p>
        </w:tc>
      </w:tr>
      <w:tr w:rsidR="0022482D" w:rsidRPr="006E04DA" w:rsidTr="006E04DA">
        <w:tc>
          <w:tcPr>
            <w:tcW w:w="3260"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rPr>
                <w:sz w:val="17"/>
                <w:lang w:eastAsia="es-ES"/>
              </w:rPr>
            </w:pPr>
            <w:r w:rsidRPr="006E04DA">
              <w:rPr>
                <w:sz w:val="17"/>
                <w:lang w:eastAsia="es-ES"/>
              </w:rPr>
              <w:t>Casos remitidos a la Dirección del Ministerio Público</w:t>
            </w:r>
          </w:p>
        </w:tc>
        <w:tc>
          <w:tcPr>
            <w:tcW w:w="765" w:type="dxa"/>
            <w:shd w:val="clear" w:color="auto" w:fill="auto"/>
            <w:vAlign w:val="bottom"/>
          </w:tcPr>
          <w:p w:rsidR="0022482D" w:rsidRPr="006E04DA" w:rsidRDefault="001E027C" w:rsidP="006E04DA">
            <w:pPr>
              <w:tabs>
                <w:tab w:val="left" w:pos="288"/>
                <w:tab w:val="left" w:pos="576"/>
                <w:tab w:val="left" w:pos="864"/>
                <w:tab w:val="left" w:pos="1152"/>
              </w:tabs>
              <w:spacing w:before="40" w:after="40" w:line="210" w:lineRule="exact"/>
              <w:ind w:right="40"/>
              <w:jc w:val="right"/>
              <w:rPr>
                <w:sz w:val="17"/>
                <w:lang w:eastAsia="es-ES"/>
              </w:rPr>
            </w:pPr>
            <w:r>
              <w:rPr>
                <w:sz w:val="17"/>
                <w:lang w:eastAsia="es-ES"/>
              </w:rPr>
              <w:t>0</w:t>
            </w:r>
          </w:p>
        </w:tc>
        <w:tc>
          <w:tcPr>
            <w:tcW w:w="766" w:type="dxa"/>
            <w:shd w:val="clear" w:color="auto" w:fill="auto"/>
            <w:vAlign w:val="bottom"/>
          </w:tcPr>
          <w:p w:rsidR="0022482D" w:rsidRPr="006E04DA" w:rsidRDefault="001E027C" w:rsidP="006E04DA">
            <w:pPr>
              <w:tabs>
                <w:tab w:val="left" w:pos="288"/>
                <w:tab w:val="left" w:pos="576"/>
                <w:tab w:val="left" w:pos="864"/>
                <w:tab w:val="left" w:pos="1152"/>
              </w:tabs>
              <w:spacing w:before="40" w:after="40" w:line="210" w:lineRule="exact"/>
              <w:ind w:right="40"/>
              <w:jc w:val="right"/>
              <w:rPr>
                <w:sz w:val="17"/>
                <w:lang w:eastAsia="es-ES"/>
              </w:rPr>
            </w:pPr>
            <w:r>
              <w:rPr>
                <w:sz w:val="17"/>
                <w:lang w:eastAsia="es-ES"/>
              </w:rPr>
              <w:t>0</w:t>
            </w:r>
          </w:p>
        </w:tc>
        <w:tc>
          <w:tcPr>
            <w:tcW w:w="765" w:type="dxa"/>
            <w:shd w:val="clear" w:color="auto" w:fill="auto"/>
            <w:vAlign w:val="bottom"/>
          </w:tcPr>
          <w:p w:rsidR="0022482D" w:rsidRPr="006E04DA" w:rsidRDefault="001E027C" w:rsidP="006E04DA">
            <w:pPr>
              <w:tabs>
                <w:tab w:val="left" w:pos="288"/>
                <w:tab w:val="left" w:pos="576"/>
                <w:tab w:val="left" w:pos="864"/>
                <w:tab w:val="left" w:pos="1152"/>
              </w:tabs>
              <w:spacing w:before="40" w:after="40" w:line="210" w:lineRule="exact"/>
              <w:ind w:right="40"/>
              <w:jc w:val="right"/>
              <w:rPr>
                <w:sz w:val="17"/>
                <w:lang w:eastAsia="es-ES"/>
              </w:rPr>
            </w:pPr>
            <w:r>
              <w:rPr>
                <w:sz w:val="17"/>
                <w:lang w:eastAsia="es-ES"/>
              </w:rPr>
              <w:t>0</w:t>
            </w:r>
          </w:p>
        </w:tc>
        <w:tc>
          <w:tcPr>
            <w:tcW w:w="766" w:type="dxa"/>
            <w:shd w:val="clear" w:color="auto" w:fill="auto"/>
            <w:vAlign w:val="bottom"/>
          </w:tcPr>
          <w:p w:rsidR="0022482D" w:rsidRPr="006E04DA" w:rsidRDefault="001E027C" w:rsidP="006E04DA">
            <w:pPr>
              <w:tabs>
                <w:tab w:val="left" w:pos="288"/>
                <w:tab w:val="left" w:pos="576"/>
                <w:tab w:val="left" w:pos="864"/>
                <w:tab w:val="left" w:pos="1152"/>
              </w:tabs>
              <w:spacing w:before="40" w:after="40" w:line="210" w:lineRule="exact"/>
              <w:ind w:right="40"/>
              <w:jc w:val="right"/>
              <w:rPr>
                <w:sz w:val="17"/>
                <w:lang w:eastAsia="es-ES"/>
              </w:rPr>
            </w:pPr>
            <w:r>
              <w:rPr>
                <w:sz w:val="17"/>
                <w:lang w:eastAsia="es-ES"/>
              </w:rPr>
              <w:t>0</w:t>
            </w:r>
          </w:p>
        </w:tc>
        <w:tc>
          <w:tcPr>
            <w:tcW w:w="765" w:type="dxa"/>
            <w:shd w:val="clear" w:color="auto" w:fill="auto"/>
            <w:vAlign w:val="bottom"/>
          </w:tcPr>
          <w:p w:rsidR="0022482D" w:rsidRPr="006E04DA" w:rsidRDefault="001E027C" w:rsidP="001E027C">
            <w:pPr>
              <w:tabs>
                <w:tab w:val="left" w:pos="288"/>
                <w:tab w:val="left" w:pos="576"/>
                <w:tab w:val="left" w:pos="864"/>
                <w:tab w:val="left" w:pos="1152"/>
              </w:tabs>
              <w:spacing w:before="40" w:after="40" w:line="210" w:lineRule="exact"/>
              <w:ind w:right="40"/>
              <w:jc w:val="right"/>
              <w:rPr>
                <w:sz w:val="17"/>
                <w:lang w:eastAsia="es-ES"/>
              </w:rPr>
            </w:pPr>
            <w:r>
              <w:rPr>
                <w:sz w:val="17"/>
                <w:lang w:eastAsia="es-ES"/>
              </w:rPr>
              <w:t>0</w:t>
            </w:r>
          </w:p>
        </w:tc>
        <w:tc>
          <w:tcPr>
            <w:tcW w:w="766" w:type="dxa"/>
            <w:shd w:val="clear" w:color="auto" w:fill="auto"/>
            <w:vAlign w:val="bottom"/>
          </w:tcPr>
          <w:p w:rsidR="0022482D" w:rsidRPr="006E04DA" w:rsidRDefault="001E027C" w:rsidP="006E04DA">
            <w:pPr>
              <w:tabs>
                <w:tab w:val="left" w:pos="288"/>
                <w:tab w:val="left" w:pos="576"/>
                <w:tab w:val="left" w:pos="864"/>
                <w:tab w:val="left" w:pos="1152"/>
              </w:tabs>
              <w:spacing w:before="40" w:after="40" w:line="210" w:lineRule="exact"/>
              <w:ind w:right="40"/>
              <w:jc w:val="right"/>
              <w:rPr>
                <w:sz w:val="17"/>
                <w:lang w:eastAsia="es-ES"/>
              </w:rPr>
            </w:pPr>
            <w:r>
              <w:rPr>
                <w:sz w:val="17"/>
                <w:lang w:eastAsia="es-ES"/>
              </w:rPr>
              <w:t>0</w:t>
            </w:r>
          </w:p>
        </w:tc>
        <w:tc>
          <w:tcPr>
            <w:tcW w:w="758" w:type="dxa"/>
            <w:shd w:val="clear" w:color="auto" w:fill="auto"/>
            <w:vAlign w:val="bottom"/>
          </w:tcPr>
          <w:p w:rsidR="0022482D" w:rsidRPr="00A51FF3" w:rsidRDefault="0022482D" w:rsidP="006E04DA">
            <w:pPr>
              <w:tabs>
                <w:tab w:val="left" w:pos="288"/>
                <w:tab w:val="left" w:pos="576"/>
                <w:tab w:val="left" w:pos="864"/>
                <w:tab w:val="left" w:pos="1152"/>
              </w:tabs>
              <w:spacing w:before="40" w:after="40" w:line="210" w:lineRule="exact"/>
              <w:ind w:right="40"/>
              <w:jc w:val="right"/>
              <w:rPr>
                <w:b/>
                <w:sz w:val="17"/>
                <w:lang w:eastAsia="es-ES"/>
              </w:rPr>
            </w:pPr>
            <w:r w:rsidRPr="00A51FF3">
              <w:rPr>
                <w:b/>
                <w:sz w:val="17"/>
                <w:lang w:eastAsia="es-ES"/>
              </w:rPr>
              <w:t>0</w:t>
            </w:r>
          </w:p>
        </w:tc>
      </w:tr>
      <w:tr w:rsidR="0022482D" w:rsidRPr="006E04DA" w:rsidTr="006E04DA">
        <w:tc>
          <w:tcPr>
            <w:tcW w:w="3260"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rPr>
                <w:sz w:val="17"/>
                <w:lang w:eastAsia="es-ES"/>
              </w:rPr>
            </w:pPr>
            <w:r w:rsidRPr="006E04DA">
              <w:rPr>
                <w:sz w:val="17"/>
                <w:lang w:eastAsia="es-ES"/>
              </w:rPr>
              <w:t>Procedimientos judiciales concluidos</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22</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16</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21</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20</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25</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34</w:t>
            </w:r>
          </w:p>
        </w:tc>
        <w:tc>
          <w:tcPr>
            <w:tcW w:w="758" w:type="dxa"/>
            <w:shd w:val="clear" w:color="auto" w:fill="auto"/>
            <w:vAlign w:val="bottom"/>
          </w:tcPr>
          <w:p w:rsidR="0022482D" w:rsidRPr="00A51FF3" w:rsidRDefault="0022482D" w:rsidP="006E04DA">
            <w:pPr>
              <w:tabs>
                <w:tab w:val="left" w:pos="288"/>
                <w:tab w:val="left" w:pos="576"/>
                <w:tab w:val="left" w:pos="864"/>
                <w:tab w:val="left" w:pos="1152"/>
              </w:tabs>
              <w:spacing w:before="40" w:after="40" w:line="210" w:lineRule="exact"/>
              <w:ind w:right="40"/>
              <w:jc w:val="right"/>
              <w:rPr>
                <w:b/>
                <w:sz w:val="17"/>
                <w:lang w:eastAsia="es-ES"/>
              </w:rPr>
            </w:pPr>
            <w:r w:rsidRPr="00A51FF3">
              <w:rPr>
                <w:b/>
                <w:sz w:val="17"/>
                <w:lang w:eastAsia="es-ES"/>
              </w:rPr>
              <w:t>138</w:t>
            </w:r>
          </w:p>
        </w:tc>
      </w:tr>
      <w:tr w:rsidR="0022482D" w:rsidRPr="006E04DA" w:rsidTr="006E04DA">
        <w:tc>
          <w:tcPr>
            <w:tcW w:w="3260"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rPr>
                <w:sz w:val="17"/>
                <w:lang w:eastAsia="es-ES"/>
              </w:rPr>
            </w:pPr>
            <w:r w:rsidRPr="006E04DA">
              <w:rPr>
                <w:sz w:val="17"/>
                <w:lang w:eastAsia="es-ES"/>
              </w:rPr>
              <w:t>Condena</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15</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10</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9</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9</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10</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23</w:t>
            </w:r>
          </w:p>
        </w:tc>
        <w:tc>
          <w:tcPr>
            <w:tcW w:w="758" w:type="dxa"/>
            <w:shd w:val="clear" w:color="auto" w:fill="auto"/>
            <w:vAlign w:val="bottom"/>
          </w:tcPr>
          <w:p w:rsidR="0022482D" w:rsidRPr="00A51FF3" w:rsidRDefault="0022482D" w:rsidP="006E04DA">
            <w:pPr>
              <w:tabs>
                <w:tab w:val="left" w:pos="288"/>
                <w:tab w:val="left" w:pos="576"/>
                <w:tab w:val="left" w:pos="864"/>
                <w:tab w:val="left" w:pos="1152"/>
              </w:tabs>
              <w:spacing w:before="40" w:after="40" w:line="210" w:lineRule="exact"/>
              <w:ind w:right="40"/>
              <w:jc w:val="right"/>
              <w:rPr>
                <w:b/>
                <w:sz w:val="17"/>
                <w:lang w:eastAsia="es-ES"/>
              </w:rPr>
            </w:pPr>
            <w:r w:rsidRPr="00A51FF3">
              <w:rPr>
                <w:b/>
                <w:sz w:val="17"/>
                <w:lang w:eastAsia="es-ES"/>
              </w:rPr>
              <w:t>76</w:t>
            </w:r>
          </w:p>
        </w:tc>
      </w:tr>
      <w:tr w:rsidR="0022482D" w:rsidRPr="006E04DA" w:rsidTr="006E04DA">
        <w:tc>
          <w:tcPr>
            <w:tcW w:w="3260"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rPr>
                <w:sz w:val="17"/>
                <w:lang w:eastAsia="es-ES"/>
              </w:rPr>
            </w:pPr>
            <w:r w:rsidRPr="006E04DA">
              <w:rPr>
                <w:sz w:val="17"/>
                <w:lang w:eastAsia="es-ES"/>
              </w:rPr>
              <w:t>Absolución</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5</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5</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8</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7</w:t>
            </w:r>
          </w:p>
        </w:tc>
        <w:tc>
          <w:tcPr>
            <w:tcW w:w="765"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12</w:t>
            </w:r>
          </w:p>
        </w:tc>
        <w:tc>
          <w:tcPr>
            <w:tcW w:w="766" w:type="dxa"/>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4</w:t>
            </w:r>
          </w:p>
        </w:tc>
        <w:tc>
          <w:tcPr>
            <w:tcW w:w="758" w:type="dxa"/>
            <w:shd w:val="clear" w:color="auto" w:fill="auto"/>
            <w:vAlign w:val="bottom"/>
          </w:tcPr>
          <w:p w:rsidR="0022482D" w:rsidRPr="00A51FF3" w:rsidRDefault="0022482D" w:rsidP="006E04DA">
            <w:pPr>
              <w:tabs>
                <w:tab w:val="left" w:pos="288"/>
                <w:tab w:val="left" w:pos="576"/>
                <w:tab w:val="left" w:pos="864"/>
                <w:tab w:val="left" w:pos="1152"/>
              </w:tabs>
              <w:spacing w:before="40" w:after="40" w:line="210" w:lineRule="exact"/>
              <w:ind w:right="40"/>
              <w:jc w:val="right"/>
              <w:rPr>
                <w:b/>
                <w:sz w:val="17"/>
                <w:lang w:eastAsia="es-ES"/>
              </w:rPr>
            </w:pPr>
            <w:r w:rsidRPr="00A51FF3">
              <w:rPr>
                <w:b/>
                <w:sz w:val="17"/>
                <w:lang w:eastAsia="es-ES"/>
              </w:rPr>
              <w:t>41</w:t>
            </w:r>
          </w:p>
        </w:tc>
      </w:tr>
      <w:tr w:rsidR="0022482D" w:rsidRPr="006E04DA" w:rsidTr="006E04DA">
        <w:tc>
          <w:tcPr>
            <w:tcW w:w="3260" w:type="dxa"/>
            <w:tcBorders>
              <w:bottom w:val="single" w:sz="12" w:space="0" w:color="auto"/>
            </w:tcBorders>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rPr>
                <w:sz w:val="17"/>
                <w:lang w:eastAsia="es-ES"/>
              </w:rPr>
            </w:pPr>
            <w:r w:rsidRPr="006E04DA">
              <w:rPr>
                <w:sz w:val="17"/>
                <w:lang w:eastAsia="es-ES"/>
              </w:rPr>
              <w:t>Retirada de cargos o anulación del procedimiento</w:t>
            </w:r>
          </w:p>
        </w:tc>
        <w:tc>
          <w:tcPr>
            <w:tcW w:w="765" w:type="dxa"/>
            <w:tcBorders>
              <w:bottom w:val="single" w:sz="12" w:space="0" w:color="auto"/>
            </w:tcBorders>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2</w:t>
            </w:r>
          </w:p>
        </w:tc>
        <w:tc>
          <w:tcPr>
            <w:tcW w:w="766" w:type="dxa"/>
            <w:tcBorders>
              <w:bottom w:val="single" w:sz="12" w:space="0" w:color="auto"/>
            </w:tcBorders>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1</w:t>
            </w:r>
          </w:p>
        </w:tc>
        <w:tc>
          <w:tcPr>
            <w:tcW w:w="765" w:type="dxa"/>
            <w:tcBorders>
              <w:bottom w:val="single" w:sz="12" w:space="0" w:color="auto"/>
            </w:tcBorders>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4</w:t>
            </w:r>
          </w:p>
        </w:tc>
        <w:tc>
          <w:tcPr>
            <w:tcW w:w="766" w:type="dxa"/>
            <w:tcBorders>
              <w:bottom w:val="single" w:sz="12" w:space="0" w:color="auto"/>
            </w:tcBorders>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4</w:t>
            </w:r>
          </w:p>
        </w:tc>
        <w:tc>
          <w:tcPr>
            <w:tcW w:w="765" w:type="dxa"/>
            <w:tcBorders>
              <w:bottom w:val="single" w:sz="12" w:space="0" w:color="auto"/>
            </w:tcBorders>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3</w:t>
            </w:r>
          </w:p>
        </w:tc>
        <w:tc>
          <w:tcPr>
            <w:tcW w:w="766" w:type="dxa"/>
            <w:tcBorders>
              <w:bottom w:val="single" w:sz="12" w:space="0" w:color="auto"/>
            </w:tcBorders>
            <w:shd w:val="clear" w:color="auto" w:fill="auto"/>
            <w:vAlign w:val="bottom"/>
          </w:tcPr>
          <w:p w:rsidR="0022482D" w:rsidRPr="006E04DA" w:rsidRDefault="0022482D" w:rsidP="006E04DA">
            <w:pPr>
              <w:tabs>
                <w:tab w:val="left" w:pos="288"/>
                <w:tab w:val="left" w:pos="576"/>
                <w:tab w:val="left" w:pos="864"/>
                <w:tab w:val="left" w:pos="1152"/>
              </w:tabs>
              <w:spacing w:before="40" w:after="40" w:line="210" w:lineRule="exact"/>
              <w:ind w:right="40"/>
              <w:jc w:val="right"/>
              <w:rPr>
                <w:sz w:val="17"/>
                <w:lang w:eastAsia="es-ES"/>
              </w:rPr>
            </w:pPr>
            <w:r w:rsidRPr="006E04DA">
              <w:rPr>
                <w:sz w:val="17"/>
                <w:lang w:eastAsia="es-ES"/>
              </w:rPr>
              <w:t>10</w:t>
            </w:r>
          </w:p>
        </w:tc>
        <w:tc>
          <w:tcPr>
            <w:tcW w:w="758" w:type="dxa"/>
            <w:tcBorders>
              <w:bottom w:val="single" w:sz="12" w:space="0" w:color="auto"/>
            </w:tcBorders>
            <w:shd w:val="clear" w:color="auto" w:fill="auto"/>
            <w:vAlign w:val="bottom"/>
          </w:tcPr>
          <w:p w:rsidR="0022482D" w:rsidRPr="00A51FF3" w:rsidRDefault="0022482D" w:rsidP="006E04DA">
            <w:pPr>
              <w:tabs>
                <w:tab w:val="left" w:pos="288"/>
                <w:tab w:val="left" w:pos="576"/>
                <w:tab w:val="left" w:pos="864"/>
                <w:tab w:val="left" w:pos="1152"/>
              </w:tabs>
              <w:spacing w:before="40" w:after="40" w:line="210" w:lineRule="exact"/>
              <w:ind w:right="40"/>
              <w:jc w:val="right"/>
              <w:rPr>
                <w:b/>
                <w:sz w:val="17"/>
                <w:lang w:eastAsia="es-ES"/>
              </w:rPr>
            </w:pPr>
            <w:r w:rsidRPr="00A51FF3">
              <w:rPr>
                <w:b/>
                <w:sz w:val="17"/>
                <w:lang w:eastAsia="es-ES"/>
              </w:rPr>
              <w:t>24</w:t>
            </w:r>
          </w:p>
        </w:tc>
      </w:tr>
    </w:tbl>
    <w:p w:rsidR="006321F8" w:rsidRPr="00EF58D0" w:rsidRDefault="006321F8" w:rsidP="00EF58D0">
      <w:pPr>
        <w:pStyle w:val="SingleTxt"/>
        <w:spacing w:after="0" w:line="120" w:lineRule="exact"/>
        <w:rPr>
          <w:sz w:val="10"/>
          <w:lang w:eastAsia="es-ES"/>
        </w:rPr>
      </w:pPr>
    </w:p>
    <w:p w:rsidR="006321F8" w:rsidRDefault="006321F8" w:rsidP="006321F8">
      <w:pPr>
        <w:pStyle w:val="FootnoteText"/>
        <w:tabs>
          <w:tab w:val="clear" w:pos="418"/>
          <w:tab w:val="right" w:pos="1476"/>
          <w:tab w:val="left" w:pos="1548"/>
          <w:tab w:val="right" w:pos="1836"/>
          <w:tab w:val="left" w:pos="1908"/>
        </w:tabs>
        <w:ind w:left="1548" w:right="1267" w:hanging="288"/>
        <w:rPr>
          <w:lang w:eastAsia="es-ES"/>
        </w:rPr>
      </w:pPr>
      <w:r w:rsidRPr="006321F8">
        <w:rPr>
          <w:i/>
          <w:lang w:eastAsia="es-ES"/>
        </w:rPr>
        <w:t>Fuente:</w:t>
      </w:r>
      <w:r>
        <w:rPr>
          <w:lang w:eastAsia="es-ES"/>
        </w:rPr>
        <w:t xml:space="preserve"> Oficina de Lucha contra la Corrupción, 2012.</w:t>
      </w:r>
    </w:p>
    <w:p w:rsidR="006321F8" w:rsidRPr="00A51FF3" w:rsidRDefault="006321F8" w:rsidP="00A51FF3">
      <w:pPr>
        <w:pStyle w:val="SingleTxt"/>
        <w:spacing w:after="0" w:line="120" w:lineRule="exact"/>
        <w:rPr>
          <w:sz w:val="10"/>
          <w:lang w:eastAsia="es-ES"/>
        </w:rPr>
      </w:pPr>
    </w:p>
    <w:p w:rsidR="00A51FF3" w:rsidRPr="00EF58D0" w:rsidRDefault="00A51FF3" w:rsidP="00EF58D0">
      <w:pPr>
        <w:pStyle w:val="SingleTxt"/>
        <w:spacing w:after="0" w:line="120" w:lineRule="exact"/>
        <w:rPr>
          <w:sz w:val="10"/>
          <w:lang w:eastAsia="es-ES"/>
        </w:rPr>
      </w:pPr>
    </w:p>
    <w:p w:rsidR="0022482D" w:rsidRDefault="0022482D" w:rsidP="0022482D">
      <w:pPr>
        <w:pStyle w:val="SingleTxt"/>
        <w:numPr>
          <w:ilvl w:val="0"/>
          <w:numId w:val="15"/>
        </w:numPr>
        <w:suppressAutoHyphens w:val="0"/>
        <w:ind w:left="1267"/>
        <w:rPr>
          <w:lang w:eastAsia="es-ES"/>
        </w:rPr>
      </w:pPr>
      <w:r>
        <w:rPr>
          <w:lang w:eastAsia="es-ES"/>
        </w:rPr>
        <w:t>Entre las investigaciones concluidas se incluyen las investigaciones preventivas contra la corrupción. El número de investigaciones concluidas es mayor que el de investigaciones autorizadas porque comprende las iniciadas en años anteriores. Sigue aumentando la proporción de investigaciones concluidas que se remiten a la fiscalía. En la actualidad hay más de 70 casos planteados ante los tribunales.</w:t>
      </w:r>
    </w:p>
    <w:p w:rsidR="0022482D" w:rsidRPr="00EF58D0" w:rsidRDefault="0022482D" w:rsidP="00EF58D0">
      <w:pPr>
        <w:pStyle w:val="SingleTxt"/>
        <w:spacing w:after="0" w:line="120" w:lineRule="exact"/>
        <w:rPr>
          <w:sz w:val="10"/>
          <w:lang w:eastAsia="es-ES"/>
        </w:rPr>
      </w:pPr>
    </w:p>
    <w:p w:rsidR="00EF58D0" w:rsidRPr="0022482D" w:rsidRDefault="00EF58D0" w:rsidP="0022482D">
      <w:pPr>
        <w:pStyle w:val="SingleTxt"/>
        <w:spacing w:after="0" w:line="120" w:lineRule="exact"/>
        <w:rPr>
          <w:sz w:val="10"/>
          <w:lang w:eastAsia="es-ES"/>
        </w:rPr>
      </w:pPr>
    </w:p>
    <w:p w:rsidR="0022482D" w:rsidRDefault="0022482D" w:rsidP="0022482D">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eastAsia="es-ES"/>
        </w:rPr>
      </w:pPr>
      <w:r>
        <w:rPr>
          <w:lang w:eastAsia="es-ES"/>
        </w:rPr>
        <w:tab/>
        <w:t>IV.</w:t>
      </w:r>
      <w:r>
        <w:rPr>
          <w:lang w:eastAsia="es-ES"/>
        </w:rPr>
        <w:tab/>
        <w:t>Igualdad, no discriminación y recursos efectivos</w:t>
      </w:r>
    </w:p>
    <w:p w:rsidR="0022482D" w:rsidRPr="0022482D" w:rsidRDefault="0022482D" w:rsidP="0022482D">
      <w:pPr>
        <w:pStyle w:val="SingleTxt"/>
        <w:spacing w:after="0" w:line="120" w:lineRule="exact"/>
        <w:rPr>
          <w:sz w:val="10"/>
          <w:lang w:eastAsia="es-ES"/>
        </w:rPr>
      </w:pPr>
    </w:p>
    <w:p w:rsidR="0022482D" w:rsidRPr="0022482D" w:rsidRDefault="0022482D" w:rsidP="0022482D">
      <w:pPr>
        <w:pStyle w:val="SingleTxt"/>
        <w:spacing w:after="0" w:line="120" w:lineRule="exact"/>
        <w:rPr>
          <w:sz w:val="10"/>
          <w:lang w:eastAsia="es-ES"/>
        </w:rPr>
      </w:pPr>
    </w:p>
    <w:p w:rsidR="0022482D" w:rsidRDefault="0022482D" w:rsidP="0022482D">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eastAsia="es-ES"/>
        </w:rPr>
      </w:pPr>
      <w:r>
        <w:rPr>
          <w:lang w:eastAsia="es-ES"/>
        </w:rPr>
        <w:tab/>
        <w:t>A.</w:t>
      </w:r>
      <w:r>
        <w:rPr>
          <w:lang w:eastAsia="es-ES"/>
        </w:rPr>
        <w:tab/>
        <w:t>Igualdad y no discriminación</w:t>
      </w:r>
    </w:p>
    <w:p w:rsidR="0022482D" w:rsidRPr="00EF58D0" w:rsidRDefault="0022482D" w:rsidP="00EF58D0">
      <w:pPr>
        <w:pStyle w:val="SingleTxt"/>
        <w:spacing w:after="0" w:line="120" w:lineRule="exact"/>
        <w:rPr>
          <w:sz w:val="10"/>
          <w:lang w:eastAsia="es-ES"/>
        </w:rPr>
      </w:pPr>
    </w:p>
    <w:p w:rsidR="00EF58D0" w:rsidRPr="0022482D" w:rsidRDefault="00EF58D0" w:rsidP="0022482D">
      <w:pPr>
        <w:pStyle w:val="SingleTxt"/>
        <w:spacing w:after="0" w:line="120" w:lineRule="exact"/>
        <w:rPr>
          <w:sz w:val="10"/>
          <w:lang w:eastAsia="es-ES"/>
        </w:rPr>
      </w:pPr>
    </w:p>
    <w:p w:rsidR="0022482D" w:rsidRDefault="0022482D" w:rsidP="0022482D">
      <w:pPr>
        <w:pStyle w:val="SingleTxt"/>
        <w:numPr>
          <w:ilvl w:val="0"/>
          <w:numId w:val="15"/>
        </w:numPr>
        <w:suppressAutoHyphens w:val="0"/>
        <w:ind w:left="1267"/>
        <w:rPr>
          <w:lang w:eastAsia="es-ES"/>
        </w:rPr>
      </w:pPr>
      <w:r>
        <w:rPr>
          <w:lang w:eastAsia="es-ES"/>
        </w:rPr>
        <w:t>El principio de igualdad y no discriminación es uno de los pilares de la Constitución de la República de Malawi. En el artículo 4 de la Constitución se establece que esta es vinculante para todos los órganos ejecutivos, legislativos y judiciales del Estado a todos los niveles de gobierno y que todos los ciudadanos de Malawi tienen derecho a la misma protección en el marco de la Constitución y de las leyes promulgadas a su amparo.</w:t>
      </w:r>
    </w:p>
    <w:p w:rsidR="0022482D" w:rsidRDefault="0022482D" w:rsidP="0022482D">
      <w:pPr>
        <w:pStyle w:val="SingleTxt"/>
        <w:numPr>
          <w:ilvl w:val="0"/>
          <w:numId w:val="15"/>
        </w:numPr>
        <w:suppressAutoHyphens w:val="0"/>
        <w:ind w:left="1267"/>
        <w:rPr>
          <w:lang w:eastAsia="es-ES"/>
        </w:rPr>
      </w:pPr>
      <w:r>
        <w:rPr>
          <w:lang w:eastAsia="es-ES"/>
        </w:rPr>
        <w:t>En el artículo 20 se garantiza el principio de igualdad ante la ley y de igualdad de protección ante cualquier forma de discriminación y se prohíbe discriminar a las personas de la forma que sea y se les garantiza a todas ellas, al amparo de cualquier ley, una protección igual y efectiva contra la discriminación por motivos de raza, color, sexo, idioma, religión, convicciones políticas o de otro tipo, nacionalidad, ascendencia étnica o extracción social, discapacidad, patrimonio, cuna u otra condición. En el artículo mencionado también se prevé la promulgación de disposiciones tendentes a corregir las desigualdades sociales y a prohibir las prácticas discriminatorias y su propagación y hacerlas penalmente sancionables por los tribunales.</w:t>
      </w:r>
    </w:p>
    <w:p w:rsidR="0022482D" w:rsidRDefault="0022482D" w:rsidP="0022482D">
      <w:pPr>
        <w:pStyle w:val="SingleTxt"/>
        <w:numPr>
          <w:ilvl w:val="0"/>
          <w:numId w:val="15"/>
        </w:numPr>
        <w:tabs>
          <w:tab w:val="num" w:pos="1742"/>
        </w:tabs>
        <w:ind w:left="1267"/>
        <w:rPr>
          <w:lang w:eastAsia="es-ES"/>
        </w:rPr>
      </w:pPr>
      <w:r>
        <w:rPr>
          <w:lang w:eastAsia="es-ES"/>
        </w:rPr>
        <w:t>En el artículo 41 1) de la Constitución se establece que toda persona tiene derecho a ser reconocida como tal ante la ley. El derecho a la igualdad y al reconocimiento igualitario ante la ley no se puede limitar, restringir o derogar.</w:t>
      </w:r>
    </w:p>
    <w:p w:rsidR="0022482D" w:rsidRDefault="0022482D" w:rsidP="0022482D">
      <w:pPr>
        <w:pStyle w:val="SingleTxt"/>
        <w:numPr>
          <w:ilvl w:val="0"/>
          <w:numId w:val="15"/>
        </w:numPr>
        <w:suppressAutoHyphens w:val="0"/>
        <w:ind w:left="1267"/>
        <w:rPr>
          <w:lang w:eastAsia="es-ES"/>
        </w:rPr>
      </w:pPr>
      <w:r>
        <w:rPr>
          <w:lang w:eastAsia="es-ES"/>
        </w:rPr>
        <w:t xml:space="preserve">En la Constitución también se tratan específicamente la igualdad entre los géneros y la no discriminación por motivos de género. En virtud de los Principios de </w:t>
      </w:r>
      <w:r>
        <w:rPr>
          <w:lang w:eastAsia="es-ES"/>
        </w:rPr>
        <w:lastRenderedPageBreak/>
        <w:t>política nacional proclamados en el artículo 13 de la Constitución, el Estado debe promover activamente el bienestar y el desarrollo de la población de Malawi adoptando y aplicando progresivamente políticas y legislación encaminadas a lograr la igualdad entre las mujeres y los hombres.</w:t>
      </w:r>
    </w:p>
    <w:p w:rsidR="0022482D" w:rsidRDefault="0022482D" w:rsidP="0022482D">
      <w:pPr>
        <w:pStyle w:val="SingleTxt"/>
        <w:numPr>
          <w:ilvl w:val="0"/>
          <w:numId w:val="15"/>
        </w:numPr>
        <w:suppressAutoHyphens w:val="0"/>
        <w:ind w:left="1267"/>
        <w:rPr>
          <w:lang w:eastAsia="es-ES"/>
        </w:rPr>
      </w:pPr>
      <w:r>
        <w:rPr>
          <w:lang w:eastAsia="es-ES"/>
        </w:rPr>
        <w:t>En el artículo 20 se enuncia que el sexo es uno de los motivos de discriminación que se prohíben y en el artículo 24, relativo a los derechos de las mujeres, se enuncian otros dos motivos: el estado civil y el género.</w:t>
      </w:r>
    </w:p>
    <w:p w:rsidR="0022482D" w:rsidRDefault="0022482D" w:rsidP="0022482D">
      <w:pPr>
        <w:pStyle w:val="SingleTxt"/>
        <w:numPr>
          <w:ilvl w:val="0"/>
          <w:numId w:val="15"/>
        </w:numPr>
        <w:suppressAutoHyphens w:val="0"/>
        <w:ind w:left="1267"/>
        <w:rPr>
          <w:lang w:eastAsia="es-ES"/>
        </w:rPr>
      </w:pPr>
      <w:r>
        <w:rPr>
          <w:lang w:eastAsia="es-ES"/>
        </w:rPr>
        <w:t xml:space="preserve">Las personas con discapacidad también están protegidas por el artículo 20 de la Constitución. Además, en el artículo 13 se dispone que el Gobierno aplicará políticas tendentes a garantizar a esas personas un acceso adecuado a los lugares públicos, igualdad de oportunidades de empleo y plena participación en todos los ámbitos de la vida del país. En 2009, Malawi ratificó la Convención sobre los </w:t>
      </w:r>
      <w:r w:rsidR="001D5A48">
        <w:rPr>
          <w:lang w:eastAsia="es-ES"/>
        </w:rPr>
        <w:t xml:space="preserve">Derechos </w:t>
      </w:r>
      <w:r>
        <w:rPr>
          <w:lang w:eastAsia="es-ES"/>
        </w:rPr>
        <w:t xml:space="preserve">de las </w:t>
      </w:r>
      <w:r w:rsidR="001D5A48">
        <w:rPr>
          <w:lang w:eastAsia="es-ES"/>
        </w:rPr>
        <w:t xml:space="preserve">Personas </w:t>
      </w:r>
      <w:r>
        <w:rPr>
          <w:lang w:eastAsia="es-ES"/>
        </w:rPr>
        <w:t xml:space="preserve">con </w:t>
      </w:r>
      <w:r w:rsidR="001D5A48">
        <w:rPr>
          <w:lang w:eastAsia="es-ES"/>
        </w:rPr>
        <w:t>Discapacidad</w:t>
      </w:r>
      <w:r>
        <w:rPr>
          <w:lang w:eastAsia="es-ES"/>
        </w:rPr>
        <w:t>. En 2010, se añadió a la Constitución una enmienda en virtud de la cual el Estado se comprometía a que el Gobierno favoreciera la dignidad y la calidad de vida de las personas con discapacidad proporcionándoles, entre otras cosas, acceso adecuado a los lugares públicos. En virtud de la misma enmienda, se modificó el artículo 23, relativo a los derechos de los niños, para reconocer que los niños con discapacidades se hallaban en condiciones de desventaja especial y que, dadas esas condiciones, tenían derecho a recibir, cuando procediera, asistencia del Estado.</w:t>
      </w:r>
    </w:p>
    <w:p w:rsidR="0022482D" w:rsidRDefault="0022482D" w:rsidP="0022482D">
      <w:pPr>
        <w:pStyle w:val="SingleTxt"/>
        <w:numPr>
          <w:ilvl w:val="0"/>
          <w:numId w:val="15"/>
        </w:numPr>
        <w:suppressAutoHyphens w:val="0"/>
        <w:ind w:left="1267"/>
        <w:rPr>
          <w:lang w:eastAsia="es-ES"/>
        </w:rPr>
      </w:pPr>
      <w:r>
        <w:rPr>
          <w:lang w:eastAsia="es-ES"/>
        </w:rPr>
        <w:t>El proyecto de ley de discapacidades, que el Gabinete había tenido en estudio durante años, se aprobó como ley en mayo de 2012, una ley que, con el apoyo del marco constitucional que acaba de exponerse en los párrafos anteriores, favorecerá la promoción y el respeto de los derechos de las personas con discapacidad.</w:t>
      </w:r>
    </w:p>
    <w:p w:rsidR="0022482D" w:rsidRDefault="0022482D" w:rsidP="0022482D">
      <w:pPr>
        <w:pStyle w:val="SingleTxt"/>
        <w:numPr>
          <w:ilvl w:val="0"/>
          <w:numId w:val="15"/>
        </w:numPr>
        <w:suppressAutoHyphens w:val="0"/>
        <w:ind w:left="1267"/>
        <w:rPr>
          <w:lang w:eastAsia="es-ES"/>
        </w:rPr>
      </w:pPr>
      <w:r>
        <w:rPr>
          <w:lang w:eastAsia="es-ES"/>
        </w:rPr>
        <w:t>Aunque los principios de igualdad y no discriminación se asientan en un sólido marco constitucional, persisten problemas de desigualdad y discriminación, en particular contra grupos vulnerables como las mujeres y los niños. El Gobierno de Malawi ha promulgado leyes y aplicado políticas y programas encaminados a subsanar las desigualdades y a promover activamente la no discriminación. Se enumeran a continuación algunos ejemplos:</w:t>
      </w:r>
    </w:p>
    <w:p w:rsidR="0022482D" w:rsidRDefault="0022482D" w:rsidP="0022482D">
      <w:pPr>
        <w:pStyle w:val="SingleTxt"/>
        <w:rPr>
          <w:lang w:eastAsia="es-ES"/>
        </w:rPr>
      </w:pPr>
      <w:r>
        <w:rPr>
          <w:lang w:eastAsia="es-ES"/>
        </w:rPr>
        <w:tab/>
        <w:t>a)</w:t>
      </w:r>
      <w:r>
        <w:rPr>
          <w:lang w:eastAsia="es-ES"/>
        </w:rPr>
        <w:tab/>
        <w:t>Se ha aprobado la Ley de Prevención de la Violencia Doméstica, de 2006.</w:t>
      </w:r>
    </w:p>
    <w:p w:rsidR="0022482D" w:rsidRDefault="0022482D" w:rsidP="0022482D">
      <w:pPr>
        <w:pStyle w:val="SingleTxt"/>
        <w:rPr>
          <w:lang w:eastAsia="es-ES"/>
        </w:rPr>
      </w:pPr>
      <w:r>
        <w:rPr>
          <w:lang w:eastAsia="es-ES"/>
        </w:rPr>
        <w:tab/>
        <w:t>b)</w:t>
      </w:r>
      <w:r>
        <w:rPr>
          <w:lang w:eastAsia="es-ES"/>
        </w:rPr>
        <w:tab/>
        <w:t>Se promulgó la Ley sobre la Sucesión de Personas Fallecidas (Testamento, Herencia y Protección), de 2011.</w:t>
      </w:r>
    </w:p>
    <w:p w:rsidR="0022482D" w:rsidRDefault="0022482D" w:rsidP="0022482D">
      <w:pPr>
        <w:pStyle w:val="SingleTxt"/>
        <w:rPr>
          <w:lang w:eastAsia="es-ES"/>
        </w:rPr>
      </w:pPr>
      <w:r>
        <w:rPr>
          <w:lang w:eastAsia="es-ES"/>
        </w:rPr>
        <w:tab/>
        <w:t>c)</w:t>
      </w:r>
      <w:r>
        <w:rPr>
          <w:lang w:eastAsia="es-ES"/>
        </w:rPr>
        <w:tab/>
        <w:t>Se ha procedido a un examen de las disposiciones discriminatorias sobre matrimonio y divorcio, en el que se ha fundamentado la elaboración del proyecto de ley sobre el matrimonio, el divorcio y las relaciones familiares, de 2006.</w:t>
      </w:r>
    </w:p>
    <w:p w:rsidR="0022482D" w:rsidRDefault="0022482D" w:rsidP="0022482D">
      <w:pPr>
        <w:pStyle w:val="SingleTxt"/>
        <w:rPr>
          <w:lang w:eastAsia="es-ES"/>
        </w:rPr>
      </w:pPr>
      <w:r>
        <w:rPr>
          <w:lang w:eastAsia="es-ES"/>
        </w:rPr>
        <w:tab/>
        <w:t>d)</w:t>
      </w:r>
      <w:r>
        <w:rPr>
          <w:lang w:eastAsia="es-ES"/>
        </w:rPr>
        <w:tab/>
        <w:t>La Política nacional para los huérfanos y otros niños vulnerables, de 2009, promueve, de forma coordinada, el cuidado, la protección y el desarrollo de esos niños con el fin de proporcionarles un entorno en el que puedan disfrutar plenamente de sus derechos y realizar todo su potencial.</w:t>
      </w:r>
    </w:p>
    <w:p w:rsidR="0022482D" w:rsidRDefault="0022482D" w:rsidP="0022482D">
      <w:pPr>
        <w:pStyle w:val="SingleTxt"/>
        <w:rPr>
          <w:lang w:eastAsia="es-ES"/>
        </w:rPr>
      </w:pPr>
      <w:r>
        <w:rPr>
          <w:lang w:eastAsia="es-ES"/>
        </w:rPr>
        <w:tab/>
        <w:t>e)</w:t>
      </w:r>
      <w:r>
        <w:rPr>
          <w:lang w:eastAsia="es-ES"/>
        </w:rPr>
        <w:tab/>
        <w:t>El Programa acelerado de educación para las niñas que aplica el Ministerio de Educación promueve la mejora de las infraestructuras escolares, y en particular de las instalaciones sanitarias, con el fin de crear un entorno más adecuado a las necesidades de las alumnas.</w:t>
      </w:r>
    </w:p>
    <w:p w:rsidR="0022482D" w:rsidRDefault="0022482D" w:rsidP="0022482D">
      <w:pPr>
        <w:pStyle w:val="SingleTxt"/>
        <w:rPr>
          <w:lang w:eastAsia="es-ES"/>
        </w:rPr>
      </w:pPr>
      <w:r>
        <w:rPr>
          <w:lang w:eastAsia="es-ES"/>
        </w:rPr>
        <w:tab/>
        <w:t>f)</w:t>
      </w:r>
      <w:r>
        <w:rPr>
          <w:lang w:eastAsia="es-ES"/>
        </w:rPr>
        <w:tab/>
        <w:t xml:space="preserve">Se están adoptando medidas de discriminación positiva o acción afirmativa para la concesión de becas a alumnos necesitados. En la actualidad se conceden más becas a niñas con el fin de corregir la situación actual de desigualdad de acceso a la educación, que presenta un sesgo favorable a los varones. </w:t>
      </w:r>
    </w:p>
    <w:p w:rsidR="0022482D" w:rsidRDefault="0022482D" w:rsidP="0022482D">
      <w:pPr>
        <w:pStyle w:val="SingleTxt"/>
        <w:rPr>
          <w:lang w:eastAsia="es-ES"/>
        </w:rPr>
      </w:pPr>
      <w:r>
        <w:rPr>
          <w:lang w:eastAsia="es-ES"/>
        </w:rPr>
        <w:lastRenderedPageBreak/>
        <w:tab/>
        <w:t>g)</w:t>
      </w:r>
      <w:r>
        <w:rPr>
          <w:lang w:eastAsia="es-ES"/>
        </w:rPr>
        <w:tab/>
        <w:t>Se aplica, asimismo, un programa de readmisión para madres jóvenes con el fin de facilitar la reanudación de los estudios interrumpidos prematuramente por la maternidad.</w:t>
      </w:r>
    </w:p>
    <w:p w:rsidR="0022482D" w:rsidRDefault="0022482D" w:rsidP="0022482D">
      <w:pPr>
        <w:pStyle w:val="SingleTxt"/>
        <w:rPr>
          <w:lang w:eastAsia="es-ES"/>
        </w:rPr>
      </w:pPr>
      <w:r>
        <w:rPr>
          <w:lang w:eastAsia="es-ES"/>
        </w:rPr>
        <w:tab/>
        <w:t>h)</w:t>
      </w:r>
      <w:r>
        <w:rPr>
          <w:lang w:eastAsia="es-ES"/>
        </w:rPr>
        <w:tab/>
        <w:t>El Ministerio de Educación está realizando, asimismo, un esfuerzo deliberado por asegurar la igualdad de oportunidades entre niños y niñas en la selección para el paso de la enseñanza primaria a la secundaria, lo que no ocurría hasta ahora.</w:t>
      </w:r>
    </w:p>
    <w:p w:rsidR="0022482D" w:rsidRDefault="0022482D" w:rsidP="0022482D">
      <w:pPr>
        <w:pStyle w:val="SingleTxt"/>
        <w:rPr>
          <w:lang w:eastAsia="es-ES"/>
        </w:rPr>
      </w:pPr>
      <w:r>
        <w:rPr>
          <w:lang w:eastAsia="es-ES"/>
        </w:rPr>
        <w:tab/>
        <w:t>i)</w:t>
      </w:r>
      <w:r>
        <w:rPr>
          <w:lang w:eastAsia="es-ES"/>
        </w:rPr>
        <w:tab/>
        <w:t>El Marco de Inversión en Política Educativa, que es el marco estratégico nacional en la esfera de la enseñanza, promueve la igualdad educativa mediante el establecimiento de un entorno acogedor que atienda a las necesidades de los niños y de las niñas, así como a las de los niños con necesidades especiales y los niños con discapacidad grave.</w:t>
      </w:r>
    </w:p>
    <w:p w:rsidR="0022482D" w:rsidRDefault="0022482D" w:rsidP="0022482D">
      <w:pPr>
        <w:pStyle w:val="SingleTxt"/>
        <w:rPr>
          <w:lang w:eastAsia="es-ES"/>
        </w:rPr>
      </w:pPr>
      <w:r>
        <w:rPr>
          <w:lang w:eastAsia="es-ES"/>
        </w:rPr>
        <w:tab/>
        <w:t>j)</w:t>
      </w:r>
      <w:r>
        <w:rPr>
          <w:lang w:eastAsia="es-ES"/>
        </w:rPr>
        <w:tab/>
        <w:t>Se ha introducido recientemente, en el proceso de selección de estudiantes para el ingreso en la Universidad de Malawi, un sistema de cupos que tiene por objetivo corregir las desigualdades de acceso a la educación universitaria.</w:t>
      </w:r>
    </w:p>
    <w:p w:rsidR="0022482D" w:rsidRDefault="0022482D" w:rsidP="0022482D">
      <w:pPr>
        <w:pStyle w:val="SingleTxt"/>
        <w:rPr>
          <w:lang w:eastAsia="es-ES"/>
        </w:rPr>
      </w:pPr>
      <w:r>
        <w:rPr>
          <w:lang w:eastAsia="es-ES"/>
        </w:rPr>
        <w:tab/>
        <w:t>k)</w:t>
      </w:r>
      <w:r>
        <w:rPr>
          <w:lang w:eastAsia="es-ES"/>
        </w:rPr>
        <w:tab/>
        <w:t>El suministro de fertilizantes y otros insumos agrícolas subvencionados a personas de edad, personas muy pobres, personas con discapacidad y otros grupos socialmente desfavorecidos, tiene también por objetivo corregir las desigualdades de acceso a los recursos agrícolas y, por ende, a los alimentos.</w:t>
      </w:r>
    </w:p>
    <w:p w:rsidR="0022482D" w:rsidRDefault="0022482D" w:rsidP="0022482D">
      <w:pPr>
        <w:pStyle w:val="SingleTxt"/>
        <w:numPr>
          <w:ilvl w:val="0"/>
          <w:numId w:val="15"/>
        </w:numPr>
        <w:suppressAutoHyphens w:val="0"/>
        <w:ind w:left="1267"/>
        <w:rPr>
          <w:lang w:eastAsia="es-ES"/>
        </w:rPr>
      </w:pPr>
      <w:r>
        <w:rPr>
          <w:lang w:eastAsia="es-ES"/>
        </w:rPr>
        <w:t>Malawi también está tramitando la Ley sobre Igualdad entre los Géneros, con la que se propone, entre otros objetivos, eliminar las prácticas culturales perjudiciales con el fin de proteger a los niños, y especialmente a las niñas, contra las prácticas culturales discriminatorias que afectan negativamente a su desarrollo físico y psicológico.</w:t>
      </w:r>
    </w:p>
    <w:p w:rsidR="0022482D" w:rsidRDefault="0022482D" w:rsidP="0022482D">
      <w:pPr>
        <w:pStyle w:val="SingleTxt"/>
        <w:numPr>
          <w:ilvl w:val="0"/>
          <w:numId w:val="15"/>
        </w:numPr>
        <w:suppressAutoHyphens w:val="0"/>
        <w:ind w:left="1267"/>
        <w:rPr>
          <w:lang w:eastAsia="es-ES"/>
        </w:rPr>
      </w:pPr>
      <w:r>
        <w:rPr>
          <w:lang w:eastAsia="es-ES"/>
        </w:rPr>
        <w:t xml:space="preserve">Asimismo, Malawi ha ratificado la Convención Internacional para la Eliminación de todas las Formas de Discriminación Racial y la Convención sobre la </w:t>
      </w:r>
      <w:r w:rsidR="001D5A48">
        <w:rPr>
          <w:lang w:eastAsia="es-ES"/>
        </w:rPr>
        <w:t xml:space="preserve">Eliminación </w:t>
      </w:r>
      <w:r>
        <w:rPr>
          <w:lang w:eastAsia="es-ES"/>
        </w:rPr>
        <w:t xml:space="preserve">de </w:t>
      </w:r>
      <w:r w:rsidR="001D5A48">
        <w:rPr>
          <w:lang w:eastAsia="es-ES"/>
        </w:rPr>
        <w:t xml:space="preserve">Todas </w:t>
      </w:r>
      <w:r>
        <w:rPr>
          <w:lang w:eastAsia="es-ES"/>
        </w:rPr>
        <w:t xml:space="preserve">las </w:t>
      </w:r>
      <w:r w:rsidR="001D5A48">
        <w:rPr>
          <w:lang w:eastAsia="es-ES"/>
        </w:rPr>
        <w:t xml:space="preserve">Formas </w:t>
      </w:r>
      <w:r>
        <w:rPr>
          <w:lang w:eastAsia="es-ES"/>
        </w:rPr>
        <w:t xml:space="preserve">de </w:t>
      </w:r>
      <w:r w:rsidR="001D5A48">
        <w:rPr>
          <w:lang w:eastAsia="es-ES"/>
        </w:rPr>
        <w:t xml:space="preserve">Discriminación </w:t>
      </w:r>
      <w:r>
        <w:rPr>
          <w:lang w:eastAsia="es-ES"/>
        </w:rPr>
        <w:t xml:space="preserve">contra la </w:t>
      </w:r>
      <w:r w:rsidR="001D5A48">
        <w:rPr>
          <w:lang w:eastAsia="es-ES"/>
        </w:rPr>
        <w:t>Mujer</w:t>
      </w:r>
      <w:r>
        <w:rPr>
          <w:lang w:eastAsia="es-ES"/>
        </w:rPr>
        <w:t>. Habida cuenta de las disparidades existentes entre lo proclamado en la Constitución y los instrumentos internacionales pertinentes y la realidad sobre el terreno, el Gobierno, atendiendo a recomendaciones de la Comisión Jurídica, está aplicando una ley tendente a suprimir prácticas nocivas (ya sean sociales, culturales o religiosas) que perpetúan el sometimiento de la mujer y que propician relaciones de explotación sexual. Se recomienda que se fije un cupo mínimo del 40% y un cupo máximo del 60% en los ámbitos del empleo, la educación y la administración pública.</w:t>
      </w:r>
    </w:p>
    <w:p w:rsidR="0022482D" w:rsidRPr="00EF58D0" w:rsidRDefault="0022482D" w:rsidP="00EF58D0">
      <w:pPr>
        <w:pStyle w:val="SingleTxt"/>
        <w:spacing w:after="0" w:line="120" w:lineRule="exact"/>
        <w:rPr>
          <w:sz w:val="10"/>
          <w:lang w:eastAsia="es-ES"/>
        </w:rPr>
      </w:pPr>
    </w:p>
    <w:p w:rsidR="00EF58D0" w:rsidRPr="0022482D" w:rsidRDefault="00EF58D0" w:rsidP="0022482D">
      <w:pPr>
        <w:pStyle w:val="SingleTxt"/>
        <w:spacing w:after="0" w:line="120" w:lineRule="exact"/>
        <w:rPr>
          <w:sz w:val="10"/>
          <w:lang w:eastAsia="es-ES"/>
        </w:rPr>
      </w:pPr>
    </w:p>
    <w:p w:rsidR="0022482D" w:rsidRDefault="0022482D" w:rsidP="0022482D">
      <w:pPr>
        <w:pStyle w:val="H1"/>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eastAsia="es-ES"/>
        </w:rPr>
      </w:pPr>
      <w:r>
        <w:rPr>
          <w:lang w:eastAsia="es-ES"/>
        </w:rPr>
        <w:tab/>
        <w:t>B.</w:t>
      </w:r>
      <w:r>
        <w:rPr>
          <w:lang w:eastAsia="es-ES"/>
        </w:rPr>
        <w:tab/>
        <w:t>Recursos efectivos</w:t>
      </w:r>
    </w:p>
    <w:p w:rsidR="0022482D" w:rsidRPr="00EF58D0" w:rsidRDefault="0022482D" w:rsidP="00EF58D0">
      <w:pPr>
        <w:pStyle w:val="SingleTxt"/>
        <w:spacing w:after="0" w:line="120" w:lineRule="exact"/>
        <w:rPr>
          <w:sz w:val="10"/>
          <w:lang w:eastAsia="es-ES"/>
        </w:rPr>
      </w:pPr>
    </w:p>
    <w:p w:rsidR="00EF58D0" w:rsidRPr="0022482D" w:rsidRDefault="00EF58D0" w:rsidP="0022482D">
      <w:pPr>
        <w:pStyle w:val="SingleTxt"/>
        <w:spacing w:after="0" w:line="120" w:lineRule="exact"/>
        <w:rPr>
          <w:sz w:val="10"/>
          <w:lang w:eastAsia="es-ES"/>
        </w:rPr>
      </w:pPr>
    </w:p>
    <w:p w:rsidR="0022482D" w:rsidRDefault="0022482D" w:rsidP="0022482D">
      <w:pPr>
        <w:pStyle w:val="SingleTxt"/>
        <w:numPr>
          <w:ilvl w:val="0"/>
          <w:numId w:val="15"/>
        </w:numPr>
        <w:suppressAutoHyphens w:val="0"/>
        <w:ind w:left="1267"/>
        <w:rPr>
          <w:lang w:eastAsia="es-ES"/>
        </w:rPr>
      </w:pPr>
      <w:r>
        <w:rPr>
          <w:lang w:eastAsia="es-ES"/>
        </w:rPr>
        <w:t xml:space="preserve">La Constitución de Malawi proporciona un marco para la reparación de las violaciones de los derechos y libertades. Su artículo 15 1) dispone que todos los órganos de los tres poderes han de respetar y promover, en su totalidad, los derechos y libertades proclamados en la Constitución. En esta se prevén, asimismo, recursos efectivos en casos de violaciones de derechos o de amenazas para el ejercicio de esos derechos. </w:t>
      </w:r>
    </w:p>
    <w:p w:rsidR="0022482D" w:rsidRDefault="0022482D" w:rsidP="0022482D">
      <w:pPr>
        <w:pStyle w:val="SingleTxt"/>
        <w:numPr>
          <w:ilvl w:val="0"/>
          <w:numId w:val="15"/>
        </w:numPr>
        <w:suppressAutoHyphens w:val="0"/>
        <w:ind w:left="1267"/>
        <w:rPr>
          <w:lang w:eastAsia="es-ES"/>
        </w:rPr>
      </w:pPr>
      <w:r>
        <w:rPr>
          <w:lang w:eastAsia="es-ES"/>
        </w:rPr>
        <w:t>A esos recursos puede accederse por medio de los tribunales, la Comisión de Derechos Humanos, la Oficina del Defensor del Pueblo y otros órganos gubernamentales. El artículo 41 3) de la Constitución hace posible actuar con eficacia ante toda vulneración de cualquier derecho (proclamado en ella o en otra ley) o incluso ante una mera amenaza al disfrute de cualquier derecho.</w:t>
      </w:r>
    </w:p>
    <w:p w:rsidR="0022482D" w:rsidRDefault="0022482D" w:rsidP="0022482D">
      <w:pPr>
        <w:pStyle w:val="SingleTxt"/>
        <w:numPr>
          <w:ilvl w:val="0"/>
          <w:numId w:val="15"/>
        </w:numPr>
        <w:suppressAutoHyphens w:val="0"/>
        <w:ind w:left="1267"/>
        <w:rPr>
          <w:lang w:eastAsia="es-ES"/>
        </w:rPr>
      </w:pPr>
      <w:r>
        <w:rPr>
          <w:lang w:eastAsia="es-ES"/>
        </w:rPr>
        <w:t xml:space="preserve">En la Constitución ya se establece que se impongan sanciones penales por la violación de determinados derechos, como en los casos de discriminación previstos en </w:t>
      </w:r>
      <w:r>
        <w:rPr>
          <w:lang w:eastAsia="es-ES"/>
        </w:rPr>
        <w:lastRenderedPageBreak/>
        <w:t>el artículo 20. A la luz de lo anterior, cabe ver las sanciones penales como una forma de recurso accesible en el marco de la protección de los derechos humanos.</w:t>
      </w:r>
    </w:p>
    <w:p w:rsidR="0022482D" w:rsidRDefault="0022482D" w:rsidP="0022482D">
      <w:pPr>
        <w:pStyle w:val="SingleTxt"/>
        <w:numPr>
          <w:ilvl w:val="0"/>
          <w:numId w:val="15"/>
        </w:numPr>
        <w:suppressAutoHyphens w:val="0"/>
        <w:ind w:left="1267"/>
        <w:rPr>
          <w:lang w:eastAsia="es-ES"/>
        </w:rPr>
      </w:pPr>
      <w:r>
        <w:rPr>
          <w:lang w:eastAsia="es-ES"/>
        </w:rPr>
        <w:t xml:space="preserve">El artículo 43 de la Constitución establece el derecho a una administración de justicia adecuada. Las decisiones del Gobierno están sujetas a examen judicial y los tribunales están facultados para otorgar recursos efectivos en casos de violación de derechos. </w:t>
      </w:r>
    </w:p>
    <w:p w:rsidR="006321F8" w:rsidRDefault="0022482D" w:rsidP="0022482D">
      <w:pPr>
        <w:pStyle w:val="SingleTxt"/>
        <w:numPr>
          <w:ilvl w:val="0"/>
          <w:numId w:val="15"/>
        </w:numPr>
        <w:suppressAutoHyphens w:val="0"/>
        <w:ind w:left="1267"/>
        <w:rPr>
          <w:lang w:eastAsia="es-ES"/>
        </w:rPr>
      </w:pPr>
      <w:r>
        <w:rPr>
          <w:lang w:eastAsia="es-ES"/>
        </w:rPr>
        <w:t xml:space="preserve">Por ejemplo, se han presentado numerosas demandas por daños y perjuicios en casos de encarcelamiento injustificado, como en la causa </w:t>
      </w:r>
      <w:r w:rsidRPr="0022482D">
        <w:rPr>
          <w:i/>
          <w:lang w:eastAsia="es-ES"/>
        </w:rPr>
        <w:t>Martin Machipisa Munthali c. el Fiscal General</w:t>
      </w:r>
      <w:r>
        <w:rPr>
          <w:lang w:eastAsia="es-ES"/>
        </w:rPr>
        <w:t xml:space="preserve"> (causa civil Nº 52 de 1993), en la que se otorgó al demandante una indemnización por daños y perjuicios por habérsele mantenido injustificadamente en prisión durante 27 años. En la causa </w:t>
      </w:r>
      <w:r w:rsidRPr="00111B4D">
        <w:rPr>
          <w:i/>
          <w:lang w:eastAsia="es-ES"/>
        </w:rPr>
        <w:t>Felix Katha c. el Fiscal General</w:t>
      </w:r>
      <w:r>
        <w:rPr>
          <w:lang w:eastAsia="es-ES"/>
        </w:rPr>
        <w:t xml:space="preserve"> (causa civil Nº</w:t>
      </w:r>
      <w:r w:rsidR="00111B4D">
        <w:rPr>
          <w:lang w:eastAsia="es-ES"/>
        </w:rPr>
        <w:t> </w:t>
      </w:r>
      <w:r>
        <w:rPr>
          <w:lang w:eastAsia="es-ES"/>
        </w:rPr>
        <w:t>988 de 2007) también se otorgó al demandante una indemnización por haber sido encarcelado por error durante 2 meses.</w:t>
      </w:r>
    </w:p>
    <w:p w:rsidR="00111B4D" w:rsidRDefault="00111B4D">
      <w:pPr>
        <w:suppressAutoHyphens w:val="0"/>
        <w:spacing w:line="240" w:lineRule="auto"/>
        <w:rPr>
          <w:kern w:val="14"/>
          <w:lang w:eastAsia="es-ES"/>
        </w:rPr>
      </w:pPr>
      <w:r>
        <w:rPr>
          <w:lang w:eastAsia="es-ES"/>
        </w:rPr>
        <w:br w:type="page"/>
      </w:r>
    </w:p>
    <w:p w:rsidR="00111B4D" w:rsidRPr="00111B4D" w:rsidRDefault="00111B4D" w:rsidP="00111B4D">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val="en-US" w:eastAsia="es-ES"/>
        </w:rPr>
      </w:pPr>
      <w:r>
        <w:rPr>
          <w:lang w:val="en-US" w:eastAsia="es-ES"/>
        </w:rPr>
        <w:lastRenderedPageBreak/>
        <w:t>Apéndice</w:t>
      </w:r>
      <w:r w:rsidRPr="00111B4D">
        <w:rPr>
          <w:lang w:val="en-US" w:eastAsia="es-ES"/>
        </w:rPr>
        <w:t xml:space="preserve"> I</w:t>
      </w:r>
    </w:p>
    <w:p w:rsidR="00111B4D" w:rsidRPr="00111B4D" w:rsidRDefault="00111B4D" w:rsidP="00111B4D">
      <w:pPr>
        <w:pStyle w:val="SingleTxt"/>
        <w:spacing w:after="0" w:line="120" w:lineRule="exact"/>
        <w:rPr>
          <w:sz w:val="10"/>
          <w:lang w:val="en-US" w:eastAsia="es-ES"/>
        </w:rPr>
      </w:pPr>
    </w:p>
    <w:p w:rsidR="00111B4D" w:rsidRPr="00111B4D" w:rsidRDefault="00111B4D" w:rsidP="00111B4D">
      <w:pPr>
        <w:pStyle w:val="SingleTxt"/>
        <w:spacing w:after="0" w:line="120" w:lineRule="exact"/>
        <w:rPr>
          <w:sz w:val="10"/>
          <w:lang w:val="en-US" w:eastAsia="es-ES"/>
        </w:rPr>
      </w:pPr>
    </w:p>
    <w:p w:rsidR="00111B4D" w:rsidRPr="00A51FF3" w:rsidRDefault="00111B4D" w:rsidP="00111B4D">
      <w:pPr>
        <w:spacing w:after="120" w:line="240" w:lineRule="atLeast"/>
        <w:ind w:left="1134" w:right="1134"/>
        <w:jc w:val="right"/>
        <w:rPr>
          <w:rFonts w:eastAsia="Times New Roman"/>
          <w:i/>
          <w:spacing w:val="0"/>
          <w:w w:val="100"/>
          <w:szCs w:val="20"/>
          <w:lang w:val="en-GB"/>
        </w:rPr>
      </w:pPr>
      <w:r w:rsidRPr="00A51FF3">
        <w:rPr>
          <w:rFonts w:eastAsia="Times New Roman"/>
          <w:i/>
          <w:spacing w:val="0"/>
          <w:w w:val="100"/>
          <w:szCs w:val="20"/>
          <w:lang w:val="en-GB"/>
        </w:rPr>
        <w:t xml:space="preserve">[Inglés </w:t>
      </w:r>
      <w:r w:rsidR="00A51FF3" w:rsidRPr="00A51FF3">
        <w:rPr>
          <w:rFonts w:eastAsia="Times New Roman"/>
          <w:i/>
          <w:spacing w:val="0"/>
          <w:w w:val="100"/>
          <w:szCs w:val="20"/>
          <w:lang w:val="en-GB"/>
        </w:rPr>
        <w:t>ú</w:t>
      </w:r>
      <w:r w:rsidRPr="00A51FF3">
        <w:rPr>
          <w:rFonts w:eastAsia="Times New Roman"/>
          <w:i/>
          <w:spacing w:val="0"/>
          <w:w w:val="100"/>
          <w:szCs w:val="20"/>
          <w:lang w:val="en-GB"/>
        </w:rPr>
        <w:t>nicamente]</w:t>
      </w:r>
    </w:p>
    <w:p w:rsidR="00111B4D" w:rsidRPr="00111B4D" w:rsidRDefault="00111B4D" w:rsidP="00111B4D">
      <w:pPr>
        <w:keepNext/>
        <w:keepLines/>
        <w:tabs>
          <w:tab w:val="right" w:pos="851"/>
        </w:tabs>
        <w:spacing w:before="360" w:after="240" w:line="300" w:lineRule="exact"/>
        <w:ind w:left="1134" w:right="1134" w:hanging="1134"/>
        <w:rPr>
          <w:rFonts w:eastAsia="Times New Roman"/>
          <w:b/>
          <w:spacing w:val="0"/>
          <w:w w:val="100"/>
          <w:sz w:val="28"/>
          <w:szCs w:val="20"/>
          <w:lang w:val="en-GB"/>
        </w:rPr>
      </w:pPr>
      <w:r w:rsidRPr="00111B4D">
        <w:rPr>
          <w:rFonts w:eastAsia="Times New Roman"/>
          <w:b/>
          <w:spacing w:val="0"/>
          <w:w w:val="100"/>
          <w:sz w:val="28"/>
          <w:szCs w:val="20"/>
          <w:lang w:val="en-GB"/>
        </w:rPr>
        <w:tab/>
      </w:r>
      <w:r w:rsidRPr="00111B4D">
        <w:rPr>
          <w:rFonts w:eastAsia="Times New Roman"/>
          <w:b/>
          <w:spacing w:val="0"/>
          <w:w w:val="100"/>
          <w:sz w:val="28"/>
          <w:szCs w:val="20"/>
          <w:lang w:val="en-GB"/>
        </w:rPr>
        <w:tab/>
        <w:t>Status of Law Reform of Programmes in Malawi (1996–2011)</w:t>
      </w:r>
    </w:p>
    <w:tbl>
      <w:tblPr>
        <w:tblW w:w="0" w:type="auto"/>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54"/>
        <w:gridCol w:w="2835"/>
        <w:gridCol w:w="1531"/>
        <w:gridCol w:w="3119"/>
        <w:gridCol w:w="1701"/>
      </w:tblGrid>
      <w:tr w:rsidR="00111B4D" w:rsidRPr="00111B4D" w:rsidTr="00111B4D">
        <w:trPr>
          <w:trHeight w:val="240"/>
          <w:tblHeader/>
        </w:trPr>
        <w:tc>
          <w:tcPr>
            <w:tcW w:w="454" w:type="dxa"/>
            <w:tcBorders>
              <w:top w:val="single" w:sz="4" w:space="0" w:color="auto"/>
              <w:bottom w:val="single" w:sz="12" w:space="0" w:color="auto"/>
            </w:tcBorders>
            <w:shd w:val="clear" w:color="auto" w:fill="auto"/>
            <w:vAlign w:val="bottom"/>
          </w:tcPr>
          <w:p w:rsidR="00111B4D" w:rsidRPr="00111B4D" w:rsidRDefault="00111B4D" w:rsidP="00111B4D">
            <w:pPr>
              <w:suppressAutoHyphens w:val="0"/>
              <w:spacing w:before="80" w:after="80" w:line="200" w:lineRule="exact"/>
              <w:ind w:right="113"/>
              <w:rPr>
                <w:rFonts w:eastAsia="Times New Roman"/>
                <w:i/>
                <w:spacing w:val="0"/>
                <w:w w:val="100"/>
                <w:sz w:val="16"/>
                <w:szCs w:val="24"/>
                <w:lang w:val="en-GB"/>
              </w:rPr>
            </w:pPr>
            <w:r w:rsidRPr="00111B4D">
              <w:rPr>
                <w:rFonts w:eastAsia="Times New Roman"/>
                <w:i/>
                <w:spacing w:val="0"/>
                <w:w w:val="100"/>
                <w:sz w:val="16"/>
                <w:szCs w:val="24"/>
                <w:lang w:val="en-GB"/>
              </w:rPr>
              <w:t>No.</w:t>
            </w:r>
          </w:p>
        </w:tc>
        <w:tc>
          <w:tcPr>
            <w:tcW w:w="2835" w:type="dxa"/>
            <w:tcBorders>
              <w:top w:val="single" w:sz="4" w:space="0" w:color="auto"/>
              <w:bottom w:val="single" w:sz="12" w:space="0" w:color="auto"/>
            </w:tcBorders>
            <w:shd w:val="clear" w:color="auto" w:fill="auto"/>
            <w:vAlign w:val="bottom"/>
          </w:tcPr>
          <w:p w:rsidR="00111B4D" w:rsidRPr="00111B4D" w:rsidRDefault="00111B4D" w:rsidP="00111B4D">
            <w:pPr>
              <w:suppressAutoHyphens w:val="0"/>
              <w:spacing w:before="80" w:after="80" w:line="200" w:lineRule="exact"/>
              <w:ind w:right="113"/>
              <w:rPr>
                <w:rFonts w:eastAsia="Times New Roman"/>
                <w:i/>
                <w:spacing w:val="0"/>
                <w:w w:val="100"/>
                <w:sz w:val="16"/>
                <w:szCs w:val="24"/>
                <w:lang w:val="en-GB"/>
              </w:rPr>
            </w:pPr>
            <w:r w:rsidRPr="00111B4D">
              <w:rPr>
                <w:rFonts w:eastAsia="Times New Roman"/>
                <w:i/>
                <w:spacing w:val="0"/>
                <w:w w:val="100"/>
                <w:sz w:val="16"/>
                <w:szCs w:val="24"/>
                <w:lang w:val="en-GB"/>
              </w:rPr>
              <w:t>Report title</w:t>
            </w:r>
          </w:p>
        </w:tc>
        <w:tc>
          <w:tcPr>
            <w:tcW w:w="1531" w:type="dxa"/>
            <w:tcBorders>
              <w:top w:val="single" w:sz="4" w:space="0" w:color="auto"/>
              <w:bottom w:val="single" w:sz="12" w:space="0" w:color="auto"/>
            </w:tcBorders>
            <w:shd w:val="clear" w:color="auto" w:fill="auto"/>
            <w:vAlign w:val="bottom"/>
          </w:tcPr>
          <w:p w:rsidR="00111B4D" w:rsidRPr="00111B4D" w:rsidRDefault="00111B4D" w:rsidP="00111B4D">
            <w:pPr>
              <w:suppressAutoHyphens w:val="0"/>
              <w:spacing w:before="80" w:after="80" w:line="200" w:lineRule="exact"/>
              <w:ind w:right="113"/>
              <w:rPr>
                <w:rFonts w:eastAsia="Times New Roman"/>
                <w:i/>
                <w:spacing w:val="0"/>
                <w:w w:val="100"/>
                <w:sz w:val="16"/>
                <w:szCs w:val="24"/>
                <w:lang w:val="en-GB"/>
              </w:rPr>
            </w:pPr>
            <w:r w:rsidRPr="00111B4D">
              <w:rPr>
                <w:rFonts w:eastAsia="Times New Roman"/>
                <w:i/>
                <w:spacing w:val="0"/>
                <w:w w:val="100"/>
                <w:sz w:val="16"/>
                <w:szCs w:val="24"/>
                <w:lang w:val="en-GB"/>
              </w:rPr>
              <w:t>Year of publication</w:t>
            </w:r>
          </w:p>
        </w:tc>
        <w:tc>
          <w:tcPr>
            <w:tcW w:w="3119" w:type="dxa"/>
            <w:tcBorders>
              <w:top w:val="single" w:sz="4" w:space="0" w:color="auto"/>
              <w:bottom w:val="single" w:sz="12" w:space="0" w:color="auto"/>
            </w:tcBorders>
            <w:shd w:val="clear" w:color="auto" w:fill="auto"/>
            <w:vAlign w:val="bottom"/>
          </w:tcPr>
          <w:p w:rsidR="00111B4D" w:rsidRPr="00111B4D" w:rsidRDefault="00111B4D" w:rsidP="00111B4D">
            <w:pPr>
              <w:suppressAutoHyphens w:val="0"/>
              <w:spacing w:before="80" w:after="80" w:line="200" w:lineRule="exact"/>
              <w:ind w:right="113"/>
              <w:rPr>
                <w:rFonts w:eastAsia="Times New Roman"/>
                <w:i/>
                <w:spacing w:val="0"/>
                <w:w w:val="100"/>
                <w:sz w:val="16"/>
                <w:szCs w:val="24"/>
                <w:lang w:val="en-GB"/>
              </w:rPr>
            </w:pPr>
            <w:r w:rsidRPr="00111B4D">
              <w:rPr>
                <w:rFonts w:eastAsia="Times New Roman"/>
                <w:i/>
                <w:spacing w:val="0"/>
                <w:w w:val="100"/>
                <w:sz w:val="16"/>
                <w:szCs w:val="24"/>
                <w:lang w:val="en-GB"/>
              </w:rPr>
              <w:t>Proposed legislation</w:t>
            </w:r>
          </w:p>
        </w:tc>
        <w:tc>
          <w:tcPr>
            <w:tcW w:w="1701" w:type="dxa"/>
            <w:tcBorders>
              <w:top w:val="single" w:sz="4" w:space="0" w:color="auto"/>
              <w:bottom w:val="single" w:sz="12" w:space="0" w:color="auto"/>
            </w:tcBorders>
            <w:shd w:val="clear" w:color="auto" w:fill="auto"/>
            <w:vAlign w:val="bottom"/>
          </w:tcPr>
          <w:p w:rsidR="00111B4D" w:rsidRPr="00111B4D" w:rsidRDefault="00111B4D" w:rsidP="00111B4D">
            <w:pPr>
              <w:suppressAutoHyphens w:val="0"/>
              <w:spacing w:before="80" w:after="80" w:line="200" w:lineRule="exact"/>
              <w:ind w:right="113"/>
              <w:rPr>
                <w:rFonts w:eastAsia="Times New Roman"/>
                <w:i/>
                <w:spacing w:val="0"/>
                <w:w w:val="100"/>
                <w:sz w:val="16"/>
                <w:szCs w:val="24"/>
                <w:lang w:val="en-GB"/>
              </w:rPr>
            </w:pPr>
            <w:r w:rsidRPr="00111B4D">
              <w:rPr>
                <w:rFonts w:eastAsia="Times New Roman"/>
                <w:i/>
                <w:spacing w:val="0"/>
                <w:w w:val="100"/>
                <w:sz w:val="16"/>
                <w:szCs w:val="24"/>
                <w:lang w:val="en-GB"/>
              </w:rPr>
              <w:t>Status</w:t>
            </w:r>
          </w:p>
        </w:tc>
      </w:tr>
      <w:tr w:rsidR="00111B4D" w:rsidRPr="00111B4D" w:rsidTr="00111B4D">
        <w:trPr>
          <w:trHeight w:val="240"/>
        </w:trPr>
        <w:tc>
          <w:tcPr>
            <w:tcW w:w="454" w:type="dxa"/>
            <w:tcBorders>
              <w:top w:val="single" w:sz="12" w:space="0" w:color="auto"/>
            </w:tcBorders>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w:t>
            </w:r>
          </w:p>
        </w:tc>
        <w:tc>
          <w:tcPr>
            <w:tcW w:w="2835" w:type="dxa"/>
            <w:tcBorders>
              <w:top w:val="single" w:sz="12" w:space="0" w:color="auto"/>
            </w:tcBorders>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 xml:space="preserve">Review of certain laws on Defilement of young girls, Wills and Inheritance, Citizenship, Marriage and Affiliation </w:t>
            </w:r>
          </w:p>
        </w:tc>
        <w:tc>
          <w:tcPr>
            <w:tcW w:w="1531" w:type="dxa"/>
            <w:tcBorders>
              <w:top w:val="single" w:sz="12" w:space="0" w:color="auto"/>
            </w:tcBorders>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October, 1996</w:t>
            </w:r>
          </w:p>
        </w:tc>
        <w:tc>
          <w:tcPr>
            <w:tcW w:w="3119" w:type="dxa"/>
            <w:tcBorders>
              <w:top w:val="single" w:sz="12" w:space="0" w:color="auto"/>
            </w:tcBorders>
            <w:shd w:val="clear" w:color="auto" w:fill="auto"/>
          </w:tcPr>
          <w:p w:rsidR="00111B4D" w:rsidRPr="00111B4D" w:rsidRDefault="00111B4D" w:rsidP="00111B4D">
            <w:pPr>
              <w:suppressAutoHyphens w:val="0"/>
              <w:spacing w:before="40" w:after="120" w:line="220" w:lineRule="exact"/>
              <w:ind w:right="113"/>
              <w:contextualSpacing/>
              <w:rPr>
                <w:rFonts w:eastAsia="Times New Roman"/>
                <w:spacing w:val="0"/>
                <w:w w:val="100"/>
                <w:szCs w:val="24"/>
                <w:lang w:val="en-GB" w:bidi="en-US"/>
              </w:rPr>
            </w:pPr>
            <w:r w:rsidRPr="00111B4D">
              <w:rPr>
                <w:rFonts w:eastAsia="Times New Roman"/>
                <w:spacing w:val="0"/>
                <w:w w:val="100"/>
                <w:szCs w:val="24"/>
                <w:lang w:val="en-GB" w:bidi="en-US"/>
              </w:rPr>
              <w:t>(1) Penal Code (Amendment) Bill</w:t>
            </w:r>
          </w:p>
        </w:tc>
        <w:tc>
          <w:tcPr>
            <w:tcW w:w="1701" w:type="dxa"/>
            <w:tcBorders>
              <w:top w:val="single" w:sz="12" w:space="0" w:color="auto"/>
            </w:tcBorders>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Enacted in 1997 and 1998</w:t>
            </w: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bidi="en-US"/>
              </w:rPr>
              <w:t>(2) Wills and Inheritance (Amendment)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Enacted in 1997 and 1998</w:t>
            </w: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3119" w:type="dxa"/>
            <w:shd w:val="clear" w:color="auto" w:fill="auto"/>
          </w:tcPr>
          <w:p w:rsidR="00111B4D" w:rsidRPr="00111B4D" w:rsidRDefault="00111B4D" w:rsidP="00111B4D">
            <w:pPr>
              <w:suppressAutoHyphens w:val="0"/>
              <w:spacing w:before="40" w:after="120" w:line="220" w:lineRule="exact"/>
              <w:ind w:right="113"/>
              <w:contextualSpacing/>
              <w:rPr>
                <w:rFonts w:eastAsia="Times New Roman"/>
                <w:spacing w:val="0"/>
                <w:w w:val="100"/>
                <w:szCs w:val="24"/>
                <w:lang w:val="en-GB" w:bidi="en-US"/>
              </w:rPr>
            </w:pPr>
            <w:r w:rsidRPr="00111B4D">
              <w:rPr>
                <w:rFonts w:eastAsia="Times New Roman"/>
                <w:spacing w:val="0"/>
                <w:w w:val="100"/>
                <w:szCs w:val="24"/>
                <w:lang w:val="en-GB" w:bidi="en-US"/>
              </w:rPr>
              <w:t>(3) Citizenship (Amendment)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Enacted in 1997 and 1998</w:t>
            </w: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(4) Marriage (Amendment)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Enacted in 1997 and 1998</w:t>
            </w: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(5) Affiliation Act (Amendment)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Enacted in 1997 and 1998</w:t>
            </w:r>
          </w:p>
        </w:tc>
      </w:tr>
      <w:tr w:rsidR="00111B4D" w:rsidRPr="0079747B"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2.</w:t>
            </w: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Technical Review of the Constitution</w:t>
            </w: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November, 1998</w:t>
            </w: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Constitution (Amendment)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Enacted as Act No. 11 of 2010</w:t>
            </w:r>
          </w:p>
        </w:tc>
      </w:tr>
      <w:tr w:rsidR="00111B4D" w:rsidRPr="0079747B"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3.</w:t>
            </w: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Criminal Justice Reform on Bail Guidelines</w:t>
            </w: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February, 2000</w:t>
            </w: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Bail (Guidelines)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Enacted as Act No. 14 of 2000</w:t>
            </w:r>
          </w:p>
        </w:tc>
      </w:tr>
      <w:tr w:rsidR="00111B4D" w:rsidRPr="0079747B"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4.</w:t>
            </w: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Review of the Penal Code</w:t>
            </w: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June, 2000</w:t>
            </w: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Penal Code (Amendment)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Enacted as Act No. 1 of 2011</w:t>
            </w:r>
          </w:p>
        </w:tc>
      </w:tr>
      <w:tr w:rsidR="00111B4D" w:rsidRPr="0079747B"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5.</w:t>
            </w: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Review of the Army Act</w:t>
            </w: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July, 2001</w:t>
            </w: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Defence Forces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Enacted as Act No. 11 of 2004</w:t>
            </w: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6.</w:t>
            </w: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Review of Censorship and Control of Entertainment Act</w:t>
            </w: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August, 2001</w:t>
            </w: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Classification of Public Entertainment and Publications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Before Cabinet</w:t>
            </w:r>
          </w:p>
        </w:tc>
      </w:tr>
      <w:tr w:rsidR="00111B4D" w:rsidRPr="0079747B"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7.</w:t>
            </w: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Review of the Legal Education and Legal Practitioners Act</w:t>
            </w: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September, 2002</w:t>
            </w: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Legal Education and Legal Practitioners (Amendment)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Enacted as Act No. 9 of 2004</w:t>
            </w:r>
          </w:p>
        </w:tc>
      </w:tr>
      <w:tr w:rsidR="00111B4D" w:rsidRPr="0079747B"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8.</w:t>
            </w: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Review of the Corrupt Practices Act</w:t>
            </w: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November, 2002</w:t>
            </w: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Corrupt Practices (Amendment)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Enacted as Act No. 17 of 2004</w:t>
            </w:r>
          </w:p>
        </w:tc>
      </w:tr>
      <w:tr w:rsidR="00111B4D" w:rsidRPr="0079747B"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9.</w:t>
            </w: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Review of the Police Act</w:t>
            </w: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July, 2003</w:t>
            </w: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Police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Enacted as Act No. 12 of 2010</w:t>
            </w:r>
          </w:p>
        </w:tc>
      </w:tr>
      <w:tr w:rsidR="00111B4D" w:rsidRPr="0079747B"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10.</w:t>
            </w: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Review of the Criminal Procedure and Evidence Code</w:t>
            </w: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December, 2003</w:t>
            </w: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Criminal Procedure and Evidence Code (Amendment)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Enacted as Act No. 14 of 2010</w:t>
            </w:r>
          </w:p>
        </w:tc>
      </w:tr>
      <w:tr w:rsidR="00111B4D" w:rsidRPr="0079747B"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11.</w:t>
            </w: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Criminal Justice Reform on Conversion of Fines</w:t>
            </w: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December, 2003</w:t>
            </w: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Fines (Conversion)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Enacted as Act No. 10 of 2005</w:t>
            </w:r>
          </w:p>
        </w:tc>
      </w:tr>
      <w:tr w:rsidR="00111B4D" w:rsidRPr="0079747B" w:rsidTr="00111B4D">
        <w:trPr>
          <w:trHeight w:val="240"/>
        </w:trPr>
        <w:tc>
          <w:tcPr>
            <w:tcW w:w="454" w:type="dxa"/>
            <w:shd w:val="clear" w:color="auto" w:fill="auto"/>
          </w:tcPr>
          <w:p w:rsidR="00111B4D" w:rsidRPr="00111B4D" w:rsidRDefault="00111B4D" w:rsidP="00D63597">
            <w:pPr>
              <w:keepNext/>
              <w:keepLines/>
              <w:suppressAutoHyphens w:val="0"/>
              <w:spacing w:before="40" w:after="120" w:line="220" w:lineRule="exact"/>
              <w:ind w:right="115"/>
              <w:rPr>
                <w:rFonts w:eastAsia="Times New Roman"/>
                <w:spacing w:val="0"/>
                <w:w w:val="100"/>
                <w:szCs w:val="24"/>
                <w:lang w:val="en-GB"/>
              </w:rPr>
            </w:pPr>
            <w:r w:rsidRPr="00111B4D">
              <w:rPr>
                <w:rFonts w:eastAsia="Times New Roman"/>
                <w:spacing w:val="0"/>
                <w:w w:val="100"/>
                <w:szCs w:val="24"/>
                <w:lang w:val="en-GB"/>
              </w:rPr>
              <w:lastRenderedPageBreak/>
              <w:t>12.</w:t>
            </w:r>
          </w:p>
        </w:tc>
        <w:tc>
          <w:tcPr>
            <w:tcW w:w="2835" w:type="dxa"/>
            <w:shd w:val="clear" w:color="auto" w:fill="auto"/>
          </w:tcPr>
          <w:p w:rsidR="00111B4D" w:rsidRPr="00111B4D" w:rsidRDefault="00111B4D" w:rsidP="00D63597">
            <w:pPr>
              <w:keepNext/>
              <w:keepLines/>
              <w:suppressAutoHyphens w:val="0"/>
              <w:spacing w:before="40" w:after="120" w:line="220" w:lineRule="exact"/>
              <w:ind w:right="115"/>
              <w:rPr>
                <w:rFonts w:eastAsia="Times New Roman"/>
                <w:spacing w:val="0"/>
                <w:w w:val="100"/>
                <w:szCs w:val="24"/>
                <w:lang w:val="en-GB"/>
              </w:rPr>
            </w:pPr>
            <w:r w:rsidRPr="00111B4D">
              <w:rPr>
                <w:rFonts w:eastAsia="Times New Roman"/>
                <w:spacing w:val="0"/>
                <w:w w:val="100"/>
                <w:szCs w:val="24"/>
                <w:lang w:val="en-GB"/>
              </w:rPr>
              <w:t>Review of the Wills and Inheritance Act</w:t>
            </w:r>
          </w:p>
        </w:tc>
        <w:tc>
          <w:tcPr>
            <w:tcW w:w="1531" w:type="dxa"/>
            <w:shd w:val="clear" w:color="auto" w:fill="auto"/>
          </w:tcPr>
          <w:p w:rsidR="00111B4D" w:rsidRPr="00111B4D" w:rsidRDefault="00111B4D" w:rsidP="00D63597">
            <w:pPr>
              <w:keepNext/>
              <w:keepLines/>
              <w:suppressAutoHyphens w:val="0"/>
              <w:spacing w:before="40" w:after="120" w:line="220" w:lineRule="exact"/>
              <w:ind w:right="115"/>
              <w:rPr>
                <w:rFonts w:eastAsia="Times New Roman"/>
                <w:spacing w:val="0"/>
                <w:w w:val="100"/>
                <w:szCs w:val="24"/>
                <w:lang w:val="en-GB"/>
              </w:rPr>
            </w:pPr>
            <w:r w:rsidRPr="00111B4D">
              <w:rPr>
                <w:rFonts w:eastAsia="Times New Roman"/>
                <w:spacing w:val="0"/>
                <w:w w:val="100"/>
                <w:szCs w:val="24"/>
                <w:lang w:val="en-GB"/>
              </w:rPr>
              <w:t>January, 2004</w:t>
            </w:r>
          </w:p>
        </w:tc>
        <w:tc>
          <w:tcPr>
            <w:tcW w:w="3119" w:type="dxa"/>
            <w:shd w:val="clear" w:color="auto" w:fill="auto"/>
          </w:tcPr>
          <w:p w:rsidR="00111B4D" w:rsidRPr="00111B4D" w:rsidRDefault="00111B4D" w:rsidP="00D63597">
            <w:pPr>
              <w:keepNext/>
              <w:keepLines/>
              <w:suppressAutoHyphens w:val="0"/>
              <w:spacing w:before="40" w:after="120" w:line="220" w:lineRule="exact"/>
              <w:ind w:right="115"/>
              <w:rPr>
                <w:rFonts w:eastAsia="Times New Roman"/>
                <w:spacing w:val="0"/>
                <w:w w:val="100"/>
                <w:szCs w:val="24"/>
                <w:lang w:val="en-GB"/>
              </w:rPr>
            </w:pPr>
            <w:r w:rsidRPr="00111B4D">
              <w:rPr>
                <w:rFonts w:eastAsia="Times New Roman"/>
                <w:spacing w:val="0"/>
                <w:w w:val="100"/>
                <w:szCs w:val="24"/>
                <w:lang w:val="en-GB"/>
              </w:rPr>
              <w:t>(1) Deceased Estates, (Wills, Inheritance, and Protection) Bill</w:t>
            </w:r>
          </w:p>
        </w:tc>
        <w:tc>
          <w:tcPr>
            <w:tcW w:w="1701" w:type="dxa"/>
            <w:shd w:val="clear" w:color="auto" w:fill="auto"/>
          </w:tcPr>
          <w:p w:rsidR="00111B4D" w:rsidRPr="00111B4D" w:rsidRDefault="00111B4D" w:rsidP="00D63597">
            <w:pPr>
              <w:keepNext/>
              <w:keepLines/>
              <w:suppressAutoHyphens w:val="0"/>
              <w:spacing w:before="40" w:after="120" w:line="220" w:lineRule="exact"/>
              <w:ind w:right="115"/>
              <w:rPr>
                <w:rFonts w:eastAsia="Times New Roman"/>
                <w:spacing w:val="0"/>
                <w:w w:val="100"/>
                <w:szCs w:val="24"/>
                <w:lang w:val="en-GB"/>
              </w:rPr>
            </w:pPr>
            <w:r w:rsidRPr="00111B4D">
              <w:rPr>
                <w:rFonts w:eastAsia="Times New Roman"/>
                <w:spacing w:val="0"/>
                <w:w w:val="100"/>
                <w:szCs w:val="24"/>
                <w:lang w:val="en-GB"/>
              </w:rPr>
              <w:t>Enacted as Act No. 14 of 2011</w:t>
            </w:r>
          </w:p>
        </w:tc>
      </w:tr>
      <w:tr w:rsidR="00111B4D" w:rsidRPr="00111B4D" w:rsidTr="00111B4D">
        <w:trPr>
          <w:trHeight w:val="240"/>
        </w:trPr>
        <w:tc>
          <w:tcPr>
            <w:tcW w:w="454" w:type="dxa"/>
            <w:shd w:val="clear" w:color="auto" w:fill="auto"/>
          </w:tcPr>
          <w:p w:rsidR="00111B4D" w:rsidRPr="00111B4D" w:rsidRDefault="00111B4D" w:rsidP="00D63597">
            <w:pPr>
              <w:keepNext/>
              <w:keepLines/>
              <w:suppressAutoHyphens w:val="0"/>
              <w:spacing w:before="40" w:after="120" w:line="220" w:lineRule="exact"/>
              <w:ind w:right="115"/>
              <w:rPr>
                <w:rFonts w:eastAsia="Times New Roman"/>
                <w:spacing w:val="0"/>
                <w:w w:val="100"/>
                <w:szCs w:val="24"/>
                <w:lang w:val="en-GB"/>
              </w:rPr>
            </w:pPr>
          </w:p>
        </w:tc>
        <w:tc>
          <w:tcPr>
            <w:tcW w:w="2835" w:type="dxa"/>
            <w:shd w:val="clear" w:color="auto" w:fill="auto"/>
          </w:tcPr>
          <w:p w:rsidR="00111B4D" w:rsidRPr="00111B4D" w:rsidRDefault="00111B4D" w:rsidP="00D63597">
            <w:pPr>
              <w:keepNext/>
              <w:keepLines/>
              <w:suppressAutoHyphens w:val="0"/>
              <w:spacing w:before="40" w:after="120" w:line="220" w:lineRule="exact"/>
              <w:ind w:right="115"/>
              <w:rPr>
                <w:rFonts w:eastAsia="Times New Roman"/>
                <w:spacing w:val="0"/>
                <w:w w:val="100"/>
                <w:szCs w:val="24"/>
                <w:lang w:val="en-GB"/>
              </w:rPr>
            </w:pPr>
          </w:p>
        </w:tc>
        <w:tc>
          <w:tcPr>
            <w:tcW w:w="1531" w:type="dxa"/>
            <w:shd w:val="clear" w:color="auto" w:fill="auto"/>
          </w:tcPr>
          <w:p w:rsidR="00111B4D" w:rsidRPr="00111B4D" w:rsidRDefault="00111B4D" w:rsidP="00D63597">
            <w:pPr>
              <w:keepNext/>
              <w:keepLines/>
              <w:suppressAutoHyphens w:val="0"/>
              <w:spacing w:before="40" w:after="120" w:line="220" w:lineRule="exact"/>
              <w:ind w:right="115"/>
              <w:rPr>
                <w:rFonts w:eastAsia="Times New Roman"/>
                <w:spacing w:val="0"/>
                <w:w w:val="100"/>
                <w:szCs w:val="24"/>
                <w:lang w:val="en-GB"/>
              </w:rPr>
            </w:pPr>
          </w:p>
        </w:tc>
        <w:tc>
          <w:tcPr>
            <w:tcW w:w="3119" w:type="dxa"/>
            <w:shd w:val="clear" w:color="auto" w:fill="auto"/>
          </w:tcPr>
          <w:p w:rsidR="00111B4D" w:rsidRPr="00111B4D" w:rsidRDefault="00111B4D" w:rsidP="00D63597">
            <w:pPr>
              <w:keepNext/>
              <w:keepLines/>
              <w:suppressAutoHyphens w:val="0"/>
              <w:spacing w:before="40" w:after="120" w:line="220" w:lineRule="exact"/>
              <w:ind w:right="115"/>
              <w:rPr>
                <w:rFonts w:eastAsia="Times New Roman"/>
                <w:spacing w:val="0"/>
                <w:w w:val="100"/>
                <w:szCs w:val="24"/>
                <w:lang w:val="en-GB"/>
              </w:rPr>
            </w:pPr>
            <w:r w:rsidRPr="00111B4D">
              <w:rPr>
                <w:rFonts w:eastAsia="Times New Roman"/>
                <w:spacing w:val="0"/>
                <w:w w:val="100"/>
                <w:szCs w:val="24"/>
                <w:lang w:val="en-GB"/>
              </w:rPr>
              <w:t>(2) Estate duty (Amendment) Bill</w:t>
            </w:r>
          </w:p>
        </w:tc>
        <w:tc>
          <w:tcPr>
            <w:tcW w:w="1701" w:type="dxa"/>
            <w:shd w:val="clear" w:color="auto" w:fill="auto"/>
          </w:tcPr>
          <w:p w:rsidR="00111B4D" w:rsidRPr="00111B4D" w:rsidRDefault="00111B4D" w:rsidP="00D63597">
            <w:pPr>
              <w:keepNext/>
              <w:keepLines/>
              <w:suppressAutoHyphens w:val="0"/>
              <w:spacing w:before="40" w:after="120" w:line="220" w:lineRule="exact"/>
              <w:ind w:right="115"/>
              <w:rPr>
                <w:rFonts w:eastAsia="Times New Roman"/>
                <w:spacing w:val="0"/>
                <w:w w:val="100"/>
                <w:szCs w:val="24"/>
                <w:lang w:val="en-GB"/>
              </w:rPr>
            </w:pPr>
          </w:p>
        </w:tc>
      </w:tr>
      <w:tr w:rsidR="00111B4D" w:rsidRPr="0079747B" w:rsidTr="00111B4D">
        <w:trPr>
          <w:trHeight w:val="240"/>
        </w:trPr>
        <w:tc>
          <w:tcPr>
            <w:tcW w:w="454" w:type="dxa"/>
            <w:shd w:val="clear" w:color="auto" w:fill="auto"/>
          </w:tcPr>
          <w:p w:rsidR="00111B4D" w:rsidRPr="00111B4D" w:rsidRDefault="00111B4D" w:rsidP="00D63597">
            <w:pPr>
              <w:keepNext/>
              <w:keepLines/>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13.</w:t>
            </w:r>
          </w:p>
        </w:tc>
        <w:tc>
          <w:tcPr>
            <w:tcW w:w="2835" w:type="dxa"/>
            <w:shd w:val="clear" w:color="auto" w:fill="auto"/>
          </w:tcPr>
          <w:p w:rsidR="00111B4D" w:rsidRPr="00111B4D" w:rsidRDefault="00111B4D" w:rsidP="00D63597">
            <w:pPr>
              <w:keepNext/>
              <w:keepLines/>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Review of the Legal Aid Act</w:t>
            </w:r>
          </w:p>
        </w:tc>
        <w:tc>
          <w:tcPr>
            <w:tcW w:w="1531" w:type="dxa"/>
            <w:shd w:val="clear" w:color="auto" w:fill="auto"/>
          </w:tcPr>
          <w:p w:rsidR="00111B4D" w:rsidRPr="00111B4D" w:rsidRDefault="00111B4D" w:rsidP="00D63597">
            <w:pPr>
              <w:keepNext/>
              <w:keepLines/>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July, 2005</w:t>
            </w:r>
          </w:p>
        </w:tc>
        <w:tc>
          <w:tcPr>
            <w:tcW w:w="3119" w:type="dxa"/>
            <w:shd w:val="clear" w:color="auto" w:fill="auto"/>
          </w:tcPr>
          <w:p w:rsidR="00111B4D" w:rsidRPr="00111B4D" w:rsidRDefault="00111B4D" w:rsidP="00D63597">
            <w:pPr>
              <w:keepNext/>
              <w:keepLines/>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Legal Aid Bill</w:t>
            </w:r>
          </w:p>
        </w:tc>
        <w:tc>
          <w:tcPr>
            <w:tcW w:w="1701" w:type="dxa"/>
            <w:shd w:val="clear" w:color="auto" w:fill="auto"/>
          </w:tcPr>
          <w:p w:rsidR="00111B4D" w:rsidRPr="00111B4D" w:rsidRDefault="00111B4D" w:rsidP="00D63597">
            <w:pPr>
              <w:keepNext/>
              <w:keepLines/>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Enacted as Act No. 7 of 2011</w:t>
            </w:r>
          </w:p>
        </w:tc>
      </w:tr>
      <w:tr w:rsidR="00111B4D" w:rsidRPr="0079747B" w:rsidTr="00111B4D">
        <w:trPr>
          <w:trHeight w:val="240"/>
        </w:trPr>
        <w:tc>
          <w:tcPr>
            <w:tcW w:w="454" w:type="dxa"/>
            <w:shd w:val="clear" w:color="auto" w:fill="auto"/>
          </w:tcPr>
          <w:p w:rsidR="00111B4D" w:rsidRPr="00111B4D" w:rsidRDefault="00111B4D" w:rsidP="00D63597">
            <w:pPr>
              <w:keepNext/>
              <w:keepLines/>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14.</w:t>
            </w:r>
          </w:p>
        </w:tc>
        <w:tc>
          <w:tcPr>
            <w:tcW w:w="2835" w:type="dxa"/>
            <w:shd w:val="clear" w:color="auto" w:fill="auto"/>
          </w:tcPr>
          <w:p w:rsidR="00111B4D" w:rsidRPr="00111B4D" w:rsidRDefault="00111B4D" w:rsidP="00D63597">
            <w:pPr>
              <w:keepNext/>
              <w:keepLines/>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Review of Children and Young Persons Act</w:t>
            </w:r>
          </w:p>
        </w:tc>
        <w:tc>
          <w:tcPr>
            <w:tcW w:w="1531" w:type="dxa"/>
            <w:shd w:val="clear" w:color="auto" w:fill="auto"/>
          </w:tcPr>
          <w:p w:rsidR="00111B4D" w:rsidRPr="00111B4D" w:rsidRDefault="00111B4D" w:rsidP="00D63597">
            <w:pPr>
              <w:keepNext/>
              <w:keepLines/>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October, 2005</w:t>
            </w:r>
          </w:p>
        </w:tc>
        <w:tc>
          <w:tcPr>
            <w:tcW w:w="3119" w:type="dxa"/>
            <w:shd w:val="clear" w:color="auto" w:fill="auto"/>
          </w:tcPr>
          <w:p w:rsidR="00111B4D" w:rsidRPr="00111B4D" w:rsidRDefault="00111B4D" w:rsidP="00D63597">
            <w:pPr>
              <w:keepNext/>
              <w:keepLines/>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Child Care, Protection and Justice Bill</w:t>
            </w:r>
          </w:p>
        </w:tc>
        <w:tc>
          <w:tcPr>
            <w:tcW w:w="1701" w:type="dxa"/>
            <w:shd w:val="clear" w:color="auto" w:fill="auto"/>
          </w:tcPr>
          <w:p w:rsidR="00111B4D" w:rsidRPr="00111B4D" w:rsidRDefault="00111B4D" w:rsidP="00D63597">
            <w:pPr>
              <w:keepNext/>
              <w:keepLines/>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Enacted as Act No. 22 of 2010</w:t>
            </w:r>
          </w:p>
        </w:tc>
      </w:tr>
      <w:tr w:rsidR="00111B4D" w:rsidRPr="00111B4D" w:rsidTr="00111B4D">
        <w:trPr>
          <w:trHeight w:val="240"/>
        </w:trPr>
        <w:tc>
          <w:tcPr>
            <w:tcW w:w="454" w:type="dxa"/>
            <w:shd w:val="clear" w:color="auto" w:fill="auto"/>
          </w:tcPr>
          <w:p w:rsidR="00111B4D" w:rsidRPr="00111B4D" w:rsidRDefault="00111B4D" w:rsidP="00D63597">
            <w:pPr>
              <w:keepNext/>
              <w:keepLines/>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15.</w:t>
            </w:r>
          </w:p>
        </w:tc>
        <w:tc>
          <w:tcPr>
            <w:tcW w:w="2835" w:type="dxa"/>
            <w:shd w:val="clear" w:color="auto" w:fill="auto"/>
          </w:tcPr>
          <w:p w:rsidR="00111B4D" w:rsidRPr="00111B4D" w:rsidRDefault="00111B4D" w:rsidP="00D63597">
            <w:pPr>
              <w:keepNext/>
              <w:keepLines/>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Review of the Land Related Laws</w:t>
            </w:r>
          </w:p>
        </w:tc>
        <w:tc>
          <w:tcPr>
            <w:tcW w:w="1531" w:type="dxa"/>
            <w:shd w:val="clear" w:color="auto" w:fill="auto"/>
          </w:tcPr>
          <w:p w:rsidR="00111B4D" w:rsidRPr="00111B4D" w:rsidRDefault="00111B4D" w:rsidP="00D63597">
            <w:pPr>
              <w:keepNext/>
              <w:keepLines/>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March, 2010</w:t>
            </w:r>
          </w:p>
        </w:tc>
        <w:tc>
          <w:tcPr>
            <w:tcW w:w="3119" w:type="dxa"/>
            <w:shd w:val="clear" w:color="auto" w:fill="auto"/>
          </w:tcPr>
          <w:p w:rsidR="00111B4D" w:rsidRPr="00111B4D" w:rsidRDefault="00111B4D" w:rsidP="00D63597">
            <w:pPr>
              <w:keepNext/>
              <w:keepLines/>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 Land Bill</w:t>
            </w:r>
          </w:p>
        </w:tc>
        <w:tc>
          <w:tcPr>
            <w:tcW w:w="1701" w:type="dxa"/>
            <w:shd w:val="clear" w:color="auto" w:fill="auto"/>
          </w:tcPr>
          <w:p w:rsidR="00111B4D" w:rsidRPr="00111B4D" w:rsidRDefault="00111B4D" w:rsidP="00D63597">
            <w:pPr>
              <w:keepNext/>
              <w:keepLines/>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Before cabinet</w:t>
            </w:r>
          </w:p>
        </w:tc>
      </w:tr>
      <w:tr w:rsidR="00111B4D" w:rsidRPr="00111B4D" w:rsidTr="00111B4D">
        <w:trPr>
          <w:trHeight w:val="240"/>
        </w:trPr>
        <w:tc>
          <w:tcPr>
            <w:tcW w:w="454" w:type="dxa"/>
            <w:shd w:val="clear" w:color="auto" w:fill="auto"/>
          </w:tcPr>
          <w:p w:rsidR="00111B4D" w:rsidRPr="00111B4D" w:rsidRDefault="00111B4D" w:rsidP="00D63597">
            <w:pPr>
              <w:keepNext/>
              <w:keepLines/>
              <w:suppressAutoHyphens w:val="0"/>
              <w:spacing w:before="40" w:after="120" w:line="220" w:lineRule="exact"/>
              <w:ind w:right="113"/>
              <w:rPr>
                <w:rFonts w:eastAsia="Times New Roman"/>
                <w:spacing w:val="0"/>
                <w:w w:val="100"/>
                <w:szCs w:val="24"/>
                <w:lang w:val="en-GB"/>
              </w:rPr>
            </w:pPr>
          </w:p>
        </w:tc>
        <w:tc>
          <w:tcPr>
            <w:tcW w:w="2835" w:type="dxa"/>
            <w:shd w:val="clear" w:color="auto" w:fill="auto"/>
          </w:tcPr>
          <w:p w:rsidR="00111B4D" w:rsidRPr="00111B4D" w:rsidRDefault="00111B4D" w:rsidP="00D63597">
            <w:pPr>
              <w:keepNext/>
              <w:keepLines/>
              <w:suppressAutoHyphens w:val="0"/>
              <w:spacing w:before="40" w:after="120" w:line="220" w:lineRule="exact"/>
              <w:ind w:right="113"/>
              <w:rPr>
                <w:rFonts w:eastAsia="Times New Roman"/>
                <w:spacing w:val="0"/>
                <w:w w:val="100"/>
                <w:szCs w:val="24"/>
                <w:lang w:val="en-GB"/>
              </w:rPr>
            </w:pPr>
          </w:p>
        </w:tc>
        <w:tc>
          <w:tcPr>
            <w:tcW w:w="1531" w:type="dxa"/>
            <w:shd w:val="clear" w:color="auto" w:fill="auto"/>
          </w:tcPr>
          <w:p w:rsidR="00111B4D" w:rsidRPr="00111B4D" w:rsidRDefault="00111B4D" w:rsidP="00D63597">
            <w:pPr>
              <w:keepNext/>
              <w:keepLines/>
              <w:suppressAutoHyphens w:val="0"/>
              <w:spacing w:before="40" w:after="120" w:line="220" w:lineRule="exact"/>
              <w:ind w:right="113"/>
              <w:rPr>
                <w:rFonts w:eastAsia="Times New Roman"/>
                <w:spacing w:val="0"/>
                <w:w w:val="100"/>
                <w:szCs w:val="24"/>
                <w:lang w:val="en-GB"/>
              </w:rPr>
            </w:pPr>
          </w:p>
        </w:tc>
        <w:tc>
          <w:tcPr>
            <w:tcW w:w="3119" w:type="dxa"/>
            <w:shd w:val="clear" w:color="auto" w:fill="auto"/>
          </w:tcPr>
          <w:p w:rsidR="00111B4D" w:rsidRPr="00111B4D" w:rsidRDefault="00111B4D" w:rsidP="00D63597">
            <w:pPr>
              <w:keepNext/>
              <w:keepLines/>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(2) Customary Land Bill</w:t>
            </w:r>
          </w:p>
        </w:tc>
        <w:tc>
          <w:tcPr>
            <w:tcW w:w="1701" w:type="dxa"/>
            <w:shd w:val="clear" w:color="auto" w:fill="auto"/>
          </w:tcPr>
          <w:p w:rsidR="00111B4D" w:rsidRPr="00111B4D" w:rsidRDefault="00111B4D" w:rsidP="00D63597">
            <w:pPr>
              <w:keepNext/>
              <w:keepLines/>
              <w:suppressAutoHyphens w:val="0"/>
              <w:spacing w:before="40" w:after="120" w:line="220" w:lineRule="exact"/>
              <w:ind w:right="113"/>
              <w:rPr>
                <w:rFonts w:eastAsia="Times New Roman"/>
                <w:spacing w:val="0"/>
                <w:w w:val="100"/>
                <w:szCs w:val="24"/>
                <w:lang w:val="en-GB"/>
              </w:rPr>
            </w:pP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(3) Registered Land (Amendment)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(4) Physical Planning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(5) Forestry (Amendment)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(6) Public Roads (Amendment)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(7) Mines &amp; Minerals (Amendment)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(8) Land Survey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(9) Land Acquisition (Amendment)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br w:type="page"/>
            </w: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(10) Local Government (Amendment)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r>
      <w:tr w:rsidR="00111B4D" w:rsidRPr="0079747B"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(11) Malawi Housing Corporation (Amendment)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(12) Companies (Amendment)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16.</w:t>
            </w: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Review of the Laws on Marriage and Divorce</w:t>
            </w: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June, 2006</w:t>
            </w: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 Marriage, Divorce and Family Relations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Before Parliament</w:t>
            </w: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(2) Penal Code (Amendment)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r>
      <w:tr w:rsidR="00111B4D" w:rsidRPr="0079747B"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17.</w:t>
            </w: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Review of Traditional Courts Act</w:t>
            </w: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September, 2007</w:t>
            </w: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Local Courts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Enacted as Act No. 9 of 2011</w:t>
            </w: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18.</w:t>
            </w: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Review of the Constitution</w:t>
            </w: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September, 2007</w:t>
            </w: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 Constitution (Amendment)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Before Cabinet</w:t>
            </w: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(2) Constitution (Amendment) (No. 2)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(3) Impeachment of President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r>
      <w:tr w:rsidR="00111B4D" w:rsidRPr="0079747B"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(4) Political Parties Registration and Regulation (Amendment)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(5) Electoral Commission (Amendment)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r>
      <w:tr w:rsidR="00111B4D" w:rsidRPr="0079747B" w:rsidTr="00111B4D">
        <w:trPr>
          <w:trHeight w:val="240"/>
        </w:trPr>
        <w:tc>
          <w:tcPr>
            <w:tcW w:w="454" w:type="dxa"/>
            <w:shd w:val="clear" w:color="auto" w:fill="auto"/>
          </w:tcPr>
          <w:p w:rsidR="00111B4D" w:rsidRPr="00111B4D" w:rsidRDefault="00111B4D" w:rsidP="00111B4D">
            <w:pPr>
              <w:keepNext/>
              <w:keepLines/>
              <w:suppressAutoHyphens w:val="0"/>
              <w:spacing w:before="40" w:after="120" w:line="220" w:lineRule="exact"/>
              <w:ind w:right="115"/>
              <w:rPr>
                <w:rFonts w:eastAsia="Times New Roman"/>
                <w:spacing w:val="0"/>
                <w:w w:val="100"/>
                <w:szCs w:val="24"/>
                <w:lang w:val="en-GB"/>
              </w:rPr>
            </w:pPr>
          </w:p>
        </w:tc>
        <w:tc>
          <w:tcPr>
            <w:tcW w:w="2835" w:type="dxa"/>
            <w:shd w:val="clear" w:color="auto" w:fill="auto"/>
          </w:tcPr>
          <w:p w:rsidR="00111B4D" w:rsidRPr="00111B4D" w:rsidRDefault="00111B4D" w:rsidP="00111B4D">
            <w:pPr>
              <w:keepNext/>
              <w:keepLines/>
              <w:suppressAutoHyphens w:val="0"/>
              <w:spacing w:before="40" w:after="120" w:line="220" w:lineRule="exact"/>
              <w:ind w:right="115"/>
              <w:rPr>
                <w:rFonts w:eastAsia="Times New Roman"/>
                <w:spacing w:val="0"/>
                <w:w w:val="100"/>
                <w:szCs w:val="24"/>
                <w:lang w:val="en-GB"/>
              </w:rPr>
            </w:pPr>
          </w:p>
        </w:tc>
        <w:tc>
          <w:tcPr>
            <w:tcW w:w="1531" w:type="dxa"/>
            <w:shd w:val="clear" w:color="auto" w:fill="auto"/>
          </w:tcPr>
          <w:p w:rsidR="00111B4D" w:rsidRPr="00111B4D" w:rsidRDefault="00111B4D" w:rsidP="00111B4D">
            <w:pPr>
              <w:keepNext/>
              <w:keepLines/>
              <w:suppressAutoHyphens w:val="0"/>
              <w:spacing w:before="40" w:after="120" w:line="220" w:lineRule="exact"/>
              <w:ind w:right="115"/>
              <w:rPr>
                <w:rFonts w:eastAsia="Times New Roman"/>
                <w:spacing w:val="0"/>
                <w:w w:val="100"/>
                <w:szCs w:val="24"/>
                <w:lang w:val="en-GB"/>
              </w:rPr>
            </w:pPr>
          </w:p>
        </w:tc>
        <w:tc>
          <w:tcPr>
            <w:tcW w:w="3119" w:type="dxa"/>
            <w:shd w:val="clear" w:color="auto" w:fill="auto"/>
          </w:tcPr>
          <w:p w:rsidR="00111B4D" w:rsidRPr="00111B4D" w:rsidRDefault="00111B4D" w:rsidP="00111B4D">
            <w:pPr>
              <w:keepNext/>
              <w:keepLines/>
              <w:suppressAutoHyphens w:val="0"/>
              <w:spacing w:before="40" w:after="120" w:line="220" w:lineRule="exact"/>
              <w:ind w:right="115"/>
              <w:rPr>
                <w:rFonts w:eastAsia="Times New Roman"/>
                <w:spacing w:val="0"/>
                <w:w w:val="100"/>
                <w:szCs w:val="24"/>
                <w:lang w:val="en-GB"/>
              </w:rPr>
            </w:pPr>
            <w:r w:rsidRPr="00111B4D">
              <w:rPr>
                <w:rFonts w:eastAsia="Times New Roman"/>
                <w:spacing w:val="0"/>
                <w:w w:val="100"/>
                <w:szCs w:val="24"/>
                <w:lang w:val="en-GB"/>
              </w:rPr>
              <w:t>(6) Parliamentary and Presidential Elections (Amendment) Bill</w:t>
            </w:r>
          </w:p>
        </w:tc>
        <w:tc>
          <w:tcPr>
            <w:tcW w:w="1701" w:type="dxa"/>
            <w:shd w:val="clear" w:color="auto" w:fill="auto"/>
          </w:tcPr>
          <w:p w:rsidR="00111B4D" w:rsidRPr="00111B4D" w:rsidRDefault="00111B4D" w:rsidP="00111B4D">
            <w:pPr>
              <w:keepNext/>
              <w:keepLines/>
              <w:suppressAutoHyphens w:val="0"/>
              <w:spacing w:before="40" w:after="120" w:line="220" w:lineRule="exact"/>
              <w:ind w:right="115"/>
              <w:rPr>
                <w:rFonts w:eastAsia="Times New Roman"/>
                <w:spacing w:val="0"/>
                <w:w w:val="100"/>
                <w:szCs w:val="24"/>
                <w:lang w:val="en-GB"/>
              </w:rPr>
            </w:pP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(7) Courts (Amendment)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(8) Ombudsman (Amendment)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19.</w:t>
            </w: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Development of Legislation on Declaration of Assets, Liabilities and Business interests by Public and Elected Officers</w:t>
            </w: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August, 2008</w:t>
            </w: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 Public Officers Declaration of Assets, Liabilities and Business Interests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Before Cabinet</w:t>
            </w:r>
          </w:p>
        </w:tc>
      </w:tr>
      <w:tr w:rsidR="00111B4D" w:rsidRPr="0079747B"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(2) Parliamentary and Presidential Elections (Amendment)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r>
      <w:tr w:rsidR="00111B4D" w:rsidRPr="0079747B"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(3) Local Government Elections (Amendment)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20.</w:t>
            </w: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Development of HIV and AIDS Legislation</w:t>
            </w: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December, 2008</w:t>
            </w: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 HIV and AIDS (Prevention and Management)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Before Cabinet</w:t>
            </w: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(2) Employment (Amendment)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21.</w:t>
            </w: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Review of Education Act</w:t>
            </w: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March, 2010</w:t>
            </w: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Education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Before Cabinet</w:t>
            </w: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22.</w:t>
            </w: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Development of Gender Equality Statute</w:t>
            </w: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Gender Equality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Before Cabinet</w:t>
            </w:r>
          </w:p>
        </w:tc>
      </w:tr>
      <w:tr w:rsidR="00111B4D" w:rsidRPr="00111B4D" w:rsidTr="00111B4D">
        <w:trPr>
          <w:trHeight w:val="240"/>
        </w:trPr>
        <w:tc>
          <w:tcPr>
            <w:tcW w:w="454"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23.</w:t>
            </w:r>
          </w:p>
        </w:tc>
        <w:tc>
          <w:tcPr>
            <w:tcW w:w="2835"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Development of Human Trafficking Legislation</w:t>
            </w:r>
          </w:p>
        </w:tc>
        <w:tc>
          <w:tcPr>
            <w:tcW w:w="153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February, 2011</w:t>
            </w:r>
          </w:p>
        </w:tc>
        <w:tc>
          <w:tcPr>
            <w:tcW w:w="3119"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 Trafficking in Persons Bill</w:t>
            </w:r>
          </w:p>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(2) Tourism and Hotels (Amendment) Bill</w:t>
            </w:r>
          </w:p>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(3) Immigration (Amendment ) Bill</w:t>
            </w:r>
          </w:p>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(4) Penal Code ( Amendment) Bill</w:t>
            </w:r>
          </w:p>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(5) Extradition (Amendment) Bill</w:t>
            </w:r>
          </w:p>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(6) Child Care, Protection and Justice (Amendment) Bill</w:t>
            </w:r>
          </w:p>
        </w:tc>
        <w:tc>
          <w:tcPr>
            <w:tcW w:w="1701"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Before Cabinet</w:t>
            </w:r>
          </w:p>
        </w:tc>
      </w:tr>
    </w:tbl>
    <w:p w:rsidR="00111B4D" w:rsidRPr="00111B4D" w:rsidRDefault="00111B4D" w:rsidP="00111B4D">
      <w:pPr>
        <w:spacing w:line="360" w:lineRule="auto"/>
        <w:jc w:val="center"/>
        <w:rPr>
          <w:rFonts w:eastAsia="Times New Roman"/>
          <w:b/>
          <w:spacing w:val="0"/>
          <w:w w:val="100"/>
          <w:sz w:val="24"/>
          <w:szCs w:val="24"/>
          <w:u w:val="single"/>
          <w:lang w:val="en-GB"/>
        </w:rPr>
      </w:pPr>
    </w:p>
    <w:p w:rsidR="00111B4D" w:rsidRDefault="00111B4D">
      <w:pPr>
        <w:suppressAutoHyphens w:val="0"/>
        <w:spacing w:line="240" w:lineRule="auto"/>
        <w:rPr>
          <w:kern w:val="14"/>
          <w:lang w:eastAsia="es-ES"/>
        </w:rPr>
      </w:pPr>
      <w:r>
        <w:rPr>
          <w:lang w:eastAsia="es-ES"/>
        </w:rPr>
        <w:br w:type="page"/>
      </w:r>
    </w:p>
    <w:p w:rsidR="00111B4D" w:rsidRDefault="00111B4D" w:rsidP="00111B4D">
      <w:pPr>
        <w:pStyle w:val="HCh"/>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ind w:left="1267" w:right="1260" w:hanging="1267"/>
        <w:rPr>
          <w:lang w:eastAsia="es-ES"/>
        </w:rPr>
      </w:pPr>
      <w:r>
        <w:rPr>
          <w:lang w:eastAsia="es-ES"/>
        </w:rPr>
        <w:lastRenderedPageBreak/>
        <w:t>Apéndice II</w:t>
      </w:r>
    </w:p>
    <w:p w:rsidR="00111B4D" w:rsidRPr="00111B4D" w:rsidRDefault="00111B4D" w:rsidP="00111B4D">
      <w:pPr>
        <w:pStyle w:val="SingleTxt"/>
        <w:spacing w:after="0" w:line="120" w:lineRule="exact"/>
        <w:rPr>
          <w:sz w:val="10"/>
          <w:lang w:eastAsia="es-ES"/>
        </w:rPr>
      </w:pPr>
    </w:p>
    <w:p w:rsidR="00111B4D" w:rsidRPr="00111B4D" w:rsidRDefault="00111B4D" w:rsidP="00111B4D">
      <w:pPr>
        <w:pStyle w:val="SingleTxt"/>
        <w:spacing w:after="0" w:line="120" w:lineRule="exact"/>
        <w:rPr>
          <w:sz w:val="10"/>
          <w:lang w:eastAsia="es-ES"/>
        </w:rPr>
      </w:pPr>
    </w:p>
    <w:p w:rsidR="00111B4D" w:rsidRPr="00A51FF3" w:rsidRDefault="00111B4D" w:rsidP="00111B4D">
      <w:pPr>
        <w:spacing w:after="120" w:line="240" w:lineRule="atLeast"/>
        <w:ind w:left="1134" w:right="1134"/>
        <w:jc w:val="right"/>
        <w:rPr>
          <w:rFonts w:eastAsia="Times New Roman"/>
          <w:i/>
          <w:spacing w:val="0"/>
          <w:w w:val="100"/>
          <w:szCs w:val="20"/>
          <w:lang w:val="en-GB"/>
        </w:rPr>
      </w:pPr>
      <w:r w:rsidRPr="00A51FF3">
        <w:rPr>
          <w:rFonts w:eastAsia="Times New Roman"/>
          <w:i/>
          <w:spacing w:val="0"/>
          <w:w w:val="100"/>
          <w:szCs w:val="20"/>
          <w:lang w:val="en-GB"/>
        </w:rPr>
        <w:t>[</w:t>
      </w:r>
      <w:r w:rsidR="00B56787" w:rsidRPr="00A51FF3">
        <w:rPr>
          <w:rFonts w:eastAsia="Times New Roman"/>
          <w:i/>
          <w:spacing w:val="0"/>
          <w:w w:val="100"/>
          <w:szCs w:val="20"/>
          <w:lang w:val="en-GB"/>
        </w:rPr>
        <w:t>Inglés</w:t>
      </w:r>
      <w:r w:rsidRPr="00A51FF3">
        <w:rPr>
          <w:rFonts w:eastAsia="Times New Roman"/>
          <w:i/>
          <w:spacing w:val="0"/>
          <w:w w:val="100"/>
          <w:szCs w:val="20"/>
          <w:lang w:val="en-GB"/>
        </w:rPr>
        <w:t xml:space="preserve"> </w:t>
      </w:r>
      <w:r w:rsidR="00B56787" w:rsidRPr="00A51FF3">
        <w:rPr>
          <w:rFonts w:eastAsia="Times New Roman"/>
          <w:i/>
          <w:spacing w:val="0"/>
          <w:w w:val="100"/>
          <w:szCs w:val="20"/>
          <w:lang w:val="en-GB"/>
        </w:rPr>
        <w:t>únicamente</w:t>
      </w:r>
      <w:r w:rsidRPr="00A51FF3">
        <w:rPr>
          <w:rFonts w:eastAsia="Times New Roman"/>
          <w:i/>
          <w:spacing w:val="0"/>
          <w:w w:val="100"/>
          <w:szCs w:val="20"/>
          <w:lang w:val="en-GB"/>
        </w:rPr>
        <w:t>]</w:t>
      </w:r>
    </w:p>
    <w:p w:rsidR="00111B4D" w:rsidRPr="00111B4D" w:rsidRDefault="00111B4D" w:rsidP="00111B4D">
      <w:pPr>
        <w:keepNext/>
        <w:keepLines/>
        <w:tabs>
          <w:tab w:val="right" w:pos="851"/>
        </w:tabs>
        <w:spacing w:before="360" w:after="240" w:line="300" w:lineRule="exact"/>
        <w:ind w:left="1134" w:right="1134" w:hanging="1134"/>
        <w:rPr>
          <w:rFonts w:eastAsia="Times New Roman"/>
          <w:b/>
          <w:spacing w:val="0"/>
          <w:w w:val="100"/>
          <w:sz w:val="28"/>
          <w:szCs w:val="20"/>
          <w:lang w:val="en-GB"/>
        </w:rPr>
      </w:pPr>
      <w:r w:rsidRPr="00111B4D">
        <w:rPr>
          <w:rFonts w:eastAsia="Times New Roman"/>
          <w:b/>
          <w:spacing w:val="0"/>
          <w:w w:val="100"/>
          <w:sz w:val="28"/>
          <w:szCs w:val="20"/>
          <w:lang w:val="en-GB"/>
        </w:rPr>
        <w:tab/>
      </w:r>
      <w:r w:rsidRPr="00111B4D">
        <w:rPr>
          <w:rFonts w:eastAsia="Times New Roman"/>
          <w:b/>
          <w:spacing w:val="0"/>
          <w:w w:val="100"/>
          <w:sz w:val="28"/>
          <w:szCs w:val="20"/>
          <w:lang w:val="en-GB"/>
        </w:rPr>
        <w:tab/>
        <w:t xml:space="preserve">List of human rights instruments to which Malawi </w:t>
      </w:r>
      <w:r w:rsidRPr="00111B4D">
        <w:rPr>
          <w:rFonts w:eastAsia="Times New Roman"/>
          <w:b/>
          <w:spacing w:val="0"/>
          <w:w w:val="100"/>
          <w:sz w:val="28"/>
          <w:szCs w:val="20"/>
          <w:lang w:val="en-GB"/>
        </w:rPr>
        <w:br/>
        <w:t>is a party</w:t>
      </w:r>
    </w:p>
    <w:tbl>
      <w:tblPr>
        <w:tblW w:w="0" w:type="auto"/>
        <w:tblInd w:w="1134" w:type="dxa"/>
        <w:tblBorders>
          <w:top w:val="single" w:sz="4" w:space="0" w:color="auto"/>
          <w:bottom w:val="single" w:sz="12" w:space="0" w:color="auto"/>
        </w:tblBorders>
        <w:tblLayout w:type="fixed"/>
        <w:tblCellMar>
          <w:left w:w="0" w:type="dxa"/>
          <w:right w:w="0" w:type="dxa"/>
        </w:tblCellMar>
        <w:tblLook w:val="01E0" w:firstRow="1" w:lastRow="1" w:firstColumn="1" w:lastColumn="1" w:noHBand="0" w:noVBand="0"/>
      </w:tblPr>
      <w:tblGrid>
        <w:gridCol w:w="567"/>
        <w:gridCol w:w="4536"/>
        <w:gridCol w:w="2268"/>
      </w:tblGrid>
      <w:tr w:rsidR="00111B4D" w:rsidRPr="00111B4D" w:rsidTr="00111B4D">
        <w:trPr>
          <w:trHeight w:val="240"/>
          <w:tblHeader/>
        </w:trPr>
        <w:tc>
          <w:tcPr>
            <w:tcW w:w="567" w:type="dxa"/>
            <w:tcBorders>
              <w:top w:val="single" w:sz="4" w:space="0" w:color="auto"/>
              <w:bottom w:val="single" w:sz="12" w:space="0" w:color="auto"/>
            </w:tcBorders>
            <w:shd w:val="clear" w:color="auto" w:fill="auto"/>
            <w:vAlign w:val="bottom"/>
          </w:tcPr>
          <w:p w:rsidR="00111B4D" w:rsidRPr="00111B4D" w:rsidRDefault="00111B4D" w:rsidP="00111B4D">
            <w:pPr>
              <w:suppressAutoHyphens w:val="0"/>
              <w:spacing w:before="80" w:after="80" w:line="200" w:lineRule="exact"/>
              <w:ind w:right="113"/>
              <w:rPr>
                <w:rFonts w:eastAsia="Times New Roman"/>
                <w:i/>
                <w:spacing w:val="0"/>
                <w:w w:val="100"/>
                <w:sz w:val="16"/>
                <w:szCs w:val="24"/>
                <w:lang w:val="en-GB"/>
              </w:rPr>
            </w:pPr>
          </w:p>
        </w:tc>
        <w:tc>
          <w:tcPr>
            <w:tcW w:w="4536" w:type="dxa"/>
            <w:tcBorders>
              <w:top w:val="single" w:sz="4" w:space="0" w:color="auto"/>
              <w:bottom w:val="single" w:sz="12" w:space="0" w:color="auto"/>
            </w:tcBorders>
            <w:shd w:val="clear" w:color="auto" w:fill="auto"/>
            <w:vAlign w:val="bottom"/>
          </w:tcPr>
          <w:p w:rsidR="00111B4D" w:rsidRPr="00111B4D" w:rsidRDefault="00111B4D" w:rsidP="00111B4D">
            <w:pPr>
              <w:suppressAutoHyphens w:val="0"/>
              <w:spacing w:before="80" w:after="80" w:line="200" w:lineRule="exact"/>
              <w:ind w:right="113"/>
              <w:rPr>
                <w:rFonts w:eastAsia="Times New Roman"/>
                <w:i/>
                <w:spacing w:val="0"/>
                <w:w w:val="100"/>
                <w:sz w:val="16"/>
                <w:szCs w:val="24"/>
                <w:lang w:val="en-GB"/>
              </w:rPr>
            </w:pPr>
            <w:r w:rsidRPr="00111B4D">
              <w:rPr>
                <w:rFonts w:eastAsia="Times New Roman"/>
                <w:i/>
                <w:spacing w:val="0"/>
                <w:w w:val="100"/>
                <w:sz w:val="16"/>
                <w:szCs w:val="24"/>
                <w:lang w:val="en-GB"/>
              </w:rPr>
              <w:t>Convention</w:t>
            </w:r>
          </w:p>
        </w:tc>
        <w:tc>
          <w:tcPr>
            <w:tcW w:w="2268" w:type="dxa"/>
            <w:tcBorders>
              <w:top w:val="single" w:sz="4" w:space="0" w:color="auto"/>
              <w:bottom w:val="single" w:sz="12" w:space="0" w:color="auto"/>
            </w:tcBorders>
            <w:shd w:val="clear" w:color="auto" w:fill="auto"/>
            <w:vAlign w:val="bottom"/>
          </w:tcPr>
          <w:p w:rsidR="00111B4D" w:rsidRPr="00111B4D" w:rsidRDefault="00111B4D" w:rsidP="00111B4D">
            <w:pPr>
              <w:suppressAutoHyphens w:val="0"/>
              <w:spacing w:before="80" w:after="80" w:line="200" w:lineRule="exact"/>
              <w:ind w:right="113"/>
              <w:rPr>
                <w:rFonts w:eastAsia="Times New Roman"/>
                <w:i/>
                <w:spacing w:val="0"/>
                <w:w w:val="100"/>
                <w:sz w:val="16"/>
                <w:szCs w:val="24"/>
                <w:lang w:val="en-GB"/>
              </w:rPr>
            </w:pPr>
            <w:r w:rsidRPr="00111B4D">
              <w:rPr>
                <w:rFonts w:eastAsia="Times New Roman"/>
                <w:i/>
                <w:spacing w:val="0"/>
                <w:w w:val="100"/>
                <w:sz w:val="16"/>
                <w:szCs w:val="24"/>
                <w:lang w:val="en-GB"/>
              </w:rPr>
              <w:t xml:space="preserve">Date </w:t>
            </w:r>
          </w:p>
        </w:tc>
      </w:tr>
      <w:tr w:rsidR="00111B4D" w:rsidRPr="00111B4D" w:rsidTr="00111B4D">
        <w:trPr>
          <w:trHeight w:val="240"/>
        </w:trPr>
        <w:tc>
          <w:tcPr>
            <w:tcW w:w="567" w:type="dxa"/>
            <w:tcBorders>
              <w:top w:val="single" w:sz="12" w:space="0" w:color="auto"/>
            </w:tcBorders>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w:t>
            </w:r>
          </w:p>
        </w:tc>
        <w:tc>
          <w:tcPr>
            <w:tcW w:w="4536" w:type="dxa"/>
            <w:tcBorders>
              <w:top w:val="single" w:sz="12" w:space="0" w:color="auto"/>
            </w:tcBorders>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International Covenant on Civil and Political Rights (ICCPR)</w:t>
            </w:r>
          </w:p>
        </w:tc>
        <w:tc>
          <w:tcPr>
            <w:tcW w:w="2268" w:type="dxa"/>
            <w:tcBorders>
              <w:top w:val="single" w:sz="12" w:space="0" w:color="auto"/>
            </w:tcBorders>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22nd December, 1993</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2.</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International Covenant on Economic, Social and Cultural Rights (ICESCR)</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22nd December, 1993</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3.</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Optional Protocol to the International Covenant for Civil and Political Rights</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11th June, 1996</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4.</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International Covenant on the Elimination of All Forms of Racial Discrimination</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11th June, 1996</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5.</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Convention on the Elimination of All Forms of Discrimination Against Women</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17th March, 1987</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6.</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United Nations Convention Against Transnational Organized Crime</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17th March, 2005</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7.</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bCs/>
                <w:spacing w:val="0"/>
                <w:w w:val="100"/>
                <w:szCs w:val="24"/>
                <w:shd w:val="clear" w:color="auto" w:fill="FFFFFF"/>
                <w:lang w:val="en-GB"/>
              </w:rPr>
              <w:t>Protocol to Prevent, Suppress and Punish Trafficking in Persons, Especially Women and Children, supplementing the United Nations Convention against Transnational Organized Crime</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17th March, 2005</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8</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Protocol Against the Smuggling of Migrants by Land, Sea and Air Supplementing the United Nations Convention Against Transnational Organized Crime</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17th March, 2005</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9.</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bCs/>
                <w:spacing w:val="0"/>
                <w:w w:val="100"/>
                <w:szCs w:val="24"/>
                <w:shd w:val="clear" w:color="auto" w:fill="FFFFFF"/>
                <w:lang w:val="en-GB"/>
              </w:rPr>
              <w:t>Supplementary Convention on the Abolition of Slavery, the Slave Trade, and Institutions and Practices Similar to Slavery</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2nd August, 1965</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10</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shd w:val="clear" w:color="auto" w:fill="FFFFFF"/>
                <w:lang w:val="en-GB"/>
              </w:rPr>
              <w:t>Convention for the Suppression of the Traffic in Persons and of the Exploitation of the Prostitution of Others</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13th October 1965</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11.</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bCs/>
                <w:iCs/>
                <w:spacing w:val="0"/>
                <w:w w:val="100"/>
                <w:szCs w:val="24"/>
                <w:shd w:val="clear" w:color="auto" w:fill="FFFFFF"/>
                <w:lang w:val="en-GB"/>
              </w:rPr>
              <w:t>Convention Against Torture and Other Cruel Inhuman or Degrading Treatment or Punishment</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17th November, 1996</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12.</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bCs/>
                <w:spacing w:val="0"/>
                <w:w w:val="100"/>
                <w:szCs w:val="24"/>
                <w:shd w:val="clear" w:color="auto" w:fill="FFFFFF"/>
                <w:lang w:val="en-GB"/>
              </w:rPr>
              <w:t>Convention on the Rights of the Child</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2nd January, 1991</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13.</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Convention Concerning the Prohibition and the Immediate Action for the Elimination of Worst Forms of Labour</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19th November, 2000</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14.</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1951 Convention Relating to Status of Refugees</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10th December, 1987</w:t>
            </w:r>
          </w:p>
        </w:tc>
      </w:tr>
      <w:tr w:rsidR="00111B4D" w:rsidRPr="00111B4D" w:rsidTr="00F13497">
        <w:trPr>
          <w:trHeight w:val="240"/>
        </w:trPr>
        <w:tc>
          <w:tcPr>
            <w:tcW w:w="567" w:type="dxa"/>
            <w:tcBorders>
              <w:bottom w:val="nil"/>
            </w:tcBorders>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15.</w:t>
            </w:r>
          </w:p>
        </w:tc>
        <w:tc>
          <w:tcPr>
            <w:tcW w:w="4536" w:type="dxa"/>
            <w:tcBorders>
              <w:bottom w:val="nil"/>
            </w:tcBorders>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bCs/>
                <w:spacing w:val="0"/>
                <w:w w:val="100"/>
                <w:szCs w:val="24"/>
                <w:shd w:val="clear" w:color="auto" w:fill="FFFFFF"/>
                <w:lang w:val="en-GB"/>
              </w:rPr>
              <w:t>1967 Protocol relating to the Status of Refugees</w:t>
            </w:r>
          </w:p>
        </w:tc>
        <w:tc>
          <w:tcPr>
            <w:tcW w:w="2268" w:type="dxa"/>
            <w:tcBorders>
              <w:bottom w:val="nil"/>
            </w:tcBorders>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10th December, 1987</w:t>
            </w:r>
          </w:p>
        </w:tc>
      </w:tr>
      <w:tr w:rsidR="00111B4D" w:rsidRPr="00111B4D" w:rsidTr="00F13497">
        <w:trPr>
          <w:trHeight w:val="240"/>
        </w:trPr>
        <w:tc>
          <w:tcPr>
            <w:tcW w:w="567" w:type="dxa"/>
            <w:tcBorders>
              <w:top w:val="nil"/>
              <w:bottom w:val="single" w:sz="12" w:space="0" w:color="auto"/>
            </w:tcBorders>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16.</w:t>
            </w:r>
          </w:p>
        </w:tc>
        <w:tc>
          <w:tcPr>
            <w:tcW w:w="4536" w:type="dxa"/>
            <w:tcBorders>
              <w:top w:val="nil"/>
              <w:bottom w:val="single" w:sz="12" w:space="0" w:color="auto"/>
            </w:tcBorders>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Rome Statute of the International Criminal Court</w:t>
            </w:r>
          </w:p>
        </w:tc>
        <w:tc>
          <w:tcPr>
            <w:tcW w:w="2268" w:type="dxa"/>
            <w:tcBorders>
              <w:top w:val="nil"/>
              <w:bottom w:val="single" w:sz="12" w:space="0" w:color="auto"/>
            </w:tcBorders>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1st December, 2002</w:t>
            </w:r>
          </w:p>
        </w:tc>
      </w:tr>
      <w:tr w:rsidR="00F13497" w:rsidRPr="00111B4D" w:rsidTr="00F13497">
        <w:trPr>
          <w:trHeight w:val="240"/>
        </w:trPr>
        <w:tc>
          <w:tcPr>
            <w:tcW w:w="567" w:type="dxa"/>
            <w:tcBorders>
              <w:top w:val="single" w:sz="12" w:space="0" w:color="auto"/>
              <w:bottom w:val="nil"/>
            </w:tcBorders>
            <w:shd w:val="clear" w:color="auto" w:fill="auto"/>
          </w:tcPr>
          <w:p w:rsidR="00F13497" w:rsidRPr="00111B4D" w:rsidRDefault="00F13497" w:rsidP="00111B4D">
            <w:pPr>
              <w:suppressAutoHyphens w:val="0"/>
              <w:spacing w:before="40" w:after="120" w:line="220" w:lineRule="exact"/>
              <w:ind w:right="113"/>
              <w:rPr>
                <w:rFonts w:eastAsia="Times New Roman"/>
                <w:spacing w:val="0"/>
                <w:w w:val="100"/>
                <w:szCs w:val="24"/>
                <w:lang w:val="en-GB"/>
              </w:rPr>
            </w:pPr>
          </w:p>
        </w:tc>
        <w:tc>
          <w:tcPr>
            <w:tcW w:w="4536" w:type="dxa"/>
            <w:tcBorders>
              <w:top w:val="single" w:sz="12" w:space="0" w:color="auto"/>
              <w:bottom w:val="nil"/>
            </w:tcBorders>
            <w:shd w:val="clear" w:color="auto" w:fill="auto"/>
          </w:tcPr>
          <w:p w:rsidR="00F13497" w:rsidRPr="00111B4D" w:rsidRDefault="00F13497" w:rsidP="00111B4D">
            <w:pPr>
              <w:suppressAutoHyphens w:val="0"/>
              <w:spacing w:before="40" w:after="120" w:line="220" w:lineRule="exact"/>
              <w:ind w:right="113"/>
              <w:rPr>
                <w:rFonts w:eastAsia="Times New Roman"/>
                <w:spacing w:val="0"/>
                <w:w w:val="100"/>
                <w:szCs w:val="24"/>
                <w:lang w:val="en-GB"/>
              </w:rPr>
            </w:pPr>
          </w:p>
        </w:tc>
        <w:tc>
          <w:tcPr>
            <w:tcW w:w="2268" w:type="dxa"/>
            <w:tcBorders>
              <w:top w:val="single" w:sz="12" w:space="0" w:color="auto"/>
              <w:bottom w:val="nil"/>
            </w:tcBorders>
            <w:shd w:val="clear" w:color="auto" w:fill="auto"/>
          </w:tcPr>
          <w:p w:rsidR="00F13497" w:rsidRPr="00111B4D" w:rsidRDefault="00F13497" w:rsidP="00111B4D">
            <w:pPr>
              <w:suppressAutoHyphens w:val="0"/>
              <w:spacing w:before="40" w:after="120" w:line="220" w:lineRule="exact"/>
              <w:ind w:right="113"/>
              <w:rPr>
                <w:rFonts w:eastAsia="Times New Roman"/>
                <w:spacing w:val="0"/>
                <w:w w:val="100"/>
                <w:szCs w:val="24"/>
                <w:lang w:val="en-GB"/>
              </w:rPr>
            </w:pPr>
          </w:p>
        </w:tc>
      </w:tr>
      <w:tr w:rsidR="00F13497" w:rsidRPr="00111B4D" w:rsidTr="00F13497">
        <w:trPr>
          <w:trHeight w:val="240"/>
        </w:trPr>
        <w:tc>
          <w:tcPr>
            <w:tcW w:w="567" w:type="dxa"/>
            <w:tcBorders>
              <w:top w:val="nil"/>
              <w:bottom w:val="nil"/>
            </w:tcBorders>
            <w:shd w:val="clear" w:color="auto" w:fill="auto"/>
          </w:tcPr>
          <w:p w:rsidR="00F13497" w:rsidRPr="00111B4D" w:rsidRDefault="00F13497" w:rsidP="00111B4D">
            <w:pPr>
              <w:suppressAutoHyphens w:val="0"/>
              <w:spacing w:before="40" w:after="120" w:line="220" w:lineRule="exact"/>
              <w:ind w:right="113"/>
              <w:rPr>
                <w:rFonts w:eastAsia="Times New Roman"/>
                <w:spacing w:val="0"/>
                <w:w w:val="100"/>
                <w:szCs w:val="24"/>
                <w:lang w:val="en-GB"/>
              </w:rPr>
            </w:pPr>
          </w:p>
        </w:tc>
        <w:tc>
          <w:tcPr>
            <w:tcW w:w="4536" w:type="dxa"/>
            <w:tcBorders>
              <w:top w:val="nil"/>
              <w:bottom w:val="nil"/>
            </w:tcBorders>
            <w:shd w:val="clear" w:color="auto" w:fill="auto"/>
          </w:tcPr>
          <w:p w:rsidR="00F13497" w:rsidRPr="00111B4D" w:rsidRDefault="00F13497" w:rsidP="00111B4D">
            <w:pPr>
              <w:suppressAutoHyphens w:val="0"/>
              <w:spacing w:before="40" w:after="120" w:line="220" w:lineRule="exact"/>
              <w:ind w:right="113"/>
              <w:rPr>
                <w:rFonts w:eastAsia="Times New Roman"/>
                <w:spacing w:val="0"/>
                <w:w w:val="100"/>
                <w:szCs w:val="24"/>
                <w:lang w:val="en-GB"/>
              </w:rPr>
            </w:pPr>
          </w:p>
        </w:tc>
        <w:tc>
          <w:tcPr>
            <w:tcW w:w="2268" w:type="dxa"/>
            <w:tcBorders>
              <w:top w:val="nil"/>
              <w:bottom w:val="nil"/>
            </w:tcBorders>
            <w:shd w:val="clear" w:color="auto" w:fill="auto"/>
          </w:tcPr>
          <w:p w:rsidR="00F13497" w:rsidRPr="00111B4D" w:rsidRDefault="00F13497" w:rsidP="00111B4D">
            <w:pPr>
              <w:suppressAutoHyphens w:val="0"/>
              <w:spacing w:before="40" w:after="120" w:line="220" w:lineRule="exact"/>
              <w:ind w:right="113"/>
              <w:rPr>
                <w:rFonts w:eastAsia="Times New Roman"/>
                <w:spacing w:val="0"/>
                <w:w w:val="100"/>
                <w:szCs w:val="24"/>
                <w:lang w:val="en-GB"/>
              </w:rPr>
            </w:pPr>
          </w:p>
        </w:tc>
      </w:tr>
      <w:tr w:rsidR="00111B4D" w:rsidRPr="00111B4D" w:rsidTr="00F13497">
        <w:trPr>
          <w:trHeight w:val="240"/>
        </w:trPr>
        <w:tc>
          <w:tcPr>
            <w:tcW w:w="567" w:type="dxa"/>
            <w:tcBorders>
              <w:top w:val="nil"/>
            </w:tcBorders>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lastRenderedPageBreak/>
              <w:t>17.</w:t>
            </w:r>
          </w:p>
        </w:tc>
        <w:tc>
          <w:tcPr>
            <w:tcW w:w="4536" w:type="dxa"/>
            <w:tcBorders>
              <w:top w:val="nil"/>
            </w:tcBorders>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bCs/>
                <w:spacing w:val="0"/>
                <w:w w:val="100"/>
                <w:szCs w:val="24"/>
                <w:shd w:val="clear" w:color="auto" w:fill="FFFFFF"/>
                <w:lang w:val="en-GB"/>
              </w:rPr>
              <w:t>Geneva Conventions of 12 August 1949</w:t>
            </w:r>
          </w:p>
        </w:tc>
        <w:tc>
          <w:tcPr>
            <w:tcW w:w="2268" w:type="dxa"/>
            <w:tcBorders>
              <w:top w:val="nil"/>
            </w:tcBorders>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5th January, 1968</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18.</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Protocol for the Prohibition of the Use of Asphyxiating, Poisonous or Other Gases and of Bacteriological Methods of Warfare, 17 June 1925</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14th September, 1970</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19.</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Convention on the Prohibition of Military or any Hostile Use of Environmental Modification Techniques, 10 December, 1976</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5th October, 1978</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20.</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Protocol Additional to the Geneva Conventions of 12 August 1949, and relating to the Protection of Victims of Non-International Armed Conflicts (Protocol II), 8 June 1977</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7th April, 1997</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21.</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bCs/>
                <w:spacing w:val="0"/>
                <w:w w:val="100"/>
                <w:szCs w:val="24"/>
                <w:shd w:val="clear" w:color="auto" w:fill="FFFFFF"/>
                <w:lang w:val="en-GB"/>
              </w:rPr>
              <w:t>Convention on the Prohibition of the Development, Production, Stockpiling and Use of Chemical Weapons and on their Destruction</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14th June, 1998</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22.</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bCs/>
                <w:spacing w:val="0"/>
                <w:w w:val="100"/>
                <w:szCs w:val="24"/>
                <w:shd w:val="clear" w:color="auto" w:fill="FFFFFF"/>
                <w:lang w:val="en-GB"/>
              </w:rPr>
              <w:t>Convention on the Prohibition of the Use, Stockpiling, Production and Transfer of Anti-Personnel Mines and on their Destruction</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13th August, 1998</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23.</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bCs/>
                <w:spacing w:val="0"/>
                <w:w w:val="100"/>
                <w:szCs w:val="24"/>
                <w:shd w:val="clear" w:color="auto" w:fill="FFFFFF"/>
                <w:lang w:val="en-GB"/>
              </w:rPr>
            </w:pPr>
            <w:r w:rsidRPr="00111B4D">
              <w:rPr>
                <w:rFonts w:eastAsia="Times New Roman"/>
                <w:spacing w:val="0"/>
                <w:w w:val="100"/>
                <w:szCs w:val="24"/>
                <w:lang w:val="en-GB"/>
              </w:rPr>
              <w:t>Convention on the prohibition of the development, production, stockpiling and use of chemical weapons and on their destruction, Paris 13 January 1993</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4"/>
                <w:lang w:val="en-GB"/>
              </w:rPr>
            </w:pPr>
            <w:r w:rsidRPr="00111B4D">
              <w:rPr>
                <w:rFonts w:eastAsia="Times New Roman"/>
                <w:spacing w:val="0"/>
                <w:w w:val="100"/>
                <w:szCs w:val="24"/>
                <w:lang w:val="en-GB"/>
              </w:rPr>
              <w:t>11th June, 1998</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24.</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Optional Protocol to the Convention on the Rights of the Child on the involvement of children in armed conflict, 25 May 2000</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21st September, 2010</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25.</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Convention on Cluster Munitions, 30 May 2008</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7th October, 2009</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26.</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International Convention for the Suppression of Unlawful Seizure of Aircraft, 1970</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21st December, 1972</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27.</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Convention on Offences and Certain Other Acts Committed on Board Aircraft, 1963</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28th December, 1972</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28.</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International Convention Against the taking of Hostages, 1979</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17th March, 1986</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29.</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Convention on the Prevention and Punishment of Crimes Against Internationally Protected Persons, including Diplomatic Agents, 1973</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14th March, 1977</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30.</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International Convention on the Suppression of Terrorist Bombing 1997</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11th August, 2003</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31.</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International Convention for the Suppression of Financing of Terrorism, 1999</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11th August, 2003</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32.</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Convention on Specific Aspects of Refugee Problems in Africa, 1974</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4th November, 1987</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33.</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African Charter for Human and Peoples Rights</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17th November, 1989</w:t>
            </w:r>
          </w:p>
        </w:tc>
      </w:tr>
      <w:tr w:rsidR="00111B4D" w:rsidRPr="00111B4D" w:rsidTr="00111B4D">
        <w:trPr>
          <w:trHeight w:val="240"/>
        </w:trPr>
        <w:tc>
          <w:tcPr>
            <w:tcW w:w="567"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34.</w:t>
            </w:r>
          </w:p>
        </w:tc>
        <w:tc>
          <w:tcPr>
            <w:tcW w:w="4536"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African Charter on Rights and Welfare of the Child</w:t>
            </w:r>
          </w:p>
        </w:tc>
        <w:tc>
          <w:tcPr>
            <w:tcW w:w="2268" w:type="dxa"/>
            <w:shd w:val="clear" w:color="auto" w:fill="auto"/>
          </w:tcPr>
          <w:p w:rsidR="00111B4D" w:rsidRPr="00111B4D" w:rsidRDefault="00111B4D" w:rsidP="00111B4D">
            <w:pPr>
              <w:suppressAutoHyphens w:val="0"/>
              <w:spacing w:before="40" w:after="120" w:line="220" w:lineRule="exact"/>
              <w:ind w:right="113"/>
              <w:rPr>
                <w:rFonts w:eastAsia="Times New Roman"/>
                <w:spacing w:val="0"/>
                <w:w w:val="100"/>
                <w:szCs w:val="20"/>
                <w:lang w:val="en-GB"/>
              </w:rPr>
            </w:pPr>
            <w:r w:rsidRPr="00111B4D">
              <w:rPr>
                <w:rFonts w:eastAsia="Times New Roman"/>
                <w:spacing w:val="0"/>
                <w:w w:val="100"/>
                <w:szCs w:val="20"/>
                <w:lang w:val="en-GB"/>
              </w:rPr>
              <w:t>17th November, 1999</w:t>
            </w:r>
          </w:p>
        </w:tc>
      </w:tr>
    </w:tbl>
    <w:p w:rsidR="00111B4D" w:rsidRPr="00111B4D" w:rsidRDefault="00F13497" w:rsidP="00111B4D">
      <w:pPr>
        <w:pStyle w:val="SingleTxt"/>
        <w:rPr>
          <w:lang w:eastAsia="es-ES"/>
        </w:rPr>
      </w:pPr>
      <w:r>
        <w:rPr>
          <w:noProof/>
          <w:w w:val="100"/>
          <w:lang w:eastAsia="es-ES"/>
        </w:rPr>
        <mc:AlternateContent>
          <mc:Choice Requires="wps">
            <w:drawing>
              <wp:anchor distT="0" distB="0" distL="114300" distR="114300" simplePos="0" relativeHeight="251659264" behindDoc="0" locked="0" layoutInCell="1" allowOverlap="1">
                <wp:simplePos x="0" y="0"/>
                <wp:positionH relativeFrom="column">
                  <wp:posOffset>2669540</wp:posOffset>
                </wp:positionH>
                <wp:positionV relativeFrom="paragraph">
                  <wp:posOffset>304800</wp:posOffset>
                </wp:positionV>
                <wp:extent cx="9144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10.2pt,24pt" to="282.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" strokecolor="#010000" strokeweight=".25pt"/>
            </w:pict>
          </mc:Fallback>
        </mc:AlternateContent>
      </w:r>
    </w:p>
    <w:sectPr w:rsidR="00111B4D" w:rsidRPr="00111B4D" w:rsidSect="00B13E98">
      <w:endnotePr>
        <w:numFmt w:val="decimal"/>
      </w:endnotePr>
      <w:type w:val="continuous"/>
      <w:pgSz w:w="11909" w:h="16834" w:code="1"/>
      <w:pgMar w:top="1742" w:right="936" w:bottom="1898" w:left="936" w:header="576" w:footer="1030" w:gutter="0"/>
      <w:cols w:space="708"/>
      <w:noEndnote/>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Start" w:date="2015-06-03T15:25:00Z" w:initials="Start">
    <w:p w:rsidR="00A10735" w:rsidRPr="00864612" w:rsidRDefault="00A10735">
      <w:pPr>
        <w:pStyle w:val="CommentText"/>
        <w:rPr>
          <w:lang w:val="en-US"/>
        </w:rPr>
      </w:pPr>
      <w:r>
        <w:fldChar w:fldCharType="begin"/>
      </w:r>
      <w:r w:rsidRPr="00864612">
        <w:rPr>
          <w:rStyle w:val="CommentReference"/>
          <w:lang w:val="en-US"/>
        </w:rPr>
        <w:instrText xml:space="preserve"> </w:instrText>
      </w:r>
      <w:r w:rsidRPr="00864612">
        <w:rPr>
          <w:lang w:val="en-US"/>
        </w:rPr>
        <w:instrText>PAGE \# "'Page: '#'</w:instrText>
      </w:r>
      <w:r w:rsidRPr="00864612">
        <w:rPr>
          <w:lang w:val="en-US"/>
        </w:rPr>
        <w:br/>
        <w:instrText>'"</w:instrText>
      </w:r>
      <w:r w:rsidRPr="00864612">
        <w:rPr>
          <w:rStyle w:val="CommentReference"/>
          <w:lang w:val="en-US"/>
        </w:rPr>
        <w:instrText xml:space="preserve"> </w:instrText>
      </w:r>
      <w:r>
        <w:fldChar w:fldCharType="end"/>
      </w:r>
      <w:r>
        <w:rPr>
          <w:rStyle w:val="CommentReference"/>
        </w:rPr>
        <w:annotationRef/>
      </w:r>
      <w:r w:rsidRPr="00864612">
        <w:rPr>
          <w:lang w:val="en-US"/>
        </w:rPr>
        <w:t>&lt;&lt;ODS JOB NO&gt;&gt;N1506110S&lt;&lt;ODS JOB NO&gt;&gt;</w:t>
      </w:r>
    </w:p>
    <w:p w:rsidR="00A10735" w:rsidRPr="00864612" w:rsidRDefault="00A10735">
      <w:pPr>
        <w:pStyle w:val="CommentText"/>
        <w:rPr>
          <w:lang w:val="fr-CH"/>
        </w:rPr>
      </w:pPr>
      <w:r w:rsidRPr="00864612">
        <w:rPr>
          <w:lang w:val="fr-CH"/>
        </w:rPr>
        <w:t>&lt;&lt;ODS DOC SYMBOL1&gt;&gt;HRI/CORE/MWI/2014&lt;&lt;ODS DOC SYMBOL1&gt;&gt;</w:t>
      </w:r>
    </w:p>
    <w:p w:rsidR="00A10735" w:rsidRDefault="00A10735">
      <w:pPr>
        <w:pStyle w:val="CommentText"/>
      </w:pPr>
      <w:r>
        <w:t>&lt;&lt;ODS DOC SYMBOL2&gt;&gt;&lt;&lt;ODS DOC SYMBOL2&gt;&gt;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735" w:rsidRDefault="00A10735" w:rsidP="008F1E8F">
      <w:pPr>
        <w:spacing w:line="240" w:lineRule="auto"/>
      </w:pPr>
      <w:r>
        <w:separator/>
      </w:r>
    </w:p>
  </w:endnote>
  <w:endnote w:type="continuationSeparator" w:id="0">
    <w:p w:rsidR="00A10735" w:rsidRDefault="00A10735" w:rsidP="008F1E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rcode 3 of 9 by request">
    <w:panose1 w:val="020B08030503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A10735" w:rsidTr="00A3227F">
      <w:trPr>
        <w:jc w:val="center"/>
      </w:trPr>
      <w:tc>
        <w:tcPr>
          <w:tcW w:w="5126" w:type="dxa"/>
          <w:shd w:val="clear" w:color="auto" w:fill="auto"/>
        </w:tcPr>
        <w:p w:rsidR="00A10735" w:rsidRPr="00A3227F" w:rsidRDefault="00A10735" w:rsidP="00A3227F">
          <w:pPr>
            <w:pStyle w:val="Footer"/>
            <w:jc w:val="right"/>
            <w:rPr>
              <w:b w:val="0"/>
              <w:color w:val="000000"/>
              <w:w w:val="103"/>
              <w:sz w:val="14"/>
            </w:rPr>
          </w:pPr>
          <w:r>
            <w:rPr>
              <w:b w:val="0"/>
              <w:color w:val="000000"/>
              <w:w w:val="103"/>
              <w:sz w:val="14"/>
            </w:rPr>
            <w:fldChar w:fldCharType="begin"/>
          </w:r>
          <w:r>
            <w:rPr>
              <w:b w:val="0"/>
              <w:color w:val="000000"/>
              <w:w w:val="103"/>
              <w:sz w:val="14"/>
            </w:rPr>
            <w:instrText xml:space="preserve"> DOCVARIABLE "FooterJN" \* MERGEFORMAT </w:instrText>
          </w:r>
          <w:r>
            <w:rPr>
              <w:b w:val="0"/>
              <w:color w:val="000000"/>
              <w:w w:val="103"/>
              <w:sz w:val="14"/>
            </w:rPr>
            <w:fldChar w:fldCharType="separate"/>
          </w:r>
          <w:r w:rsidR="004B1858">
            <w:rPr>
              <w:b w:val="0"/>
              <w:color w:val="000000"/>
              <w:w w:val="103"/>
              <w:sz w:val="14"/>
            </w:rPr>
            <w:t>15-04585</w:t>
          </w:r>
          <w:r>
            <w:rPr>
              <w:b w:val="0"/>
              <w:color w:val="000000"/>
              <w:w w:val="103"/>
              <w:sz w:val="14"/>
            </w:rPr>
            <w:fldChar w:fldCharType="end"/>
          </w:r>
        </w:p>
      </w:tc>
      <w:tc>
        <w:tcPr>
          <w:tcW w:w="5127" w:type="dxa"/>
          <w:shd w:val="clear" w:color="auto" w:fill="auto"/>
        </w:tcPr>
        <w:p w:rsidR="00A10735" w:rsidRPr="00A3227F" w:rsidRDefault="00A10735" w:rsidP="00A3227F">
          <w:pPr>
            <w:pStyle w:val="Footer"/>
            <w:rPr>
              <w:color w:val="000000"/>
              <w:w w:val="103"/>
            </w:rPr>
          </w:pPr>
          <w:r>
            <w:rPr>
              <w:color w:val="000000"/>
              <w:w w:val="103"/>
            </w:rPr>
            <w:fldChar w:fldCharType="begin"/>
          </w:r>
          <w:r>
            <w:rPr>
              <w:color w:val="000000"/>
              <w:w w:val="103"/>
            </w:rPr>
            <w:instrText xml:space="preserve"> PAGE  \* Arabic  \* MERGEFORMAT </w:instrText>
          </w:r>
          <w:r>
            <w:rPr>
              <w:color w:val="000000"/>
              <w:w w:val="103"/>
            </w:rPr>
            <w:fldChar w:fldCharType="separate"/>
          </w:r>
          <w:r w:rsidR="004B1858">
            <w:rPr>
              <w:color w:val="000000"/>
              <w:w w:val="103"/>
            </w:rPr>
            <w:t>38</w:t>
          </w:r>
          <w:r>
            <w:rPr>
              <w:color w:val="000000"/>
              <w:w w:val="103"/>
            </w:rPr>
            <w:fldChar w:fldCharType="end"/>
          </w:r>
          <w:r>
            <w:rPr>
              <w:color w:val="000000"/>
              <w:w w:val="103"/>
            </w:rPr>
            <w:t>/</w:t>
          </w:r>
          <w:r>
            <w:rPr>
              <w:color w:val="000000"/>
              <w:w w:val="103"/>
            </w:rPr>
            <w:fldChar w:fldCharType="begin"/>
          </w:r>
          <w:r>
            <w:rPr>
              <w:color w:val="000000"/>
              <w:w w:val="103"/>
            </w:rPr>
            <w:instrText xml:space="preserve"> NUMPAGES  \* Arabic  \* MERGEFORMAT </w:instrText>
          </w:r>
          <w:r>
            <w:rPr>
              <w:color w:val="000000"/>
              <w:w w:val="103"/>
            </w:rPr>
            <w:fldChar w:fldCharType="separate"/>
          </w:r>
          <w:r w:rsidR="004B1858">
            <w:rPr>
              <w:color w:val="000000"/>
              <w:w w:val="103"/>
            </w:rPr>
            <w:t>39</w:t>
          </w:r>
          <w:r>
            <w:rPr>
              <w:color w:val="000000"/>
              <w:w w:val="103"/>
            </w:rPr>
            <w:fldChar w:fldCharType="end"/>
          </w:r>
        </w:p>
      </w:tc>
    </w:tr>
  </w:tbl>
  <w:p w:rsidR="00A10735" w:rsidRPr="00A3227F" w:rsidRDefault="00A10735" w:rsidP="00A322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jc w:val="center"/>
      <w:tblLayout w:type="fixed"/>
      <w:tblLook w:val="0000" w:firstRow="0" w:lastRow="0" w:firstColumn="0" w:lastColumn="0" w:noHBand="0" w:noVBand="0"/>
    </w:tblPr>
    <w:tblGrid>
      <w:gridCol w:w="5126"/>
      <w:gridCol w:w="5127"/>
    </w:tblGrid>
    <w:tr w:rsidR="00A10735" w:rsidTr="00A3227F">
      <w:trPr>
        <w:jc w:val="center"/>
      </w:trPr>
      <w:tc>
        <w:tcPr>
          <w:tcW w:w="5126" w:type="dxa"/>
          <w:shd w:val="clear" w:color="auto" w:fill="auto"/>
        </w:tcPr>
        <w:p w:rsidR="00A10735" w:rsidRPr="00A3227F" w:rsidRDefault="00A10735" w:rsidP="00A3227F">
          <w:pPr>
            <w:pStyle w:val="Footer"/>
            <w:jc w:val="right"/>
            <w:rPr>
              <w:color w:val="000000"/>
              <w:w w:val="103"/>
            </w:rPr>
          </w:pPr>
          <w:r>
            <w:rPr>
              <w:color w:val="000000"/>
              <w:w w:val="103"/>
            </w:rPr>
            <w:fldChar w:fldCharType="begin"/>
          </w:r>
          <w:r>
            <w:rPr>
              <w:color w:val="000000"/>
              <w:w w:val="103"/>
            </w:rPr>
            <w:instrText xml:space="preserve"> PAGE  \* Arabic  \* MERGEFORMAT </w:instrText>
          </w:r>
          <w:r>
            <w:rPr>
              <w:color w:val="000000"/>
              <w:w w:val="103"/>
            </w:rPr>
            <w:fldChar w:fldCharType="separate"/>
          </w:r>
          <w:r w:rsidR="004B1858">
            <w:rPr>
              <w:color w:val="000000"/>
              <w:w w:val="103"/>
            </w:rPr>
            <w:t>39</w:t>
          </w:r>
          <w:r>
            <w:rPr>
              <w:color w:val="000000"/>
              <w:w w:val="103"/>
            </w:rPr>
            <w:fldChar w:fldCharType="end"/>
          </w:r>
          <w:r>
            <w:rPr>
              <w:color w:val="000000"/>
              <w:w w:val="103"/>
            </w:rPr>
            <w:t>/</w:t>
          </w:r>
          <w:r>
            <w:rPr>
              <w:color w:val="000000"/>
              <w:w w:val="103"/>
            </w:rPr>
            <w:fldChar w:fldCharType="begin"/>
          </w:r>
          <w:r>
            <w:rPr>
              <w:color w:val="000000"/>
              <w:w w:val="103"/>
            </w:rPr>
            <w:instrText xml:space="preserve"> NUMPAGES  \* Arabic  \* MERGEFORMAT </w:instrText>
          </w:r>
          <w:r>
            <w:rPr>
              <w:color w:val="000000"/>
              <w:w w:val="103"/>
            </w:rPr>
            <w:fldChar w:fldCharType="separate"/>
          </w:r>
          <w:r w:rsidR="004B1858">
            <w:rPr>
              <w:color w:val="000000"/>
              <w:w w:val="103"/>
            </w:rPr>
            <w:t>39</w:t>
          </w:r>
          <w:r>
            <w:rPr>
              <w:color w:val="000000"/>
              <w:w w:val="103"/>
            </w:rPr>
            <w:fldChar w:fldCharType="end"/>
          </w:r>
        </w:p>
      </w:tc>
      <w:tc>
        <w:tcPr>
          <w:tcW w:w="5127" w:type="dxa"/>
          <w:shd w:val="clear" w:color="auto" w:fill="auto"/>
        </w:tcPr>
        <w:p w:rsidR="00A10735" w:rsidRPr="00A3227F" w:rsidRDefault="00A10735" w:rsidP="00A3227F">
          <w:pPr>
            <w:pStyle w:val="Footer"/>
            <w:rPr>
              <w:b w:val="0"/>
              <w:color w:val="000000"/>
              <w:w w:val="103"/>
              <w:sz w:val="14"/>
            </w:rPr>
          </w:pPr>
          <w:r>
            <w:rPr>
              <w:b w:val="0"/>
              <w:color w:val="000000"/>
              <w:w w:val="103"/>
              <w:sz w:val="14"/>
            </w:rPr>
            <w:fldChar w:fldCharType="begin"/>
          </w:r>
          <w:r>
            <w:rPr>
              <w:b w:val="0"/>
              <w:color w:val="000000"/>
              <w:w w:val="103"/>
              <w:sz w:val="14"/>
            </w:rPr>
            <w:instrText xml:space="preserve"> DOCVARIABLE "FooterJN" \* MERGEFORMAT </w:instrText>
          </w:r>
          <w:r>
            <w:rPr>
              <w:b w:val="0"/>
              <w:color w:val="000000"/>
              <w:w w:val="103"/>
              <w:sz w:val="14"/>
            </w:rPr>
            <w:fldChar w:fldCharType="separate"/>
          </w:r>
          <w:r w:rsidR="004B1858">
            <w:rPr>
              <w:b w:val="0"/>
              <w:color w:val="000000"/>
              <w:w w:val="103"/>
              <w:sz w:val="14"/>
            </w:rPr>
            <w:t>15-04585</w:t>
          </w:r>
          <w:r>
            <w:rPr>
              <w:b w:val="0"/>
              <w:color w:val="000000"/>
              <w:w w:val="103"/>
              <w:sz w:val="14"/>
            </w:rPr>
            <w:fldChar w:fldCharType="end"/>
          </w:r>
        </w:p>
      </w:tc>
    </w:tr>
  </w:tbl>
  <w:p w:rsidR="00A10735" w:rsidRPr="00A3227F" w:rsidRDefault="00A10735" w:rsidP="00A3227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0735" w:rsidRPr="00A3227F" w:rsidRDefault="00A10735" w:rsidP="00A3227F">
    <w:pPr>
      <w:pStyle w:val="Footer"/>
      <w:spacing w:line="120" w:lineRule="exact"/>
      <w:rPr>
        <w:b w:val="0"/>
        <w:sz w:val="10"/>
      </w:rPr>
    </w:pPr>
    <w:r>
      <w:rPr>
        <w:b w:val="0"/>
        <w:sz w:val="10"/>
        <w:lang w:val="es-ES" w:eastAsia="es-ES"/>
      </w:rPr>
      <w:drawing>
        <wp:anchor distT="0" distB="0" distL="114300" distR="114300" simplePos="0" relativeHeight="251658240" behindDoc="0" locked="0" layoutInCell="1" allowOverlap="1" wp14:anchorId="2DD17592" wp14:editId="57981D4E">
          <wp:simplePos x="0" y="0"/>
          <wp:positionH relativeFrom="column">
            <wp:posOffset>5649188</wp:posOffset>
          </wp:positionH>
          <wp:positionV relativeFrom="paragraph">
            <wp:posOffset>-303566</wp:posOffset>
          </wp:positionV>
          <wp:extent cx="694690" cy="694690"/>
          <wp:effectExtent l="0" t="0" r="0" b="0"/>
          <wp:wrapNone/>
          <wp:docPr id="3" name="Picture 3" descr="http://undocs.org/m2/QRCode2.ashx?DS=HRI/CORE/MWI/2014&amp;Size =1&amp;Lang =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2.ashx?DS=HRI/CORE/MWI/2014&amp;Size =1&amp;Lang = 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p>
  <w:tbl>
    <w:tblPr>
      <w:tblW w:w="0" w:type="auto"/>
      <w:tblLayout w:type="fixed"/>
      <w:tblLook w:val="0000" w:firstRow="0" w:lastRow="0" w:firstColumn="0" w:lastColumn="0" w:noHBand="0" w:noVBand="0"/>
    </w:tblPr>
    <w:tblGrid>
      <w:gridCol w:w="3859"/>
      <w:gridCol w:w="5127"/>
    </w:tblGrid>
    <w:tr w:rsidR="00A10735" w:rsidTr="00A3227F">
      <w:tc>
        <w:tcPr>
          <w:tcW w:w="3859" w:type="dxa"/>
        </w:tcPr>
        <w:p w:rsidR="00A10735" w:rsidRDefault="00A10735" w:rsidP="00A3227F">
          <w:pPr>
            <w:pStyle w:val="ReleaseDate"/>
          </w:pPr>
          <w:r>
            <w:t>GE.15-04585 (S)    030615    110615</w:t>
          </w:r>
        </w:p>
        <w:p w:rsidR="00A10735" w:rsidRPr="00A3227F" w:rsidRDefault="00A10735" w:rsidP="00A3227F">
          <w:pPr>
            <w:pStyle w:val="Footer"/>
            <w:spacing w:before="80" w:line="210" w:lineRule="exact"/>
            <w:rPr>
              <w:rFonts w:ascii="Barcode 3 of 9 by request" w:hAnsi="Barcode 3 of 9 by request"/>
              <w:sz w:val="24"/>
              <w:lang w:val="es-ES"/>
            </w:rPr>
          </w:pPr>
          <w:r>
            <w:rPr>
              <w:rFonts w:ascii="Barcode 3 of 9 by request" w:hAnsi="Barcode 3 of 9 by request"/>
              <w:sz w:val="24"/>
              <w:lang w:val="es-ES"/>
            </w:rPr>
            <w:t>*1504585*</w:t>
          </w:r>
        </w:p>
      </w:tc>
      <w:tc>
        <w:tcPr>
          <w:tcW w:w="5127" w:type="dxa"/>
        </w:tcPr>
        <w:p w:rsidR="00A10735" w:rsidRDefault="00A10735" w:rsidP="00A3227F">
          <w:pPr>
            <w:pStyle w:val="Footer"/>
            <w:jc w:val="right"/>
            <w:rPr>
              <w:b w:val="0"/>
              <w:sz w:val="20"/>
            </w:rPr>
          </w:pPr>
          <w:r>
            <w:rPr>
              <w:b w:val="0"/>
              <w:sz w:val="20"/>
              <w:lang w:val="es-ES" w:eastAsia="es-ES"/>
            </w:rPr>
            <w:drawing>
              <wp:inline distT="0" distB="0" distL="0" distR="0" wp14:anchorId="01A92D2E" wp14:editId="5236EA25">
                <wp:extent cx="1082042" cy="231648"/>
                <wp:effectExtent l="0" t="0" r="381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1082042" cy="231648"/>
                        </a:xfrm>
                        <a:prstGeom prst="rect">
                          <a:avLst/>
                        </a:prstGeom>
                      </pic:spPr>
                    </pic:pic>
                  </a:graphicData>
                </a:graphic>
              </wp:inline>
            </w:drawing>
          </w:r>
        </w:p>
      </w:tc>
    </w:tr>
  </w:tbl>
  <w:p w:rsidR="00A10735" w:rsidRPr="00A3227F" w:rsidRDefault="00A10735" w:rsidP="00A3227F">
    <w:pPr>
      <w:pStyle w:val="Footer"/>
      <w:spacing w:line="56" w:lineRule="auto"/>
      <w:rPr>
        <w:b w:val="0"/>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735" w:rsidRPr="00EB53A7" w:rsidRDefault="00A10735" w:rsidP="00EB53A7">
      <w:pPr>
        <w:pStyle w:val="Footer"/>
        <w:spacing w:after="80"/>
        <w:ind w:left="792"/>
        <w:rPr>
          <w:sz w:val="16"/>
        </w:rPr>
      </w:pPr>
      <w:r w:rsidRPr="00EB53A7">
        <w:rPr>
          <w:sz w:val="16"/>
        </w:rPr>
        <w:t>__________________</w:t>
      </w:r>
    </w:p>
  </w:footnote>
  <w:footnote w:type="continuationSeparator" w:id="0">
    <w:p w:rsidR="00A10735" w:rsidRPr="00EB53A7" w:rsidRDefault="00A10735" w:rsidP="00EB53A7">
      <w:pPr>
        <w:pStyle w:val="Footer"/>
        <w:spacing w:after="80"/>
        <w:ind w:left="792"/>
        <w:rPr>
          <w:sz w:val="16"/>
        </w:rPr>
      </w:pPr>
      <w:r w:rsidRPr="00EB53A7">
        <w:rPr>
          <w:sz w:val="16"/>
        </w:rPr>
        <w:t>__________________</w:t>
      </w:r>
    </w:p>
  </w:footnote>
  <w:footnote w:id="1">
    <w:p w:rsidR="00A10735" w:rsidRDefault="00A10735" w:rsidP="00EB53A7">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t>*</w:t>
      </w:r>
      <w:r>
        <w:tab/>
        <w:t>El presente documento se publica sin haber sido objeto de revisión editorial oficial.</w:t>
      </w:r>
    </w:p>
  </w:footnote>
  <w:footnote w:id="2">
    <w:p w:rsidR="00A10735" w:rsidRDefault="00A10735" w:rsidP="00EB53A7">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9269B6">
        <w:t>Los apéndices no se traducen, y figuran en inglés solamente.</w:t>
      </w:r>
    </w:p>
  </w:footnote>
  <w:footnote w:id="3">
    <w:p w:rsidR="00A10735" w:rsidRDefault="00A10735" w:rsidP="00EB53A7">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A33F5B">
        <w:t>La tasa bruta de natalidad se define como el número de nacimientos por 1.000 habitantes durante un año determinado</w:t>
      </w:r>
      <w:r>
        <w:t>.</w:t>
      </w:r>
    </w:p>
  </w:footnote>
  <w:footnote w:id="4">
    <w:p w:rsidR="00A10735" w:rsidRDefault="00A10735" w:rsidP="00EB53A7">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12353E">
        <w:t>Así ocurrió en el caso del Partido Popular, cuya inscripción fue impugnada por otros partidos políticos de nombre similar.</w:t>
      </w:r>
    </w:p>
  </w:footnote>
  <w:footnote w:id="5">
    <w:p w:rsidR="00A10735" w:rsidRDefault="00A10735" w:rsidP="00EB53A7">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12353E">
        <w:t xml:space="preserve">El artículo 5 dispone que </w:t>
      </w:r>
      <w:r>
        <w:t>“</w:t>
      </w:r>
      <w:r w:rsidRPr="0012353E">
        <w:t>[C]ualquier disposición del Gobierno o cualquier ley que no guarde conformidad con lo dispuesto en la presente Constitución será, en la medida de esa discrepancia, inconstitucional</w:t>
      </w:r>
      <w:r>
        <w:t>”</w:t>
      </w:r>
      <w:r w:rsidRPr="0012353E">
        <w:t>.</w:t>
      </w:r>
    </w:p>
  </w:footnote>
  <w:footnote w:id="6">
    <w:p w:rsidR="00A10735" w:rsidRDefault="00A10735" w:rsidP="00EB53A7">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12353E">
        <w:t>Véase el artículo 88 2) de la Constitución.</w:t>
      </w:r>
    </w:p>
  </w:footnote>
  <w:footnote w:id="7">
    <w:p w:rsidR="00A10735" w:rsidRDefault="00A10735" w:rsidP="00EB53A7">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12353E">
        <w:t>Véase el artículo 96 1) de la Constitución.</w:t>
      </w:r>
    </w:p>
  </w:footnote>
  <w:footnote w:id="8">
    <w:p w:rsidR="00A10735" w:rsidRDefault="00A10735" w:rsidP="00EB53A7">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12353E">
        <w:t>Véase el artículo 49 de la Constitución.</w:t>
      </w:r>
    </w:p>
  </w:footnote>
  <w:footnote w:id="9">
    <w:p w:rsidR="00A10735" w:rsidRDefault="00A10735" w:rsidP="00EB53A7">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12353E">
        <w:t>Véase el artículo 8 de la Constitución.</w:t>
      </w:r>
    </w:p>
  </w:footnote>
  <w:footnote w:id="10">
    <w:p w:rsidR="00A10735" w:rsidRDefault="00A10735" w:rsidP="00EB53A7">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t>Capítulo</w:t>
      </w:r>
      <w:r w:rsidRPr="00430F11">
        <w:t xml:space="preserve"> 3:0</w:t>
      </w:r>
      <w:r>
        <w:t>3</w:t>
      </w:r>
      <w:r w:rsidRPr="00430F11">
        <w:t>.</w:t>
      </w:r>
    </w:p>
  </w:footnote>
  <w:footnote w:id="11">
    <w:p w:rsidR="00A10735" w:rsidRDefault="00A10735" w:rsidP="00EB53A7">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430F11">
        <w:t xml:space="preserve">Ley </w:t>
      </w:r>
      <w:r>
        <w:t>Nº</w:t>
      </w:r>
      <w:r w:rsidRPr="00430F11">
        <w:t xml:space="preserve"> 9 de 2011.</w:t>
      </w:r>
    </w:p>
  </w:footnote>
  <w:footnote w:id="12">
    <w:p w:rsidR="00A10735" w:rsidRDefault="00A10735" w:rsidP="00EB53A7">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12353E">
        <w:t>Véase el artículo 9 de la Constitución.</w:t>
      </w:r>
    </w:p>
  </w:footnote>
  <w:footnote w:id="13">
    <w:p w:rsidR="00A10735" w:rsidRDefault="00A10735" w:rsidP="00EB53A7">
      <w:pPr>
        <w:pStyle w:val="FootnoteText"/>
        <w:tabs>
          <w:tab w:val="clear" w:pos="418"/>
          <w:tab w:val="right" w:pos="1195"/>
          <w:tab w:val="left" w:pos="1267"/>
          <w:tab w:val="left" w:pos="1742"/>
          <w:tab w:val="left" w:pos="2218"/>
          <w:tab w:val="left" w:pos="2693"/>
        </w:tabs>
        <w:ind w:left="1267" w:right="1267" w:hanging="432"/>
      </w:pPr>
      <w:r>
        <w:tab/>
      </w:r>
      <w:r>
        <w:rPr>
          <w:rStyle w:val="FootnoteReference"/>
        </w:rPr>
        <w:footnoteRef/>
      </w:r>
      <w:r>
        <w:tab/>
      </w:r>
      <w:r w:rsidRPr="0012353E">
        <w:t>Véase el artículo 108 1) de la Constitución.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A10735" w:rsidTr="00A3227F">
      <w:trPr>
        <w:trHeight w:hRule="exact" w:val="864"/>
        <w:jc w:val="center"/>
      </w:trPr>
      <w:tc>
        <w:tcPr>
          <w:tcW w:w="4882" w:type="dxa"/>
          <w:shd w:val="clear" w:color="auto" w:fill="auto"/>
          <w:vAlign w:val="bottom"/>
        </w:tcPr>
        <w:p w:rsidR="00A10735" w:rsidRPr="00A3227F" w:rsidRDefault="00A10735" w:rsidP="00A3227F">
          <w:pPr>
            <w:pStyle w:val="Header"/>
            <w:spacing w:after="80"/>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4B1858">
            <w:rPr>
              <w:b/>
              <w:color w:val="000000"/>
            </w:rPr>
            <w:t>HRI/CORE/MWI/2014</w:t>
          </w:r>
          <w:r>
            <w:rPr>
              <w:b/>
              <w:color w:val="000000"/>
            </w:rPr>
            <w:fldChar w:fldCharType="end"/>
          </w:r>
        </w:p>
      </w:tc>
      <w:tc>
        <w:tcPr>
          <w:tcW w:w="5127" w:type="dxa"/>
          <w:shd w:val="clear" w:color="auto" w:fill="auto"/>
          <w:vAlign w:val="bottom"/>
        </w:tcPr>
        <w:p w:rsidR="00A10735" w:rsidRDefault="00A10735" w:rsidP="00A3227F">
          <w:pPr>
            <w:pStyle w:val="Header"/>
          </w:pPr>
        </w:p>
      </w:tc>
    </w:tr>
  </w:tbl>
  <w:p w:rsidR="00A10735" w:rsidRPr="00A3227F" w:rsidRDefault="00A10735" w:rsidP="00A3227F">
    <w:pPr>
      <w:pStyle w:val="Header"/>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bottom w:val="single" w:sz="2" w:space="0" w:color="010000"/>
      </w:tblBorders>
      <w:tblLayout w:type="fixed"/>
      <w:tblCellMar>
        <w:left w:w="0" w:type="dxa"/>
        <w:right w:w="0" w:type="dxa"/>
      </w:tblCellMar>
      <w:tblLook w:val="0000" w:firstRow="0" w:lastRow="0" w:firstColumn="0" w:lastColumn="0" w:noHBand="0" w:noVBand="0"/>
    </w:tblPr>
    <w:tblGrid>
      <w:gridCol w:w="4882"/>
      <w:gridCol w:w="5127"/>
    </w:tblGrid>
    <w:tr w:rsidR="00A10735" w:rsidTr="00A3227F">
      <w:trPr>
        <w:trHeight w:hRule="exact" w:val="864"/>
        <w:jc w:val="center"/>
      </w:trPr>
      <w:tc>
        <w:tcPr>
          <w:tcW w:w="4882" w:type="dxa"/>
          <w:shd w:val="clear" w:color="auto" w:fill="auto"/>
          <w:vAlign w:val="bottom"/>
        </w:tcPr>
        <w:p w:rsidR="00A10735" w:rsidRDefault="00A10735" w:rsidP="00A3227F">
          <w:pPr>
            <w:pStyle w:val="Header"/>
          </w:pPr>
        </w:p>
      </w:tc>
      <w:tc>
        <w:tcPr>
          <w:tcW w:w="5127" w:type="dxa"/>
          <w:shd w:val="clear" w:color="auto" w:fill="auto"/>
          <w:vAlign w:val="bottom"/>
        </w:tcPr>
        <w:p w:rsidR="00A10735" w:rsidRPr="00A3227F" w:rsidRDefault="00A10735" w:rsidP="00A3227F">
          <w:pPr>
            <w:pStyle w:val="Header"/>
            <w:spacing w:after="80"/>
            <w:jc w:val="right"/>
            <w:rPr>
              <w:b/>
              <w:color w:val="000000"/>
            </w:rPr>
          </w:pPr>
          <w:r>
            <w:rPr>
              <w:b/>
              <w:color w:val="000000"/>
            </w:rPr>
            <w:fldChar w:fldCharType="begin"/>
          </w:r>
          <w:r>
            <w:rPr>
              <w:b/>
              <w:color w:val="000000"/>
            </w:rPr>
            <w:instrText xml:space="preserve"> DOCVARIABLE "sss1" \* MERGEFORMAT </w:instrText>
          </w:r>
          <w:r>
            <w:rPr>
              <w:b/>
              <w:color w:val="000000"/>
            </w:rPr>
            <w:fldChar w:fldCharType="separate"/>
          </w:r>
          <w:r w:rsidR="004B1858">
            <w:rPr>
              <w:b/>
              <w:color w:val="000000"/>
            </w:rPr>
            <w:t>HRI/CORE/MWI/2014</w:t>
          </w:r>
          <w:r>
            <w:rPr>
              <w:b/>
              <w:color w:val="000000"/>
            </w:rPr>
            <w:fldChar w:fldCharType="end"/>
          </w:r>
        </w:p>
      </w:tc>
    </w:tr>
  </w:tbl>
  <w:p w:rsidR="00A10735" w:rsidRPr="00A3227F" w:rsidRDefault="00A10735" w:rsidP="00A3227F">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037" w:type="dxa"/>
      <w:tblLayout w:type="fixed"/>
      <w:tblCellMar>
        <w:left w:w="0" w:type="dxa"/>
        <w:right w:w="0" w:type="dxa"/>
      </w:tblCellMar>
      <w:tblLook w:val="0000" w:firstRow="0" w:lastRow="0" w:firstColumn="0" w:lastColumn="0" w:noHBand="0" w:noVBand="0"/>
    </w:tblPr>
    <w:tblGrid>
      <w:gridCol w:w="1267"/>
      <w:gridCol w:w="2059"/>
      <w:gridCol w:w="58"/>
      <w:gridCol w:w="3110"/>
      <w:gridCol w:w="245"/>
      <w:gridCol w:w="3280"/>
      <w:gridCol w:w="18"/>
    </w:tblGrid>
    <w:tr w:rsidR="00A10735" w:rsidTr="00A3227F">
      <w:trPr>
        <w:trHeight w:hRule="exact" w:val="864"/>
      </w:trPr>
      <w:tc>
        <w:tcPr>
          <w:tcW w:w="1267" w:type="dxa"/>
          <w:tcBorders>
            <w:bottom w:val="single" w:sz="4" w:space="0" w:color="auto"/>
          </w:tcBorders>
          <w:shd w:val="clear" w:color="auto" w:fill="auto"/>
          <w:vAlign w:val="bottom"/>
        </w:tcPr>
        <w:p w:rsidR="00A10735" w:rsidRDefault="00A10735" w:rsidP="00A3227F">
          <w:pPr>
            <w:pStyle w:val="Header"/>
            <w:spacing w:after="120"/>
          </w:pPr>
        </w:p>
      </w:tc>
      <w:tc>
        <w:tcPr>
          <w:tcW w:w="2059" w:type="dxa"/>
          <w:tcBorders>
            <w:bottom w:val="single" w:sz="4" w:space="0" w:color="auto"/>
          </w:tcBorders>
          <w:shd w:val="clear" w:color="auto" w:fill="auto"/>
          <w:vAlign w:val="bottom"/>
        </w:tcPr>
        <w:p w:rsidR="00A10735" w:rsidRPr="00A3227F" w:rsidRDefault="00A10735" w:rsidP="00A3227F">
          <w:pPr>
            <w:pStyle w:val="HCh"/>
            <w:spacing w:after="80"/>
            <w:rPr>
              <w:b w:val="0"/>
              <w:spacing w:val="2"/>
              <w:w w:val="96"/>
            </w:rPr>
          </w:pPr>
          <w:r>
            <w:rPr>
              <w:b w:val="0"/>
              <w:spacing w:val="2"/>
              <w:w w:val="96"/>
            </w:rPr>
            <w:t>Naciones Unidas</w:t>
          </w:r>
        </w:p>
      </w:tc>
      <w:tc>
        <w:tcPr>
          <w:tcW w:w="58" w:type="dxa"/>
          <w:tcBorders>
            <w:bottom w:val="single" w:sz="4" w:space="0" w:color="auto"/>
          </w:tcBorders>
          <w:shd w:val="clear" w:color="auto" w:fill="auto"/>
          <w:vAlign w:val="bottom"/>
        </w:tcPr>
        <w:p w:rsidR="00A10735" w:rsidRDefault="00A10735" w:rsidP="00A3227F">
          <w:pPr>
            <w:pStyle w:val="Header"/>
            <w:spacing w:after="120"/>
          </w:pPr>
        </w:p>
      </w:tc>
      <w:tc>
        <w:tcPr>
          <w:tcW w:w="6653" w:type="dxa"/>
          <w:gridSpan w:val="4"/>
          <w:tcBorders>
            <w:bottom w:val="single" w:sz="4" w:space="0" w:color="auto"/>
          </w:tcBorders>
          <w:shd w:val="clear" w:color="auto" w:fill="auto"/>
          <w:vAlign w:val="bottom"/>
        </w:tcPr>
        <w:p w:rsidR="00A10735" w:rsidRPr="00A3227F" w:rsidRDefault="00A10735" w:rsidP="00A3227F">
          <w:pPr>
            <w:spacing w:after="80" w:line="240" w:lineRule="auto"/>
            <w:jc w:val="right"/>
            <w:rPr>
              <w:position w:val="-4"/>
            </w:rPr>
          </w:pPr>
          <w:r>
            <w:rPr>
              <w:position w:val="-4"/>
              <w:sz w:val="40"/>
            </w:rPr>
            <w:t>HRI</w:t>
          </w:r>
          <w:r>
            <w:rPr>
              <w:position w:val="-4"/>
            </w:rPr>
            <w:t>/CORE/MWI/2014</w:t>
          </w:r>
        </w:p>
      </w:tc>
    </w:tr>
    <w:tr w:rsidR="00A10735" w:rsidRPr="00A3227F" w:rsidTr="00A3227F">
      <w:trPr>
        <w:gridAfter w:val="1"/>
        <w:wAfter w:w="18" w:type="dxa"/>
        <w:trHeight w:hRule="exact" w:val="2880"/>
      </w:trPr>
      <w:tc>
        <w:tcPr>
          <w:tcW w:w="1267" w:type="dxa"/>
          <w:tcBorders>
            <w:top w:val="single" w:sz="4" w:space="0" w:color="auto"/>
            <w:bottom w:val="single" w:sz="12" w:space="0" w:color="auto"/>
          </w:tcBorders>
          <w:shd w:val="clear" w:color="auto" w:fill="auto"/>
        </w:tcPr>
        <w:p w:rsidR="00A10735" w:rsidRPr="00A3227F" w:rsidRDefault="00A10735" w:rsidP="00A3227F">
          <w:pPr>
            <w:pStyle w:val="Header"/>
            <w:spacing w:before="109"/>
          </w:pPr>
          <w:r>
            <w:t xml:space="preserve"> </w:t>
          </w:r>
          <w:r>
            <w:rPr>
              <w:lang w:val="es-ES" w:eastAsia="es-ES"/>
            </w:rPr>
            <w:drawing>
              <wp:inline distT="0" distB="0" distL="0" distR="0" wp14:anchorId="0A5BB8D3" wp14:editId="7BCE20E9">
                <wp:extent cx="711200" cy="597103"/>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711200" cy="597103"/>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rsidR="00A10735" w:rsidRPr="00A3227F" w:rsidRDefault="00A10735" w:rsidP="00A3227F">
          <w:pPr>
            <w:pStyle w:val="XLarge"/>
            <w:spacing w:before="160"/>
            <w:rPr>
              <w:w w:val="103"/>
            </w:rPr>
          </w:pPr>
          <w:r>
            <w:rPr>
              <w:w w:val="103"/>
            </w:rPr>
            <w:t>Instrumentos Internacionales</w:t>
          </w:r>
          <w:r>
            <w:rPr>
              <w:w w:val="103"/>
            </w:rPr>
            <w:br/>
            <w:t>de Derechos Humanos</w:t>
          </w:r>
        </w:p>
      </w:tc>
      <w:tc>
        <w:tcPr>
          <w:tcW w:w="245" w:type="dxa"/>
          <w:tcBorders>
            <w:top w:val="single" w:sz="4" w:space="0" w:color="auto"/>
            <w:bottom w:val="single" w:sz="12" w:space="0" w:color="auto"/>
          </w:tcBorders>
          <w:shd w:val="clear" w:color="auto" w:fill="auto"/>
        </w:tcPr>
        <w:p w:rsidR="00A10735" w:rsidRPr="00864612" w:rsidRDefault="00A10735" w:rsidP="00A3227F">
          <w:pPr>
            <w:pStyle w:val="Header"/>
            <w:spacing w:before="109"/>
            <w:rPr>
              <w:lang w:val="es-ES"/>
            </w:rPr>
          </w:pPr>
        </w:p>
      </w:tc>
      <w:tc>
        <w:tcPr>
          <w:tcW w:w="3280" w:type="dxa"/>
          <w:tcBorders>
            <w:top w:val="single" w:sz="4" w:space="0" w:color="auto"/>
            <w:bottom w:val="single" w:sz="12" w:space="0" w:color="auto"/>
          </w:tcBorders>
          <w:shd w:val="clear" w:color="auto" w:fill="auto"/>
        </w:tcPr>
        <w:p w:rsidR="00A10735" w:rsidRDefault="00A10735" w:rsidP="00A3227F">
          <w:pPr>
            <w:pStyle w:val="Distribution"/>
            <w:spacing w:before="240"/>
          </w:pPr>
          <w:r>
            <w:t>Distr. general</w:t>
          </w:r>
        </w:p>
        <w:p w:rsidR="00A10735" w:rsidRDefault="00A10735" w:rsidP="00A3227F">
          <w:pPr>
            <w:pStyle w:val="Publication"/>
          </w:pPr>
          <w:r>
            <w:t>23 de marzo de 2015</w:t>
          </w:r>
        </w:p>
        <w:p w:rsidR="00A10735" w:rsidRDefault="00A10735" w:rsidP="00A3227F">
          <w:r>
            <w:t>Español</w:t>
          </w:r>
        </w:p>
        <w:p w:rsidR="00A10735" w:rsidRDefault="00A10735" w:rsidP="00A3227F">
          <w:pPr>
            <w:pStyle w:val="Original"/>
          </w:pPr>
          <w:r>
            <w:t>Original: inglés</w:t>
          </w:r>
        </w:p>
        <w:p w:rsidR="00A10735" w:rsidRPr="00A3227F" w:rsidRDefault="00A10735" w:rsidP="00A3227F"/>
      </w:tc>
    </w:tr>
  </w:tbl>
  <w:p w:rsidR="00A10735" w:rsidRPr="00864612" w:rsidRDefault="00A10735" w:rsidP="00A3227F">
    <w:pPr>
      <w:pStyle w:val="Header"/>
      <w:rPr>
        <w:sz w:val="2"/>
        <w:lang w:val="es-E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76B97"/>
    <w:multiLevelType w:val="singleLevel"/>
    <w:tmpl w:val="0409000F"/>
    <w:lvl w:ilvl="0">
      <w:start w:val="1"/>
      <w:numFmt w:val="decimal"/>
      <w:lvlText w:val="%1."/>
      <w:lvlJc w:val="left"/>
      <w:pPr>
        <w:ind w:left="720" w:hanging="360"/>
      </w:pPr>
    </w:lvl>
  </w:abstractNum>
  <w:abstractNum w:abstractNumId="1">
    <w:nsid w:val="0AEE6E0A"/>
    <w:multiLevelType w:val="singleLevel"/>
    <w:tmpl w:val="0409000F"/>
    <w:lvl w:ilvl="0">
      <w:start w:val="1"/>
      <w:numFmt w:val="decimal"/>
      <w:lvlText w:val="%1."/>
      <w:lvlJc w:val="left"/>
      <w:pPr>
        <w:ind w:left="720" w:hanging="360"/>
      </w:pPr>
    </w:lvl>
  </w:abstractNum>
  <w:abstractNum w:abstractNumId="2">
    <w:nsid w:val="164464BA"/>
    <w:multiLevelType w:val="multilevel"/>
    <w:tmpl w:val="395A8582"/>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lowerRoman"/>
      <w:lvlText w:val="%5)"/>
      <w:lvlJc w:val="left"/>
      <w:pPr>
        <w:tabs>
          <w:tab w:val="num" w:pos="3240"/>
        </w:tabs>
        <w:ind w:left="2880" w:firstLine="0"/>
      </w:pPr>
      <w:rPr>
        <w:rFonts w:hint="default"/>
      </w:rPr>
    </w:lvl>
    <w:lvl w:ilvl="5">
      <w:start w:val="1"/>
      <w:numFmt w:val="lowerLetter"/>
      <w:lvlText w:val="%6"/>
      <w:lvlJc w:val="left"/>
      <w:pPr>
        <w:tabs>
          <w:tab w:val="num" w:pos="324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bullet"/>
      <w:lvlText w:val=""/>
      <w:lvlJc w:val="left"/>
      <w:pPr>
        <w:tabs>
          <w:tab w:val="num" w:pos="5400"/>
        </w:tabs>
        <w:ind w:left="5040" w:firstLine="0"/>
      </w:pPr>
      <w:rPr>
        <w:rFonts w:ascii="Symbol" w:hAnsi="Symbol" w:hint="default"/>
      </w:rPr>
    </w:lvl>
    <w:lvl w:ilvl="8">
      <w:start w:val="1"/>
      <w:numFmt w:val="none"/>
      <w:lvlText w:val=""/>
      <w:lvlJc w:val="left"/>
      <w:pPr>
        <w:tabs>
          <w:tab w:val="num" w:pos="6120"/>
        </w:tabs>
        <w:ind w:left="5760" w:firstLine="0"/>
      </w:pPr>
      <w:rPr>
        <w:rFonts w:hint="default"/>
      </w:rPr>
    </w:lvl>
  </w:abstractNum>
  <w:abstractNum w:abstractNumId="3">
    <w:nsid w:val="193A0B02"/>
    <w:multiLevelType w:val="multilevel"/>
    <w:tmpl w:val="DBD65340"/>
    <w:lvl w:ilvl="0">
      <w:start w:val="1"/>
      <w:numFmt w:val="upperRoman"/>
      <w:lvlText w:val="%1."/>
      <w:lvlJc w:val="left"/>
      <w:pPr>
        <w:tabs>
          <w:tab w:val="num" w:pos="360"/>
        </w:tabs>
        <w:ind w:left="0" w:firstLine="0"/>
      </w:pPr>
      <w:rPr>
        <w:rFonts w:hint="default"/>
      </w:rPr>
    </w:lvl>
    <w:lvl w:ilvl="1">
      <w:start w:val="1"/>
      <w:numFmt w:val="upperLetter"/>
      <w:lvlText w:val="%2."/>
      <w:lvlJc w:val="left"/>
      <w:pPr>
        <w:tabs>
          <w:tab w:val="num" w:pos="360"/>
        </w:tabs>
        <w:ind w:left="0" w:firstLine="0"/>
      </w:pPr>
      <w:rPr>
        <w:rFonts w:hint="default"/>
      </w:rPr>
    </w:lvl>
    <w:lvl w:ilvl="2">
      <w:start w:val="1"/>
      <w:numFmt w:val="decimal"/>
      <w:lvlText w:val="%3."/>
      <w:lvlJc w:val="left"/>
      <w:pPr>
        <w:tabs>
          <w:tab w:val="num" w:pos="1800"/>
        </w:tabs>
        <w:ind w:left="1440" w:firstLine="0"/>
      </w:pPr>
      <w:rPr>
        <w:rFonts w:hint="default"/>
      </w:rPr>
    </w:lvl>
    <w:lvl w:ilvl="3">
      <w:start w:val="1"/>
      <w:numFmt w:val="lowerLetter"/>
      <w:lvlText w:val="%4)"/>
      <w:lvlJc w:val="left"/>
      <w:pPr>
        <w:tabs>
          <w:tab w:val="num" w:pos="2520"/>
        </w:tabs>
        <w:ind w:left="2160" w:firstLine="0"/>
      </w:pPr>
      <w:rPr>
        <w:rFonts w:hint="default"/>
      </w:rPr>
    </w:lvl>
    <w:lvl w:ilvl="4">
      <w:start w:val="1"/>
      <w:numFmt w:val="lowerRoman"/>
      <w:lvlText w:val="%5)"/>
      <w:lvlJc w:val="left"/>
      <w:pPr>
        <w:tabs>
          <w:tab w:val="num" w:pos="3240"/>
        </w:tabs>
        <w:ind w:left="2880" w:firstLine="0"/>
      </w:pPr>
      <w:rPr>
        <w:rFonts w:hint="default"/>
      </w:rPr>
    </w:lvl>
    <w:lvl w:ilvl="5">
      <w:start w:val="1"/>
      <w:numFmt w:val="lowerLetter"/>
      <w:lvlText w:val="%6"/>
      <w:lvlJc w:val="left"/>
      <w:pPr>
        <w:tabs>
          <w:tab w:val="num" w:pos="324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bullet"/>
      <w:lvlText w:val=""/>
      <w:lvlJc w:val="left"/>
      <w:pPr>
        <w:tabs>
          <w:tab w:val="num" w:pos="5400"/>
        </w:tabs>
        <w:ind w:left="5040" w:firstLine="0"/>
      </w:pPr>
      <w:rPr>
        <w:rFonts w:ascii="Symbol" w:hAnsi="Symbol" w:hint="default"/>
      </w:rPr>
    </w:lvl>
    <w:lvl w:ilvl="8">
      <w:start w:val="1"/>
      <w:numFmt w:val="none"/>
      <w:lvlText w:val=""/>
      <w:lvlJc w:val="left"/>
      <w:pPr>
        <w:tabs>
          <w:tab w:val="num" w:pos="6120"/>
        </w:tabs>
        <w:ind w:left="5760" w:firstLine="0"/>
      </w:pPr>
      <w:rPr>
        <w:rFonts w:hint="default"/>
      </w:rPr>
    </w:lvl>
  </w:abstractNum>
  <w:abstractNum w:abstractNumId="4">
    <w:nsid w:val="29C064E1"/>
    <w:multiLevelType w:val="multilevel"/>
    <w:tmpl w:val="80F01A4C"/>
    <w:name w:val="TOC2"/>
    <w:lvl w:ilvl="0">
      <w:start w:val="1"/>
      <w:numFmt w:val="upperRoman"/>
      <w:lvlRestart w:val="0"/>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bullet"/>
      <w:lvlText w:val=""/>
      <w:lvlJc w:val="left"/>
      <w:pPr>
        <w:tabs>
          <w:tab w:val="num" w:pos="4680"/>
        </w:tabs>
        <w:ind w:left="4320" w:firstLine="0"/>
      </w:pPr>
      <w:rPr>
        <w:rFonts w:ascii="Symbol" w:hAnsi="Symbol" w:hint="default"/>
      </w:rPr>
    </w:lvl>
    <w:lvl w:ilvl="7">
      <w:start w:val="1"/>
      <w:numFmt w:val="bullet"/>
      <w:suff w:val="nothing"/>
      <w:lvlText w:val=""/>
      <w:lvlJc w:val="left"/>
      <w:pPr>
        <w:ind w:left="5040" w:firstLine="0"/>
      </w:pPr>
      <w:rPr>
        <w:rFonts w:ascii="Symbol" w:hAnsi="Symbol" w:hint="default"/>
      </w:rPr>
    </w:lvl>
    <w:lvl w:ilvl="8">
      <w:start w:val="1"/>
      <w:numFmt w:val="none"/>
      <w:suff w:val="nothing"/>
      <w:lvlText w:val=""/>
      <w:lvlJc w:val="left"/>
      <w:pPr>
        <w:ind w:left="5760" w:firstLine="0"/>
      </w:pPr>
    </w:lvl>
  </w:abstractNum>
  <w:abstractNum w:abstractNumId="5">
    <w:nsid w:val="410B75B3"/>
    <w:multiLevelType w:val="singleLevel"/>
    <w:tmpl w:val="0409000F"/>
    <w:lvl w:ilvl="0">
      <w:start w:val="1"/>
      <w:numFmt w:val="decimal"/>
      <w:lvlText w:val="%1."/>
      <w:lvlJc w:val="left"/>
      <w:pPr>
        <w:ind w:left="720" w:hanging="360"/>
      </w:pPr>
    </w:lvl>
  </w:abstractNum>
  <w:abstractNum w:abstractNumId="6">
    <w:nsid w:val="447D1F82"/>
    <w:multiLevelType w:val="hybridMultilevel"/>
    <w:tmpl w:val="76FC32BE"/>
    <w:lvl w:ilvl="0" w:tplc="C8B4406A">
      <w:start w:val="1"/>
      <w:numFmt w:val="decimal"/>
      <w:lvlText w:val="%1."/>
      <w:lvlJc w:val="left"/>
      <w:pPr>
        <w:ind w:left="1627" w:hanging="360"/>
      </w:pPr>
      <w:rPr>
        <w:rFonts w:hint="default"/>
      </w:rPr>
    </w:lvl>
    <w:lvl w:ilvl="1" w:tplc="04090019" w:tentative="1">
      <w:start w:val="1"/>
      <w:numFmt w:val="lowerLetter"/>
      <w:lvlText w:val="%2."/>
      <w:lvlJc w:val="left"/>
      <w:pPr>
        <w:ind w:left="2347" w:hanging="360"/>
      </w:pPr>
    </w:lvl>
    <w:lvl w:ilvl="2" w:tplc="0409001B" w:tentative="1">
      <w:start w:val="1"/>
      <w:numFmt w:val="lowerRoman"/>
      <w:lvlText w:val="%3."/>
      <w:lvlJc w:val="right"/>
      <w:pPr>
        <w:ind w:left="3067" w:hanging="180"/>
      </w:pPr>
    </w:lvl>
    <w:lvl w:ilvl="3" w:tplc="0409000F" w:tentative="1">
      <w:start w:val="1"/>
      <w:numFmt w:val="decimal"/>
      <w:lvlText w:val="%4."/>
      <w:lvlJc w:val="left"/>
      <w:pPr>
        <w:ind w:left="3787" w:hanging="360"/>
      </w:pPr>
    </w:lvl>
    <w:lvl w:ilvl="4" w:tplc="04090019" w:tentative="1">
      <w:start w:val="1"/>
      <w:numFmt w:val="lowerLetter"/>
      <w:lvlText w:val="%5."/>
      <w:lvlJc w:val="left"/>
      <w:pPr>
        <w:ind w:left="4507" w:hanging="360"/>
      </w:pPr>
    </w:lvl>
    <w:lvl w:ilvl="5" w:tplc="0409001B" w:tentative="1">
      <w:start w:val="1"/>
      <w:numFmt w:val="lowerRoman"/>
      <w:lvlText w:val="%6."/>
      <w:lvlJc w:val="right"/>
      <w:pPr>
        <w:ind w:left="5227" w:hanging="180"/>
      </w:pPr>
    </w:lvl>
    <w:lvl w:ilvl="6" w:tplc="0409000F" w:tentative="1">
      <w:start w:val="1"/>
      <w:numFmt w:val="decimal"/>
      <w:lvlText w:val="%7."/>
      <w:lvlJc w:val="left"/>
      <w:pPr>
        <w:ind w:left="5947" w:hanging="360"/>
      </w:pPr>
    </w:lvl>
    <w:lvl w:ilvl="7" w:tplc="04090019" w:tentative="1">
      <w:start w:val="1"/>
      <w:numFmt w:val="lowerLetter"/>
      <w:lvlText w:val="%8."/>
      <w:lvlJc w:val="left"/>
      <w:pPr>
        <w:ind w:left="6667" w:hanging="360"/>
      </w:pPr>
    </w:lvl>
    <w:lvl w:ilvl="8" w:tplc="0409001B" w:tentative="1">
      <w:start w:val="1"/>
      <w:numFmt w:val="lowerRoman"/>
      <w:lvlText w:val="%9."/>
      <w:lvlJc w:val="right"/>
      <w:pPr>
        <w:ind w:left="7387" w:hanging="180"/>
      </w:pPr>
    </w:lvl>
  </w:abstractNum>
  <w:abstractNum w:abstractNumId="7">
    <w:nsid w:val="4CE669A5"/>
    <w:multiLevelType w:val="multilevel"/>
    <w:tmpl w:val="7D1632E0"/>
    <w:lvl w:ilvl="0">
      <w:start w:val="1"/>
      <w:numFmt w:val="bullet"/>
      <w:pStyle w:val="NormalBullet"/>
      <w:lvlText w:val=""/>
      <w:lvlJc w:val="left"/>
      <w:pPr>
        <w:tabs>
          <w:tab w:val="num" w:pos="2376"/>
        </w:tabs>
        <w:ind w:left="2218" w:hanging="202"/>
      </w:pPr>
      <w:rPr>
        <w:rFonts w:ascii="Symbol" w:hAnsi="Symbol" w:hint="default"/>
      </w:rPr>
    </w:lvl>
    <w:lvl w:ilvl="1">
      <w:start w:val="1"/>
      <w:numFmt w:val="lowerLetter"/>
      <w:lvlText w:val="%2)"/>
      <w:lvlJc w:val="left"/>
      <w:pPr>
        <w:tabs>
          <w:tab w:val="num" w:pos="2736"/>
        </w:tabs>
        <w:ind w:left="2736" w:hanging="360"/>
      </w:pPr>
      <w:rPr>
        <w:rFonts w:hint="default"/>
      </w:rPr>
    </w:lvl>
    <w:lvl w:ilvl="2">
      <w:start w:val="1"/>
      <w:numFmt w:val="lowerRoman"/>
      <w:lvlText w:val="%3)"/>
      <w:lvlJc w:val="left"/>
      <w:pPr>
        <w:tabs>
          <w:tab w:val="num" w:pos="3096"/>
        </w:tabs>
        <w:ind w:left="3096" w:hanging="360"/>
      </w:pPr>
      <w:rPr>
        <w:rFonts w:hint="default"/>
      </w:rPr>
    </w:lvl>
    <w:lvl w:ilvl="3">
      <w:start w:val="1"/>
      <w:numFmt w:val="decimal"/>
      <w:lvlText w:val="(%4)"/>
      <w:lvlJc w:val="left"/>
      <w:pPr>
        <w:tabs>
          <w:tab w:val="num" w:pos="3456"/>
        </w:tabs>
        <w:ind w:left="3456" w:hanging="360"/>
      </w:pPr>
      <w:rPr>
        <w:rFonts w:hint="default"/>
      </w:rPr>
    </w:lvl>
    <w:lvl w:ilvl="4">
      <w:start w:val="1"/>
      <w:numFmt w:val="lowerLetter"/>
      <w:lvlText w:val="(%5)"/>
      <w:lvlJc w:val="left"/>
      <w:pPr>
        <w:tabs>
          <w:tab w:val="num" w:pos="3816"/>
        </w:tabs>
        <w:ind w:left="3816" w:hanging="360"/>
      </w:pPr>
      <w:rPr>
        <w:rFonts w:hint="default"/>
      </w:rPr>
    </w:lvl>
    <w:lvl w:ilvl="5">
      <w:start w:val="1"/>
      <w:numFmt w:val="lowerRoman"/>
      <w:lvlText w:val="(%6)"/>
      <w:lvlJc w:val="left"/>
      <w:pPr>
        <w:tabs>
          <w:tab w:val="num" w:pos="4176"/>
        </w:tabs>
        <w:ind w:left="4176" w:hanging="360"/>
      </w:pPr>
      <w:rPr>
        <w:rFonts w:hint="default"/>
      </w:rPr>
    </w:lvl>
    <w:lvl w:ilvl="6">
      <w:start w:val="1"/>
      <w:numFmt w:val="decimal"/>
      <w:lvlText w:val="%7."/>
      <w:lvlJc w:val="left"/>
      <w:pPr>
        <w:tabs>
          <w:tab w:val="num" w:pos="4536"/>
        </w:tabs>
        <w:ind w:left="4536" w:hanging="360"/>
      </w:pPr>
      <w:rPr>
        <w:rFonts w:hint="default"/>
      </w:rPr>
    </w:lvl>
    <w:lvl w:ilvl="7">
      <w:start w:val="1"/>
      <w:numFmt w:val="lowerLetter"/>
      <w:lvlText w:val="%8."/>
      <w:lvlJc w:val="left"/>
      <w:pPr>
        <w:tabs>
          <w:tab w:val="num" w:pos="4896"/>
        </w:tabs>
        <w:ind w:left="4896" w:hanging="360"/>
      </w:pPr>
      <w:rPr>
        <w:rFonts w:hint="default"/>
      </w:rPr>
    </w:lvl>
    <w:lvl w:ilvl="8">
      <w:start w:val="1"/>
      <w:numFmt w:val="lowerRoman"/>
      <w:lvlText w:val="%9."/>
      <w:lvlJc w:val="left"/>
      <w:pPr>
        <w:tabs>
          <w:tab w:val="num" w:pos="5256"/>
        </w:tabs>
        <w:ind w:left="5256" w:hanging="360"/>
      </w:pPr>
      <w:rPr>
        <w:rFonts w:hint="default"/>
      </w:rPr>
    </w:lvl>
  </w:abstractNum>
  <w:abstractNum w:abstractNumId="8">
    <w:nsid w:val="63981C2A"/>
    <w:multiLevelType w:val="multilevel"/>
    <w:tmpl w:val="5FE41BA4"/>
    <w:name w:val="TOC"/>
    <w:lvl w:ilvl="0">
      <w:start w:val="1"/>
      <w:numFmt w:val="upperRoman"/>
      <w:lvlRestart w:val="0"/>
      <w:lvlText w:val="%1."/>
      <w:lvlJc w:val="right"/>
      <w:pPr>
        <w:tabs>
          <w:tab w:val="num" w:pos="1296"/>
        </w:tabs>
        <w:ind w:left="1296" w:hanging="216"/>
      </w:pPr>
    </w:lvl>
    <w:lvl w:ilvl="1">
      <w:start w:val="1"/>
      <w:numFmt w:val="upperLetter"/>
      <w:lvlText w:val="%2."/>
      <w:lvlJc w:val="left"/>
      <w:pPr>
        <w:tabs>
          <w:tab w:val="num" w:pos="1728"/>
        </w:tabs>
        <w:ind w:left="1728" w:hanging="432"/>
      </w:pPr>
    </w:lvl>
    <w:lvl w:ilvl="2">
      <w:start w:val="1"/>
      <w:numFmt w:val="decimal"/>
      <w:lvlText w:val="%3."/>
      <w:lvlJc w:val="left"/>
      <w:pPr>
        <w:tabs>
          <w:tab w:val="num" w:pos="2160"/>
        </w:tabs>
        <w:ind w:left="2160" w:hanging="432"/>
      </w:pPr>
    </w:lvl>
    <w:lvl w:ilvl="3">
      <w:start w:val="1"/>
      <w:numFmt w:val="lowerLetter"/>
      <w:lvlText w:val="%4)"/>
      <w:lvlJc w:val="left"/>
      <w:pPr>
        <w:tabs>
          <w:tab w:val="num" w:pos="2592"/>
        </w:tabs>
        <w:ind w:left="2592" w:hanging="432"/>
      </w:pPr>
    </w:lvl>
    <w:lvl w:ilvl="4">
      <w:start w:val="1"/>
      <w:numFmt w:val="lowerRoman"/>
      <w:lvlText w:val="%5)"/>
      <w:lvlJc w:val="left"/>
      <w:pPr>
        <w:tabs>
          <w:tab w:val="num" w:pos="3024"/>
        </w:tabs>
        <w:ind w:left="3024" w:hanging="432"/>
      </w:pPr>
    </w:lvl>
    <w:lvl w:ilvl="5">
      <w:start w:val="1"/>
      <w:numFmt w:val="lowerLetter"/>
      <w:lvlText w:val="%6."/>
      <w:lvlJc w:val="left"/>
      <w:pPr>
        <w:tabs>
          <w:tab w:val="num" w:pos="3456"/>
        </w:tabs>
        <w:ind w:left="3456" w:hanging="432"/>
      </w:pPr>
    </w:lvl>
    <w:lvl w:ilvl="6">
      <w:start w:val="1"/>
      <w:numFmt w:val="bullet"/>
      <w:lvlText w:val=""/>
      <w:lvlJc w:val="left"/>
      <w:pPr>
        <w:tabs>
          <w:tab w:val="num" w:pos="4680"/>
        </w:tabs>
        <w:ind w:left="4320" w:firstLine="0"/>
      </w:pPr>
      <w:rPr>
        <w:rFonts w:ascii="Symbol" w:hAnsi="Symbol" w:hint="default"/>
      </w:rPr>
    </w:lvl>
    <w:lvl w:ilvl="7">
      <w:start w:val="1"/>
      <w:numFmt w:val="bullet"/>
      <w:suff w:val="nothing"/>
      <w:lvlText w:val=""/>
      <w:lvlJc w:val="left"/>
      <w:pPr>
        <w:ind w:left="5040" w:firstLine="0"/>
      </w:pPr>
      <w:rPr>
        <w:rFonts w:ascii="Symbol" w:hAnsi="Symbol" w:hint="default"/>
      </w:rPr>
    </w:lvl>
    <w:lvl w:ilvl="8">
      <w:start w:val="1"/>
      <w:numFmt w:val="none"/>
      <w:suff w:val="nothing"/>
      <w:lvlText w:val=""/>
      <w:lvlJc w:val="left"/>
      <w:pPr>
        <w:ind w:left="5760" w:firstLine="0"/>
      </w:pPr>
    </w:lvl>
  </w:abstractNum>
  <w:abstractNum w:abstractNumId="9">
    <w:nsid w:val="746A5C67"/>
    <w:multiLevelType w:val="singleLevel"/>
    <w:tmpl w:val="0409000F"/>
    <w:lvl w:ilvl="0">
      <w:start w:val="1"/>
      <w:numFmt w:val="decimal"/>
      <w:lvlText w:val="%1."/>
      <w:lvlJc w:val="left"/>
      <w:pPr>
        <w:ind w:left="720" w:hanging="360"/>
      </w:pPr>
    </w:lvl>
  </w:abstractNum>
  <w:abstractNum w:abstractNumId="10">
    <w:nsid w:val="753134E2"/>
    <w:multiLevelType w:val="singleLevel"/>
    <w:tmpl w:val="0409000F"/>
    <w:lvl w:ilvl="0">
      <w:start w:val="1"/>
      <w:numFmt w:val="decimal"/>
      <w:lvlText w:val="%1."/>
      <w:lvlJc w:val="left"/>
      <w:pPr>
        <w:ind w:left="720" w:hanging="360"/>
      </w:pPr>
    </w:lvl>
  </w:abstractNum>
  <w:abstractNum w:abstractNumId="11">
    <w:nsid w:val="79700E6A"/>
    <w:multiLevelType w:val="singleLevel"/>
    <w:tmpl w:val="BFE41354"/>
    <w:lvl w:ilvl="0">
      <w:start w:val="19"/>
      <w:numFmt w:val="decimal"/>
      <w:lvlRestart w:val="0"/>
      <w:lvlText w:val="%1."/>
      <w:lvlJc w:val="left"/>
      <w:pPr>
        <w:tabs>
          <w:tab w:val="num" w:pos="475"/>
        </w:tabs>
        <w:ind w:left="0" w:firstLine="0"/>
      </w:pPr>
    </w:lvl>
  </w:abstractNum>
  <w:abstractNum w:abstractNumId="12">
    <w:nsid w:val="79C132FB"/>
    <w:multiLevelType w:val="singleLevel"/>
    <w:tmpl w:val="91026A7A"/>
    <w:lvl w:ilvl="0">
      <w:start w:val="1"/>
      <w:numFmt w:val="decimal"/>
      <w:lvlRestart w:val="0"/>
      <w:lvlText w:val="%1."/>
      <w:lvlJc w:val="left"/>
      <w:pPr>
        <w:tabs>
          <w:tab w:val="num" w:pos="475"/>
        </w:tabs>
        <w:ind w:left="0" w:firstLine="0"/>
      </w:pPr>
      <w:rPr>
        <w:spacing w:val="0"/>
        <w:w w:val="100"/>
      </w:rPr>
    </w:lvl>
  </w:abstractNum>
  <w:num w:numId="1">
    <w:abstractNumId w:val="2"/>
  </w:num>
  <w:num w:numId="2">
    <w:abstractNumId w:val="3"/>
  </w:num>
  <w:num w:numId="3">
    <w:abstractNumId w:val="7"/>
  </w:num>
  <w:num w:numId="4">
    <w:abstractNumId w:val="12"/>
  </w:num>
  <w:num w:numId="5">
    <w:abstractNumId w:val="6"/>
  </w:num>
  <w:num w:numId="6">
    <w:abstractNumId w:val="12"/>
    <w:lvlOverride w:ilvl="0">
      <w:lvl w:ilvl="0">
        <w:start w:val="1"/>
        <w:numFmt w:val="decimal"/>
        <w:lvlRestart w:val="0"/>
        <w:lvlText w:val="%1."/>
        <w:lvlJc w:val="left"/>
        <w:pPr>
          <w:tabs>
            <w:tab w:val="num" w:pos="475"/>
          </w:tabs>
          <w:ind w:left="0" w:firstLine="0"/>
        </w:pPr>
        <w:rPr>
          <w:spacing w:val="0"/>
          <w:w w:val="100"/>
        </w:rPr>
      </w:lvl>
    </w:lvlOverride>
  </w:num>
  <w:num w:numId="7">
    <w:abstractNumId w:val="0"/>
  </w:num>
  <w:num w:numId="8">
    <w:abstractNumId w:val="0"/>
    <w:lvlOverride w:ilvl="0">
      <w:lvl w:ilvl="0">
        <w:start w:val="1"/>
        <w:numFmt w:val="decimal"/>
        <w:lvlText w:val="%1."/>
        <w:lvlJc w:val="left"/>
        <w:pPr>
          <w:ind w:left="720" w:hanging="360"/>
        </w:pPr>
      </w:lvl>
    </w:lvlOverride>
  </w:num>
  <w:num w:numId="9">
    <w:abstractNumId w:val="0"/>
    <w:lvlOverride w:ilvl="0">
      <w:lvl w:ilvl="0">
        <w:start w:val="1"/>
        <w:numFmt w:val="decimal"/>
        <w:lvlText w:val="%1."/>
        <w:lvlJc w:val="left"/>
        <w:pPr>
          <w:ind w:left="720" w:hanging="360"/>
        </w:pPr>
      </w:lvl>
    </w:lvlOverride>
  </w:num>
  <w:num w:numId="10">
    <w:abstractNumId w:val="5"/>
  </w:num>
  <w:num w:numId="11">
    <w:abstractNumId w:val="1"/>
  </w:num>
  <w:num w:numId="12">
    <w:abstractNumId w:val="10"/>
  </w:num>
  <w:num w:numId="13">
    <w:abstractNumId w:val="9"/>
  </w:num>
  <w:num w:numId="14">
    <w:abstractNumId w:val="11"/>
  </w:num>
  <w:num w:numId="15">
    <w:abstractNumId w:val="11"/>
    <w:lvlOverride w:ilvl="0">
      <w:lvl w:ilvl="0">
        <w:start w:val="19"/>
        <w:numFmt w:val="decimal"/>
        <w:lvlRestart w:val="0"/>
        <w:lvlText w:val="%1."/>
        <w:lvlJc w:val="left"/>
        <w:pPr>
          <w:tabs>
            <w:tab w:val="num" w:pos="2005"/>
          </w:tabs>
          <w:ind w:left="1530" w:firstLine="0"/>
        </w:pPr>
      </w:lvl>
    </w:lvlOverride>
  </w:num>
  <w:num w:numId="16">
    <w:abstractNumId w:val="8"/>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475"/>
  <w:hyphenationZone w:val="20"/>
  <w:doNotHyphenateCaps/>
  <w:evenAndOddHeaders/>
  <w:drawingGridHorizontalSpacing w:val="82"/>
  <w:displayHorizontalDrawingGridEvery w:val="2"/>
  <w:displayVerticalDrawingGridEvery w:val="2"/>
  <w:characterSpacingControl w:val="doNotCompress"/>
  <w:hdrShapeDefaults>
    <o:shapedefaults v:ext="edit" spidmax="34817"/>
  </w:hdrShapeDefaults>
  <w:footnotePr>
    <w:footnote w:id="-1"/>
    <w:footnote w:id="0"/>
  </w:footnotePr>
  <w:endnotePr>
    <w:pos w:val="sectEnd"/>
    <w:numFmt w:val="decimal"/>
    <w:endnote w:id="-1"/>
    <w:endnote w:id="0"/>
  </w:endnotePr>
  <w:compat>
    <w:noColumnBalance/>
    <w:printColBlack/>
    <w:showBreaksInFrames/>
    <w:suppressBottomSpacing/>
    <w:suppressTopSpacing/>
    <w:shapeLayoutLikeWW8/>
    <w:layoutRawTableWidth/>
    <w:doNotBreakWrappedTables/>
    <w:doNotSnapToGridInCell/>
    <w:doNotUseEastAsianBreakRules/>
    <w:compatSetting w:name="compatibilityMode" w:uri="http://schemas.microsoft.com/office/word" w:val="14"/>
    <w:compatSetting w:name="enableOpenTypeFeatures" w:uri="http://schemas.microsoft.com/office/word" w:val="1"/>
    <w:compatSetting w:name="doNotFlipMirrorIndents" w:uri="http://schemas.microsoft.com/office/word" w:val="1"/>
  </w:compat>
  <w:docVars>
    <w:docVar w:name="Barcode" w:val="*1504585*"/>
    <w:docVar w:name="CreationDt" w:val="6/3/2015 3:25: PM"/>
    <w:docVar w:name="DocCategory" w:val="Doc"/>
    <w:docVar w:name="DocType" w:val="Final"/>
    <w:docVar w:name="DutyStation" w:val="Geneva"/>
    <w:docVar w:name="FooterJN" w:val="15-04585"/>
    <w:docVar w:name="jobn" w:val="15-04585 (S)"/>
    <w:docVar w:name="jobnDT" w:val="15-04585 (S)   030615"/>
    <w:docVar w:name="jobnDTDT" w:val="15-04585 (S)   030615   030615"/>
    <w:docVar w:name="JobNo" w:val="1504585S"/>
    <w:docVar w:name="JobNo2" w:val="15061103:25: PM"/>
    <w:docVar w:name="LocalDrive" w:val="0"/>
    <w:docVar w:name="OandT" w:val="R. Meriño MacKay"/>
    <w:docVar w:name="PaperSize" w:val="A4"/>
    <w:docVar w:name="sss1" w:val="HRI/CORE/MWI/2014"/>
    <w:docVar w:name="sss2" w:val="-"/>
    <w:docVar w:name="Symbol1" w:val="HRI/CORE/MWI/2014"/>
    <w:docVar w:name="Symbol2" w:val="-"/>
  </w:docVars>
  <w:rsids>
    <w:rsidRoot w:val="005119AC"/>
    <w:rsid w:val="0000104C"/>
    <w:rsid w:val="00001CC4"/>
    <w:rsid w:val="000025A2"/>
    <w:rsid w:val="00002B98"/>
    <w:rsid w:val="0000430F"/>
    <w:rsid w:val="00005995"/>
    <w:rsid w:val="0001023A"/>
    <w:rsid w:val="00011ED9"/>
    <w:rsid w:val="000145F1"/>
    <w:rsid w:val="0001710A"/>
    <w:rsid w:val="00023216"/>
    <w:rsid w:val="00025DF8"/>
    <w:rsid w:val="00026454"/>
    <w:rsid w:val="000271D6"/>
    <w:rsid w:val="000336E0"/>
    <w:rsid w:val="0003430A"/>
    <w:rsid w:val="00035AAF"/>
    <w:rsid w:val="00040B8F"/>
    <w:rsid w:val="00043D79"/>
    <w:rsid w:val="00044517"/>
    <w:rsid w:val="0005182C"/>
    <w:rsid w:val="0005203D"/>
    <w:rsid w:val="000534EB"/>
    <w:rsid w:val="00054DB8"/>
    <w:rsid w:val="0006088E"/>
    <w:rsid w:val="00061177"/>
    <w:rsid w:val="000667E7"/>
    <w:rsid w:val="00067D9C"/>
    <w:rsid w:val="000724E5"/>
    <w:rsid w:val="00073303"/>
    <w:rsid w:val="00076C30"/>
    <w:rsid w:val="00076E01"/>
    <w:rsid w:val="00080197"/>
    <w:rsid w:val="000806AC"/>
    <w:rsid w:val="000871C1"/>
    <w:rsid w:val="0009032B"/>
    <w:rsid w:val="000A0C7C"/>
    <w:rsid w:val="000A1971"/>
    <w:rsid w:val="000A53F1"/>
    <w:rsid w:val="000A5E56"/>
    <w:rsid w:val="000A6B28"/>
    <w:rsid w:val="000B2A4E"/>
    <w:rsid w:val="000B71D9"/>
    <w:rsid w:val="000C1009"/>
    <w:rsid w:val="000C4DCC"/>
    <w:rsid w:val="000C6904"/>
    <w:rsid w:val="000D1E48"/>
    <w:rsid w:val="000D21E6"/>
    <w:rsid w:val="000D4A11"/>
    <w:rsid w:val="000D64ED"/>
    <w:rsid w:val="000D686E"/>
    <w:rsid w:val="000E5000"/>
    <w:rsid w:val="000E66F5"/>
    <w:rsid w:val="000E67FD"/>
    <w:rsid w:val="000E6FEB"/>
    <w:rsid w:val="000F5982"/>
    <w:rsid w:val="000F7375"/>
    <w:rsid w:val="00102135"/>
    <w:rsid w:val="001023C5"/>
    <w:rsid w:val="00107739"/>
    <w:rsid w:val="001109AD"/>
    <w:rsid w:val="00111B4D"/>
    <w:rsid w:val="00111CCB"/>
    <w:rsid w:val="001179C3"/>
    <w:rsid w:val="001218A0"/>
    <w:rsid w:val="0012353E"/>
    <w:rsid w:val="001259AF"/>
    <w:rsid w:val="00127EBE"/>
    <w:rsid w:val="00140F45"/>
    <w:rsid w:val="00143B7C"/>
    <w:rsid w:val="00144177"/>
    <w:rsid w:val="0014610D"/>
    <w:rsid w:val="00147CC5"/>
    <w:rsid w:val="00152E53"/>
    <w:rsid w:val="00153172"/>
    <w:rsid w:val="00153EA2"/>
    <w:rsid w:val="00153FD7"/>
    <w:rsid w:val="00154204"/>
    <w:rsid w:val="001561B2"/>
    <w:rsid w:val="00156DC1"/>
    <w:rsid w:val="001571BC"/>
    <w:rsid w:val="0016218E"/>
    <w:rsid w:val="001701FE"/>
    <w:rsid w:val="00170784"/>
    <w:rsid w:val="0017756D"/>
    <w:rsid w:val="00177A61"/>
    <w:rsid w:val="00186A14"/>
    <w:rsid w:val="00187C4A"/>
    <w:rsid w:val="001939B3"/>
    <w:rsid w:val="00195EFF"/>
    <w:rsid w:val="001A2E38"/>
    <w:rsid w:val="001A2FAC"/>
    <w:rsid w:val="001A546F"/>
    <w:rsid w:val="001A5DB0"/>
    <w:rsid w:val="001A72EA"/>
    <w:rsid w:val="001B2FC3"/>
    <w:rsid w:val="001B56CE"/>
    <w:rsid w:val="001B5CC5"/>
    <w:rsid w:val="001C1FA6"/>
    <w:rsid w:val="001C2044"/>
    <w:rsid w:val="001C2D40"/>
    <w:rsid w:val="001C2E87"/>
    <w:rsid w:val="001C4833"/>
    <w:rsid w:val="001D04E3"/>
    <w:rsid w:val="001D0CA8"/>
    <w:rsid w:val="001D4A0C"/>
    <w:rsid w:val="001D582A"/>
    <w:rsid w:val="001D5A48"/>
    <w:rsid w:val="001D681C"/>
    <w:rsid w:val="001D7429"/>
    <w:rsid w:val="001E027C"/>
    <w:rsid w:val="001E04C4"/>
    <w:rsid w:val="001E2641"/>
    <w:rsid w:val="001E290A"/>
    <w:rsid w:val="001E4835"/>
    <w:rsid w:val="001F0EC3"/>
    <w:rsid w:val="001F1D4C"/>
    <w:rsid w:val="001F57F9"/>
    <w:rsid w:val="001F74B0"/>
    <w:rsid w:val="00200A61"/>
    <w:rsid w:val="002052E4"/>
    <w:rsid w:val="0020684C"/>
    <w:rsid w:val="00206A30"/>
    <w:rsid w:val="002070C6"/>
    <w:rsid w:val="00214AF3"/>
    <w:rsid w:val="00217E05"/>
    <w:rsid w:val="0022060C"/>
    <w:rsid w:val="0022482D"/>
    <w:rsid w:val="002277C7"/>
    <w:rsid w:val="00230141"/>
    <w:rsid w:val="00233368"/>
    <w:rsid w:val="0024283D"/>
    <w:rsid w:val="00244CF4"/>
    <w:rsid w:val="00247894"/>
    <w:rsid w:val="0025615B"/>
    <w:rsid w:val="00256C91"/>
    <w:rsid w:val="00260C52"/>
    <w:rsid w:val="00260DF5"/>
    <w:rsid w:val="002639B8"/>
    <w:rsid w:val="002652F7"/>
    <w:rsid w:val="00266F6B"/>
    <w:rsid w:val="00272964"/>
    <w:rsid w:val="002744AC"/>
    <w:rsid w:val="002841B4"/>
    <w:rsid w:val="00295FD6"/>
    <w:rsid w:val="00297ED1"/>
    <w:rsid w:val="002B0F08"/>
    <w:rsid w:val="002B105C"/>
    <w:rsid w:val="002B1378"/>
    <w:rsid w:val="002B1548"/>
    <w:rsid w:val="002B2680"/>
    <w:rsid w:val="002B6B53"/>
    <w:rsid w:val="002B7407"/>
    <w:rsid w:val="002C2CAF"/>
    <w:rsid w:val="002C345B"/>
    <w:rsid w:val="002C379E"/>
    <w:rsid w:val="002C3E79"/>
    <w:rsid w:val="002D3F35"/>
    <w:rsid w:val="002E1262"/>
    <w:rsid w:val="002E2A29"/>
    <w:rsid w:val="002E493E"/>
    <w:rsid w:val="002F0A5D"/>
    <w:rsid w:val="002F4C08"/>
    <w:rsid w:val="003034FD"/>
    <w:rsid w:val="00303A2A"/>
    <w:rsid w:val="00321305"/>
    <w:rsid w:val="003270BA"/>
    <w:rsid w:val="00327A13"/>
    <w:rsid w:val="00327E2D"/>
    <w:rsid w:val="00330167"/>
    <w:rsid w:val="003359DE"/>
    <w:rsid w:val="00336A5E"/>
    <w:rsid w:val="00340710"/>
    <w:rsid w:val="00341324"/>
    <w:rsid w:val="0034164A"/>
    <w:rsid w:val="003452B8"/>
    <w:rsid w:val="0034771F"/>
    <w:rsid w:val="0035601E"/>
    <w:rsid w:val="00361C26"/>
    <w:rsid w:val="003626AF"/>
    <w:rsid w:val="00363CCE"/>
    <w:rsid w:val="00364682"/>
    <w:rsid w:val="00364F73"/>
    <w:rsid w:val="00365806"/>
    <w:rsid w:val="00367739"/>
    <w:rsid w:val="0037312C"/>
    <w:rsid w:val="0037429E"/>
    <w:rsid w:val="003754AD"/>
    <w:rsid w:val="00375801"/>
    <w:rsid w:val="003779EE"/>
    <w:rsid w:val="00377C84"/>
    <w:rsid w:val="003926E1"/>
    <w:rsid w:val="00396585"/>
    <w:rsid w:val="00397636"/>
    <w:rsid w:val="003A5CE7"/>
    <w:rsid w:val="003B0859"/>
    <w:rsid w:val="003B613E"/>
    <w:rsid w:val="003C12C7"/>
    <w:rsid w:val="003C2D96"/>
    <w:rsid w:val="003C473B"/>
    <w:rsid w:val="003C4940"/>
    <w:rsid w:val="003C5008"/>
    <w:rsid w:val="003C67B3"/>
    <w:rsid w:val="003D0989"/>
    <w:rsid w:val="003D1093"/>
    <w:rsid w:val="003D2D4A"/>
    <w:rsid w:val="003D6048"/>
    <w:rsid w:val="003E5AAE"/>
    <w:rsid w:val="003E60D2"/>
    <w:rsid w:val="003F1E57"/>
    <w:rsid w:val="003F2A56"/>
    <w:rsid w:val="003F3052"/>
    <w:rsid w:val="003F3C3C"/>
    <w:rsid w:val="00400307"/>
    <w:rsid w:val="004010A8"/>
    <w:rsid w:val="00404990"/>
    <w:rsid w:val="0040564F"/>
    <w:rsid w:val="004057C7"/>
    <w:rsid w:val="004072AB"/>
    <w:rsid w:val="004211F7"/>
    <w:rsid w:val="00431501"/>
    <w:rsid w:val="004318E8"/>
    <w:rsid w:val="00433FB5"/>
    <w:rsid w:val="00434234"/>
    <w:rsid w:val="004374B8"/>
    <w:rsid w:val="00443CA4"/>
    <w:rsid w:val="004450AF"/>
    <w:rsid w:val="004452B0"/>
    <w:rsid w:val="004465F9"/>
    <w:rsid w:val="00451290"/>
    <w:rsid w:val="0045204A"/>
    <w:rsid w:val="0045650A"/>
    <w:rsid w:val="00456674"/>
    <w:rsid w:val="00460AD1"/>
    <w:rsid w:val="00466635"/>
    <w:rsid w:val="00467907"/>
    <w:rsid w:val="004713D8"/>
    <w:rsid w:val="00471F9B"/>
    <w:rsid w:val="00474F6E"/>
    <w:rsid w:val="00476219"/>
    <w:rsid w:val="004762F7"/>
    <w:rsid w:val="004836F3"/>
    <w:rsid w:val="004843EE"/>
    <w:rsid w:val="00486DF8"/>
    <w:rsid w:val="00490E18"/>
    <w:rsid w:val="0049207E"/>
    <w:rsid w:val="004A146B"/>
    <w:rsid w:val="004A3174"/>
    <w:rsid w:val="004A7C6C"/>
    <w:rsid w:val="004B1858"/>
    <w:rsid w:val="004B47A3"/>
    <w:rsid w:val="004B7559"/>
    <w:rsid w:val="004C1BCD"/>
    <w:rsid w:val="004C75AE"/>
    <w:rsid w:val="004C7EA8"/>
    <w:rsid w:val="004D3325"/>
    <w:rsid w:val="004D4AC0"/>
    <w:rsid w:val="004D6407"/>
    <w:rsid w:val="004D779E"/>
    <w:rsid w:val="004E6C35"/>
    <w:rsid w:val="004E757B"/>
    <w:rsid w:val="004F14EE"/>
    <w:rsid w:val="004F3DC0"/>
    <w:rsid w:val="004F4843"/>
    <w:rsid w:val="004F4A39"/>
    <w:rsid w:val="0050020B"/>
    <w:rsid w:val="0050031E"/>
    <w:rsid w:val="00500463"/>
    <w:rsid w:val="005053EA"/>
    <w:rsid w:val="005056C9"/>
    <w:rsid w:val="0050627B"/>
    <w:rsid w:val="00506F95"/>
    <w:rsid w:val="00507265"/>
    <w:rsid w:val="00507434"/>
    <w:rsid w:val="005119AC"/>
    <w:rsid w:val="00511D5E"/>
    <w:rsid w:val="005130D6"/>
    <w:rsid w:val="00523F4C"/>
    <w:rsid w:val="00524C14"/>
    <w:rsid w:val="00533E81"/>
    <w:rsid w:val="00534962"/>
    <w:rsid w:val="00534D37"/>
    <w:rsid w:val="00535721"/>
    <w:rsid w:val="0054067F"/>
    <w:rsid w:val="00541103"/>
    <w:rsid w:val="00542A52"/>
    <w:rsid w:val="00543025"/>
    <w:rsid w:val="005434BC"/>
    <w:rsid w:val="0054650A"/>
    <w:rsid w:val="005466CD"/>
    <w:rsid w:val="0054783D"/>
    <w:rsid w:val="00550243"/>
    <w:rsid w:val="00552359"/>
    <w:rsid w:val="00552711"/>
    <w:rsid w:val="00556B04"/>
    <w:rsid w:val="00556CEB"/>
    <w:rsid w:val="00560AE6"/>
    <w:rsid w:val="00562263"/>
    <w:rsid w:val="005625F8"/>
    <w:rsid w:val="005649C0"/>
    <w:rsid w:val="00565717"/>
    <w:rsid w:val="00567942"/>
    <w:rsid w:val="00571DC3"/>
    <w:rsid w:val="00571F2A"/>
    <w:rsid w:val="005737E7"/>
    <w:rsid w:val="00573ECA"/>
    <w:rsid w:val="0058043D"/>
    <w:rsid w:val="00582B10"/>
    <w:rsid w:val="00583873"/>
    <w:rsid w:val="00585931"/>
    <w:rsid w:val="00587E23"/>
    <w:rsid w:val="005906B3"/>
    <w:rsid w:val="00595DE1"/>
    <w:rsid w:val="00596535"/>
    <w:rsid w:val="005A1929"/>
    <w:rsid w:val="005A651B"/>
    <w:rsid w:val="005B68DB"/>
    <w:rsid w:val="005C42D6"/>
    <w:rsid w:val="005C4784"/>
    <w:rsid w:val="005C547D"/>
    <w:rsid w:val="005D3721"/>
    <w:rsid w:val="005D63A4"/>
    <w:rsid w:val="005E3AC5"/>
    <w:rsid w:val="005E4F7D"/>
    <w:rsid w:val="005E6371"/>
    <w:rsid w:val="005E6B39"/>
    <w:rsid w:val="005F4603"/>
    <w:rsid w:val="005F6986"/>
    <w:rsid w:val="006111BB"/>
    <w:rsid w:val="0061177D"/>
    <w:rsid w:val="00612DA1"/>
    <w:rsid w:val="00614C74"/>
    <w:rsid w:val="00616088"/>
    <w:rsid w:val="006169F5"/>
    <w:rsid w:val="00620953"/>
    <w:rsid w:val="00624A47"/>
    <w:rsid w:val="00630C54"/>
    <w:rsid w:val="00630CE1"/>
    <w:rsid w:val="00631114"/>
    <w:rsid w:val="006321F8"/>
    <w:rsid w:val="006328AC"/>
    <w:rsid w:val="0063405C"/>
    <w:rsid w:val="00636DA1"/>
    <w:rsid w:val="00637AB0"/>
    <w:rsid w:val="00641130"/>
    <w:rsid w:val="006429E9"/>
    <w:rsid w:val="00643833"/>
    <w:rsid w:val="00645DF2"/>
    <w:rsid w:val="006463C7"/>
    <w:rsid w:val="006471BF"/>
    <w:rsid w:val="006510D7"/>
    <w:rsid w:val="00651574"/>
    <w:rsid w:val="00653EF9"/>
    <w:rsid w:val="00664183"/>
    <w:rsid w:val="00665209"/>
    <w:rsid w:val="00666B35"/>
    <w:rsid w:val="00677761"/>
    <w:rsid w:val="00680FD1"/>
    <w:rsid w:val="00682F18"/>
    <w:rsid w:val="006878DB"/>
    <w:rsid w:val="0069047A"/>
    <w:rsid w:val="006956F4"/>
    <w:rsid w:val="00696921"/>
    <w:rsid w:val="006A3096"/>
    <w:rsid w:val="006A3806"/>
    <w:rsid w:val="006B08F8"/>
    <w:rsid w:val="006B7D41"/>
    <w:rsid w:val="006C3274"/>
    <w:rsid w:val="006C3A65"/>
    <w:rsid w:val="006C4163"/>
    <w:rsid w:val="006C6173"/>
    <w:rsid w:val="006D3321"/>
    <w:rsid w:val="006E04DA"/>
    <w:rsid w:val="006E0E95"/>
    <w:rsid w:val="006E0EF0"/>
    <w:rsid w:val="006E296C"/>
    <w:rsid w:val="006E3436"/>
    <w:rsid w:val="006E39F5"/>
    <w:rsid w:val="006E66D5"/>
    <w:rsid w:val="006E689B"/>
    <w:rsid w:val="006F171A"/>
    <w:rsid w:val="006F36E2"/>
    <w:rsid w:val="006F4381"/>
    <w:rsid w:val="006F5827"/>
    <w:rsid w:val="0070417F"/>
    <w:rsid w:val="0070602F"/>
    <w:rsid w:val="007070B8"/>
    <w:rsid w:val="00716C1C"/>
    <w:rsid w:val="0072046A"/>
    <w:rsid w:val="00723B89"/>
    <w:rsid w:val="00732348"/>
    <w:rsid w:val="0073329F"/>
    <w:rsid w:val="0073710F"/>
    <w:rsid w:val="0074000F"/>
    <w:rsid w:val="007401AE"/>
    <w:rsid w:val="007502C6"/>
    <w:rsid w:val="00750DA9"/>
    <w:rsid w:val="00754308"/>
    <w:rsid w:val="007549E2"/>
    <w:rsid w:val="00754F43"/>
    <w:rsid w:val="007577D7"/>
    <w:rsid w:val="00771F2E"/>
    <w:rsid w:val="00776DCA"/>
    <w:rsid w:val="00777C17"/>
    <w:rsid w:val="00777C5C"/>
    <w:rsid w:val="00781040"/>
    <w:rsid w:val="00781DFE"/>
    <w:rsid w:val="00793FFF"/>
    <w:rsid w:val="0079747B"/>
    <w:rsid w:val="007A384D"/>
    <w:rsid w:val="007A7681"/>
    <w:rsid w:val="007B04E8"/>
    <w:rsid w:val="007B2E44"/>
    <w:rsid w:val="007B3555"/>
    <w:rsid w:val="007B47A8"/>
    <w:rsid w:val="007B5BC1"/>
    <w:rsid w:val="007B6129"/>
    <w:rsid w:val="007C51E9"/>
    <w:rsid w:val="007C566A"/>
    <w:rsid w:val="007C7D32"/>
    <w:rsid w:val="007D0893"/>
    <w:rsid w:val="007D59F4"/>
    <w:rsid w:val="007E282F"/>
    <w:rsid w:val="007E31CA"/>
    <w:rsid w:val="007E322D"/>
    <w:rsid w:val="007E4015"/>
    <w:rsid w:val="007E671C"/>
    <w:rsid w:val="007F5AF9"/>
    <w:rsid w:val="00801B3F"/>
    <w:rsid w:val="00813690"/>
    <w:rsid w:val="00813C40"/>
    <w:rsid w:val="00815287"/>
    <w:rsid w:val="00815EA8"/>
    <w:rsid w:val="00817D11"/>
    <w:rsid w:val="008203E1"/>
    <w:rsid w:val="00821E34"/>
    <w:rsid w:val="00823340"/>
    <w:rsid w:val="00823BE3"/>
    <w:rsid w:val="00824B02"/>
    <w:rsid w:val="008305DF"/>
    <w:rsid w:val="00832268"/>
    <w:rsid w:val="00833CA3"/>
    <w:rsid w:val="00834163"/>
    <w:rsid w:val="0083457C"/>
    <w:rsid w:val="0083542A"/>
    <w:rsid w:val="008466A7"/>
    <w:rsid w:val="00850504"/>
    <w:rsid w:val="008521F6"/>
    <w:rsid w:val="008539AC"/>
    <w:rsid w:val="00860B12"/>
    <w:rsid w:val="0086143E"/>
    <w:rsid w:val="008620C3"/>
    <w:rsid w:val="0086249C"/>
    <w:rsid w:val="00863869"/>
    <w:rsid w:val="00864612"/>
    <w:rsid w:val="00866E00"/>
    <w:rsid w:val="00871928"/>
    <w:rsid w:val="00872139"/>
    <w:rsid w:val="00873FB1"/>
    <w:rsid w:val="00875415"/>
    <w:rsid w:val="00875F65"/>
    <w:rsid w:val="00880535"/>
    <w:rsid w:val="00894D50"/>
    <w:rsid w:val="00897EE4"/>
    <w:rsid w:val="008A2A83"/>
    <w:rsid w:val="008A2C2B"/>
    <w:rsid w:val="008A5EA2"/>
    <w:rsid w:val="008A680C"/>
    <w:rsid w:val="008B30AC"/>
    <w:rsid w:val="008B3D57"/>
    <w:rsid w:val="008B59F9"/>
    <w:rsid w:val="008B5FC3"/>
    <w:rsid w:val="008C1BC4"/>
    <w:rsid w:val="008C70A0"/>
    <w:rsid w:val="008D0F57"/>
    <w:rsid w:val="008D17EE"/>
    <w:rsid w:val="008D2AE1"/>
    <w:rsid w:val="008D436B"/>
    <w:rsid w:val="008D53A0"/>
    <w:rsid w:val="008E2B2E"/>
    <w:rsid w:val="008E37CD"/>
    <w:rsid w:val="008E41D0"/>
    <w:rsid w:val="008F1890"/>
    <w:rsid w:val="008F1E8F"/>
    <w:rsid w:val="008F2959"/>
    <w:rsid w:val="008F7DC0"/>
    <w:rsid w:val="00900BCE"/>
    <w:rsid w:val="00900D74"/>
    <w:rsid w:val="00906D4E"/>
    <w:rsid w:val="00912204"/>
    <w:rsid w:val="00913197"/>
    <w:rsid w:val="0091591F"/>
    <w:rsid w:val="00917F05"/>
    <w:rsid w:val="00917F62"/>
    <w:rsid w:val="00920560"/>
    <w:rsid w:val="009226E3"/>
    <w:rsid w:val="00926916"/>
    <w:rsid w:val="009269B6"/>
    <w:rsid w:val="0092733C"/>
    <w:rsid w:val="00927C68"/>
    <w:rsid w:val="0093190E"/>
    <w:rsid w:val="00931AC8"/>
    <w:rsid w:val="00934B5B"/>
    <w:rsid w:val="00935619"/>
    <w:rsid w:val="00935AD9"/>
    <w:rsid w:val="00936752"/>
    <w:rsid w:val="00936782"/>
    <w:rsid w:val="009400F9"/>
    <w:rsid w:val="00942639"/>
    <w:rsid w:val="0094747E"/>
    <w:rsid w:val="00952BAE"/>
    <w:rsid w:val="009540A8"/>
    <w:rsid w:val="009564D9"/>
    <w:rsid w:val="00961828"/>
    <w:rsid w:val="0098045D"/>
    <w:rsid w:val="00981637"/>
    <w:rsid w:val="00984E6C"/>
    <w:rsid w:val="009900C3"/>
    <w:rsid w:val="00991572"/>
    <w:rsid w:val="00995BD2"/>
    <w:rsid w:val="009A54AA"/>
    <w:rsid w:val="009A73EA"/>
    <w:rsid w:val="009A7735"/>
    <w:rsid w:val="009B1C06"/>
    <w:rsid w:val="009B26B8"/>
    <w:rsid w:val="009B6140"/>
    <w:rsid w:val="009C0D3E"/>
    <w:rsid w:val="009C31A4"/>
    <w:rsid w:val="009C3306"/>
    <w:rsid w:val="009C558E"/>
    <w:rsid w:val="009D1A93"/>
    <w:rsid w:val="009D32AC"/>
    <w:rsid w:val="009D5257"/>
    <w:rsid w:val="009D6DC5"/>
    <w:rsid w:val="009E11DA"/>
    <w:rsid w:val="009E300B"/>
    <w:rsid w:val="009E5765"/>
    <w:rsid w:val="009E6D58"/>
    <w:rsid w:val="009F3F73"/>
    <w:rsid w:val="009F6D65"/>
    <w:rsid w:val="009F701F"/>
    <w:rsid w:val="009F793E"/>
    <w:rsid w:val="00A01177"/>
    <w:rsid w:val="00A0166A"/>
    <w:rsid w:val="00A01C7B"/>
    <w:rsid w:val="00A02FF4"/>
    <w:rsid w:val="00A058FF"/>
    <w:rsid w:val="00A10735"/>
    <w:rsid w:val="00A10FDF"/>
    <w:rsid w:val="00A138BA"/>
    <w:rsid w:val="00A1556F"/>
    <w:rsid w:val="00A17B2C"/>
    <w:rsid w:val="00A206E2"/>
    <w:rsid w:val="00A21683"/>
    <w:rsid w:val="00A24508"/>
    <w:rsid w:val="00A26619"/>
    <w:rsid w:val="00A3163E"/>
    <w:rsid w:val="00A3227F"/>
    <w:rsid w:val="00A3362E"/>
    <w:rsid w:val="00A4039A"/>
    <w:rsid w:val="00A51FF3"/>
    <w:rsid w:val="00A5353F"/>
    <w:rsid w:val="00A5537A"/>
    <w:rsid w:val="00A607E7"/>
    <w:rsid w:val="00A627D6"/>
    <w:rsid w:val="00A64E36"/>
    <w:rsid w:val="00A65B90"/>
    <w:rsid w:val="00A65C9E"/>
    <w:rsid w:val="00A6761C"/>
    <w:rsid w:val="00A71D7C"/>
    <w:rsid w:val="00A81007"/>
    <w:rsid w:val="00A84D3A"/>
    <w:rsid w:val="00A8503D"/>
    <w:rsid w:val="00A86FEA"/>
    <w:rsid w:val="00A9599A"/>
    <w:rsid w:val="00AA7DC9"/>
    <w:rsid w:val="00AB0ED1"/>
    <w:rsid w:val="00AB7836"/>
    <w:rsid w:val="00AC3F53"/>
    <w:rsid w:val="00AC5CBF"/>
    <w:rsid w:val="00AD37F0"/>
    <w:rsid w:val="00AD5D6A"/>
    <w:rsid w:val="00AD778A"/>
    <w:rsid w:val="00AE6B8E"/>
    <w:rsid w:val="00AE6D02"/>
    <w:rsid w:val="00AF0741"/>
    <w:rsid w:val="00AF7054"/>
    <w:rsid w:val="00B11C44"/>
    <w:rsid w:val="00B121D4"/>
    <w:rsid w:val="00B13E98"/>
    <w:rsid w:val="00B151F5"/>
    <w:rsid w:val="00B232EC"/>
    <w:rsid w:val="00B308D0"/>
    <w:rsid w:val="00B34BCE"/>
    <w:rsid w:val="00B35DD0"/>
    <w:rsid w:val="00B42469"/>
    <w:rsid w:val="00B426AB"/>
    <w:rsid w:val="00B44E52"/>
    <w:rsid w:val="00B47A82"/>
    <w:rsid w:val="00B56787"/>
    <w:rsid w:val="00B57DFF"/>
    <w:rsid w:val="00B6163A"/>
    <w:rsid w:val="00B7700F"/>
    <w:rsid w:val="00B77228"/>
    <w:rsid w:val="00B77D31"/>
    <w:rsid w:val="00B8368A"/>
    <w:rsid w:val="00B91514"/>
    <w:rsid w:val="00B9503A"/>
    <w:rsid w:val="00B97EAA"/>
    <w:rsid w:val="00BA3D97"/>
    <w:rsid w:val="00BA68A6"/>
    <w:rsid w:val="00BB0959"/>
    <w:rsid w:val="00BB23DE"/>
    <w:rsid w:val="00BB6C70"/>
    <w:rsid w:val="00BC0F7D"/>
    <w:rsid w:val="00BC31B5"/>
    <w:rsid w:val="00BC40A4"/>
    <w:rsid w:val="00BC60F3"/>
    <w:rsid w:val="00BC6A5D"/>
    <w:rsid w:val="00BC7B5B"/>
    <w:rsid w:val="00BD4396"/>
    <w:rsid w:val="00BD47B9"/>
    <w:rsid w:val="00BE2BF9"/>
    <w:rsid w:val="00BE32B5"/>
    <w:rsid w:val="00BF1D37"/>
    <w:rsid w:val="00BF32B0"/>
    <w:rsid w:val="00BF438B"/>
    <w:rsid w:val="00BF5A1E"/>
    <w:rsid w:val="00C00E6C"/>
    <w:rsid w:val="00C02367"/>
    <w:rsid w:val="00C053A0"/>
    <w:rsid w:val="00C10265"/>
    <w:rsid w:val="00C13D38"/>
    <w:rsid w:val="00C154A9"/>
    <w:rsid w:val="00C161D9"/>
    <w:rsid w:val="00C22EDA"/>
    <w:rsid w:val="00C24049"/>
    <w:rsid w:val="00C2551F"/>
    <w:rsid w:val="00C32D88"/>
    <w:rsid w:val="00C35339"/>
    <w:rsid w:val="00C36A7F"/>
    <w:rsid w:val="00C41651"/>
    <w:rsid w:val="00C468A1"/>
    <w:rsid w:val="00C503FA"/>
    <w:rsid w:val="00C51D2E"/>
    <w:rsid w:val="00C56024"/>
    <w:rsid w:val="00C6016B"/>
    <w:rsid w:val="00C60B0C"/>
    <w:rsid w:val="00C71D8C"/>
    <w:rsid w:val="00C72875"/>
    <w:rsid w:val="00C72AD9"/>
    <w:rsid w:val="00C7369D"/>
    <w:rsid w:val="00C8131F"/>
    <w:rsid w:val="00C833E6"/>
    <w:rsid w:val="00C847F0"/>
    <w:rsid w:val="00C859E1"/>
    <w:rsid w:val="00C91CE9"/>
    <w:rsid w:val="00C92DF7"/>
    <w:rsid w:val="00C94035"/>
    <w:rsid w:val="00C9498D"/>
    <w:rsid w:val="00C95408"/>
    <w:rsid w:val="00CA12C8"/>
    <w:rsid w:val="00CA2127"/>
    <w:rsid w:val="00CA5568"/>
    <w:rsid w:val="00CA5A12"/>
    <w:rsid w:val="00CB5C47"/>
    <w:rsid w:val="00CC5750"/>
    <w:rsid w:val="00CC67D4"/>
    <w:rsid w:val="00CD1545"/>
    <w:rsid w:val="00CD2C4C"/>
    <w:rsid w:val="00CD4760"/>
    <w:rsid w:val="00CD57FF"/>
    <w:rsid w:val="00CD5ACA"/>
    <w:rsid w:val="00CD7F4C"/>
    <w:rsid w:val="00CE0045"/>
    <w:rsid w:val="00CE1381"/>
    <w:rsid w:val="00CE2A43"/>
    <w:rsid w:val="00CE4E1A"/>
    <w:rsid w:val="00D00E66"/>
    <w:rsid w:val="00D02C41"/>
    <w:rsid w:val="00D037B1"/>
    <w:rsid w:val="00D051A5"/>
    <w:rsid w:val="00D11A75"/>
    <w:rsid w:val="00D15615"/>
    <w:rsid w:val="00D1714E"/>
    <w:rsid w:val="00D2412C"/>
    <w:rsid w:val="00D27624"/>
    <w:rsid w:val="00D27C55"/>
    <w:rsid w:val="00D30E8B"/>
    <w:rsid w:val="00D36FEB"/>
    <w:rsid w:val="00D40561"/>
    <w:rsid w:val="00D42CA0"/>
    <w:rsid w:val="00D5080B"/>
    <w:rsid w:val="00D535F0"/>
    <w:rsid w:val="00D621E4"/>
    <w:rsid w:val="00D63597"/>
    <w:rsid w:val="00D66326"/>
    <w:rsid w:val="00D70A2C"/>
    <w:rsid w:val="00D75748"/>
    <w:rsid w:val="00D75DCF"/>
    <w:rsid w:val="00D81FDD"/>
    <w:rsid w:val="00D82D56"/>
    <w:rsid w:val="00D83A97"/>
    <w:rsid w:val="00D84103"/>
    <w:rsid w:val="00D93984"/>
    <w:rsid w:val="00D95982"/>
    <w:rsid w:val="00DA0BDF"/>
    <w:rsid w:val="00DA0F47"/>
    <w:rsid w:val="00DA212D"/>
    <w:rsid w:val="00DA3A6E"/>
    <w:rsid w:val="00DA4419"/>
    <w:rsid w:val="00DA5058"/>
    <w:rsid w:val="00DA7DFA"/>
    <w:rsid w:val="00DB2B5E"/>
    <w:rsid w:val="00DB2EA7"/>
    <w:rsid w:val="00DC0389"/>
    <w:rsid w:val="00DC070F"/>
    <w:rsid w:val="00DC425C"/>
    <w:rsid w:val="00DC4B85"/>
    <w:rsid w:val="00DC52AB"/>
    <w:rsid w:val="00DC6A91"/>
    <w:rsid w:val="00DD5564"/>
    <w:rsid w:val="00DD5908"/>
    <w:rsid w:val="00DD5DA8"/>
    <w:rsid w:val="00DD6BED"/>
    <w:rsid w:val="00DD76B9"/>
    <w:rsid w:val="00DE6AD7"/>
    <w:rsid w:val="00DF00C0"/>
    <w:rsid w:val="00DF33AF"/>
    <w:rsid w:val="00DF74B2"/>
    <w:rsid w:val="00E0123F"/>
    <w:rsid w:val="00E01FF9"/>
    <w:rsid w:val="00E054C0"/>
    <w:rsid w:val="00E05743"/>
    <w:rsid w:val="00E119D6"/>
    <w:rsid w:val="00E1561C"/>
    <w:rsid w:val="00E22845"/>
    <w:rsid w:val="00E241A1"/>
    <w:rsid w:val="00E26954"/>
    <w:rsid w:val="00E31D49"/>
    <w:rsid w:val="00E35244"/>
    <w:rsid w:val="00E427B7"/>
    <w:rsid w:val="00E50390"/>
    <w:rsid w:val="00E51BC9"/>
    <w:rsid w:val="00E54F48"/>
    <w:rsid w:val="00E606CA"/>
    <w:rsid w:val="00E65BE8"/>
    <w:rsid w:val="00E70B1D"/>
    <w:rsid w:val="00E72F59"/>
    <w:rsid w:val="00E73276"/>
    <w:rsid w:val="00E73409"/>
    <w:rsid w:val="00E73A8A"/>
    <w:rsid w:val="00E774C3"/>
    <w:rsid w:val="00E82666"/>
    <w:rsid w:val="00E8338A"/>
    <w:rsid w:val="00E84B10"/>
    <w:rsid w:val="00E875CB"/>
    <w:rsid w:val="00E926C5"/>
    <w:rsid w:val="00E92A46"/>
    <w:rsid w:val="00E932A5"/>
    <w:rsid w:val="00E95B97"/>
    <w:rsid w:val="00E96210"/>
    <w:rsid w:val="00EA2C66"/>
    <w:rsid w:val="00EA425E"/>
    <w:rsid w:val="00EA60AF"/>
    <w:rsid w:val="00EA66AF"/>
    <w:rsid w:val="00EB3BF0"/>
    <w:rsid w:val="00EB48D9"/>
    <w:rsid w:val="00EB53A7"/>
    <w:rsid w:val="00EB5A41"/>
    <w:rsid w:val="00EC3D06"/>
    <w:rsid w:val="00ED1F10"/>
    <w:rsid w:val="00ED3CA7"/>
    <w:rsid w:val="00ED4905"/>
    <w:rsid w:val="00ED6290"/>
    <w:rsid w:val="00ED7E22"/>
    <w:rsid w:val="00EE1800"/>
    <w:rsid w:val="00EE1A49"/>
    <w:rsid w:val="00EE3038"/>
    <w:rsid w:val="00EF0287"/>
    <w:rsid w:val="00EF58D0"/>
    <w:rsid w:val="00EF5CB7"/>
    <w:rsid w:val="00EF68AA"/>
    <w:rsid w:val="00F05EA5"/>
    <w:rsid w:val="00F061A0"/>
    <w:rsid w:val="00F06B9B"/>
    <w:rsid w:val="00F07B3F"/>
    <w:rsid w:val="00F11159"/>
    <w:rsid w:val="00F118F9"/>
    <w:rsid w:val="00F12564"/>
    <w:rsid w:val="00F13497"/>
    <w:rsid w:val="00F1391E"/>
    <w:rsid w:val="00F14B66"/>
    <w:rsid w:val="00F16127"/>
    <w:rsid w:val="00F20CFF"/>
    <w:rsid w:val="00F21DF3"/>
    <w:rsid w:val="00F249E4"/>
    <w:rsid w:val="00F254E2"/>
    <w:rsid w:val="00F25D4D"/>
    <w:rsid w:val="00F274AF"/>
    <w:rsid w:val="00F3021B"/>
    <w:rsid w:val="00F35068"/>
    <w:rsid w:val="00F35B3D"/>
    <w:rsid w:val="00F40902"/>
    <w:rsid w:val="00F44608"/>
    <w:rsid w:val="00F446FD"/>
    <w:rsid w:val="00F448BB"/>
    <w:rsid w:val="00F44E91"/>
    <w:rsid w:val="00F45262"/>
    <w:rsid w:val="00F46BFC"/>
    <w:rsid w:val="00F47FCF"/>
    <w:rsid w:val="00F55A8D"/>
    <w:rsid w:val="00F564E9"/>
    <w:rsid w:val="00F61A78"/>
    <w:rsid w:val="00F624F3"/>
    <w:rsid w:val="00F659BF"/>
    <w:rsid w:val="00F66F3D"/>
    <w:rsid w:val="00F73315"/>
    <w:rsid w:val="00F75799"/>
    <w:rsid w:val="00F82AFC"/>
    <w:rsid w:val="00F82B13"/>
    <w:rsid w:val="00F9064B"/>
    <w:rsid w:val="00F91BA8"/>
    <w:rsid w:val="00F920FD"/>
    <w:rsid w:val="00F92E1F"/>
    <w:rsid w:val="00F936E2"/>
    <w:rsid w:val="00F93DB3"/>
    <w:rsid w:val="00FA1384"/>
    <w:rsid w:val="00FA4010"/>
    <w:rsid w:val="00FA4383"/>
    <w:rsid w:val="00FA5E33"/>
    <w:rsid w:val="00FB2CE9"/>
    <w:rsid w:val="00FC4C00"/>
    <w:rsid w:val="00FD0A87"/>
    <w:rsid w:val="00FD17C3"/>
    <w:rsid w:val="00FD1A5F"/>
    <w:rsid w:val="00FD6A19"/>
    <w:rsid w:val="00FE0627"/>
    <w:rsid w:val="00FE1345"/>
    <w:rsid w:val="00FE6520"/>
    <w:rsid w:val="00FF2087"/>
    <w:rsid w:val="00FF2C05"/>
    <w:rsid w:val="00FF3B6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48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qFormat="1"/>
    <w:lsdException w:name="footer" w:qFormat="1"/>
    <w:lsdException w:name="caption" w:semiHidden="1" w:uiPriority="35" w:unhideWhenUsed="1"/>
    <w:lsdException w:name="line number" w:qFormat="1"/>
    <w:lsdException w:name="Title" w:uiPriority="10"/>
    <w:lsdException w:name="Subtitle" w:uiPriority="11"/>
    <w:lsdException w:name="Strong" w:uiPriority="22"/>
    <w:lsdException w:name="Emphasis" w:uiPriority="20"/>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0A6B28"/>
    <w:pPr>
      <w:suppressAutoHyphens/>
      <w:spacing w:line="240" w:lineRule="exact"/>
    </w:pPr>
    <w:rPr>
      <w:rFonts w:ascii="Times New Roman" w:hAnsi="Times New Roman"/>
      <w:spacing w:val="4"/>
      <w:w w:val="103"/>
      <w:szCs w:val="22"/>
      <w:lang w:val="es-ES"/>
    </w:rPr>
  </w:style>
  <w:style w:type="paragraph" w:styleId="Heading1">
    <w:name w:val="heading 1"/>
    <w:basedOn w:val="Normal"/>
    <w:next w:val="Normal"/>
    <w:link w:val="Heading1Char"/>
    <w:uiPriority w:val="9"/>
    <w:qFormat/>
    <w:rsid w:val="00BB0959"/>
    <w:pPr>
      <w:keepNext/>
      <w:spacing w:before="240" w:after="60"/>
      <w:outlineLvl w:val="0"/>
    </w:pPr>
    <w:rPr>
      <w:rFonts w:ascii="Arial" w:eastAsia="Times New Roman" w:hAnsi="Arial"/>
      <w:b/>
      <w:bCs/>
      <w:kern w:val="32"/>
      <w:sz w:val="32"/>
      <w:szCs w:val="28"/>
    </w:rPr>
  </w:style>
  <w:style w:type="paragraph" w:styleId="Heading2">
    <w:name w:val="heading 2"/>
    <w:basedOn w:val="Normal"/>
    <w:next w:val="Normal"/>
    <w:link w:val="Heading2Char"/>
    <w:uiPriority w:val="9"/>
    <w:qFormat/>
    <w:rsid w:val="00F61A78"/>
    <w:pPr>
      <w:keepNext/>
      <w:spacing w:before="240" w:after="60"/>
      <w:outlineLvl w:val="1"/>
    </w:pPr>
    <w:rPr>
      <w:rFonts w:ascii="Arial" w:eastAsia="Times New Roman" w:hAnsi="Arial"/>
      <w:b/>
      <w:bCs/>
      <w:i/>
      <w:kern w:val="14"/>
      <w:sz w:val="28"/>
      <w:szCs w:val="26"/>
    </w:rPr>
  </w:style>
  <w:style w:type="paragraph" w:styleId="Heading3">
    <w:name w:val="heading 3"/>
    <w:basedOn w:val="Normal"/>
    <w:next w:val="Normal"/>
    <w:link w:val="Heading3Char"/>
    <w:uiPriority w:val="9"/>
    <w:qFormat/>
    <w:rsid w:val="00F61A78"/>
    <w:pPr>
      <w:keepNext/>
      <w:spacing w:before="240" w:after="60"/>
      <w:outlineLvl w:val="2"/>
    </w:pPr>
    <w:rPr>
      <w:rFonts w:ascii="Arial" w:eastAsia="Times New Roman" w:hAnsi="Arial"/>
      <w:b/>
      <w:bCs/>
      <w:kern w:val="14"/>
      <w:sz w:val="26"/>
    </w:rPr>
  </w:style>
  <w:style w:type="paragraph" w:styleId="Heading4">
    <w:name w:val="heading 4"/>
    <w:basedOn w:val="Normal"/>
    <w:next w:val="Normal"/>
    <w:link w:val="Heading4Char"/>
    <w:uiPriority w:val="9"/>
    <w:semiHidden/>
    <w:unhideWhenUsed/>
    <w:qFormat/>
    <w:rsid w:val="001C2E87"/>
    <w:pPr>
      <w:spacing w:before="20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qFormat/>
    <w:rsid w:val="001C2E87"/>
    <w:pPr>
      <w:spacing w:before="20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qFormat/>
    <w:rsid w:val="001C2E87"/>
    <w:pPr>
      <w:spacing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1C2E87"/>
    <w:pPr>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1C2E87"/>
    <w:pPr>
      <w:outlineLvl w:val="7"/>
    </w:pPr>
    <w:rPr>
      <w:rFonts w:ascii="Cambria" w:eastAsia="Times New Roman" w:hAnsi="Cambria"/>
      <w:szCs w:val="20"/>
    </w:rPr>
  </w:style>
  <w:style w:type="paragraph" w:styleId="Heading9">
    <w:name w:val="heading 9"/>
    <w:basedOn w:val="Normal"/>
    <w:next w:val="Normal"/>
    <w:link w:val="Heading9Char"/>
    <w:uiPriority w:val="9"/>
    <w:semiHidden/>
    <w:unhideWhenUsed/>
    <w:qFormat/>
    <w:rsid w:val="001C2E87"/>
    <w:pPr>
      <w:outlineLvl w:val="8"/>
    </w:pPr>
    <w:rPr>
      <w:rFonts w:ascii="Cambria" w:eastAsia="Times New Roman" w:hAnsi="Cambria"/>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4">
    <w:name w:val="_ H_4"/>
    <w:basedOn w:val="Normal"/>
    <w:next w:val="SingleTxt"/>
    <w:qFormat/>
    <w:rsid w:val="002B105C"/>
    <w:pPr>
      <w:keepNext/>
      <w:keepLines/>
      <w:tabs>
        <w:tab w:val="right" w:pos="360"/>
      </w:tabs>
      <w:outlineLvl w:val="3"/>
    </w:pPr>
    <w:rPr>
      <w:i/>
      <w:spacing w:val="3"/>
      <w:kern w:val="14"/>
    </w:rPr>
  </w:style>
  <w:style w:type="paragraph" w:customStyle="1" w:styleId="7P">
    <w:name w:val="_ 7_ P"/>
    <w:basedOn w:val="Normal"/>
    <w:next w:val="Normal"/>
    <w:qFormat/>
    <w:rsid w:val="00ED4905"/>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00" w:lineRule="exact"/>
      <w:ind w:left="1267" w:right="1267" w:hanging="1267"/>
      <w:outlineLvl w:val="3"/>
    </w:pPr>
    <w:rPr>
      <w:rFonts w:eastAsia="Times New Roman"/>
      <w:iCs/>
      <w:spacing w:val="3"/>
      <w:kern w:val="14"/>
      <w:sz w:val="14"/>
      <w:szCs w:val="24"/>
    </w:rPr>
  </w:style>
  <w:style w:type="paragraph" w:customStyle="1" w:styleId="H1">
    <w:name w:val="_ H_1"/>
    <w:basedOn w:val="Normal"/>
    <w:next w:val="SingleTxt"/>
    <w:qFormat/>
    <w:rsid w:val="006E296C"/>
    <w:pPr>
      <w:keepNext/>
      <w:keepLines/>
      <w:spacing w:line="270" w:lineRule="exact"/>
      <w:outlineLvl w:val="0"/>
    </w:pPr>
    <w:rPr>
      <w:b/>
      <w:kern w:val="14"/>
      <w:sz w:val="24"/>
    </w:rPr>
  </w:style>
  <w:style w:type="paragraph" w:customStyle="1" w:styleId="HCh">
    <w:name w:val="_ H _Ch"/>
    <w:basedOn w:val="H1"/>
    <w:next w:val="SingleTxt"/>
    <w:qFormat/>
    <w:rsid w:val="00E26954"/>
    <w:pPr>
      <w:spacing w:line="300" w:lineRule="exact"/>
    </w:pPr>
    <w:rPr>
      <w:spacing w:val="-2"/>
      <w:sz w:val="28"/>
    </w:rPr>
  </w:style>
  <w:style w:type="paragraph" w:customStyle="1" w:styleId="HM">
    <w:name w:val="_ H __M"/>
    <w:basedOn w:val="HCh"/>
    <w:next w:val="Normal"/>
    <w:qFormat/>
    <w:rsid w:val="006E296C"/>
    <w:pPr>
      <w:spacing w:line="360" w:lineRule="exact"/>
    </w:pPr>
    <w:rPr>
      <w:spacing w:val="-3"/>
      <w:w w:val="99"/>
      <w:sz w:val="34"/>
    </w:rPr>
  </w:style>
  <w:style w:type="paragraph" w:customStyle="1" w:styleId="H23">
    <w:name w:val="_ H_2/3"/>
    <w:basedOn w:val="H1"/>
    <w:next w:val="SingleTxt"/>
    <w:qFormat/>
    <w:rsid w:val="006E296C"/>
    <w:pPr>
      <w:spacing w:line="240" w:lineRule="exact"/>
      <w:outlineLvl w:val="1"/>
    </w:pPr>
    <w:rPr>
      <w:spacing w:val="2"/>
      <w:sz w:val="20"/>
    </w:rPr>
  </w:style>
  <w:style w:type="paragraph" w:customStyle="1" w:styleId="H56">
    <w:name w:val="_ H_5/6"/>
    <w:basedOn w:val="Normal"/>
    <w:next w:val="Normal"/>
    <w:qFormat/>
    <w:rsid w:val="00643833"/>
    <w:pPr>
      <w:keepNext/>
      <w:keepLines/>
      <w:tabs>
        <w:tab w:val="right" w:pos="360"/>
      </w:tabs>
      <w:outlineLvl w:val="4"/>
    </w:pPr>
    <w:rPr>
      <w:kern w:val="14"/>
    </w:rPr>
  </w:style>
  <w:style w:type="paragraph" w:customStyle="1" w:styleId="DualTxt">
    <w:name w:val="__Dual Txt"/>
    <w:basedOn w:val="Normal"/>
    <w:qFormat/>
    <w:rsid w:val="00643833"/>
    <w:pPr>
      <w:tabs>
        <w:tab w:val="left" w:pos="480"/>
        <w:tab w:val="left" w:pos="960"/>
        <w:tab w:val="left" w:pos="1440"/>
        <w:tab w:val="left" w:pos="1915"/>
        <w:tab w:val="left" w:pos="2405"/>
        <w:tab w:val="left" w:pos="2880"/>
        <w:tab w:val="left" w:pos="3355"/>
      </w:tabs>
      <w:spacing w:after="120"/>
      <w:jc w:val="both"/>
    </w:pPr>
    <w:rPr>
      <w:kern w:val="14"/>
    </w:rPr>
  </w:style>
  <w:style w:type="paragraph" w:customStyle="1" w:styleId="SM">
    <w:name w:val="__S_M"/>
    <w:basedOn w:val="Normal"/>
    <w:next w:val="Normal"/>
    <w:qFormat/>
    <w:rsid w:val="00D051A5"/>
    <w:pPr>
      <w:keepNext/>
      <w:keepLines/>
      <w:tabs>
        <w:tab w:val="right" w:leader="dot" w:pos="360"/>
      </w:tabs>
      <w:spacing w:line="390" w:lineRule="exact"/>
      <w:ind w:left="1267" w:right="1267"/>
      <w:outlineLvl w:val="0"/>
    </w:pPr>
    <w:rPr>
      <w:b/>
      <w:spacing w:val="-4"/>
      <w:w w:val="98"/>
      <w:kern w:val="14"/>
      <w:sz w:val="40"/>
    </w:rPr>
  </w:style>
  <w:style w:type="paragraph" w:customStyle="1" w:styleId="SL">
    <w:name w:val="__S_L"/>
    <w:basedOn w:val="SM"/>
    <w:next w:val="Normal"/>
    <w:qFormat/>
    <w:rsid w:val="00643833"/>
    <w:pPr>
      <w:spacing w:line="540" w:lineRule="exact"/>
    </w:pPr>
    <w:rPr>
      <w:spacing w:val="-8"/>
      <w:w w:val="96"/>
      <w:sz w:val="57"/>
    </w:rPr>
  </w:style>
  <w:style w:type="paragraph" w:customStyle="1" w:styleId="SS">
    <w:name w:val="__S_S"/>
    <w:basedOn w:val="HCh"/>
    <w:next w:val="Normal"/>
    <w:qFormat/>
    <w:rsid w:val="00D051A5"/>
    <w:pPr>
      <w:ind w:left="1267" w:right="1267"/>
    </w:pPr>
  </w:style>
  <w:style w:type="paragraph" w:customStyle="1" w:styleId="SingleTxt">
    <w:name w:val="__Single Txt"/>
    <w:basedOn w:val="Normal"/>
    <w:qFormat/>
    <w:rsid w:val="00D051A5"/>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rPr>
      <w:kern w:val="14"/>
    </w:rPr>
  </w:style>
  <w:style w:type="paragraph" w:styleId="BalloonText">
    <w:name w:val="Balloon Text"/>
    <w:basedOn w:val="Normal"/>
    <w:semiHidden/>
    <w:rsid w:val="000A1971"/>
    <w:rPr>
      <w:rFonts w:ascii="Tahoma" w:hAnsi="Tahoma" w:cs="Tahoma"/>
      <w:sz w:val="16"/>
      <w:szCs w:val="16"/>
    </w:rPr>
  </w:style>
  <w:style w:type="character" w:styleId="CommentReference">
    <w:name w:val="annotation reference"/>
    <w:semiHidden/>
    <w:rsid w:val="000A1971"/>
    <w:rPr>
      <w:sz w:val="6"/>
    </w:rPr>
  </w:style>
  <w:style w:type="character" w:styleId="FootnoteReference">
    <w:name w:val="footnote reference"/>
    <w:semiHidden/>
    <w:rsid w:val="000A6B28"/>
    <w:rPr>
      <w:color w:val="000000" w:themeColor="text1"/>
      <w:spacing w:val="-5"/>
      <w:w w:val="130"/>
      <w:position w:val="-4"/>
      <w:vertAlign w:val="superscript"/>
    </w:rPr>
  </w:style>
  <w:style w:type="character" w:styleId="EndnoteReference">
    <w:name w:val="endnote reference"/>
    <w:semiHidden/>
    <w:rsid w:val="000A6B28"/>
    <w:rPr>
      <w:color w:val="000000" w:themeColor="text1"/>
      <w:spacing w:val="-5"/>
      <w:w w:val="130"/>
      <w:position w:val="-4"/>
      <w:vertAlign w:val="superscript"/>
    </w:rPr>
  </w:style>
  <w:style w:type="paragraph" w:styleId="FootnoteText">
    <w:name w:val="footnote text"/>
    <w:basedOn w:val="Normal"/>
    <w:rsid w:val="000A1971"/>
    <w:pPr>
      <w:tabs>
        <w:tab w:val="right" w:pos="418"/>
      </w:tabs>
      <w:spacing w:line="210" w:lineRule="exact"/>
      <w:ind w:left="475" w:hanging="475"/>
    </w:pPr>
    <w:rPr>
      <w:spacing w:val="5"/>
      <w:w w:val="104"/>
      <w:sz w:val="17"/>
    </w:rPr>
  </w:style>
  <w:style w:type="paragraph" w:styleId="EndnoteText">
    <w:name w:val="endnote text"/>
    <w:basedOn w:val="FootnoteText"/>
    <w:semiHidden/>
    <w:rsid w:val="000A1971"/>
    <w:pPr>
      <w:spacing w:after="80"/>
    </w:pPr>
  </w:style>
  <w:style w:type="paragraph" w:styleId="Footer">
    <w:name w:val="footer"/>
    <w:qFormat/>
    <w:rsid w:val="000F7375"/>
    <w:pPr>
      <w:tabs>
        <w:tab w:val="center" w:pos="4320"/>
        <w:tab w:val="right" w:pos="8640"/>
      </w:tabs>
    </w:pPr>
    <w:rPr>
      <w:rFonts w:ascii="Times New Roman" w:hAnsi="Times New Roman"/>
      <w:b/>
      <w:noProof/>
      <w:sz w:val="17"/>
      <w:szCs w:val="22"/>
    </w:rPr>
  </w:style>
  <w:style w:type="paragraph" w:styleId="Header">
    <w:name w:val="header"/>
    <w:qFormat/>
    <w:rsid w:val="00BB0959"/>
    <w:pPr>
      <w:tabs>
        <w:tab w:val="center" w:pos="4320"/>
        <w:tab w:val="right" w:pos="8640"/>
      </w:tabs>
    </w:pPr>
    <w:rPr>
      <w:rFonts w:ascii="Times New Roman" w:hAnsi="Times New Roman"/>
      <w:noProof/>
      <w:sz w:val="17"/>
      <w:szCs w:val="22"/>
    </w:rPr>
  </w:style>
  <w:style w:type="character" w:styleId="LineNumber">
    <w:name w:val="line number"/>
    <w:qFormat/>
    <w:rsid w:val="000A1971"/>
    <w:rPr>
      <w:sz w:val="14"/>
    </w:rPr>
  </w:style>
  <w:style w:type="paragraph" w:customStyle="1" w:styleId="Small">
    <w:name w:val="Small"/>
    <w:basedOn w:val="Normal"/>
    <w:next w:val="Normal"/>
    <w:qFormat/>
    <w:rsid w:val="00ED4905"/>
    <w:pPr>
      <w:tabs>
        <w:tab w:val="right" w:pos="9965"/>
      </w:tabs>
      <w:spacing w:line="210" w:lineRule="exact"/>
    </w:pPr>
    <w:rPr>
      <w:spacing w:val="5"/>
      <w:w w:val="104"/>
      <w:kern w:val="14"/>
      <w:sz w:val="17"/>
    </w:rPr>
  </w:style>
  <w:style w:type="paragraph" w:customStyle="1" w:styleId="SmallX">
    <w:name w:val="SmallX"/>
    <w:basedOn w:val="Small"/>
    <w:next w:val="Normal"/>
    <w:qFormat/>
    <w:rsid w:val="00ED4905"/>
    <w:pPr>
      <w:spacing w:line="180" w:lineRule="exact"/>
      <w:jc w:val="right"/>
    </w:pPr>
    <w:rPr>
      <w:spacing w:val="6"/>
      <w:w w:val="106"/>
      <w:sz w:val="14"/>
    </w:rPr>
  </w:style>
  <w:style w:type="paragraph" w:customStyle="1" w:styleId="XLarge">
    <w:name w:val="XLarge"/>
    <w:basedOn w:val="HM"/>
    <w:qFormat/>
    <w:rsid w:val="00ED4905"/>
    <w:pPr>
      <w:tabs>
        <w:tab w:val="right" w:leader="dot" w:pos="360"/>
      </w:tabs>
      <w:spacing w:line="390" w:lineRule="exact"/>
    </w:pPr>
    <w:rPr>
      <w:spacing w:val="-4"/>
      <w:w w:val="98"/>
      <w:sz w:val="40"/>
    </w:rPr>
  </w:style>
  <w:style w:type="paragraph" w:customStyle="1" w:styleId="NormalBullet">
    <w:name w:val="Normal Bullet"/>
    <w:basedOn w:val="Normal"/>
    <w:next w:val="Normal"/>
    <w:qFormat/>
    <w:rsid w:val="0006088E"/>
    <w:pPr>
      <w:keepLines/>
      <w:numPr>
        <w:numId w:val="3"/>
      </w:numPr>
      <w:tabs>
        <w:tab w:val="left" w:pos="2218"/>
      </w:tabs>
      <w:spacing w:before="40" w:after="80"/>
      <w:ind w:right="302"/>
    </w:pPr>
    <w:rPr>
      <w:kern w:val="14"/>
    </w:rPr>
  </w:style>
  <w:style w:type="paragraph" w:customStyle="1" w:styleId="NormalSchedule">
    <w:name w:val="Normal Schedule"/>
    <w:basedOn w:val="Normal"/>
    <w:next w:val="Normal"/>
    <w:qFormat/>
    <w:rsid w:val="0006088E"/>
    <w:pPr>
      <w:tabs>
        <w:tab w:val="left" w:leader="dot" w:pos="2218"/>
        <w:tab w:val="left" w:pos="2707"/>
        <w:tab w:val="right" w:leader="dot" w:pos="9835"/>
      </w:tabs>
    </w:pPr>
    <w:rPr>
      <w:kern w:val="14"/>
    </w:rPr>
  </w:style>
  <w:style w:type="paragraph" w:customStyle="1" w:styleId="HdChapterBdLg">
    <w:name w:val="Hd Chapter Bd Lg"/>
    <w:basedOn w:val="HdChapterBD"/>
    <w:next w:val="Normal"/>
    <w:qFormat/>
    <w:rsid w:val="00BB0959"/>
    <w:rPr>
      <w:spacing w:val="-3"/>
      <w:w w:val="99"/>
      <w:kern w:val="14"/>
      <w:sz w:val="34"/>
      <w:szCs w:val="34"/>
    </w:rPr>
  </w:style>
  <w:style w:type="paragraph" w:customStyle="1" w:styleId="HdChapterLt">
    <w:name w:val="Hd Chapter Lt"/>
    <w:basedOn w:val="Normal"/>
    <w:next w:val="Normal"/>
    <w:qFormat/>
    <w:rsid w:val="00BB0959"/>
    <w:pPr>
      <w:keepNext/>
      <w:keepLines/>
      <w:tabs>
        <w:tab w:val="left" w:pos="2218"/>
      </w:tabs>
      <w:spacing w:before="300" w:line="300" w:lineRule="exact"/>
    </w:pPr>
    <w:rPr>
      <w:spacing w:val="2"/>
      <w:w w:val="96"/>
      <w:kern w:val="34"/>
      <w:sz w:val="28"/>
      <w:szCs w:val="28"/>
    </w:rPr>
  </w:style>
  <w:style w:type="paragraph" w:customStyle="1" w:styleId="HdChapterBD">
    <w:name w:val="Hd Chapter BD"/>
    <w:basedOn w:val="HdChapterLt"/>
    <w:next w:val="Normal"/>
    <w:qFormat/>
    <w:rsid w:val="00BB0959"/>
    <w:pPr>
      <w:spacing w:before="240"/>
    </w:pPr>
    <w:rPr>
      <w:b/>
      <w:spacing w:val="-2"/>
      <w:w w:val="100"/>
    </w:rPr>
  </w:style>
  <w:style w:type="paragraph" w:customStyle="1" w:styleId="HdBanner">
    <w:name w:val="Hd Banner"/>
    <w:basedOn w:val="Normal"/>
    <w:next w:val="Normal"/>
    <w:qFormat/>
    <w:rsid w:val="00BB0959"/>
    <w:pPr>
      <w:keepLines/>
      <w:shd w:val="pct10" w:color="auto" w:fill="FFFFFF"/>
      <w:tabs>
        <w:tab w:val="left" w:pos="2218"/>
      </w:tabs>
      <w:spacing w:line="360" w:lineRule="exact"/>
    </w:pPr>
    <w:rPr>
      <w:b/>
      <w:spacing w:val="1"/>
      <w:kern w:val="14"/>
      <w:position w:val="6"/>
      <w:sz w:val="24"/>
      <w:szCs w:val="24"/>
    </w:rPr>
  </w:style>
  <w:style w:type="paragraph" w:customStyle="1" w:styleId="JournalHeading1">
    <w:name w:val="Journal_Heading1"/>
    <w:basedOn w:val="Normal"/>
    <w:next w:val="Normal"/>
    <w:qFormat/>
    <w:rsid w:val="00F61A78"/>
    <w:pPr>
      <w:keepNext/>
      <w:spacing w:before="190" w:line="270" w:lineRule="exact"/>
    </w:pPr>
    <w:rPr>
      <w:b/>
      <w:kern w:val="14"/>
      <w:sz w:val="24"/>
    </w:rPr>
  </w:style>
  <w:style w:type="paragraph" w:customStyle="1" w:styleId="JournalHeading2">
    <w:name w:val="Journal_Heading2"/>
    <w:basedOn w:val="Normal"/>
    <w:next w:val="Normal"/>
    <w:qFormat/>
    <w:rsid w:val="00F61A78"/>
    <w:pPr>
      <w:keepNext/>
      <w:keepLines/>
      <w:spacing w:before="240"/>
      <w:outlineLvl w:val="1"/>
    </w:pPr>
    <w:rPr>
      <w:b/>
      <w:spacing w:val="2"/>
      <w:kern w:val="14"/>
    </w:rPr>
  </w:style>
  <w:style w:type="paragraph" w:customStyle="1" w:styleId="JournalHeading4">
    <w:name w:val="Journal_Heading4"/>
    <w:basedOn w:val="Normal"/>
    <w:next w:val="Normal"/>
    <w:qFormat/>
    <w:rsid w:val="0006088E"/>
    <w:pPr>
      <w:keepNext/>
      <w:keepLines/>
      <w:spacing w:before="240"/>
      <w:outlineLvl w:val="3"/>
    </w:pPr>
    <w:rPr>
      <w:i/>
      <w:kern w:val="14"/>
    </w:rPr>
  </w:style>
  <w:style w:type="character" w:customStyle="1" w:styleId="Heading1Char">
    <w:name w:val="Heading 1 Char"/>
    <w:link w:val="Heading1"/>
    <w:uiPriority w:val="9"/>
    <w:rsid w:val="00BB0959"/>
    <w:rPr>
      <w:rFonts w:ascii="Arial" w:eastAsia="Times New Roman" w:hAnsi="Arial" w:cs="Times New Roman"/>
      <w:b/>
      <w:bCs/>
      <w:spacing w:val="4"/>
      <w:w w:val="103"/>
      <w:kern w:val="32"/>
      <w:sz w:val="32"/>
      <w:szCs w:val="28"/>
    </w:rPr>
  </w:style>
  <w:style w:type="character" w:customStyle="1" w:styleId="Heading2Char">
    <w:name w:val="Heading 2 Char"/>
    <w:link w:val="Heading2"/>
    <w:uiPriority w:val="9"/>
    <w:rsid w:val="00F61A78"/>
    <w:rPr>
      <w:rFonts w:ascii="Arial" w:eastAsia="Times New Roman" w:hAnsi="Arial" w:cs="Times New Roman"/>
      <w:b/>
      <w:bCs/>
      <w:i/>
      <w:spacing w:val="4"/>
      <w:w w:val="103"/>
      <w:kern w:val="14"/>
      <w:sz w:val="28"/>
      <w:szCs w:val="26"/>
    </w:rPr>
  </w:style>
  <w:style w:type="character" w:customStyle="1" w:styleId="Heading3Char">
    <w:name w:val="Heading 3 Char"/>
    <w:link w:val="Heading3"/>
    <w:uiPriority w:val="9"/>
    <w:rsid w:val="00F61A78"/>
    <w:rPr>
      <w:rFonts w:ascii="Arial" w:eastAsia="Times New Roman" w:hAnsi="Arial" w:cs="Times New Roman"/>
      <w:b/>
      <w:bCs/>
      <w:spacing w:val="4"/>
      <w:w w:val="103"/>
      <w:kern w:val="14"/>
      <w:sz w:val="26"/>
    </w:rPr>
  </w:style>
  <w:style w:type="character" w:customStyle="1" w:styleId="Heading4Char">
    <w:name w:val="Heading 4 Char"/>
    <w:link w:val="Heading4"/>
    <w:uiPriority w:val="9"/>
    <w:semiHidden/>
    <w:rsid w:val="001C2E87"/>
    <w:rPr>
      <w:rFonts w:ascii="Cambria" w:eastAsia="Times New Roman" w:hAnsi="Cambria" w:cs="Times New Roman"/>
      <w:b/>
      <w:bCs/>
      <w:i/>
      <w:iCs/>
    </w:rPr>
  </w:style>
  <w:style w:type="character" w:customStyle="1" w:styleId="Heading5Char">
    <w:name w:val="Heading 5 Char"/>
    <w:link w:val="Heading5"/>
    <w:uiPriority w:val="9"/>
    <w:semiHidden/>
    <w:rsid w:val="001C2E87"/>
    <w:rPr>
      <w:rFonts w:ascii="Cambria" w:eastAsia="Times New Roman" w:hAnsi="Cambria" w:cs="Times New Roman"/>
      <w:b/>
      <w:bCs/>
      <w:color w:val="7F7F7F"/>
    </w:rPr>
  </w:style>
  <w:style w:type="character" w:customStyle="1" w:styleId="Heading6Char">
    <w:name w:val="Heading 6 Char"/>
    <w:link w:val="Heading6"/>
    <w:uiPriority w:val="9"/>
    <w:semiHidden/>
    <w:rsid w:val="001C2E87"/>
    <w:rPr>
      <w:rFonts w:ascii="Cambria" w:eastAsia="Times New Roman" w:hAnsi="Cambria" w:cs="Times New Roman"/>
      <w:b/>
      <w:bCs/>
      <w:i/>
      <w:iCs/>
      <w:color w:val="7F7F7F"/>
    </w:rPr>
  </w:style>
  <w:style w:type="character" w:customStyle="1" w:styleId="Heading7Char">
    <w:name w:val="Heading 7 Char"/>
    <w:link w:val="Heading7"/>
    <w:uiPriority w:val="9"/>
    <w:semiHidden/>
    <w:rsid w:val="001C2E87"/>
    <w:rPr>
      <w:rFonts w:ascii="Cambria" w:eastAsia="Times New Roman" w:hAnsi="Cambria" w:cs="Times New Roman"/>
      <w:i/>
      <w:iCs/>
    </w:rPr>
  </w:style>
  <w:style w:type="character" w:customStyle="1" w:styleId="Heading8Char">
    <w:name w:val="Heading 8 Char"/>
    <w:link w:val="Heading8"/>
    <w:uiPriority w:val="9"/>
    <w:semiHidden/>
    <w:rsid w:val="001C2E87"/>
    <w:rPr>
      <w:rFonts w:ascii="Cambria" w:eastAsia="Times New Roman" w:hAnsi="Cambria" w:cs="Times New Roman"/>
      <w:sz w:val="20"/>
      <w:szCs w:val="20"/>
    </w:rPr>
  </w:style>
  <w:style w:type="character" w:customStyle="1" w:styleId="Heading9Char">
    <w:name w:val="Heading 9 Char"/>
    <w:link w:val="Heading9"/>
    <w:uiPriority w:val="9"/>
    <w:semiHidden/>
    <w:rsid w:val="001C2E87"/>
    <w:rPr>
      <w:rFonts w:ascii="Cambria" w:eastAsia="Times New Roman" w:hAnsi="Cambria" w:cs="Times New Roman"/>
      <w:i/>
      <w:iCs/>
      <w:spacing w:val="5"/>
      <w:sz w:val="20"/>
      <w:szCs w:val="20"/>
    </w:rPr>
  </w:style>
  <w:style w:type="paragraph" w:styleId="NoSpacing">
    <w:name w:val="No Spacing"/>
    <w:basedOn w:val="Normal"/>
    <w:uiPriority w:val="1"/>
    <w:rsid w:val="001C2E87"/>
    <w:pPr>
      <w:spacing w:line="240" w:lineRule="auto"/>
    </w:pPr>
  </w:style>
  <w:style w:type="paragraph" w:styleId="TOCHeading">
    <w:name w:val="TOC Heading"/>
    <w:basedOn w:val="Heading1"/>
    <w:next w:val="Normal"/>
    <w:uiPriority w:val="39"/>
    <w:semiHidden/>
    <w:unhideWhenUsed/>
    <w:qFormat/>
    <w:rsid w:val="001C2E87"/>
    <w:pPr>
      <w:outlineLvl w:val="9"/>
    </w:pPr>
    <w:rPr>
      <w:rFonts w:eastAsiaTheme="majorEastAsia" w:cstheme="majorBidi"/>
      <w:lang w:bidi="en-US"/>
    </w:rPr>
  </w:style>
  <w:style w:type="paragraph" w:styleId="Caption">
    <w:name w:val="caption"/>
    <w:basedOn w:val="Normal"/>
    <w:next w:val="Normal"/>
    <w:uiPriority w:val="35"/>
    <w:semiHidden/>
    <w:unhideWhenUsed/>
    <w:rsid w:val="001C2E87"/>
    <w:pPr>
      <w:spacing w:line="240" w:lineRule="auto"/>
    </w:pPr>
    <w:rPr>
      <w:b/>
      <w:bCs/>
      <w:color w:val="4F81BD"/>
      <w:sz w:val="18"/>
      <w:szCs w:val="18"/>
    </w:rPr>
  </w:style>
  <w:style w:type="paragraph" w:customStyle="1" w:styleId="Distribution">
    <w:name w:val="Distribution"/>
    <w:next w:val="Normal"/>
    <w:autoRedefine/>
    <w:qFormat/>
    <w:rsid w:val="001023C5"/>
    <w:rPr>
      <w:rFonts w:ascii="Times New Roman" w:hAnsi="Times New Roman"/>
      <w:spacing w:val="4"/>
      <w:w w:val="103"/>
      <w:szCs w:val="22"/>
      <w:lang w:val="es-ES"/>
    </w:rPr>
  </w:style>
  <w:style w:type="paragraph" w:customStyle="1" w:styleId="Publication">
    <w:name w:val="Publication"/>
    <w:next w:val="Normal"/>
    <w:autoRedefine/>
    <w:qFormat/>
    <w:rsid w:val="00871928"/>
    <w:rPr>
      <w:rFonts w:ascii="Times New Roman" w:hAnsi="Times New Roman"/>
      <w:spacing w:val="4"/>
      <w:w w:val="103"/>
      <w:szCs w:val="22"/>
      <w:lang w:val="es-ES"/>
    </w:rPr>
  </w:style>
  <w:style w:type="paragraph" w:customStyle="1" w:styleId="Original">
    <w:name w:val="Original"/>
    <w:next w:val="Normal"/>
    <w:autoRedefine/>
    <w:qFormat/>
    <w:rsid w:val="00871928"/>
    <w:rPr>
      <w:rFonts w:ascii="Times New Roman" w:hAnsi="Times New Roman"/>
      <w:spacing w:val="4"/>
      <w:w w:val="103"/>
      <w:szCs w:val="22"/>
      <w:lang w:val="es-ES"/>
    </w:rPr>
  </w:style>
  <w:style w:type="paragraph" w:customStyle="1" w:styleId="ReleaseDate">
    <w:name w:val="ReleaseDate"/>
    <w:next w:val="Footer"/>
    <w:autoRedefine/>
    <w:qFormat/>
    <w:rsid w:val="00871928"/>
    <w:rPr>
      <w:rFonts w:ascii="Times New Roman" w:hAnsi="Times New Roman"/>
      <w:spacing w:val="4"/>
      <w:w w:val="103"/>
      <w:szCs w:val="22"/>
      <w:lang w:val="es-ES"/>
    </w:rPr>
  </w:style>
  <w:style w:type="paragraph" w:customStyle="1" w:styleId="Session">
    <w:name w:val="Session"/>
    <w:basedOn w:val="H23"/>
    <w:autoRedefine/>
    <w:qFormat/>
    <w:rsid w:val="00871928"/>
  </w:style>
  <w:style w:type="paragraph" w:customStyle="1" w:styleId="Committee">
    <w:name w:val="Committee"/>
    <w:basedOn w:val="H1"/>
    <w:autoRedefine/>
    <w:qFormat/>
    <w:rsid w:val="00894D50"/>
    <w:pPr>
      <w:ind w:right="1267"/>
    </w:pPr>
  </w:style>
  <w:style w:type="paragraph" w:customStyle="1" w:styleId="AgendaTitle">
    <w:name w:val="Agenda Title"/>
    <w:basedOn w:val="Normal"/>
    <w:next w:val="Normal"/>
    <w:autoRedefine/>
    <w:qFormat/>
    <w:rsid w:val="00894D50"/>
  </w:style>
  <w:style w:type="paragraph" w:customStyle="1" w:styleId="Sponsors">
    <w:name w:val="Sponsors"/>
    <w:basedOn w:val="H23"/>
    <w:autoRedefine/>
    <w:qFormat/>
    <w:rsid w:val="00894D50"/>
    <w:pPr>
      <w:tabs>
        <w:tab w:val="right" w:pos="1022"/>
        <w:tab w:val="left" w:pos="1267"/>
      </w:tabs>
      <w:ind w:left="1267" w:right="1267" w:hanging="1267"/>
    </w:pPr>
  </w:style>
  <w:style w:type="paragraph" w:customStyle="1" w:styleId="Title1">
    <w:name w:val="Title 1"/>
    <w:basedOn w:val="HCh"/>
    <w:autoRedefine/>
    <w:qFormat/>
    <w:rsid w:val="005053EA"/>
    <w:pPr>
      <w:tabs>
        <w:tab w:val="right" w:pos="1022"/>
        <w:tab w:val="left" w:pos="1267"/>
      </w:tabs>
      <w:ind w:left="1267" w:right="1267" w:hanging="1267"/>
    </w:pPr>
    <w:rPr>
      <w:lang w:val="en-US"/>
    </w:rPr>
  </w:style>
  <w:style w:type="paragraph" w:customStyle="1" w:styleId="Title2">
    <w:name w:val="Title 2"/>
    <w:basedOn w:val="H1"/>
    <w:autoRedefine/>
    <w:qFormat/>
    <w:rsid w:val="005053EA"/>
    <w:pPr>
      <w:tabs>
        <w:tab w:val="right" w:pos="1022"/>
        <w:tab w:val="left" w:pos="1267"/>
      </w:tabs>
      <w:ind w:left="1267" w:right="1267" w:hanging="1267"/>
    </w:pPr>
  </w:style>
  <w:style w:type="paragraph" w:customStyle="1" w:styleId="Type">
    <w:name w:val="Type"/>
    <w:basedOn w:val="H23"/>
    <w:autoRedefine/>
    <w:qFormat/>
    <w:rsid w:val="005053EA"/>
    <w:pPr>
      <w:tabs>
        <w:tab w:val="right" w:pos="1022"/>
        <w:tab w:val="left" w:pos="1267"/>
      </w:tabs>
      <w:ind w:left="1267" w:right="1267" w:hanging="1267"/>
    </w:pPr>
  </w:style>
  <w:style w:type="paragraph" w:styleId="CommentText">
    <w:name w:val="annotation text"/>
    <w:basedOn w:val="Normal"/>
    <w:link w:val="CommentTextChar"/>
    <w:rsid w:val="00A3227F"/>
    <w:pPr>
      <w:spacing w:line="240" w:lineRule="auto"/>
    </w:pPr>
    <w:rPr>
      <w:szCs w:val="20"/>
    </w:rPr>
  </w:style>
  <w:style w:type="character" w:customStyle="1" w:styleId="CommentTextChar">
    <w:name w:val="Comment Text Char"/>
    <w:basedOn w:val="DefaultParagraphFont"/>
    <w:link w:val="CommentText"/>
    <w:rsid w:val="00A3227F"/>
    <w:rPr>
      <w:rFonts w:ascii="Times New Roman" w:hAnsi="Times New Roman"/>
      <w:spacing w:val="4"/>
      <w:w w:val="103"/>
      <w:lang w:val="es-ES"/>
    </w:rPr>
  </w:style>
  <w:style w:type="paragraph" w:styleId="CommentSubject">
    <w:name w:val="annotation subject"/>
    <w:basedOn w:val="CommentText"/>
    <w:next w:val="CommentText"/>
    <w:link w:val="CommentSubjectChar"/>
    <w:rsid w:val="00A3227F"/>
    <w:rPr>
      <w:b/>
      <w:bCs/>
    </w:rPr>
  </w:style>
  <w:style w:type="character" w:customStyle="1" w:styleId="CommentSubjectChar">
    <w:name w:val="Comment Subject Char"/>
    <w:basedOn w:val="CommentTextChar"/>
    <w:link w:val="CommentSubject"/>
    <w:rsid w:val="00A3227F"/>
    <w:rPr>
      <w:rFonts w:ascii="Times New Roman" w:hAnsi="Times New Roman"/>
      <w:b/>
      <w:bCs/>
      <w:spacing w:val="4"/>
      <w:w w:val="103"/>
      <w:lang w:val="es-ES"/>
    </w:rPr>
  </w:style>
  <w:style w:type="paragraph" w:styleId="ListParagraph">
    <w:name w:val="List Paragraph"/>
    <w:basedOn w:val="Normal"/>
    <w:uiPriority w:val="34"/>
    <w:rsid w:val="00771F2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header" w:qFormat="1"/>
    <w:lsdException w:name="footer" w:qFormat="1"/>
    <w:lsdException w:name="caption" w:semiHidden="1" w:uiPriority="35" w:unhideWhenUsed="1"/>
    <w:lsdException w:name="line number" w:qFormat="1"/>
    <w:lsdException w:name="Title" w:uiPriority="10"/>
    <w:lsdException w:name="Subtitle" w:uiPriority="11"/>
    <w:lsdException w:name="Strong" w:uiPriority="22"/>
    <w:lsdException w:name="Emphasis" w:uiPriority="20"/>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0A6B28"/>
    <w:pPr>
      <w:suppressAutoHyphens/>
      <w:spacing w:line="240" w:lineRule="exact"/>
    </w:pPr>
    <w:rPr>
      <w:rFonts w:ascii="Times New Roman" w:hAnsi="Times New Roman"/>
      <w:spacing w:val="4"/>
      <w:w w:val="103"/>
      <w:szCs w:val="22"/>
      <w:lang w:val="es-ES"/>
    </w:rPr>
  </w:style>
  <w:style w:type="paragraph" w:styleId="Heading1">
    <w:name w:val="heading 1"/>
    <w:basedOn w:val="Normal"/>
    <w:next w:val="Normal"/>
    <w:link w:val="Heading1Char"/>
    <w:uiPriority w:val="9"/>
    <w:qFormat/>
    <w:rsid w:val="00BB0959"/>
    <w:pPr>
      <w:keepNext/>
      <w:spacing w:before="240" w:after="60"/>
      <w:outlineLvl w:val="0"/>
    </w:pPr>
    <w:rPr>
      <w:rFonts w:ascii="Arial" w:eastAsia="Times New Roman" w:hAnsi="Arial"/>
      <w:b/>
      <w:bCs/>
      <w:kern w:val="32"/>
      <w:sz w:val="32"/>
      <w:szCs w:val="28"/>
    </w:rPr>
  </w:style>
  <w:style w:type="paragraph" w:styleId="Heading2">
    <w:name w:val="heading 2"/>
    <w:basedOn w:val="Normal"/>
    <w:next w:val="Normal"/>
    <w:link w:val="Heading2Char"/>
    <w:uiPriority w:val="9"/>
    <w:qFormat/>
    <w:rsid w:val="00F61A78"/>
    <w:pPr>
      <w:keepNext/>
      <w:spacing w:before="240" w:after="60"/>
      <w:outlineLvl w:val="1"/>
    </w:pPr>
    <w:rPr>
      <w:rFonts w:ascii="Arial" w:eastAsia="Times New Roman" w:hAnsi="Arial"/>
      <w:b/>
      <w:bCs/>
      <w:i/>
      <w:kern w:val="14"/>
      <w:sz w:val="28"/>
      <w:szCs w:val="26"/>
    </w:rPr>
  </w:style>
  <w:style w:type="paragraph" w:styleId="Heading3">
    <w:name w:val="heading 3"/>
    <w:basedOn w:val="Normal"/>
    <w:next w:val="Normal"/>
    <w:link w:val="Heading3Char"/>
    <w:uiPriority w:val="9"/>
    <w:qFormat/>
    <w:rsid w:val="00F61A78"/>
    <w:pPr>
      <w:keepNext/>
      <w:spacing w:before="240" w:after="60"/>
      <w:outlineLvl w:val="2"/>
    </w:pPr>
    <w:rPr>
      <w:rFonts w:ascii="Arial" w:eastAsia="Times New Roman" w:hAnsi="Arial"/>
      <w:b/>
      <w:bCs/>
      <w:kern w:val="14"/>
      <w:sz w:val="26"/>
    </w:rPr>
  </w:style>
  <w:style w:type="paragraph" w:styleId="Heading4">
    <w:name w:val="heading 4"/>
    <w:basedOn w:val="Normal"/>
    <w:next w:val="Normal"/>
    <w:link w:val="Heading4Char"/>
    <w:uiPriority w:val="9"/>
    <w:semiHidden/>
    <w:unhideWhenUsed/>
    <w:qFormat/>
    <w:rsid w:val="001C2E87"/>
    <w:pPr>
      <w:spacing w:before="20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qFormat/>
    <w:rsid w:val="001C2E87"/>
    <w:pPr>
      <w:spacing w:before="20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qFormat/>
    <w:rsid w:val="001C2E87"/>
    <w:pPr>
      <w:spacing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1C2E87"/>
    <w:pPr>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1C2E87"/>
    <w:pPr>
      <w:outlineLvl w:val="7"/>
    </w:pPr>
    <w:rPr>
      <w:rFonts w:ascii="Cambria" w:eastAsia="Times New Roman" w:hAnsi="Cambria"/>
      <w:szCs w:val="20"/>
    </w:rPr>
  </w:style>
  <w:style w:type="paragraph" w:styleId="Heading9">
    <w:name w:val="heading 9"/>
    <w:basedOn w:val="Normal"/>
    <w:next w:val="Normal"/>
    <w:link w:val="Heading9Char"/>
    <w:uiPriority w:val="9"/>
    <w:semiHidden/>
    <w:unhideWhenUsed/>
    <w:qFormat/>
    <w:rsid w:val="001C2E87"/>
    <w:pPr>
      <w:outlineLvl w:val="8"/>
    </w:pPr>
    <w:rPr>
      <w:rFonts w:ascii="Cambria" w:eastAsia="Times New Roman" w:hAnsi="Cambria"/>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4">
    <w:name w:val="_ H_4"/>
    <w:basedOn w:val="Normal"/>
    <w:next w:val="SingleTxt"/>
    <w:qFormat/>
    <w:rsid w:val="002B105C"/>
    <w:pPr>
      <w:keepNext/>
      <w:keepLines/>
      <w:tabs>
        <w:tab w:val="right" w:pos="360"/>
      </w:tabs>
      <w:outlineLvl w:val="3"/>
    </w:pPr>
    <w:rPr>
      <w:i/>
      <w:spacing w:val="3"/>
      <w:kern w:val="14"/>
    </w:rPr>
  </w:style>
  <w:style w:type="paragraph" w:customStyle="1" w:styleId="7P">
    <w:name w:val="_ 7_ P"/>
    <w:basedOn w:val="Normal"/>
    <w:next w:val="Normal"/>
    <w:qFormat/>
    <w:rsid w:val="00ED4905"/>
    <w:pPr>
      <w:keepNext/>
      <w:keepLines/>
      <w:tabs>
        <w:tab w:val="right" w:pos="1022"/>
        <w:tab w:val="left" w:pos="1267"/>
        <w:tab w:val="left" w:pos="1742"/>
        <w:tab w:val="left" w:pos="2218"/>
        <w:tab w:val="left" w:pos="2693"/>
        <w:tab w:val="left" w:pos="3182"/>
        <w:tab w:val="left" w:pos="3658"/>
        <w:tab w:val="left" w:pos="4133"/>
        <w:tab w:val="left" w:pos="4622"/>
        <w:tab w:val="left" w:pos="5098"/>
        <w:tab w:val="left" w:pos="5573"/>
        <w:tab w:val="left" w:pos="6048"/>
      </w:tabs>
      <w:spacing w:line="200" w:lineRule="exact"/>
      <w:ind w:left="1267" w:right="1267" w:hanging="1267"/>
      <w:outlineLvl w:val="3"/>
    </w:pPr>
    <w:rPr>
      <w:rFonts w:eastAsia="Times New Roman"/>
      <w:iCs/>
      <w:spacing w:val="3"/>
      <w:kern w:val="14"/>
      <w:sz w:val="14"/>
      <w:szCs w:val="24"/>
    </w:rPr>
  </w:style>
  <w:style w:type="paragraph" w:customStyle="1" w:styleId="H1">
    <w:name w:val="_ H_1"/>
    <w:basedOn w:val="Normal"/>
    <w:next w:val="SingleTxt"/>
    <w:qFormat/>
    <w:rsid w:val="006E296C"/>
    <w:pPr>
      <w:keepNext/>
      <w:keepLines/>
      <w:spacing w:line="270" w:lineRule="exact"/>
      <w:outlineLvl w:val="0"/>
    </w:pPr>
    <w:rPr>
      <w:b/>
      <w:kern w:val="14"/>
      <w:sz w:val="24"/>
    </w:rPr>
  </w:style>
  <w:style w:type="paragraph" w:customStyle="1" w:styleId="HCh">
    <w:name w:val="_ H _Ch"/>
    <w:basedOn w:val="H1"/>
    <w:next w:val="SingleTxt"/>
    <w:qFormat/>
    <w:rsid w:val="00E26954"/>
    <w:pPr>
      <w:spacing w:line="300" w:lineRule="exact"/>
    </w:pPr>
    <w:rPr>
      <w:spacing w:val="-2"/>
      <w:sz w:val="28"/>
    </w:rPr>
  </w:style>
  <w:style w:type="paragraph" w:customStyle="1" w:styleId="HM">
    <w:name w:val="_ H __M"/>
    <w:basedOn w:val="HCh"/>
    <w:next w:val="Normal"/>
    <w:qFormat/>
    <w:rsid w:val="006E296C"/>
    <w:pPr>
      <w:spacing w:line="360" w:lineRule="exact"/>
    </w:pPr>
    <w:rPr>
      <w:spacing w:val="-3"/>
      <w:w w:val="99"/>
      <w:sz w:val="34"/>
    </w:rPr>
  </w:style>
  <w:style w:type="paragraph" w:customStyle="1" w:styleId="H23">
    <w:name w:val="_ H_2/3"/>
    <w:basedOn w:val="H1"/>
    <w:next w:val="SingleTxt"/>
    <w:qFormat/>
    <w:rsid w:val="006E296C"/>
    <w:pPr>
      <w:spacing w:line="240" w:lineRule="exact"/>
      <w:outlineLvl w:val="1"/>
    </w:pPr>
    <w:rPr>
      <w:spacing w:val="2"/>
      <w:sz w:val="20"/>
    </w:rPr>
  </w:style>
  <w:style w:type="paragraph" w:customStyle="1" w:styleId="H56">
    <w:name w:val="_ H_5/6"/>
    <w:basedOn w:val="Normal"/>
    <w:next w:val="Normal"/>
    <w:qFormat/>
    <w:rsid w:val="00643833"/>
    <w:pPr>
      <w:keepNext/>
      <w:keepLines/>
      <w:tabs>
        <w:tab w:val="right" w:pos="360"/>
      </w:tabs>
      <w:outlineLvl w:val="4"/>
    </w:pPr>
    <w:rPr>
      <w:kern w:val="14"/>
    </w:rPr>
  </w:style>
  <w:style w:type="paragraph" w:customStyle="1" w:styleId="DualTxt">
    <w:name w:val="__Dual Txt"/>
    <w:basedOn w:val="Normal"/>
    <w:qFormat/>
    <w:rsid w:val="00643833"/>
    <w:pPr>
      <w:tabs>
        <w:tab w:val="left" w:pos="480"/>
        <w:tab w:val="left" w:pos="960"/>
        <w:tab w:val="left" w:pos="1440"/>
        <w:tab w:val="left" w:pos="1915"/>
        <w:tab w:val="left" w:pos="2405"/>
        <w:tab w:val="left" w:pos="2880"/>
        <w:tab w:val="left" w:pos="3355"/>
      </w:tabs>
      <w:spacing w:after="120"/>
      <w:jc w:val="both"/>
    </w:pPr>
    <w:rPr>
      <w:kern w:val="14"/>
    </w:rPr>
  </w:style>
  <w:style w:type="paragraph" w:customStyle="1" w:styleId="SM">
    <w:name w:val="__S_M"/>
    <w:basedOn w:val="Normal"/>
    <w:next w:val="Normal"/>
    <w:qFormat/>
    <w:rsid w:val="00D051A5"/>
    <w:pPr>
      <w:keepNext/>
      <w:keepLines/>
      <w:tabs>
        <w:tab w:val="right" w:leader="dot" w:pos="360"/>
      </w:tabs>
      <w:spacing w:line="390" w:lineRule="exact"/>
      <w:ind w:left="1267" w:right="1267"/>
      <w:outlineLvl w:val="0"/>
    </w:pPr>
    <w:rPr>
      <w:b/>
      <w:spacing w:val="-4"/>
      <w:w w:val="98"/>
      <w:kern w:val="14"/>
      <w:sz w:val="40"/>
    </w:rPr>
  </w:style>
  <w:style w:type="paragraph" w:customStyle="1" w:styleId="SL">
    <w:name w:val="__S_L"/>
    <w:basedOn w:val="SM"/>
    <w:next w:val="Normal"/>
    <w:qFormat/>
    <w:rsid w:val="00643833"/>
    <w:pPr>
      <w:spacing w:line="540" w:lineRule="exact"/>
    </w:pPr>
    <w:rPr>
      <w:spacing w:val="-8"/>
      <w:w w:val="96"/>
      <w:sz w:val="57"/>
    </w:rPr>
  </w:style>
  <w:style w:type="paragraph" w:customStyle="1" w:styleId="SS">
    <w:name w:val="__S_S"/>
    <w:basedOn w:val="HCh"/>
    <w:next w:val="Normal"/>
    <w:qFormat/>
    <w:rsid w:val="00D051A5"/>
    <w:pPr>
      <w:ind w:left="1267" w:right="1267"/>
    </w:pPr>
  </w:style>
  <w:style w:type="paragraph" w:customStyle="1" w:styleId="SingleTxt">
    <w:name w:val="__Single Txt"/>
    <w:basedOn w:val="Normal"/>
    <w:qFormat/>
    <w:rsid w:val="00D051A5"/>
    <w:pPr>
      <w:tabs>
        <w:tab w:val="left" w:pos="1267"/>
        <w:tab w:val="left" w:pos="1742"/>
        <w:tab w:val="left" w:pos="2218"/>
        <w:tab w:val="left" w:pos="2693"/>
        <w:tab w:val="left" w:pos="3182"/>
        <w:tab w:val="left" w:pos="3658"/>
        <w:tab w:val="left" w:pos="4133"/>
        <w:tab w:val="left" w:pos="4622"/>
        <w:tab w:val="left" w:pos="5098"/>
        <w:tab w:val="left" w:pos="5573"/>
        <w:tab w:val="left" w:pos="6048"/>
      </w:tabs>
      <w:spacing w:after="120"/>
      <w:ind w:left="1267" w:right="1267"/>
      <w:jc w:val="both"/>
    </w:pPr>
    <w:rPr>
      <w:kern w:val="14"/>
    </w:rPr>
  </w:style>
  <w:style w:type="paragraph" w:styleId="BalloonText">
    <w:name w:val="Balloon Text"/>
    <w:basedOn w:val="Normal"/>
    <w:semiHidden/>
    <w:rsid w:val="000A1971"/>
    <w:rPr>
      <w:rFonts w:ascii="Tahoma" w:hAnsi="Tahoma" w:cs="Tahoma"/>
      <w:sz w:val="16"/>
      <w:szCs w:val="16"/>
    </w:rPr>
  </w:style>
  <w:style w:type="character" w:styleId="CommentReference">
    <w:name w:val="annotation reference"/>
    <w:semiHidden/>
    <w:rsid w:val="000A1971"/>
    <w:rPr>
      <w:sz w:val="6"/>
    </w:rPr>
  </w:style>
  <w:style w:type="character" w:styleId="FootnoteReference">
    <w:name w:val="footnote reference"/>
    <w:semiHidden/>
    <w:rsid w:val="000A6B28"/>
    <w:rPr>
      <w:color w:val="000000" w:themeColor="text1"/>
      <w:spacing w:val="-5"/>
      <w:w w:val="130"/>
      <w:position w:val="-4"/>
      <w:vertAlign w:val="superscript"/>
    </w:rPr>
  </w:style>
  <w:style w:type="character" w:styleId="EndnoteReference">
    <w:name w:val="endnote reference"/>
    <w:semiHidden/>
    <w:rsid w:val="000A6B28"/>
    <w:rPr>
      <w:color w:val="000000" w:themeColor="text1"/>
      <w:spacing w:val="-5"/>
      <w:w w:val="130"/>
      <w:position w:val="-4"/>
      <w:vertAlign w:val="superscript"/>
    </w:rPr>
  </w:style>
  <w:style w:type="paragraph" w:styleId="FootnoteText">
    <w:name w:val="footnote text"/>
    <w:basedOn w:val="Normal"/>
    <w:rsid w:val="000A1971"/>
    <w:pPr>
      <w:tabs>
        <w:tab w:val="right" w:pos="418"/>
      </w:tabs>
      <w:spacing w:line="210" w:lineRule="exact"/>
      <w:ind w:left="475" w:hanging="475"/>
    </w:pPr>
    <w:rPr>
      <w:spacing w:val="5"/>
      <w:w w:val="104"/>
      <w:sz w:val="17"/>
    </w:rPr>
  </w:style>
  <w:style w:type="paragraph" w:styleId="EndnoteText">
    <w:name w:val="endnote text"/>
    <w:basedOn w:val="FootnoteText"/>
    <w:semiHidden/>
    <w:rsid w:val="000A1971"/>
    <w:pPr>
      <w:spacing w:after="80"/>
    </w:pPr>
  </w:style>
  <w:style w:type="paragraph" w:styleId="Footer">
    <w:name w:val="footer"/>
    <w:qFormat/>
    <w:rsid w:val="000F7375"/>
    <w:pPr>
      <w:tabs>
        <w:tab w:val="center" w:pos="4320"/>
        <w:tab w:val="right" w:pos="8640"/>
      </w:tabs>
    </w:pPr>
    <w:rPr>
      <w:rFonts w:ascii="Times New Roman" w:hAnsi="Times New Roman"/>
      <w:b/>
      <w:noProof/>
      <w:sz w:val="17"/>
      <w:szCs w:val="22"/>
    </w:rPr>
  </w:style>
  <w:style w:type="paragraph" w:styleId="Header">
    <w:name w:val="header"/>
    <w:qFormat/>
    <w:rsid w:val="00BB0959"/>
    <w:pPr>
      <w:tabs>
        <w:tab w:val="center" w:pos="4320"/>
        <w:tab w:val="right" w:pos="8640"/>
      </w:tabs>
    </w:pPr>
    <w:rPr>
      <w:rFonts w:ascii="Times New Roman" w:hAnsi="Times New Roman"/>
      <w:noProof/>
      <w:sz w:val="17"/>
      <w:szCs w:val="22"/>
    </w:rPr>
  </w:style>
  <w:style w:type="character" w:styleId="LineNumber">
    <w:name w:val="line number"/>
    <w:qFormat/>
    <w:rsid w:val="000A1971"/>
    <w:rPr>
      <w:sz w:val="14"/>
    </w:rPr>
  </w:style>
  <w:style w:type="paragraph" w:customStyle="1" w:styleId="Small">
    <w:name w:val="Small"/>
    <w:basedOn w:val="Normal"/>
    <w:next w:val="Normal"/>
    <w:qFormat/>
    <w:rsid w:val="00ED4905"/>
    <w:pPr>
      <w:tabs>
        <w:tab w:val="right" w:pos="9965"/>
      </w:tabs>
      <w:spacing w:line="210" w:lineRule="exact"/>
    </w:pPr>
    <w:rPr>
      <w:spacing w:val="5"/>
      <w:w w:val="104"/>
      <w:kern w:val="14"/>
      <w:sz w:val="17"/>
    </w:rPr>
  </w:style>
  <w:style w:type="paragraph" w:customStyle="1" w:styleId="SmallX">
    <w:name w:val="SmallX"/>
    <w:basedOn w:val="Small"/>
    <w:next w:val="Normal"/>
    <w:qFormat/>
    <w:rsid w:val="00ED4905"/>
    <w:pPr>
      <w:spacing w:line="180" w:lineRule="exact"/>
      <w:jc w:val="right"/>
    </w:pPr>
    <w:rPr>
      <w:spacing w:val="6"/>
      <w:w w:val="106"/>
      <w:sz w:val="14"/>
    </w:rPr>
  </w:style>
  <w:style w:type="paragraph" w:customStyle="1" w:styleId="XLarge">
    <w:name w:val="XLarge"/>
    <w:basedOn w:val="HM"/>
    <w:qFormat/>
    <w:rsid w:val="00ED4905"/>
    <w:pPr>
      <w:tabs>
        <w:tab w:val="right" w:leader="dot" w:pos="360"/>
      </w:tabs>
      <w:spacing w:line="390" w:lineRule="exact"/>
    </w:pPr>
    <w:rPr>
      <w:spacing w:val="-4"/>
      <w:w w:val="98"/>
      <w:sz w:val="40"/>
    </w:rPr>
  </w:style>
  <w:style w:type="paragraph" w:customStyle="1" w:styleId="NormalBullet">
    <w:name w:val="Normal Bullet"/>
    <w:basedOn w:val="Normal"/>
    <w:next w:val="Normal"/>
    <w:qFormat/>
    <w:rsid w:val="0006088E"/>
    <w:pPr>
      <w:keepLines/>
      <w:numPr>
        <w:numId w:val="3"/>
      </w:numPr>
      <w:tabs>
        <w:tab w:val="left" w:pos="2218"/>
      </w:tabs>
      <w:spacing w:before="40" w:after="80"/>
      <w:ind w:right="302"/>
    </w:pPr>
    <w:rPr>
      <w:kern w:val="14"/>
    </w:rPr>
  </w:style>
  <w:style w:type="paragraph" w:customStyle="1" w:styleId="NormalSchedule">
    <w:name w:val="Normal Schedule"/>
    <w:basedOn w:val="Normal"/>
    <w:next w:val="Normal"/>
    <w:qFormat/>
    <w:rsid w:val="0006088E"/>
    <w:pPr>
      <w:tabs>
        <w:tab w:val="left" w:leader="dot" w:pos="2218"/>
        <w:tab w:val="left" w:pos="2707"/>
        <w:tab w:val="right" w:leader="dot" w:pos="9835"/>
      </w:tabs>
    </w:pPr>
    <w:rPr>
      <w:kern w:val="14"/>
    </w:rPr>
  </w:style>
  <w:style w:type="paragraph" w:customStyle="1" w:styleId="HdChapterBdLg">
    <w:name w:val="Hd Chapter Bd Lg"/>
    <w:basedOn w:val="HdChapterBD"/>
    <w:next w:val="Normal"/>
    <w:qFormat/>
    <w:rsid w:val="00BB0959"/>
    <w:rPr>
      <w:spacing w:val="-3"/>
      <w:w w:val="99"/>
      <w:kern w:val="14"/>
      <w:sz w:val="34"/>
      <w:szCs w:val="34"/>
    </w:rPr>
  </w:style>
  <w:style w:type="paragraph" w:customStyle="1" w:styleId="HdChapterLt">
    <w:name w:val="Hd Chapter Lt"/>
    <w:basedOn w:val="Normal"/>
    <w:next w:val="Normal"/>
    <w:qFormat/>
    <w:rsid w:val="00BB0959"/>
    <w:pPr>
      <w:keepNext/>
      <w:keepLines/>
      <w:tabs>
        <w:tab w:val="left" w:pos="2218"/>
      </w:tabs>
      <w:spacing w:before="300" w:line="300" w:lineRule="exact"/>
    </w:pPr>
    <w:rPr>
      <w:spacing w:val="2"/>
      <w:w w:val="96"/>
      <w:kern w:val="34"/>
      <w:sz w:val="28"/>
      <w:szCs w:val="28"/>
    </w:rPr>
  </w:style>
  <w:style w:type="paragraph" w:customStyle="1" w:styleId="HdChapterBD">
    <w:name w:val="Hd Chapter BD"/>
    <w:basedOn w:val="HdChapterLt"/>
    <w:next w:val="Normal"/>
    <w:qFormat/>
    <w:rsid w:val="00BB0959"/>
    <w:pPr>
      <w:spacing w:before="240"/>
    </w:pPr>
    <w:rPr>
      <w:b/>
      <w:spacing w:val="-2"/>
      <w:w w:val="100"/>
    </w:rPr>
  </w:style>
  <w:style w:type="paragraph" w:customStyle="1" w:styleId="HdBanner">
    <w:name w:val="Hd Banner"/>
    <w:basedOn w:val="Normal"/>
    <w:next w:val="Normal"/>
    <w:qFormat/>
    <w:rsid w:val="00BB0959"/>
    <w:pPr>
      <w:keepLines/>
      <w:shd w:val="pct10" w:color="auto" w:fill="FFFFFF"/>
      <w:tabs>
        <w:tab w:val="left" w:pos="2218"/>
      </w:tabs>
      <w:spacing w:line="360" w:lineRule="exact"/>
    </w:pPr>
    <w:rPr>
      <w:b/>
      <w:spacing w:val="1"/>
      <w:kern w:val="14"/>
      <w:position w:val="6"/>
      <w:sz w:val="24"/>
      <w:szCs w:val="24"/>
    </w:rPr>
  </w:style>
  <w:style w:type="paragraph" w:customStyle="1" w:styleId="JournalHeading1">
    <w:name w:val="Journal_Heading1"/>
    <w:basedOn w:val="Normal"/>
    <w:next w:val="Normal"/>
    <w:qFormat/>
    <w:rsid w:val="00F61A78"/>
    <w:pPr>
      <w:keepNext/>
      <w:spacing w:before="190" w:line="270" w:lineRule="exact"/>
    </w:pPr>
    <w:rPr>
      <w:b/>
      <w:kern w:val="14"/>
      <w:sz w:val="24"/>
    </w:rPr>
  </w:style>
  <w:style w:type="paragraph" w:customStyle="1" w:styleId="JournalHeading2">
    <w:name w:val="Journal_Heading2"/>
    <w:basedOn w:val="Normal"/>
    <w:next w:val="Normal"/>
    <w:qFormat/>
    <w:rsid w:val="00F61A78"/>
    <w:pPr>
      <w:keepNext/>
      <w:keepLines/>
      <w:spacing w:before="240"/>
      <w:outlineLvl w:val="1"/>
    </w:pPr>
    <w:rPr>
      <w:b/>
      <w:spacing w:val="2"/>
      <w:kern w:val="14"/>
    </w:rPr>
  </w:style>
  <w:style w:type="paragraph" w:customStyle="1" w:styleId="JournalHeading4">
    <w:name w:val="Journal_Heading4"/>
    <w:basedOn w:val="Normal"/>
    <w:next w:val="Normal"/>
    <w:qFormat/>
    <w:rsid w:val="0006088E"/>
    <w:pPr>
      <w:keepNext/>
      <w:keepLines/>
      <w:spacing w:before="240"/>
      <w:outlineLvl w:val="3"/>
    </w:pPr>
    <w:rPr>
      <w:i/>
      <w:kern w:val="14"/>
    </w:rPr>
  </w:style>
  <w:style w:type="character" w:customStyle="1" w:styleId="Heading1Char">
    <w:name w:val="Heading 1 Char"/>
    <w:link w:val="Heading1"/>
    <w:uiPriority w:val="9"/>
    <w:rsid w:val="00BB0959"/>
    <w:rPr>
      <w:rFonts w:ascii="Arial" w:eastAsia="Times New Roman" w:hAnsi="Arial" w:cs="Times New Roman"/>
      <w:b/>
      <w:bCs/>
      <w:spacing w:val="4"/>
      <w:w w:val="103"/>
      <w:kern w:val="32"/>
      <w:sz w:val="32"/>
      <w:szCs w:val="28"/>
    </w:rPr>
  </w:style>
  <w:style w:type="character" w:customStyle="1" w:styleId="Heading2Char">
    <w:name w:val="Heading 2 Char"/>
    <w:link w:val="Heading2"/>
    <w:uiPriority w:val="9"/>
    <w:rsid w:val="00F61A78"/>
    <w:rPr>
      <w:rFonts w:ascii="Arial" w:eastAsia="Times New Roman" w:hAnsi="Arial" w:cs="Times New Roman"/>
      <w:b/>
      <w:bCs/>
      <w:i/>
      <w:spacing w:val="4"/>
      <w:w w:val="103"/>
      <w:kern w:val="14"/>
      <w:sz w:val="28"/>
      <w:szCs w:val="26"/>
    </w:rPr>
  </w:style>
  <w:style w:type="character" w:customStyle="1" w:styleId="Heading3Char">
    <w:name w:val="Heading 3 Char"/>
    <w:link w:val="Heading3"/>
    <w:uiPriority w:val="9"/>
    <w:rsid w:val="00F61A78"/>
    <w:rPr>
      <w:rFonts w:ascii="Arial" w:eastAsia="Times New Roman" w:hAnsi="Arial" w:cs="Times New Roman"/>
      <w:b/>
      <w:bCs/>
      <w:spacing w:val="4"/>
      <w:w w:val="103"/>
      <w:kern w:val="14"/>
      <w:sz w:val="26"/>
    </w:rPr>
  </w:style>
  <w:style w:type="character" w:customStyle="1" w:styleId="Heading4Char">
    <w:name w:val="Heading 4 Char"/>
    <w:link w:val="Heading4"/>
    <w:uiPriority w:val="9"/>
    <w:semiHidden/>
    <w:rsid w:val="001C2E87"/>
    <w:rPr>
      <w:rFonts w:ascii="Cambria" w:eastAsia="Times New Roman" w:hAnsi="Cambria" w:cs="Times New Roman"/>
      <w:b/>
      <w:bCs/>
      <w:i/>
      <w:iCs/>
    </w:rPr>
  </w:style>
  <w:style w:type="character" w:customStyle="1" w:styleId="Heading5Char">
    <w:name w:val="Heading 5 Char"/>
    <w:link w:val="Heading5"/>
    <w:uiPriority w:val="9"/>
    <w:semiHidden/>
    <w:rsid w:val="001C2E87"/>
    <w:rPr>
      <w:rFonts w:ascii="Cambria" w:eastAsia="Times New Roman" w:hAnsi="Cambria" w:cs="Times New Roman"/>
      <w:b/>
      <w:bCs/>
      <w:color w:val="7F7F7F"/>
    </w:rPr>
  </w:style>
  <w:style w:type="character" w:customStyle="1" w:styleId="Heading6Char">
    <w:name w:val="Heading 6 Char"/>
    <w:link w:val="Heading6"/>
    <w:uiPriority w:val="9"/>
    <w:semiHidden/>
    <w:rsid w:val="001C2E87"/>
    <w:rPr>
      <w:rFonts w:ascii="Cambria" w:eastAsia="Times New Roman" w:hAnsi="Cambria" w:cs="Times New Roman"/>
      <w:b/>
      <w:bCs/>
      <w:i/>
      <w:iCs/>
      <w:color w:val="7F7F7F"/>
    </w:rPr>
  </w:style>
  <w:style w:type="character" w:customStyle="1" w:styleId="Heading7Char">
    <w:name w:val="Heading 7 Char"/>
    <w:link w:val="Heading7"/>
    <w:uiPriority w:val="9"/>
    <w:semiHidden/>
    <w:rsid w:val="001C2E87"/>
    <w:rPr>
      <w:rFonts w:ascii="Cambria" w:eastAsia="Times New Roman" w:hAnsi="Cambria" w:cs="Times New Roman"/>
      <w:i/>
      <w:iCs/>
    </w:rPr>
  </w:style>
  <w:style w:type="character" w:customStyle="1" w:styleId="Heading8Char">
    <w:name w:val="Heading 8 Char"/>
    <w:link w:val="Heading8"/>
    <w:uiPriority w:val="9"/>
    <w:semiHidden/>
    <w:rsid w:val="001C2E87"/>
    <w:rPr>
      <w:rFonts w:ascii="Cambria" w:eastAsia="Times New Roman" w:hAnsi="Cambria" w:cs="Times New Roman"/>
      <w:sz w:val="20"/>
      <w:szCs w:val="20"/>
    </w:rPr>
  </w:style>
  <w:style w:type="character" w:customStyle="1" w:styleId="Heading9Char">
    <w:name w:val="Heading 9 Char"/>
    <w:link w:val="Heading9"/>
    <w:uiPriority w:val="9"/>
    <w:semiHidden/>
    <w:rsid w:val="001C2E87"/>
    <w:rPr>
      <w:rFonts w:ascii="Cambria" w:eastAsia="Times New Roman" w:hAnsi="Cambria" w:cs="Times New Roman"/>
      <w:i/>
      <w:iCs/>
      <w:spacing w:val="5"/>
      <w:sz w:val="20"/>
      <w:szCs w:val="20"/>
    </w:rPr>
  </w:style>
  <w:style w:type="paragraph" w:styleId="NoSpacing">
    <w:name w:val="No Spacing"/>
    <w:basedOn w:val="Normal"/>
    <w:uiPriority w:val="1"/>
    <w:rsid w:val="001C2E87"/>
    <w:pPr>
      <w:spacing w:line="240" w:lineRule="auto"/>
    </w:pPr>
  </w:style>
  <w:style w:type="paragraph" w:styleId="TOCHeading">
    <w:name w:val="TOC Heading"/>
    <w:basedOn w:val="Heading1"/>
    <w:next w:val="Normal"/>
    <w:uiPriority w:val="39"/>
    <w:semiHidden/>
    <w:unhideWhenUsed/>
    <w:qFormat/>
    <w:rsid w:val="001C2E87"/>
    <w:pPr>
      <w:outlineLvl w:val="9"/>
    </w:pPr>
    <w:rPr>
      <w:rFonts w:eastAsiaTheme="majorEastAsia" w:cstheme="majorBidi"/>
      <w:lang w:bidi="en-US"/>
    </w:rPr>
  </w:style>
  <w:style w:type="paragraph" w:styleId="Caption">
    <w:name w:val="caption"/>
    <w:basedOn w:val="Normal"/>
    <w:next w:val="Normal"/>
    <w:uiPriority w:val="35"/>
    <w:semiHidden/>
    <w:unhideWhenUsed/>
    <w:rsid w:val="001C2E87"/>
    <w:pPr>
      <w:spacing w:line="240" w:lineRule="auto"/>
    </w:pPr>
    <w:rPr>
      <w:b/>
      <w:bCs/>
      <w:color w:val="4F81BD"/>
      <w:sz w:val="18"/>
      <w:szCs w:val="18"/>
    </w:rPr>
  </w:style>
  <w:style w:type="paragraph" w:customStyle="1" w:styleId="Distribution">
    <w:name w:val="Distribution"/>
    <w:next w:val="Normal"/>
    <w:autoRedefine/>
    <w:qFormat/>
    <w:rsid w:val="001023C5"/>
    <w:rPr>
      <w:rFonts w:ascii="Times New Roman" w:hAnsi="Times New Roman"/>
      <w:spacing w:val="4"/>
      <w:w w:val="103"/>
      <w:szCs w:val="22"/>
      <w:lang w:val="es-ES"/>
    </w:rPr>
  </w:style>
  <w:style w:type="paragraph" w:customStyle="1" w:styleId="Publication">
    <w:name w:val="Publication"/>
    <w:next w:val="Normal"/>
    <w:autoRedefine/>
    <w:qFormat/>
    <w:rsid w:val="00871928"/>
    <w:rPr>
      <w:rFonts w:ascii="Times New Roman" w:hAnsi="Times New Roman"/>
      <w:spacing w:val="4"/>
      <w:w w:val="103"/>
      <w:szCs w:val="22"/>
      <w:lang w:val="es-ES"/>
    </w:rPr>
  </w:style>
  <w:style w:type="paragraph" w:customStyle="1" w:styleId="Original">
    <w:name w:val="Original"/>
    <w:next w:val="Normal"/>
    <w:autoRedefine/>
    <w:qFormat/>
    <w:rsid w:val="00871928"/>
    <w:rPr>
      <w:rFonts w:ascii="Times New Roman" w:hAnsi="Times New Roman"/>
      <w:spacing w:val="4"/>
      <w:w w:val="103"/>
      <w:szCs w:val="22"/>
      <w:lang w:val="es-ES"/>
    </w:rPr>
  </w:style>
  <w:style w:type="paragraph" w:customStyle="1" w:styleId="ReleaseDate">
    <w:name w:val="ReleaseDate"/>
    <w:next w:val="Footer"/>
    <w:autoRedefine/>
    <w:qFormat/>
    <w:rsid w:val="00871928"/>
    <w:rPr>
      <w:rFonts w:ascii="Times New Roman" w:hAnsi="Times New Roman"/>
      <w:spacing w:val="4"/>
      <w:w w:val="103"/>
      <w:szCs w:val="22"/>
      <w:lang w:val="es-ES"/>
    </w:rPr>
  </w:style>
  <w:style w:type="paragraph" w:customStyle="1" w:styleId="Session">
    <w:name w:val="Session"/>
    <w:basedOn w:val="H23"/>
    <w:autoRedefine/>
    <w:qFormat/>
    <w:rsid w:val="00871928"/>
  </w:style>
  <w:style w:type="paragraph" w:customStyle="1" w:styleId="Committee">
    <w:name w:val="Committee"/>
    <w:basedOn w:val="H1"/>
    <w:autoRedefine/>
    <w:qFormat/>
    <w:rsid w:val="00894D50"/>
    <w:pPr>
      <w:ind w:right="1267"/>
    </w:pPr>
  </w:style>
  <w:style w:type="paragraph" w:customStyle="1" w:styleId="AgendaTitle">
    <w:name w:val="Agenda Title"/>
    <w:basedOn w:val="Normal"/>
    <w:next w:val="Normal"/>
    <w:autoRedefine/>
    <w:qFormat/>
    <w:rsid w:val="00894D50"/>
  </w:style>
  <w:style w:type="paragraph" w:customStyle="1" w:styleId="Sponsors">
    <w:name w:val="Sponsors"/>
    <w:basedOn w:val="H23"/>
    <w:autoRedefine/>
    <w:qFormat/>
    <w:rsid w:val="00894D50"/>
    <w:pPr>
      <w:tabs>
        <w:tab w:val="right" w:pos="1022"/>
        <w:tab w:val="left" w:pos="1267"/>
      </w:tabs>
      <w:ind w:left="1267" w:right="1267" w:hanging="1267"/>
    </w:pPr>
  </w:style>
  <w:style w:type="paragraph" w:customStyle="1" w:styleId="Title1">
    <w:name w:val="Title 1"/>
    <w:basedOn w:val="HCh"/>
    <w:autoRedefine/>
    <w:qFormat/>
    <w:rsid w:val="005053EA"/>
    <w:pPr>
      <w:tabs>
        <w:tab w:val="right" w:pos="1022"/>
        <w:tab w:val="left" w:pos="1267"/>
      </w:tabs>
      <w:ind w:left="1267" w:right="1267" w:hanging="1267"/>
    </w:pPr>
    <w:rPr>
      <w:lang w:val="en-US"/>
    </w:rPr>
  </w:style>
  <w:style w:type="paragraph" w:customStyle="1" w:styleId="Title2">
    <w:name w:val="Title 2"/>
    <w:basedOn w:val="H1"/>
    <w:autoRedefine/>
    <w:qFormat/>
    <w:rsid w:val="005053EA"/>
    <w:pPr>
      <w:tabs>
        <w:tab w:val="right" w:pos="1022"/>
        <w:tab w:val="left" w:pos="1267"/>
      </w:tabs>
      <w:ind w:left="1267" w:right="1267" w:hanging="1267"/>
    </w:pPr>
  </w:style>
  <w:style w:type="paragraph" w:customStyle="1" w:styleId="Type">
    <w:name w:val="Type"/>
    <w:basedOn w:val="H23"/>
    <w:autoRedefine/>
    <w:qFormat/>
    <w:rsid w:val="005053EA"/>
    <w:pPr>
      <w:tabs>
        <w:tab w:val="right" w:pos="1022"/>
        <w:tab w:val="left" w:pos="1267"/>
      </w:tabs>
      <w:ind w:left="1267" w:right="1267" w:hanging="1267"/>
    </w:pPr>
  </w:style>
  <w:style w:type="paragraph" w:styleId="CommentText">
    <w:name w:val="annotation text"/>
    <w:basedOn w:val="Normal"/>
    <w:link w:val="CommentTextChar"/>
    <w:rsid w:val="00A3227F"/>
    <w:pPr>
      <w:spacing w:line="240" w:lineRule="auto"/>
    </w:pPr>
    <w:rPr>
      <w:szCs w:val="20"/>
    </w:rPr>
  </w:style>
  <w:style w:type="character" w:customStyle="1" w:styleId="CommentTextChar">
    <w:name w:val="Comment Text Char"/>
    <w:basedOn w:val="DefaultParagraphFont"/>
    <w:link w:val="CommentText"/>
    <w:rsid w:val="00A3227F"/>
    <w:rPr>
      <w:rFonts w:ascii="Times New Roman" w:hAnsi="Times New Roman"/>
      <w:spacing w:val="4"/>
      <w:w w:val="103"/>
      <w:lang w:val="es-ES"/>
    </w:rPr>
  </w:style>
  <w:style w:type="paragraph" w:styleId="CommentSubject">
    <w:name w:val="annotation subject"/>
    <w:basedOn w:val="CommentText"/>
    <w:next w:val="CommentText"/>
    <w:link w:val="CommentSubjectChar"/>
    <w:rsid w:val="00A3227F"/>
    <w:rPr>
      <w:b/>
      <w:bCs/>
    </w:rPr>
  </w:style>
  <w:style w:type="character" w:customStyle="1" w:styleId="CommentSubjectChar">
    <w:name w:val="Comment Subject Char"/>
    <w:basedOn w:val="CommentTextChar"/>
    <w:link w:val="CommentSubject"/>
    <w:rsid w:val="00A3227F"/>
    <w:rPr>
      <w:rFonts w:ascii="Times New Roman" w:hAnsi="Times New Roman"/>
      <w:b/>
      <w:bCs/>
      <w:spacing w:val="4"/>
      <w:w w:val="103"/>
      <w:lang w:val="es-ES"/>
    </w:rPr>
  </w:style>
  <w:style w:type="paragraph" w:styleId="ListParagraph">
    <w:name w:val="List Paragraph"/>
    <w:basedOn w:val="Normal"/>
    <w:uiPriority w:val="34"/>
    <w:rsid w:val="00771F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5415488">
      <w:bodyDiv w:val="1"/>
      <w:marLeft w:val="0"/>
      <w:marRight w:val="0"/>
      <w:marTop w:val="0"/>
      <w:marBottom w:val="0"/>
      <w:divBdr>
        <w:top w:val="none" w:sz="0" w:space="0" w:color="auto"/>
        <w:left w:val="none" w:sz="0" w:space="0" w:color="auto"/>
        <w:bottom w:val="none" w:sz="0" w:space="0" w:color="auto"/>
        <w:right w:val="none" w:sz="0" w:space="0" w:color="auto"/>
      </w:divBdr>
    </w:div>
    <w:div w:id="574903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omments" Target="comments.xml"/><Relationship Id="rId10" Type="http://schemas.openxmlformats.org/officeDocument/2006/relationships/header" Target="header2.xml"/><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gi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4D1FD-E6D8-4896-A5CC-64BD44A466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16519</Words>
  <Characters>90859</Characters>
  <Application>Microsoft Office Word</Application>
  <DocSecurity>0</DocSecurity>
  <Lines>757</Lines>
  <Paragraphs>214</Paragraphs>
  <ScaleCrop>false</ScaleCrop>
  <HeadingPairs>
    <vt:vector size="2" baseType="variant">
      <vt:variant>
        <vt:lpstr>Title</vt:lpstr>
      </vt:variant>
      <vt:variant>
        <vt:i4>1</vt:i4>
      </vt:variant>
    </vt:vector>
  </HeadingPairs>
  <TitlesOfParts>
    <vt:vector size="1" baseType="lpstr">
      <vt:lpstr>Spanish Text Processing Unit</vt:lpstr>
    </vt:vector>
  </TitlesOfParts>
  <Company>DCM</Company>
  <LinksUpToDate>false</LinksUpToDate>
  <CharactersWithSpaces>107164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Spanish Text Processing Unit</dc:title>
  <dc:subject/>
  <dc:creator>s04</dc:creator>
  <cp:keywords/>
  <dc:description/>
  <cp:lastModifiedBy>Maruchi Zeballos</cp:lastModifiedBy>
  <cp:revision>3</cp:revision>
  <cp:lastPrinted>2015-06-11T11:37:00Z</cp:lastPrinted>
  <dcterms:created xsi:type="dcterms:W3CDTF">2015-06-11T11:37:00Z</dcterms:created>
  <dcterms:modified xsi:type="dcterms:W3CDTF">2015-06-11T11:37:00Z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1504585</vt:lpwstr>
  </property>
  <property fmtid="{D5CDD505-2E9C-101B-9397-08002B2CF9AE}" pid="3" name="ODSRefJobNo">
    <vt:lpwstr>1506110</vt:lpwstr>
  </property>
  <property fmtid="{D5CDD505-2E9C-101B-9397-08002B2CF9AE}" pid="4" name="Symbol1">
    <vt:lpwstr>HRI/CORE/MWI/2014</vt:lpwstr>
  </property>
  <property fmtid="{D5CDD505-2E9C-101B-9397-08002B2CF9AE}" pid="5" name="Symbol2">
    <vt:lpwstr/>
  </property>
  <property fmtid="{D5CDD505-2E9C-101B-9397-08002B2CF9AE}" pid="6" name="Distribution">
    <vt:lpwstr>general</vt:lpwstr>
  </property>
  <property fmtid="{D5CDD505-2E9C-101B-9397-08002B2CF9AE}" pid="7" name="Publication Date">
    <vt:lpwstr>24 de agosto de 2015</vt:lpwstr>
  </property>
  <property fmtid="{D5CDD505-2E9C-101B-9397-08002B2CF9AE}" pid="8" name="Original">
    <vt:lpwstr>inglés</vt:lpwstr>
  </property>
  <property fmtid="{D5CDD505-2E9C-101B-9397-08002B2CF9AE}" pid="9" name="Release Date">
    <vt:lpwstr>030615</vt:lpwstr>
  </property>
  <property fmtid="{D5CDD505-2E9C-101B-9397-08002B2CF9AE}" pid="10" name="Comment">
    <vt:lpwstr/>
  </property>
  <property fmtid="{D5CDD505-2E9C-101B-9397-08002B2CF9AE}" pid="11" name="DraftPages">
    <vt:lpwstr> </vt:lpwstr>
  </property>
  <property fmtid="{D5CDD505-2E9C-101B-9397-08002B2CF9AE}" pid="12" name="Operator">
    <vt:lpwstr>R. Meriño MacKay</vt:lpwstr>
  </property>
  <property fmtid="{D5CDD505-2E9C-101B-9397-08002B2CF9AE}" pid="13" name="Translator">
    <vt:lpwstr>R. Meriño MacKay</vt:lpwstr>
  </property>
</Properties>
</file>