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094EC7" w:rsidRDefault="00094EC7" w:rsidP="00DC68EC">
            <w:pPr>
              <w:spacing w:line="240" w:lineRule="atLeast"/>
              <w:jc w:val="right"/>
              <w:rPr>
                <w:sz w:val="20"/>
                <w:szCs w:val="21"/>
              </w:rPr>
            </w:pPr>
            <w:proofErr w:type="spellStart"/>
            <w:r w:rsidRPr="00094EC7">
              <w:rPr>
                <w:sz w:val="40"/>
                <w:szCs w:val="21"/>
              </w:rPr>
              <w:t>HRI</w:t>
            </w:r>
            <w:proofErr w:type="spellEnd"/>
            <w:r>
              <w:rPr>
                <w:sz w:val="20"/>
                <w:szCs w:val="21"/>
              </w:rPr>
              <w:t>/CORE/FIN/2020</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094EC7" w:rsidP="00DC68EC">
            <w:pPr>
              <w:spacing w:line="240" w:lineRule="atLeast"/>
              <w:rPr>
                <w:sz w:val="20"/>
              </w:rPr>
            </w:pPr>
            <w:r>
              <w:rPr>
                <w:rFonts w:hint="eastAsia"/>
                <w:sz w:val="20"/>
              </w:rPr>
              <w:t>4</w:t>
            </w:r>
            <w:r>
              <w:rPr>
                <w:sz w:val="20"/>
              </w:rPr>
              <w:t xml:space="preserve"> </w:t>
            </w:r>
            <w:r w:rsidRPr="00094EC7">
              <w:rPr>
                <w:sz w:val="20"/>
              </w:rPr>
              <w:t>August</w:t>
            </w:r>
            <w:r w:rsidR="0013023B">
              <w:rPr>
                <w:sz w:val="20"/>
              </w:rPr>
              <w:t xml:space="preserve"> 20</w:t>
            </w:r>
            <w:r w:rsidR="00821D87">
              <w:rPr>
                <w:sz w:val="20"/>
              </w:rPr>
              <w:t>20</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164236" w:rsidRDefault="00164236" w:rsidP="00164236">
      <w:pPr>
        <w:pStyle w:val="HMGC"/>
      </w:pPr>
      <w:r>
        <w:tab/>
      </w:r>
      <w:r>
        <w:tab/>
      </w:r>
      <w:r w:rsidR="00094EC7" w:rsidRPr="00094EC7">
        <w:rPr>
          <w:rFonts w:hint="eastAsia"/>
        </w:rPr>
        <w:t>作为缔约国报告组成部分的共同核心</w:t>
      </w:r>
      <w:r>
        <w:rPr>
          <w:rFonts w:hint="eastAsia"/>
        </w:rPr>
        <w:t>文件</w:t>
      </w:r>
    </w:p>
    <w:p w:rsidR="00164236" w:rsidRPr="00164236" w:rsidRDefault="00164236" w:rsidP="00164236">
      <w:pPr>
        <w:pStyle w:val="HMGC"/>
      </w:pPr>
      <w:r>
        <w:tab/>
      </w:r>
      <w:r>
        <w:tab/>
      </w:r>
      <w:r w:rsidR="00094EC7" w:rsidRPr="00094EC7">
        <w:rPr>
          <w:rFonts w:hint="eastAsia"/>
        </w:rPr>
        <w:t>芬兰</w:t>
      </w:r>
      <w:r w:rsidRPr="00164236">
        <w:rPr>
          <w:rStyle w:val="a8"/>
          <w:rFonts w:eastAsia="黑体"/>
          <w:position w:val="6"/>
          <w:sz w:val="28"/>
          <w:szCs w:val="28"/>
          <w:vertAlign w:val="baseline"/>
        </w:rPr>
        <w:footnoteReference w:customMarkFollows="1" w:id="2"/>
        <w:t>*</w:t>
      </w:r>
      <w:r w:rsidR="005F6BC3">
        <w:rPr>
          <w:position w:val="6"/>
          <w:sz w:val="28"/>
          <w:szCs w:val="28"/>
        </w:rPr>
        <w:t xml:space="preserve"> </w:t>
      </w:r>
      <w:r w:rsidR="005F6BC3" w:rsidRPr="005F6BC3">
        <w:rPr>
          <w:rStyle w:val="a8"/>
          <w:rFonts w:eastAsia="黑体"/>
          <w:position w:val="6"/>
          <w:sz w:val="28"/>
          <w:szCs w:val="28"/>
          <w:vertAlign w:val="baseline"/>
        </w:rPr>
        <w:footnoteReference w:customMarkFollows="1" w:id="3"/>
        <w:t>**</w:t>
      </w:r>
    </w:p>
    <w:p w:rsidR="005F6BC3" w:rsidRDefault="00164236" w:rsidP="005F6BC3">
      <w:pPr>
        <w:wordWrap w:val="0"/>
        <w:jc w:val="right"/>
      </w:pPr>
      <w:r>
        <w:rPr>
          <w:rFonts w:hint="eastAsia"/>
        </w:rPr>
        <w:t>［</w:t>
      </w:r>
      <w:r w:rsidR="005F6BC3" w:rsidRPr="005F6BC3">
        <w:rPr>
          <w:rFonts w:hint="eastAsia"/>
        </w:rPr>
        <w:t>收到日期：</w:t>
      </w:r>
      <w:r w:rsidR="005F6BC3" w:rsidRPr="005F6BC3">
        <w:rPr>
          <w:rFonts w:hint="eastAsia"/>
        </w:rPr>
        <w:t>2020</w:t>
      </w:r>
      <w:r w:rsidR="005F6BC3" w:rsidRPr="005F6BC3">
        <w:rPr>
          <w:rFonts w:hint="eastAsia"/>
        </w:rPr>
        <w:t>年</w:t>
      </w:r>
      <w:r w:rsidR="005F6BC3" w:rsidRPr="005F6BC3">
        <w:rPr>
          <w:rFonts w:hint="eastAsia"/>
        </w:rPr>
        <w:t>3</w:t>
      </w:r>
      <w:r w:rsidR="005F6BC3" w:rsidRPr="005F6BC3">
        <w:rPr>
          <w:rFonts w:hint="eastAsia"/>
        </w:rPr>
        <w:t>月</w:t>
      </w:r>
      <w:r w:rsidR="005F6BC3" w:rsidRPr="005F6BC3">
        <w:rPr>
          <w:rFonts w:hint="eastAsia"/>
        </w:rPr>
        <w:t>17</w:t>
      </w:r>
      <w:r w:rsidR="005F6BC3" w:rsidRPr="005F6BC3">
        <w:rPr>
          <w:rFonts w:hint="eastAsia"/>
        </w:rPr>
        <w:t>日</w:t>
      </w:r>
      <w:r>
        <w:rPr>
          <w:rFonts w:hint="eastAsia"/>
        </w:rPr>
        <w:t>］</w:t>
      </w:r>
    </w:p>
    <w:p w:rsidR="00831FD4" w:rsidRDefault="00831FD4">
      <w:pPr>
        <w:tabs>
          <w:tab w:val="clear" w:pos="431"/>
        </w:tabs>
        <w:overflowPunct/>
        <w:adjustRightInd/>
        <w:snapToGrid/>
        <w:spacing w:line="240" w:lineRule="auto"/>
        <w:jc w:val="left"/>
      </w:pPr>
      <w:r>
        <w:br w:type="page"/>
      </w:r>
    </w:p>
    <w:p w:rsidR="003C538B" w:rsidRDefault="003C538B" w:rsidP="000B2431">
      <w:pPr>
        <w:pStyle w:val="HChGC"/>
      </w:pPr>
      <w:r>
        <w:rPr>
          <w:rFonts w:hint="eastAsia"/>
        </w:rPr>
        <w:lastRenderedPageBreak/>
        <w:tab/>
      </w:r>
      <w:proofErr w:type="gramStart"/>
      <w:r>
        <w:rPr>
          <w:rFonts w:hint="eastAsia"/>
        </w:rPr>
        <w:t>一</w:t>
      </w:r>
      <w:proofErr w:type="gramEnd"/>
      <w:r>
        <w:rPr>
          <w:rFonts w:hint="eastAsia"/>
        </w:rPr>
        <w:t>.</w:t>
      </w:r>
      <w:r>
        <w:rPr>
          <w:rFonts w:hint="eastAsia"/>
        </w:rPr>
        <w:tab/>
      </w:r>
      <w:r>
        <w:rPr>
          <w:rFonts w:hint="eastAsia"/>
        </w:rPr>
        <w:t>芬兰概况</w:t>
      </w:r>
    </w:p>
    <w:p w:rsidR="003C538B" w:rsidRDefault="003C538B" w:rsidP="000B2431">
      <w:pPr>
        <w:pStyle w:val="H1GC"/>
      </w:pPr>
      <w:r>
        <w:rPr>
          <w:rFonts w:hint="eastAsia"/>
        </w:rPr>
        <w:tab/>
        <w:t>A.</w:t>
      </w:r>
      <w:r>
        <w:rPr>
          <w:rFonts w:hint="eastAsia"/>
        </w:rPr>
        <w:tab/>
      </w:r>
      <w:r>
        <w:rPr>
          <w:rFonts w:hint="eastAsia"/>
        </w:rPr>
        <w:t>人、经济、卫生、社会保障、幼儿教育和保育、教育和培训以及就业</w:t>
      </w:r>
    </w:p>
    <w:p w:rsidR="003C538B" w:rsidRDefault="003C538B" w:rsidP="000B2431">
      <w:pPr>
        <w:pStyle w:val="H23GC"/>
      </w:pPr>
      <w:r>
        <w:rPr>
          <w:rFonts w:hint="eastAsia"/>
        </w:rPr>
        <w:tab/>
        <w:t>(a)</w:t>
      </w:r>
      <w:r>
        <w:rPr>
          <w:rFonts w:hint="eastAsia"/>
        </w:rPr>
        <w:tab/>
      </w:r>
      <w:r>
        <w:rPr>
          <w:rFonts w:hint="eastAsia"/>
        </w:rPr>
        <w:t>人</w:t>
      </w:r>
    </w:p>
    <w:p w:rsidR="003C538B" w:rsidRDefault="003C538B" w:rsidP="000B2431">
      <w:pPr>
        <w:pStyle w:val="H23GC"/>
      </w:pPr>
      <w:r>
        <w:rPr>
          <w:rFonts w:hint="eastAsia"/>
        </w:rPr>
        <w:tab/>
      </w:r>
      <w:r>
        <w:rPr>
          <w:rFonts w:hint="eastAsia"/>
        </w:rPr>
        <w:tab/>
      </w:r>
      <w:r>
        <w:rPr>
          <w:rFonts w:hint="eastAsia"/>
        </w:rPr>
        <w:t>人口</w:t>
      </w:r>
    </w:p>
    <w:p w:rsidR="003C538B" w:rsidRDefault="003C538B" w:rsidP="003C538B">
      <w:pPr>
        <w:pStyle w:val="SingleTxtGC"/>
      </w:pPr>
      <w:r>
        <w:rPr>
          <w:rFonts w:hint="eastAsia"/>
        </w:rPr>
        <w:t>1.</w:t>
      </w:r>
      <w:r>
        <w:rPr>
          <w:rFonts w:hint="eastAsia"/>
        </w:rPr>
        <w:tab/>
      </w:r>
      <w:r>
        <w:rPr>
          <w:rFonts w:hint="eastAsia"/>
        </w:rPr>
        <w:t>芬兰是欧洲第七大国家</w:t>
      </w:r>
      <w:r>
        <w:rPr>
          <w:rFonts w:hint="eastAsia"/>
        </w:rPr>
        <w:t>(338,424</w:t>
      </w:r>
      <w:r>
        <w:rPr>
          <w:rFonts w:hint="eastAsia"/>
        </w:rPr>
        <w:t>平方公里</w:t>
      </w:r>
      <w:r>
        <w:rPr>
          <w:rFonts w:hint="eastAsia"/>
        </w:rPr>
        <w:t>)</w:t>
      </w:r>
      <w:r>
        <w:rPr>
          <w:rFonts w:hint="eastAsia"/>
        </w:rPr>
        <w:t>。尽管面积较大，但就人口而言，芬兰是欧洲最小的国家之一</w:t>
      </w:r>
      <w:r>
        <w:rPr>
          <w:rFonts w:hint="eastAsia"/>
        </w:rPr>
        <w:t>(</w:t>
      </w:r>
      <w:r>
        <w:rPr>
          <w:rFonts w:hint="eastAsia"/>
        </w:rPr>
        <w:t>约有</w:t>
      </w:r>
      <w:r>
        <w:rPr>
          <w:rFonts w:hint="eastAsia"/>
        </w:rPr>
        <w:t>550</w:t>
      </w:r>
      <w:r>
        <w:rPr>
          <w:rFonts w:hint="eastAsia"/>
        </w:rPr>
        <w:t>万居民</w:t>
      </w:r>
      <w:r>
        <w:rPr>
          <w:rFonts w:hint="eastAsia"/>
        </w:rPr>
        <w:t>)</w:t>
      </w:r>
      <w:r>
        <w:rPr>
          <w:rFonts w:hint="eastAsia"/>
        </w:rPr>
        <w:t>。女性人数略多于男性。</w:t>
      </w:r>
      <w:r>
        <w:rPr>
          <w:rFonts w:hint="eastAsia"/>
        </w:rPr>
        <w:t>2018</w:t>
      </w:r>
      <w:r>
        <w:rPr>
          <w:rFonts w:hint="eastAsia"/>
        </w:rPr>
        <w:t>年初，芬兰的人口密度为每平方公里</w:t>
      </w:r>
      <w:r>
        <w:rPr>
          <w:rFonts w:hint="eastAsia"/>
        </w:rPr>
        <w:t>18</w:t>
      </w:r>
      <w:r>
        <w:rPr>
          <w:rFonts w:hint="eastAsia"/>
        </w:rPr>
        <w:t>人。</w:t>
      </w:r>
    </w:p>
    <w:p w:rsidR="003C538B" w:rsidRDefault="003C538B" w:rsidP="003C538B">
      <w:pPr>
        <w:pStyle w:val="SingleTxtGC"/>
      </w:pPr>
      <w:r>
        <w:rPr>
          <w:rFonts w:hint="eastAsia"/>
        </w:rPr>
        <w:t>2.</w:t>
      </w:r>
      <w:r>
        <w:rPr>
          <w:rFonts w:hint="eastAsia"/>
        </w:rPr>
        <w:tab/>
      </w:r>
      <w:r>
        <w:rPr>
          <w:rFonts w:hint="eastAsia"/>
        </w:rPr>
        <w:t>芬兰自</w:t>
      </w:r>
      <w:r>
        <w:rPr>
          <w:rFonts w:hint="eastAsia"/>
        </w:rPr>
        <w:t>1749</w:t>
      </w:r>
      <w:r>
        <w:rPr>
          <w:rFonts w:hint="eastAsia"/>
        </w:rPr>
        <w:t>年开始编制人口统计数据，当时该国人口为</w:t>
      </w:r>
      <w:r>
        <w:rPr>
          <w:rFonts w:hint="eastAsia"/>
        </w:rPr>
        <w:t>410,400</w:t>
      </w:r>
      <w:r>
        <w:rPr>
          <w:rFonts w:hint="eastAsia"/>
        </w:rPr>
        <w:t>人。除了例外的几年，芬兰人口从那时起一直在稳步增长。最大的人口损失发生在</w:t>
      </w:r>
      <w:r>
        <w:rPr>
          <w:rFonts w:hint="eastAsia"/>
        </w:rPr>
        <w:t>1868</w:t>
      </w:r>
      <w:r>
        <w:rPr>
          <w:rFonts w:hint="eastAsia"/>
        </w:rPr>
        <w:t>年的饥荒年，当时人口减少了</w:t>
      </w:r>
      <w:r>
        <w:rPr>
          <w:rFonts w:hint="eastAsia"/>
        </w:rPr>
        <w:t>96,000</w:t>
      </w:r>
      <w:r>
        <w:rPr>
          <w:rFonts w:hint="eastAsia"/>
        </w:rPr>
        <w:t>多人。距今最近的发生人口损失的几年可归因于</w:t>
      </w:r>
      <w:r>
        <w:rPr>
          <w:rFonts w:hint="eastAsia"/>
        </w:rPr>
        <w:t>1969</w:t>
      </w:r>
      <w:r>
        <w:rPr>
          <w:rFonts w:hint="eastAsia"/>
        </w:rPr>
        <w:t>年和</w:t>
      </w:r>
      <w:r>
        <w:rPr>
          <w:rFonts w:hint="eastAsia"/>
        </w:rPr>
        <w:t>1970</w:t>
      </w:r>
      <w:r>
        <w:rPr>
          <w:rFonts w:hint="eastAsia"/>
        </w:rPr>
        <w:t>年芬兰人向瑞典的大规模移民。截至</w:t>
      </w:r>
      <w:r>
        <w:rPr>
          <w:rFonts w:hint="eastAsia"/>
        </w:rPr>
        <w:t>2018</w:t>
      </w:r>
      <w:r>
        <w:rPr>
          <w:rFonts w:hint="eastAsia"/>
        </w:rPr>
        <w:t>年底，芬兰人口为</w:t>
      </w:r>
      <w:r>
        <w:rPr>
          <w:rFonts w:hint="eastAsia"/>
        </w:rPr>
        <w:t>5,517,919</w:t>
      </w:r>
      <w:r>
        <w:rPr>
          <w:rFonts w:hint="eastAsia"/>
        </w:rPr>
        <w:t>人。</w:t>
      </w:r>
    </w:p>
    <w:p w:rsidR="003C538B" w:rsidRDefault="003C538B" w:rsidP="003C538B">
      <w:pPr>
        <w:pStyle w:val="SingleTxtGC"/>
      </w:pPr>
      <w:r>
        <w:rPr>
          <w:rFonts w:hint="eastAsia"/>
        </w:rPr>
        <w:t>3.</w:t>
      </w:r>
      <w:r>
        <w:rPr>
          <w:rFonts w:hint="eastAsia"/>
        </w:rPr>
        <w:tab/>
      </w:r>
      <w:r>
        <w:rPr>
          <w:rFonts w:hint="eastAsia"/>
        </w:rPr>
        <w:t>近年来，芬兰人口以每年</w:t>
      </w:r>
      <w:r>
        <w:rPr>
          <w:rFonts w:hint="eastAsia"/>
        </w:rPr>
        <w:t>0.5%</w:t>
      </w:r>
      <w:r>
        <w:rPr>
          <w:rFonts w:hint="eastAsia"/>
        </w:rPr>
        <w:t>左右的速度增长。</w:t>
      </w:r>
      <w:proofErr w:type="gramStart"/>
      <w:r>
        <w:rPr>
          <w:rFonts w:hint="eastAsia"/>
        </w:rPr>
        <w:t>2000</w:t>
      </w:r>
      <w:proofErr w:type="gramEnd"/>
      <w:r>
        <w:rPr>
          <w:rFonts w:hint="eastAsia"/>
        </w:rPr>
        <w:t>年代，外国净移民在人口增长中所占的份额越来越大，自</w:t>
      </w:r>
      <w:r>
        <w:rPr>
          <w:rFonts w:hint="eastAsia"/>
        </w:rPr>
        <w:t>2007</w:t>
      </w:r>
      <w:r>
        <w:rPr>
          <w:rFonts w:hint="eastAsia"/>
        </w:rPr>
        <w:t>年以来，芬兰人口的增长更多是由于净移民增长，而不是出生人口增长。</w:t>
      </w:r>
    </w:p>
    <w:p w:rsidR="003C538B" w:rsidRDefault="003C538B" w:rsidP="003C538B">
      <w:pPr>
        <w:pStyle w:val="SingleTxtGC"/>
      </w:pPr>
      <w:r>
        <w:rPr>
          <w:rFonts w:hint="eastAsia"/>
        </w:rPr>
        <w:t>4.</w:t>
      </w:r>
      <w:r>
        <w:rPr>
          <w:rFonts w:hint="eastAsia"/>
        </w:rPr>
        <w:tab/>
        <w:t>2018</w:t>
      </w:r>
      <w:r>
        <w:rPr>
          <w:rFonts w:hint="eastAsia"/>
        </w:rPr>
        <w:t>年将是芬兰死亡率连续第三年高于出生率。尽管人口寿命比以前更长，但出生人数预计将继续下降，死亡人数将继续上升。预计净移民将维持人口增长，直至</w:t>
      </w:r>
      <w:r>
        <w:rPr>
          <w:rFonts w:hint="eastAsia"/>
        </w:rPr>
        <w:t>2035</w:t>
      </w:r>
      <w:r>
        <w:rPr>
          <w:rFonts w:hint="eastAsia"/>
        </w:rPr>
        <w:t>年，届时芬兰人口将达到</w:t>
      </w:r>
      <w:r>
        <w:rPr>
          <w:rFonts w:hint="eastAsia"/>
        </w:rPr>
        <w:t>562</w:t>
      </w:r>
      <w:r>
        <w:rPr>
          <w:rFonts w:hint="eastAsia"/>
        </w:rPr>
        <w:t>万。此后，预计人口最早将在</w:t>
      </w:r>
      <w:proofErr w:type="gramStart"/>
      <w:r>
        <w:rPr>
          <w:rFonts w:hint="eastAsia"/>
        </w:rPr>
        <w:t>2050</w:t>
      </w:r>
      <w:proofErr w:type="gramEnd"/>
      <w:r>
        <w:rPr>
          <w:rFonts w:hint="eastAsia"/>
        </w:rPr>
        <w:t>年代开始下降并低于目前的数字。</w:t>
      </w:r>
    </w:p>
    <w:p w:rsidR="003C538B" w:rsidRDefault="003C538B" w:rsidP="003C538B">
      <w:pPr>
        <w:pStyle w:val="SingleTxtGC"/>
      </w:pPr>
      <w:r>
        <w:rPr>
          <w:rFonts w:hint="eastAsia"/>
        </w:rPr>
        <w:t>5.</w:t>
      </w:r>
      <w:r>
        <w:rPr>
          <w:rFonts w:hint="eastAsia"/>
        </w:rPr>
        <w:tab/>
      </w:r>
      <w:r>
        <w:rPr>
          <w:rFonts w:hint="eastAsia"/>
        </w:rPr>
        <w:t>从农村向城市地区的国内移民继续快速进行，芬兰人口越来越多地集中在最大的城市区。芬兰有九个人口超过</w:t>
      </w:r>
      <w:r>
        <w:rPr>
          <w:rFonts w:hint="eastAsia"/>
        </w:rPr>
        <w:t>100,000</w:t>
      </w:r>
      <w:r>
        <w:rPr>
          <w:rFonts w:hint="eastAsia"/>
        </w:rPr>
        <w:t>的城市，这些城市的人口占全国人口的</w:t>
      </w:r>
      <w:r>
        <w:rPr>
          <w:rFonts w:hint="eastAsia"/>
        </w:rPr>
        <w:t>40%</w:t>
      </w:r>
      <w:r>
        <w:rPr>
          <w:rFonts w:hint="eastAsia"/>
        </w:rPr>
        <w:t>左右。</w:t>
      </w:r>
    </w:p>
    <w:p w:rsidR="003C538B" w:rsidRDefault="003C538B" w:rsidP="003C538B">
      <w:pPr>
        <w:pStyle w:val="SingleTxtGC"/>
      </w:pPr>
      <w:r>
        <w:rPr>
          <w:rFonts w:hint="eastAsia"/>
        </w:rPr>
        <w:t>6.</w:t>
      </w:r>
      <w:r>
        <w:rPr>
          <w:rFonts w:hint="eastAsia"/>
        </w:rPr>
        <w:tab/>
      </w:r>
      <w:r>
        <w:rPr>
          <w:rFonts w:hint="eastAsia"/>
        </w:rPr>
        <w:t>截至</w:t>
      </w:r>
      <w:r>
        <w:rPr>
          <w:rFonts w:hint="eastAsia"/>
        </w:rPr>
        <w:t>2018</w:t>
      </w:r>
      <w:r>
        <w:rPr>
          <w:rFonts w:hint="eastAsia"/>
        </w:rPr>
        <w:t>年底，芬兰人口的受抚养人比率为</w:t>
      </w:r>
      <w:r>
        <w:rPr>
          <w:rFonts w:hint="eastAsia"/>
        </w:rPr>
        <w:t>60.8</w:t>
      </w:r>
      <w:r>
        <w:rPr>
          <w:rFonts w:hint="eastAsia"/>
        </w:rPr>
        <w:t>。该比率显示</w:t>
      </w:r>
      <w:r>
        <w:rPr>
          <w:rFonts w:hint="eastAsia"/>
        </w:rPr>
        <w:t>15</w:t>
      </w:r>
      <w:r>
        <w:rPr>
          <w:rFonts w:hint="eastAsia"/>
        </w:rPr>
        <w:t>岁或以下和</w:t>
      </w:r>
      <w:r>
        <w:rPr>
          <w:rFonts w:hint="eastAsia"/>
        </w:rPr>
        <w:t>65</w:t>
      </w:r>
      <w:r>
        <w:rPr>
          <w:rFonts w:hint="eastAsia"/>
        </w:rPr>
        <w:t>岁或以上占劳动年龄人口</w:t>
      </w:r>
      <w:r>
        <w:rPr>
          <w:rFonts w:hint="eastAsia"/>
        </w:rPr>
        <w:t>(15</w:t>
      </w:r>
      <w:r>
        <w:rPr>
          <w:rFonts w:hint="eastAsia"/>
        </w:rPr>
        <w:t>至</w:t>
      </w:r>
      <w:r>
        <w:rPr>
          <w:rFonts w:hint="eastAsia"/>
        </w:rPr>
        <w:t>64</w:t>
      </w:r>
      <w:r>
        <w:rPr>
          <w:rFonts w:hint="eastAsia"/>
        </w:rPr>
        <w:t>岁</w:t>
      </w:r>
      <w:r>
        <w:rPr>
          <w:rFonts w:hint="eastAsia"/>
        </w:rPr>
        <w:t>)</w:t>
      </w:r>
      <w:r>
        <w:rPr>
          <w:rFonts w:hint="eastAsia"/>
        </w:rPr>
        <w:t>的百分比。</w:t>
      </w:r>
    </w:p>
    <w:p w:rsidR="003C538B" w:rsidRDefault="003C538B" w:rsidP="003C538B">
      <w:pPr>
        <w:pStyle w:val="SingleTxtGC"/>
      </w:pPr>
      <w:r>
        <w:rPr>
          <w:rFonts w:hint="eastAsia"/>
        </w:rPr>
        <w:t>7.</w:t>
      </w:r>
      <w:r>
        <w:rPr>
          <w:rFonts w:hint="eastAsia"/>
        </w:rPr>
        <w:tab/>
      </w:r>
      <w:r>
        <w:rPr>
          <w:rFonts w:hint="eastAsia"/>
        </w:rPr>
        <w:t>根据城市统计分组，人口的受抚养人比率在城市为</w:t>
      </w:r>
      <w:r>
        <w:rPr>
          <w:rFonts w:hint="eastAsia"/>
        </w:rPr>
        <w:t>55.7</w:t>
      </w:r>
      <w:r w:rsidR="003D20CA">
        <w:rPr>
          <w:rFonts w:hint="eastAsia"/>
        </w:rPr>
        <w:t>，</w:t>
      </w:r>
      <w:r>
        <w:rPr>
          <w:rFonts w:hint="eastAsia"/>
        </w:rPr>
        <w:t>半城市化城镇为</w:t>
      </w:r>
      <w:r>
        <w:rPr>
          <w:rFonts w:hint="eastAsia"/>
        </w:rPr>
        <w:t>72.1</w:t>
      </w:r>
      <w:r w:rsidR="003D20CA">
        <w:rPr>
          <w:rFonts w:hint="eastAsia"/>
        </w:rPr>
        <w:t>，</w:t>
      </w:r>
      <w:r>
        <w:rPr>
          <w:rFonts w:hint="eastAsia"/>
        </w:rPr>
        <w:t>农村城镇为</w:t>
      </w:r>
      <w:r>
        <w:rPr>
          <w:rFonts w:hint="eastAsia"/>
        </w:rPr>
        <w:t>79.0</w:t>
      </w:r>
      <w:r>
        <w:rPr>
          <w:rFonts w:hint="eastAsia"/>
        </w:rPr>
        <w:t>。随着城市土地面积的增加，根据城市边界对城市进行分类变得有些困难。城市的合并导致了一种情况，即同一城市内有些地区具有城市特征，而其他地区则是农村特征。</w:t>
      </w:r>
    </w:p>
    <w:p w:rsidR="003C538B" w:rsidRDefault="003C538B" w:rsidP="003C538B">
      <w:pPr>
        <w:pStyle w:val="SingleTxtGC"/>
      </w:pPr>
      <w:r>
        <w:rPr>
          <w:rFonts w:hint="eastAsia"/>
        </w:rPr>
        <w:t>8.</w:t>
      </w:r>
      <w:r>
        <w:rPr>
          <w:rFonts w:hint="eastAsia"/>
        </w:rPr>
        <w:tab/>
      </w:r>
      <w:r>
        <w:rPr>
          <w:rFonts w:hint="eastAsia"/>
        </w:rPr>
        <w:t>使用独立于城市边界的地理数据可以进行更具体的区域识别和分类。芬兰环境研究所与奥卢大学地理系一起开发了一种基于地理数据的新的区域分类。使用这一分类确定的人口受抚养人比率在城市地区为</w:t>
      </w:r>
      <w:r>
        <w:rPr>
          <w:rFonts w:hint="eastAsia"/>
        </w:rPr>
        <w:t>55.6</w:t>
      </w:r>
      <w:r w:rsidR="00203BF4">
        <w:rPr>
          <w:rFonts w:hint="eastAsia"/>
        </w:rPr>
        <w:t>，</w:t>
      </w:r>
      <w:r>
        <w:rPr>
          <w:rFonts w:hint="eastAsia"/>
        </w:rPr>
        <w:t>在农村地区为</w:t>
      </w:r>
      <w:r>
        <w:rPr>
          <w:rFonts w:hint="eastAsia"/>
        </w:rPr>
        <w:t>77.1</w:t>
      </w:r>
      <w:r>
        <w:rPr>
          <w:rFonts w:hint="eastAsia"/>
        </w:rPr>
        <w:t>。</w:t>
      </w:r>
    </w:p>
    <w:p w:rsidR="003C538B" w:rsidRDefault="003C538B" w:rsidP="003C538B">
      <w:pPr>
        <w:pStyle w:val="SingleTxtGC"/>
      </w:pPr>
      <w:r>
        <w:rPr>
          <w:rFonts w:hint="eastAsia"/>
        </w:rPr>
        <w:t>9.</w:t>
      </w:r>
      <w:r>
        <w:rPr>
          <w:rFonts w:hint="eastAsia"/>
        </w:rPr>
        <w:tab/>
      </w:r>
      <w:r>
        <w:rPr>
          <w:rFonts w:hint="eastAsia"/>
        </w:rPr>
        <w:t>芬兰</w:t>
      </w:r>
      <w:r>
        <w:rPr>
          <w:rFonts w:hint="eastAsia"/>
        </w:rPr>
        <w:t>70.3%</w:t>
      </w:r>
      <w:r>
        <w:rPr>
          <w:rFonts w:hint="eastAsia"/>
        </w:rPr>
        <w:t>的人口居住在城市地区，</w:t>
      </w:r>
      <w:r>
        <w:rPr>
          <w:rFonts w:hint="eastAsia"/>
        </w:rPr>
        <w:t>28.4%</w:t>
      </w:r>
      <w:r>
        <w:rPr>
          <w:rFonts w:hint="eastAsia"/>
        </w:rPr>
        <w:t>的人口居住在农村地区。这些数字不包括没有固定住所的人</w:t>
      </w:r>
      <w:r>
        <w:rPr>
          <w:rFonts w:hint="eastAsia"/>
        </w:rPr>
        <w:t>(</w:t>
      </w:r>
      <w:r>
        <w:rPr>
          <w:rFonts w:hint="eastAsia"/>
        </w:rPr>
        <w:t>如长期居住在护理设施的人</w:t>
      </w:r>
      <w:r>
        <w:rPr>
          <w:rFonts w:hint="eastAsia"/>
        </w:rPr>
        <w:t>)</w:t>
      </w:r>
      <w:r>
        <w:rPr>
          <w:rFonts w:hint="eastAsia"/>
        </w:rPr>
        <w:t>。</w:t>
      </w:r>
      <w:r>
        <w:rPr>
          <w:rFonts w:hint="eastAsia"/>
        </w:rPr>
        <w:t>2018</w:t>
      </w:r>
      <w:r>
        <w:rPr>
          <w:rFonts w:hint="eastAsia"/>
        </w:rPr>
        <w:t>年人口受抚养人比率的更详细情况如下：</w:t>
      </w:r>
    </w:p>
    <w:p w:rsidR="003C538B" w:rsidRDefault="003C538B" w:rsidP="000B2431">
      <w:pPr>
        <w:pStyle w:val="Bullet1GC"/>
      </w:pPr>
      <w:r>
        <w:rPr>
          <w:rFonts w:hint="eastAsia"/>
        </w:rPr>
        <w:t>城市中心区，</w:t>
      </w:r>
      <w:r>
        <w:rPr>
          <w:rFonts w:hint="eastAsia"/>
        </w:rPr>
        <w:t>50.7</w:t>
      </w:r>
    </w:p>
    <w:p w:rsidR="003C538B" w:rsidRDefault="003C538B" w:rsidP="000B2431">
      <w:pPr>
        <w:pStyle w:val="Bullet1GC"/>
      </w:pPr>
      <w:r>
        <w:rPr>
          <w:rFonts w:hint="eastAsia"/>
        </w:rPr>
        <w:t>外围城区，</w:t>
      </w:r>
      <w:r>
        <w:rPr>
          <w:rFonts w:hint="eastAsia"/>
        </w:rPr>
        <w:t>58.6</w:t>
      </w:r>
    </w:p>
    <w:p w:rsidR="003C538B" w:rsidRDefault="003C538B" w:rsidP="000B2431">
      <w:pPr>
        <w:pStyle w:val="Bullet1GC"/>
      </w:pPr>
      <w:r>
        <w:rPr>
          <w:rFonts w:hint="eastAsia"/>
        </w:rPr>
        <w:t>近郊区，</w:t>
      </w:r>
      <w:r>
        <w:rPr>
          <w:rFonts w:hint="eastAsia"/>
        </w:rPr>
        <w:t>64.1</w:t>
      </w:r>
    </w:p>
    <w:p w:rsidR="003C538B" w:rsidRDefault="003C538B" w:rsidP="000B2431">
      <w:pPr>
        <w:pStyle w:val="Bullet1GC"/>
      </w:pPr>
      <w:r>
        <w:rPr>
          <w:rFonts w:hint="eastAsia"/>
        </w:rPr>
        <w:lastRenderedPageBreak/>
        <w:t>邻近城市的农村地区，</w:t>
      </w:r>
      <w:r>
        <w:rPr>
          <w:rFonts w:hint="eastAsia"/>
        </w:rPr>
        <w:t>70.3</w:t>
      </w:r>
    </w:p>
    <w:p w:rsidR="003C538B" w:rsidRDefault="003C538B" w:rsidP="000B2431">
      <w:pPr>
        <w:pStyle w:val="Bullet1GC"/>
      </w:pPr>
      <w:r>
        <w:rPr>
          <w:rFonts w:hint="eastAsia"/>
        </w:rPr>
        <w:t>农村地区的地方中心，</w:t>
      </w:r>
      <w:r>
        <w:rPr>
          <w:rFonts w:hint="eastAsia"/>
        </w:rPr>
        <w:t>75.7</w:t>
      </w:r>
    </w:p>
    <w:p w:rsidR="003C538B" w:rsidRDefault="003C538B" w:rsidP="000B2431">
      <w:pPr>
        <w:pStyle w:val="Bullet1GC"/>
      </w:pPr>
      <w:r>
        <w:rPr>
          <w:rFonts w:hint="eastAsia"/>
        </w:rPr>
        <w:t>农村中心地区，</w:t>
      </w:r>
      <w:r>
        <w:rPr>
          <w:rFonts w:hint="eastAsia"/>
        </w:rPr>
        <w:t>79.3</w:t>
      </w:r>
    </w:p>
    <w:p w:rsidR="003C538B" w:rsidRDefault="003C538B" w:rsidP="000B2431">
      <w:pPr>
        <w:pStyle w:val="Bullet1GC"/>
      </w:pPr>
      <w:r>
        <w:rPr>
          <w:rFonts w:hint="eastAsia"/>
        </w:rPr>
        <w:t>人口稀少的农村地区，</w:t>
      </w:r>
      <w:r>
        <w:rPr>
          <w:rFonts w:hint="eastAsia"/>
        </w:rPr>
        <w:t>84.1</w:t>
      </w:r>
    </w:p>
    <w:p w:rsidR="003C538B" w:rsidRDefault="003C538B" w:rsidP="003C538B">
      <w:pPr>
        <w:pStyle w:val="SingleTxtGC"/>
      </w:pPr>
      <w:r>
        <w:rPr>
          <w:rFonts w:hint="eastAsia"/>
        </w:rPr>
        <w:t>10.</w:t>
      </w:r>
      <w:r>
        <w:rPr>
          <w:rFonts w:hint="eastAsia"/>
        </w:rPr>
        <w:tab/>
      </w:r>
      <w:r>
        <w:rPr>
          <w:rFonts w:hint="eastAsia"/>
        </w:rPr>
        <w:t>近年来，芬兰的人口受抚养比率变得越来越不利。</w:t>
      </w:r>
      <w:r>
        <w:rPr>
          <w:rFonts w:hint="eastAsia"/>
        </w:rPr>
        <w:t>2017</w:t>
      </w:r>
      <w:r>
        <w:rPr>
          <w:rFonts w:hint="eastAsia"/>
        </w:rPr>
        <w:t>年，全国的比率为</w:t>
      </w:r>
      <w:r>
        <w:rPr>
          <w:rFonts w:hint="eastAsia"/>
        </w:rPr>
        <w:t>60.1</w:t>
      </w:r>
      <w:r w:rsidR="00203BF4">
        <w:rPr>
          <w:rFonts w:hint="eastAsia"/>
        </w:rPr>
        <w:t>，</w:t>
      </w:r>
      <w:r>
        <w:rPr>
          <w:rFonts w:hint="eastAsia"/>
        </w:rPr>
        <w:t>但各区之间存在巨大差异。在新地区，全国最大的三个城市的人口受抚养比率更有利，为</w:t>
      </w:r>
      <w:r>
        <w:rPr>
          <w:rFonts w:hint="eastAsia"/>
        </w:rPr>
        <w:t>51.1</w:t>
      </w:r>
      <w:r w:rsidR="00203BF4">
        <w:rPr>
          <w:rFonts w:hint="eastAsia"/>
        </w:rPr>
        <w:t>，</w:t>
      </w:r>
      <w:r>
        <w:rPr>
          <w:rFonts w:hint="eastAsia"/>
        </w:rPr>
        <w:t>而人口较稀少的区的年龄结构比该国城市区要不利得多。南萨沃尼亚区的人口受抚养比率最不利，为</w:t>
      </w:r>
      <w:r>
        <w:rPr>
          <w:rFonts w:hint="eastAsia"/>
        </w:rPr>
        <w:t>72.8</w:t>
      </w:r>
      <w:r>
        <w:rPr>
          <w:rFonts w:hint="eastAsia"/>
        </w:rPr>
        <w:t>。随着人口老龄化，全国的人口受抚养比率预计将继续变差。相对而言，人口老龄化对城市区的影响更大。</w:t>
      </w:r>
    </w:p>
    <w:p w:rsidR="003C538B" w:rsidRDefault="003C538B" w:rsidP="003C538B">
      <w:pPr>
        <w:pStyle w:val="SingleTxtGC"/>
      </w:pPr>
      <w:r>
        <w:rPr>
          <w:rFonts w:hint="eastAsia"/>
        </w:rPr>
        <w:t>11.</w:t>
      </w:r>
      <w:r>
        <w:rPr>
          <w:rFonts w:hint="eastAsia"/>
        </w:rPr>
        <w:tab/>
      </w:r>
      <w:r>
        <w:rPr>
          <w:rFonts w:hint="eastAsia"/>
        </w:rPr>
        <w:t>由于外国公民仅占人口的</w:t>
      </w:r>
      <w:r>
        <w:rPr>
          <w:rFonts w:hint="eastAsia"/>
        </w:rPr>
        <w:t>5%(2018</w:t>
      </w:r>
      <w:r>
        <w:rPr>
          <w:rFonts w:hint="eastAsia"/>
        </w:rPr>
        <w:t>年为</w:t>
      </w:r>
      <w:r>
        <w:rPr>
          <w:rFonts w:hint="eastAsia"/>
        </w:rPr>
        <w:t>257</w:t>
      </w:r>
      <w:r w:rsidR="00203BF4">
        <w:t>,</w:t>
      </w:r>
      <w:r>
        <w:rPr>
          <w:rFonts w:hint="eastAsia"/>
        </w:rPr>
        <w:t>572</w:t>
      </w:r>
      <w:r>
        <w:rPr>
          <w:rFonts w:hint="eastAsia"/>
        </w:rPr>
        <w:t>人</w:t>
      </w:r>
      <w:r>
        <w:rPr>
          <w:rFonts w:hint="eastAsia"/>
        </w:rPr>
        <w:t>)</w:t>
      </w:r>
      <w:r>
        <w:rPr>
          <w:rFonts w:hint="eastAsia"/>
        </w:rPr>
        <w:t>，芬兰的人口的同质性非常高。爱沙尼亚和俄罗斯公民是最大的外国公民群体。</w:t>
      </w:r>
    </w:p>
    <w:p w:rsidR="003C538B" w:rsidRDefault="003C538B" w:rsidP="003C538B">
      <w:pPr>
        <w:pStyle w:val="SingleTxtGC"/>
      </w:pPr>
      <w:r>
        <w:rPr>
          <w:rFonts w:hint="eastAsia"/>
        </w:rPr>
        <w:t>12.</w:t>
      </w:r>
      <w:r>
        <w:rPr>
          <w:rFonts w:hint="eastAsia"/>
        </w:rPr>
        <w:tab/>
      </w:r>
      <w:r>
        <w:rPr>
          <w:rFonts w:hint="eastAsia"/>
        </w:rPr>
        <w:t>芬兰是一个双语国家，其国语为芬兰语和瑞典语。说瑞典语的芬兰人约占总人口的</w:t>
      </w:r>
      <w:r>
        <w:rPr>
          <w:rFonts w:hint="eastAsia"/>
        </w:rPr>
        <w:t>5%</w:t>
      </w:r>
      <w:r>
        <w:rPr>
          <w:rFonts w:hint="eastAsia"/>
        </w:rPr>
        <w:t>。根据《芬兰宪法》</w:t>
      </w:r>
      <w:r>
        <w:rPr>
          <w:rFonts w:hint="eastAsia"/>
        </w:rPr>
        <w:t>(731/1999)</w:t>
      </w:r>
      <w:r>
        <w:rPr>
          <w:rFonts w:hint="eastAsia"/>
        </w:rPr>
        <w:t>，公共当局应在平等的基础上为该国讲芬兰语和瑞典语的人口提供文化和社会需求。在面对法庭和其他当局时，人人有权使用自己的语言，无论是芬兰语还是瑞典语。</w:t>
      </w:r>
    </w:p>
    <w:p w:rsidR="00831FD4" w:rsidRDefault="003C538B" w:rsidP="000B2431">
      <w:pPr>
        <w:pStyle w:val="SingleTxtGC"/>
      </w:pPr>
      <w:r>
        <w:rPr>
          <w:rFonts w:hint="eastAsia"/>
        </w:rPr>
        <w:t>表</w:t>
      </w:r>
      <w:r>
        <w:rPr>
          <w:rFonts w:hint="eastAsia"/>
        </w:rPr>
        <w:t>1.</w:t>
      </w:r>
      <w:r w:rsidR="000B2431">
        <w:br/>
      </w:r>
      <w:r w:rsidRPr="000B2431">
        <w:rPr>
          <w:rFonts w:ascii="Time New Roman" w:eastAsia="黑体" w:hAnsi="Time New Roman" w:hint="eastAsia"/>
        </w:rPr>
        <w:t>2013-2018</w:t>
      </w:r>
      <w:r w:rsidRPr="000B2431">
        <w:rPr>
          <w:rFonts w:ascii="Time New Roman" w:eastAsia="黑体" w:hAnsi="Time New Roman" w:hint="eastAsia"/>
        </w:rPr>
        <w:t>年按语言分列的人口</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A95614" w:rsidRPr="002D2B10" w:rsidTr="00A95614">
        <w:trPr>
          <w:tblHeader/>
        </w:trPr>
        <w:tc>
          <w:tcPr>
            <w:tcW w:w="1418" w:type="dxa"/>
            <w:tcBorders>
              <w:top w:val="single" w:sz="4" w:space="0" w:color="auto"/>
              <w:bottom w:val="single" w:sz="12" w:space="0" w:color="auto"/>
            </w:tcBorders>
            <w:shd w:val="clear" w:color="auto" w:fill="auto"/>
            <w:noWrap/>
            <w:vAlign w:val="bottom"/>
            <w:hideMark/>
          </w:tcPr>
          <w:p w:rsidR="002D2B10" w:rsidRPr="002D2B10" w:rsidRDefault="002D2B10" w:rsidP="00FD1D4D">
            <w:pPr>
              <w:pStyle w:val="a4"/>
              <w:ind w:right="0"/>
              <w:jc w:val="left"/>
              <w:rPr>
                <w:rFonts w:ascii="Time New Roman" w:hAnsi="Time New Roman" w:hint="eastAsia"/>
              </w:rPr>
            </w:pPr>
          </w:p>
        </w:tc>
        <w:tc>
          <w:tcPr>
            <w:tcW w:w="992" w:type="dxa"/>
            <w:tcBorders>
              <w:top w:val="single" w:sz="4" w:space="0" w:color="auto"/>
              <w:bottom w:val="single" w:sz="12" w:space="0" w:color="auto"/>
            </w:tcBorders>
            <w:shd w:val="clear" w:color="auto" w:fill="auto"/>
            <w:noWrap/>
            <w:vAlign w:val="bottom"/>
            <w:hideMark/>
          </w:tcPr>
          <w:p w:rsidR="002D2B10" w:rsidRPr="002D2B10" w:rsidRDefault="002D2B10" w:rsidP="00FD1D4D">
            <w:pPr>
              <w:pStyle w:val="a4"/>
              <w:ind w:right="0"/>
              <w:jc w:val="right"/>
              <w:rPr>
                <w:rFonts w:ascii="Time New Roman" w:hAnsi="Time New Roman" w:hint="eastAsia"/>
                <w:iCs/>
              </w:rPr>
            </w:pPr>
            <w:r w:rsidRPr="002D2B10">
              <w:rPr>
                <w:rFonts w:ascii="Time New Roman" w:hAnsi="Time New Roman"/>
                <w:iCs/>
              </w:rPr>
              <w:t>2013</w:t>
            </w:r>
            <w:r w:rsidRPr="002D2B10">
              <w:rPr>
                <w:rFonts w:ascii="Time New Roman" w:hAnsi="Time New Roman" w:hint="eastAsia"/>
                <w:iCs/>
              </w:rPr>
              <w:t>年</w:t>
            </w:r>
          </w:p>
        </w:tc>
        <w:tc>
          <w:tcPr>
            <w:tcW w:w="992" w:type="dxa"/>
            <w:tcBorders>
              <w:top w:val="single" w:sz="4" w:space="0" w:color="auto"/>
              <w:bottom w:val="single" w:sz="12" w:space="0" w:color="auto"/>
            </w:tcBorders>
            <w:shd w:val="clear" w:color="auto" w:fill="auto"/>
            <w:noWrap/>
            <w:vAlign w:val="bottom"/>
            <w:hideMark/>
          </w:tcPr>
          <w:p w:rsidR="002D2B10" w:rsidRPr="002D2B10" w:rsidRDefault="002D2B10" w:rsidP="00FD1D4D">
            <w:pPr>
              <w:pStyle w:val="a4"/>
              <w:ind w:right="0"/>
              <w:jc w:val="right"/>
              <w:rPr>
                <w:rFonts w:ascii="Time New Roman" w:hAnsi="Time New Roman" w:hint="eastAsia"/>
                <w:iCs/>
              </w:rPr>
            </w:pPr>
            <w:r w:rsidRPr="002D2B10">
              <w:rPr>
                <w:rFonts w:ascii="Time New Roman" w:hAnsi="Time New Roman"/>
                <w:iCs/>
              </w:rPr>
              <w:t>2014</w:t>
            </w:r>
            <w:r w:rsidRPr="002D2B10">
              <w:rPr>
                <w:rFonts w:ascii="Time New Roman" w:hAnsi="Time New Roman" w:hint="eastAsia"/>
                <w:iCs/>
              </w:rPr>
              <w:t>年</w:t>
            </w:r>
          </w:p>
        </w:tc>
        <w:tc>
          <w:tcPr>
            <w:tcW w:w="992" w:type="dxa"/>
            <w:tcBorders>
              <w:top w:val="single" w:sz="4" w:space="0" w:color="auto"/>
              <w:bottom w:val="single" w:sz="12" w:space="0" w:color="auto"/>
            </w:tcBorders>
            <w:shd w:val="clear" w:color="auto" w:fill="auto"/>
            <w:noWrap/>
            <w:vAlign w:val="bottom"/>
            <w:hideMark/>
          </w:tcPr>
          <w:p w:rsidR="002D2B10" w:rsidRPr="002D2B10" w:rsidRDefault="002D2B10" w:rsidP="00FD1D4D">
            <w:pPr>
              <w:pStyle w:val="a4"/>
              <w:ind w:right="0"/>
              <w:jc w:val="right"/>
              <w:rPr>
                <w:rFonts w:ascii="Time New Roman" w:hAnsi="Time New Roman" w:hint="eastAsia"/>
                <w:iCs/>
              </w:rPr>
            </w:pPr>
            <w:r w:rsidRPr="002D2B10">
              <w:rPr>
                <w:rFonts w:ascii="Time New Roman" w:hAnsi="Time New Roman"/>
                <w:iCs/>
              </w:rPr>
              <w:t>2015</w:t>
            </w:r>
            <w:r w:rsidRPr="002D2B10">
              <w:rPr>
                <w:rFonts w:ascii="Time New Roman" w:hAnsi="Time New Roman" w:hint="eastAsia"/>
                <w:iCs/>
              </w:rPr>
              <w:t>年</w:t>
            </w:r>
          </w:p>
        </w:tc>
        <w:tc>
          <w:tcPr>
            <w:tcW w:w="992" w:type="dxa"/>
            <w:tcBorders>
              <w:top w:val="single" w:sz="4" w:space="0" w:color="auto"/>
              <w:bottom w:val="single" w:sz="12" w:space="0" w:color="auto"/>
            </w:tcBorders>
            <w:shd w:val="clear" w:color="auto" w:fill="auto"/>
            <w:noWrap/>
            <w:vAlign w:val="bottom"/>
            <w:hideMark/>
          </w:tcPr>
          <w:p w:rsidR="002D2B10" w:rsidRPr="002D2B10" w:rsidRDefault="002D2B10" w:rsidP="00FD1D4D">
            <w:pPr>
              <w:pStyle w:val="a4"/>
              <w:ind w:right="0"/>
              <w:jc w:val="right"/>
              <w:rPr>
                <w:rFonts w:ascii="Time New Roman" w:hAnsi="Time New Roman" w:hint="eastAsia"/>
                <w:iCs/>
              </w:rPr>
            </w:pPr>
            <w:r w:rsidRPr="002D2B10">
              <w:rPr>
                <w:rFonts w:ascii="Time New Roman" w:hAnsi="Time New Roman"/>
                <w:iCs/>
              </w:rPr>
              <w:t>2016</w:t>
            </w:r>
            <w:r w:rsidRPr="002D2B10">
              <w:rPr>
                <w:rFonts w:ascii="Time New Roman" w:hAnsi="Time New Roman" w:hint="eastAsia"/>
                <w:iCs/>
              </w:rPr>
              <w:t>年</w:t>
            </w:r>
          </w:p>
        </w:tc>
        <w:tc>
          <w:tcPr>
            <w:tcW w:w="992" w:type="dxa"/>
            <w:tcBorders>
              <w:top w:val="single" w:sz="4" w:space="0" w:color="auto"/>
              <w:bottom w:val="single" w:sz="12" w:space="0" w:color="auto"/>
            </w:tcBorders>
            <w:shd w:val="clear" w:color="auto" w:fill="auto"/>
            <w:vAlign w:val="bottom"/>
            <w:hideMark/>
          </w:tcPr>
          <w:p w:rsidR="002D2B10" w:rsidRPr="002D2B10" w:rsidRDefault="002D2B10" w:rsidP="00FD1D4D">
            <w:pPr>
              <w:pStyle w:val="a4"/>
              <w:ind w:right="0"/>
              <w:jc w:val="right"/>
              <w:rPr>
                <w:rFonts w:ascii="Time New Roman" w:hAnsi="Time New Roman" w:hint="eastAsia"/>
                <w:iCs/>
              </w:rPr>
            </w:pPr>
            <w:r w:rsidRPr="002D2B10">
              <w:rPr>
                <w:rFonts w:ascii="Time New Roman" w:hAnsi="Time New Roman"/>
                <w:iCs/>
              </w:rPr>
              <w:t>2017</w:t>
            </w:r>
            <w:r w:rsidRPr="002D2B10">
              <w:rPr>
                <w:rFonts w:ascii="Time New Roman" w:hAnsi="Time New Roman" w:hint="eastAsia"/>
                <w:iCs/>
              </w:rPr>
              <w:t>年</w:t>
            </w:r>
          </w:p>
        </w:tc>
        <w:tc>
          <w:tcPr>
            <w:tcW w:w="992" w:type="dxa"/>
            <w:tcBorders>
              <w:top w:val="single" w:sz="4" w:space="0" w:color="auto"/>
              <w:bottom w:val="single" w:sz="12" w:space="0" w:color="auto"/>
            </w:tcBorders>
            <w:shd w:val="clear" w:color="auto" w:fill="auto"/>
            <w:vAlign w:val="bottom"/>
            <w:hideMark/>
          </w:tcPr>
          <w:p w:rsidR="002D2B10" w:rsidRPr="002D2B10" w:rsidRDefault="002D2B10" w:rsidP="00FD1D4D">
            <w:pPr>
              <w:pStyle w:val="a4"/>
              <w:ind w:right="0"/>
              <w:jc w:val="right"/>
              <w:rPr>
                <w:rFonts w:ascii="Time New Roman" w:hAnsi="Time New Roman" w:hint="eastAsia"/>
                <w:iCs/>
              </w:rPr>
            </w:pPr>
            <w:r w:rsidRPr="002D2B10">
              <w:rPr>
                <w:rFonts w:ascii="Time New Roman" w:hAnsi="Time New Roman"/>
                <w:iCs/>
              </w:rPr>
              <w:t>2018</w:t>
            </w:r>
            <w:r w:rsidRPr="002D2B10">
              <w:rPr>
                <w:rFonts w:ascii="Time New Roman" w:hAnsi="Time New Roman" w:hint="eastAsia"/>
                <w:iCs/>
              </w:rPr>
              <w:t>年</w:t>
            </w:r>
          </w:p>
        </w:tc>
      </w:tr>
      <w:tr w:rsidR="002D2B10" w:rsidRPr="0070507D" w:rsidTr="00A95614">
        <w:tc>
          <w:tcPr>
            <w:tcW w:w="1418" w:type="dxa"/>
            <w:tcBorders>
              <w:top w:val="single" w:sz="12" w:space="0" w:color="auto"/>
            </w:tcBorders>
            <w:shd w:val="clear" w:color="auto" w:fill="auto"/>
            <w:noWrap/>
            <w:hideMark/>
          </w:tcPr>
          <w:p w:rsidR="002D2B10" w:rsidRPr="0070507D" w:rsidRDefault="002D2B10" w:rsidP="00FD1D4D">
            <w:pPr>
              <w:pStyle w:val="a3"/>
              <w:overflowPunct/>
              <w:ind w:right="0"/>
              <w:jc w:val="left"/>
              <w:rPr>
                <w:lang w:eastAsia="fi-FI"/>
              </w:rPr>
            </w:pPr>
            <w:r w:rsidRPr="0070507D">
              <w:rPr>
                <w:rFonts w:hint="eastAsia"/>
              </w:rPr>
              <w:t>芬兰语</w:t>
            </w:r>
          </w:p>
        </w:tc>
        <w:tc>
          <w:tcPr>
            <w:tcW w:w="992" w:type="dxa"/>
            <w:tcBorders>
              <w:top w:val="single" w:sz="12" w:space="0" w:color="auto"/>
            </w:tcBorders>
            <w:shd w:val="clear" w:color="auto" w:fill="auto"/>
            <w:noWrap/>
            <w:vAlign w:val="bottom"/>
            <w:hideMark/>
          </w:tcPr>
          <w:p w:rsidR="002D2B10" w:rsidRPr="0070507D" w:rsidRDefault="002D2B10" w:rsidP="00FD1D4D">
            <w:pPr>
              <w:pStyle w:val="a3"/>
              <w:overflowPunct/>
              <w:ind w:right="0"/>
              <w:jc w:val="right"/>
              <w:rPr>
                <w:lang w:eastAsia="fi-FI"/>
              </w:rPr>
            </w:pPr>
            <w:r>
              <w:rPr>
                <w:lang w:eastAsia="fi-FI"/>
              </w:rPr>
              <w:t>4</w:t>
            </w:r>
            <w:r w:rsidRPr="0070507D">
              <w:rPr>
                <w:lang w:eastAsia="fi-FI"/>
              </w:rPr>
              <w:t xml:space="preserve"> </w:t>
            </w:r>
            <w:r>
              <w:rPr>
                <w:lang w:eastAsia="fi-FI"/>
              </w:rPr>
              <w:t>869</w:t>
            </w:r>
            <w:r w:rsidRPr="0070507D">
              <w:rPr>
                <w:lang w:eastAsia="fi-FI"/>
              </w:rPr>
              <w:t xml:space="preserve"> </w:t>
            </w:r>
            <w:r>
              <w:rPr>
                <w:lang w:eastAsia="fi-FI"/>
              </w:rPr>
              <w:t>362</w:t>
            </w:r>
          </w:p>
        </w:tc>
        <w:tc>
          <w:tcPr>
            <w:tcW w:w="992" w:type="dxa"/>
            <w:tcBorders>
              <w:top w:val="single" w:sz="12" w:space="0" w:color="auto"/>
            </w:tcBorders>
            <w:shd w:val="clear" w:color="auto" w:fill="auto"/>
            <w:noWrap/>
            <w:vAlign w:val="bottom"/>
            <w:hideMark/>
          </w:tcPr>
          <w:p w:rsidR="002D2B10" w:rsidRPr="0070507D" w:rsidRDefault="002D2B10" w:rsidP="00FD1D4D">
            <w:pPr>
              <w:pStyle w:val="a3"/>
              <w:overflowPunct/>
              <w:ind w:right="0"/>
              <w:jc w:val="right"/>
              <w:rPr>
                <w:lang w:eastAsia="fi-FI"/>
              </w:rPr>
            </w:pPr>
            <w:r>
              <w:rPr>
                <w:lang w:eastAsia="fi-FI"/>
              </w:rPr>
              <w:t>4</w:t>
            </w:r>
            <w:r w:rsidRPr="0070507D">
              <w:rPr>
                <w:lang w:eastAsia="fi-FI"/>
              </w:rPr>
              <w:t xml:space="preserve"> </w:t>
            </w:r>
            <w:r>
              <w:rPr>
                <w:lang w:eastAsia="fi-FI"/>
              </w:rPr>
              <w:t>868</w:t>
            </w:r>
            <w:r w:rsidRPr="0070507D">
              <w:rPr>
                <w:lang w:eastAsia="fi-FI"/>
              </w:rPr>
              <w:t xml:space="preserve"> </w:t>
            </w:r>
            <w:r>
              <w:rPr>
                <w:lang w:eastAsia="fi-FI"/>
              </w:rPr>
              <w:t>751</w:t>
            </w:r>
          </w:p>
        </w:tc>
        <w:tc>
          <w:tcPr>
            <w:tcW w:w="992" w:type="dxa"/>
            <w:tcBorders>
              <w:top w:val="single" w:sz="12" w:space="0" w:color="auto"/>
            </w:tcBorders>
            <w:shd w:val="clear" w:color="auto" w:fill="auto"/>
            <w:noWrap/>
            <w:vAlign w:val="bottom"/>
            <w:hideMark/>
          </w:tcPr>
          <w:p w:rsidR="002D2B10" w:rsidRPr="0070507D" w:rsidRDefault="002D2B10" w:rsidP="00FD1D4D">
            <w:pPr>
              <w:pStyle w:val="a3"/>
              <w:overflowPunct/>
              <w:ind w:right="0"/>
              <w:jc w:val="right"/>
              <w:rPr>
                <w:lang w:eastAsia="fi-FI"/>
              </w:rPr>
            </w:pPr>
            <w:r>
              <w:rPr>
                <w:lang w:eastAsia="fi-FI"/>
              </w:rPr>
              <w:t>4</w:t>
            </w:r>
            <w:r w:rsidRPr="0070507D">
              <w:rPr>
                <w:lang w:eastAsia="fi-FI"/>
              </w:rPr>
              <w:t xml:space="preserve"> </w:t>
            </w:r>
            <w:r>
              <w:rPr>
                <w:lang w:eastAsia="fi-FI"/>
              </w:rPr>
              <w:t>865</w:t>
            </w:r>
            <w:r w:rsidRPr="0070507D">
              <w:rPr>
                <w:lang w:eastAsia="fi-FI"/>
              </w:rPr>
              <w:t xml:space="preserve"> </w:t>
            </w:r>
            <w:r>
              <w:rPr>
                <w:lang w:eastAsia="fi-FI"/>
              </w:rPr>
              <w:t>628</w:t>
            </w:r>
          </w:p>
        </w:tc>
        <w:tc>
          <w:tcPr>
            <w:tcW w:w="992" w:type="dxa"/>
            <w:tcBorders>
              <w:top w:val="single" w:sz="12" w:space="0" w:color="auto"/>
            </w:tcBorders>
            <w:shd w:val="clear" w:color="auto" w:fill="auto"/>
            <w:noWrap/>
            <w:vAlign w:val="bottom"/>
            <w:hideMark/>
          </w:tcPr>
          <w:p w:rsidR="002D2B10" w:rsidRPr="0070507D" w:rsidRDefault="002D2B10" w:rsidP="00FD1D4D">
            <w:pPr>
              <w:pStyle w:val="a3"/>
              <w:overflowPunct/>
              <w:ind w:right="0"/>
              <w:jc w:val="right"/>
              <w:rPr>
                <w:lang w:eastAsia="fi-FI"/>
              </w:rPr>
            </w:pPr>
            <w:r>
              <w:rPr>
                <w:lang w:eastAsia="fi-FI"/>
              </w:rPr>
              <w:t>4</w:t>
            </w:r>
            <w:r w:rsidRPr="0070507D">
              <w:rPr>
                <w:lang w:eastAsia="fi-FI"/>
              </w:rPr>
              <w:t xml:space="preserve"> </w:t>
            </w:r>
            <w:r>
              <w:rPr>
                <w:lang w:eastAsia="fi-FI"/>
              </w:rPr>
              <w:t>857</w:t>
            </w:r>
            <w:r w:rsidRPr="0070507D">
              <w:rPr>
                <w:lang w:eastAsia="fi-FI"/>
              </w:rPr>
              <w:t xml:space="preserve"> </w:t>
            </w:r>
            <w:r>
              <w:rPr>
                <w:lang w:eastAsia="fi-FI"/>
              </w:rPr>
              <w:t>795</w:t>
            </w:r>
          </w:p>
        </w:tc>
        <w:tc>
          <w:tcPr>
            <w:tcW w:w="992" w:type="dxa"/>
            <w:tcBorders>
              <w:top w:val="single" w:sz="12" w:space="0" w:color="auto"/>
            </w:tcBorders>
            <w:shd w:val="clear" w:color="auto" w:fill="auto"/>
            <w:vAlign w:val="bottom"/>
            <w:hideMark/>
          </w:tcPr>
          <w:p w:rsidR="002D2B10" w:rsidRPr="0070507D" w:rsidRDefault="002D2B10" w:rsidP="00FD1D4D">
            <w:pPr>
              <w:pStyle w:val="a3"/>
              <w:overflowPunct/>
              <w:ind w:right="0"/>
              <w:jc w:val="right"/>
              <w:rPr>
                <w:lang w:eastAsia="fi-FI"/>
              </w:rPr>
            </w:pPr>
            <w:r>
              <w:rPr>
                <w:lang w:eastAsia="fi-FI"/>
              </w:rPr>
              <w:t>4</w:t>
            </w:r>
            <w:r w:rsidRPr="0070507D">
              <w:rPr>
                <w:lang w:eastAsia="fi-FI"/>
              </w:rPr>
              <w:t xml:space="preserve"> </w:t>
            </w:r>
            <w:r>
              <w:rPr>
                <w:lang w:eastAsia="fi-FI"/>
              </w:rPr>
              <w:t>848</w:t>
            </w:r>
            <w:r w:rsidRPr="0070507D">
              <w:rPr>
                <w:lang w:eastAsia="fi-FI"/>
              </w:rPr>
              <w:t xml:space="preserve"> </w:t>
            </w:r>
            <w:r>
              <w:rPr>
                <w:lang w:eastAsia="fi-FI"/>
              </w:rPr>
              <w:t>761</w:t>
            </w:r>
          </w:p>
        </w:tc>
        <w:tc>
          <w:tcPr>
            <w:tcW w:w="992" w:type="dxa"/>
            <w:tcBorders>
              <w:top w:val="single" w:sz="12" w:space="0" w:color="auto"/>
            </w:tcBorders>
            <w:shd w:val="clear" w:color="auto" w:fill="auto"/>
            <w:vAlign w:val="bottom"/>
            <w:hideMark/>
          </w:tcPr>
          <w:p w:rsidR="002D2B10" w:rsidRPr="0070507D" w:rsidRDefault="002D2B10" w:rsidP="00FD1D4D">
            <w:pPr>
              <w:pStyle w:val="a3"/>
              <w:overflowPunct/>
              <w:ind w:right="0"/>
              <w:jc w:val="right"/>
              <w:rPr>
                <w:lang w:eastAsia="fi-FI"/>
              </w:rPr>
            </w:pPr>
            <w:r>
              <w:rPr>
                <w:lang w:eastAsia="fi-FI"/>
              </w:rPr>
              <w:t>4</w:t>
            </w:r>
            <w:r w:rsidRPr="0070507D">
              <w:rPr>
                <w:lang w:eastAsia="fi-FI"/>
              </w:rPr>
              <w:t xml:space="preserve"> </w:t>
            </w:r>
            <w:r>
              <w:rPr>
                <w:lang w:eastAsia="fi-FI"/>
              </w:rPr>
              <w:t>835</w:t>
            </w:r>
            <w:r w:rsidRPr="0070507D">
              <w:rPr>
                <w:lang w:eastAsia="fi-FI"/>
              </w:rPr>
              <w:t xml:space="preserve"> </w:t>
            </w:r>
            <w:r>
              <w:rPr>
                <w:lang w:eastAsia="fi-FI"/>
              </w:rPr>
              <w:t>778</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瑞典语</w:t>
            </w:r>
          </w:p>
        </w:tc>
        <w:tc>
          <w:tcPr>
            <w:tcW w:w="992" w:type="dxa"/>
            <w:shd w:val="clear" w:color="auto" w:fill="auto"/>
            <w:noWrap/>
            <w:vAlign w:val="bottom"/>
            <w:hideMark/>
          </w:tcPr>
          <w:p w:rsidR="002D2B10" w:rsidRPr="0070507D" w:rsidRDefault="002D2B10" w:rsidP="00FD1D4D">
            <w:pPr>
              <w:pStyle w:val="a3"/>
              <w:overflowPunct/>
              <w:ind w:right="0"/>
              <w:jc w:val="right"/>
            </w:pPr>
            <w:r>
              <w:t>29</w:t>
            </w:r>
            <w:r w:rsidRPr="0070507D">
              <w:t xml:space="preserve">0 </w:t>
            </w:r>
            <w:r>
              <w:t>91</w:t>
            </w:r>
            <w:r w:rsidRPr="0070507D">
              <w:t>0</w:t>
            </w:r>
          </w:p>
        </w:tc>
        <w:tc>
          <w:tcPr>
            <w:tcW w:w="992" w:type="dxa"/>
            <w:shd w:val="clear" w:color="auto" w:fill="auto"/>
            <w:noWrap/>
            <w:vAlign w:val="bottom"/>
            <w:hideMark/>
          </w:tcPr>
          <w:p w:rsidR="002D2B10" w:rsidRPr="0070507D" w:rsidRDefault="002D2B10" w:rsidP="00FD1D4D">
            <w:pPr>
              <w:pStyle w:val="a3"/>
              <w:overflowPunct/>
              <w:ind w:right="0"/>
              <w:jc w:val="right"/>
            </w:pPr>
            <w:r>
              <w:t>29</w:t>
            </w:r>
            <w:r w:rsidRPr="0070507D">
              <w:t xml:space="preserve">0 </w:t>
            </w:r>
            <w:r>
              <w:t>747</w:t>
            </w:r>
          </w:p>
        </w:tc>
        <w:tc>
          <w:tcPr>
            <w:tcW w:w="992" w:type="dxa"/>
            <w:shd w:val="clear" w:color="auto" w:fill="auto"/>
            <w:noWrap/>
            <w:vAlign w:val="bottom"/>
            <w:hideMark/>
          </w:tcPr>
          <w:p w:rsidR="002D2B10" w:rsidRPr="0070507D" w:rsidRDefault="002D2B10" w:rsidP="00FD1D4D">
            <w:pPr>
              <w:pStyle w:val="a3"/>
              <w:overflowPunct/>
              <w:ind w:right="0"/>
              <w:jc w:val="right"/>
            </w:pPr>
            <w:r>
              <w:t>29</w:t>
            </w:r>
            <w:r w:rsidRPr="0070507D">
              <w:t xml:space="preserve">0 </w:t>
            </w:r>
            <w:r>
              <w:t>161</w:t>
            </w:r>
          </w:p>
        </w:tc>
        <w:tc>
          <w:tcPr>
            <w:tcW w:w="992" w:type="dxa"/>
            <w:shd w:val="clear" w:color="auto" w:fill="auto"/>
            <w:noWrap/>
            <w:vAlign w:val="bottom"/>
            <w:hideMark/>
          </w:tcPr>
          <w:p w:rsidR="002D2B10" w:rsidRPr="0070507D" w:rsidRDefault="002D2B10" w:rsidP="00FD1D4D">
            <w:pPr>
              <w:pStyle w:val="a3"/>
              <w:overflowPunct/>
              <w:ind w:right="0"/>
              <w:jc w:val="right"/>
            </w:pPr>
            <w:r>
              <w:t>289</w:t>
            </w:r>
            <w:r w:rsidRPr="0070507D">
              <w:t xml:space="preserve"> </w:t>
            </w:r>
            <w:r>
              <w:t>54</w:t>
            </w:r>
            <w:r w:rsidRPr="0070507D">
              <w:t>0</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289</w:t>
            </w:r>
            <w:r w:rsidRPr="0070507D">
              <w:t xml:space="preserve"> 0</w:t>
            </w:r>
            <w:r>
              <w:t>52</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288</w:t>
            </w:r>
            <w:r w:rsidRPr="0070507D">
              <w:t xml:space="preserve"> </w:t>
            </w:r>
            <w:r>
              <w:t>4</w:t>
            </w:r>
            <w:r w:rsidRPr="0070507D">
              <w:t>00</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萨米语</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 </w:t>
            </w:r>
            <w:r>
              <w:t>93</w:t>
            </w:r>
            <w:r w:rsidRPr="0070507D">
              <w:t>0</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 </w:t>
            </w:r>
            <w:r>
              <w:t>949</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 </w:t>
            </w:r>
            <w:r>
              <w:t>957</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 </w:t>
            </w:r>
            <w:r>
              <w:t>969</w:t>
            </w:r>
          </w:p>
        </w:tc>
        <w:tc>
          <w:tcPr>
            <w:tcW w:w="992" w:type="dxa"/>
            <w:shd w:val="clear" w:color="auto" w:fill="auto"/>
            <w:vAlign w:val="bottom"/>
            <w:hideMark/>
          </w:tcPr>
          <w:p w:rsidR="002D2B10" w:rsidRPr="0070507D" w:rsidRDefault="002D2B10" w:rsidP="00FD1D4D">
            <w:pPr>
              <w:pStyle w:val="a3"/>
              <w:overflowPunct/>
              <w:ind w:right="0"/>
              <w:jc w:val="right"/>
            </w:pPr>
            <w:r>
              <w:t>1</w:t>
            </w:r>
            <w:r w:rsidRPr="0070507D">
              <w:t xml:space="preserve"> </w:t>
            </w:r>
            <w:r>
              <w:t>992</w:t>
            </w:r>
          </w:p>
        </w:tc>
        <w:tc>
          <w:tcPr>
            <w:tcW w:w="992" w:type="dxa"/>
            <w:shd w:val="clear" w:color="auto" w:fill="auto"/>
            <w:vAlign w:val="bottom"/>
            <w:hideMark/>
          </w:tcPr>
          <w:p w:rsidR="002D2B10" w:rsidRPr="0070507D" w:rsidRDefault="002D2B10" w:rsidP="00FD1D4D">
            <w:pPr>
              <w:pStyle w:val="a3"/>
              <w:overflowPunct/>
              <w:ind w:right="0"/>
              <w:jc w:val="right"/>
            </w:pPr>
            <w:r>
              <w:t>1</w:t>
            </w:r>
            <w:r w:rsidRPr="0070507D">
              <w:t xml:space="preserve"> </w:t>
            </w:r>
            <w:r>
              <w:t>995</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其他语言：</w:t>
            </w:r>
          </w:p>
        </w:tc>
        <w:tc>
          <w:tcPr>
            <w:tcW w:w="992" w:type="dxa"/>
            <w:shd w:val="clear" w:color="auto" w:fill="auto"/>
            <w:noWrap/>
            <w:vAlign w:val="bottom"/>
            <w:hideMark/>
          </w:tcPr>
          <w:p w:rsidR="002D2B10" w:rsidRPr="0070507D" w:rsidRDefault="002D2B10" w:rsidP="00FD1D4D">
            <w:pPr>
              <w:pStyle w:val="a3"/>
              <w:overflowPunct/>
              <w:ind w:right="0"/>
              <w:jc w:val="right"/>
            </w:pPr>
          </w:p>
        </w:tc>
        <w:tc>
          <w:tcPr>
            <w:tcW w:w="992" w:type="dxa"/>
            <w:shd w:val="clear" w:color="auto" w:fill="auto"/>
            <w:noWrap/>
            <w:vAlign w:val="bottom"/>
            <w:hideMark/>
          </w:tcPr>
          <w:p w:rsidR="002D2B10" w:rsidRPr="0070507D" w:rsidRDefault="002D2B10" w:rsidP="00FD1D4D">
            <w:pPr>
              <w:pStyle w:val="a3"/>
              <w:overflowPunct/>
              <w:ind w:right="0"/>
              <w:jc w:val="right"/>
            </w:pPr>
          </w:p>
        </w:tc>
        <w:tc>
          <w:tcPr>
            <w:tcW w:w="992" w:type="dxa"/>
            <w:shd w:val="clear" w:color="auto" w:fill="auto"/>
            <w:noWrap/>
            <w:vAlign w:val="bottom"/>
            <w:hideMark/>
          </w:tcPr>
          <w:p w:rsidR="002D2B10" w:rsidRPr="0070507D" w:rsidRDefault="002D2B10" w:rsidP="00FD1D4D">
            <w:pPr>
              <w:pStyle w:val="a3"/>
              <w:overflowPunct/>
              <w:ind w:right="0"/>
              <w:jc w:val="right"/>
            </w:pPr>
          </w:p>
        </w:tc>
        <w:tc>
          <w:tcPr>
            <w:tcW w:w="992" w:type="dxa"/>
            <w:shd w:val="clear" w:color="auto" w:fill="auto"/>
            <w:noWrap/>
            <w:vAlign w:val="bottom"/>
            <w:hideMark/>
          </w:tcPr>
          <w:p w:rsidR="002D2B10" w:rsidRPr="0070507D" w:rsidRDefault="002D2B10" w:rsidP="00FD1D4D">
            <w:pPr>
              <w:pStyle w:val="a3"/>
              <w:overflowPunct/>
              <w:ind w:right="0"/>
              <w:jc w:val="right"/>
            </w:pPr>
          </w:p>
        </w:tc>
        <w:tc>
          <w:tcPr>
            <w:tcW w:w="992" w:type="dxa"/>
            <w:shd w:val="clear" w:color="auto" w:fill="auto"/>
            <w:vAlign w:val="bottom"/>
          </w:tcPr>
          <w:p w:rsidR="002D2B10" w:rsidRPr="0070507D" w:rsidRDefault="002D2B10" w:rsidP="00FD1D4D">
            <w:pPr>
              <w:pStyle w:val="a3"/>
              <w:overflowPunct/>
              <w:ind w:right="0"/>
              <w:jc w:val="right"/>
            </w:pPr>
          </w:p>
        </w:tc>
        <w:tc>
          <w:tcPr>
            <w:tcW w:w="992" w:type="dxa"/>
            <w:shd w:val="clear" w:color="auto" w:fill="auto"/>
            <w:vAlign w:val="bottom"/>
          </w:tcPr>
          <w:p w:rsidR="002D2B10" w:rsidRPr="0070507D" w:rsidRDefault="002D2B10" w:rsidP="00FD1D4D">
            <w:pPr>
              <w:pStyle w:val="a3"/>
              <w:overflowPunct/>
              <w:ind w:right="0"/>
              <w:jc w:val="right"/>
            </w:pP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俄语</w:t>
            </w:r>
          </w:p>
        </w:tc>
        <w:tc>
          <w:tcPr>
            <w:tcW w:w="992" w:type="dxa"/>
            <w:shd w:val="clear" w:color="auto" w:fill="auto"/>
            <w:noWrap/>
            <w:vAlign w:val="bottom"/>
            <w:hideMark/>
          </w:tcPr>
          <w:p w:rsidR="002D2B10" w:rsidRPr="0070507D" w:rsidRDefault="002D2B10" w:rsidP="00FD1D4D">
            <w:pPr>
              <w:pStyle w:val="a3"/>
              <w:overflowPunct/>
              <w:ind w:right="0"/>
              <w:jc w:val="right"/>
            </w:pPr>
            <w:r>
              <w:t>66</w:t>
            </w:r>
            <w:r w:rsidRPr="0070507D">
              <w:t xml:space="preserve"> </w:t>
            </w:r>
            <w:r>
              <w:t>379</w:t>
            </w:r>
          </w:p>
        </w:tc>
        <w:tc>
          <w:tcPr>
            <w:tcW w:w="992" w:type="dxa"/>
            <w:shd w:val="clear" w:color="auto" w:fill="auto"/>
            <w:noWrap/>
            <w:vAlign w:val="bottom"/>
            <w:hideMark/>
          </w:tcPr>
          <w:p w:rsidR="002D2B10" w:rsidRPr="0070507D" w:rsidRDefault="002D2B10" w:rsidP="00FD1D4D">
            <w:pPr>
              <w:pStyle w:val="a3"/>
              <w:overflowPunct/>
              <w:ind w:right="0"/>
              <w:jc w:val="right"/>
            </w:pPr>
            <w:r>
              <w:t>69</w:t>
            </w:r>
            <w:r w:rsidRPr="0070507D">
              <w:t xml:space="preserve"> </w:t>
            </w:r>
            <w:r>
              <w:t>614</w:t>
            </w:r>
          </w:p>
        </w:tc>
        <w:tc>
          <w:tcPr>
            <w:tcW w:w="992" w:type="dxa"/>
            <w:shd w:val="clear" w:color="auto" w:fill="auto"/>
            <w:noWrap/>
            <w:vAlign w:val="bottom"/>
            <w:hideMark/>
          </w:tcPr>
          <w:p w:rsidR="002D2B10" w:rsidRPr="0070507D" w:rsidRDefault="002D2B10" w:rsidP="00FD1D4D">
            <w:pPr>
              <w:pStyle w:val="a3"/>
              <w:overflowPunct/>
              <w:ind w:right="0"/>
              <w:jc w:val="right"/>
            </w:pPr>
            <w:r>
              <w:t>72</w:t>
            </w:r>
            <w:r w:rsidRPr="0070507D">
              <w:t xml:space="preserve"> </w:t>
            </w:r>
            <w:r>
              <w:t>436</w:t>
            </w:r>
          </w:p>
        </w:tc>
        <w:tc>
          <w:tcPr>
            <w:tcW w:w="992" w:type="dxa"/>
            <w:shd w:val="clear" w:color="auto" w:fill="auto"/>
            <w:noWrap/>
            <w:vAlign w:val="bottom"/>
            <w:hideMark/>
          </w:tcPr>
          <w:p w:rsidR="002D2B10" w:rsidRPr="0070507D" w:rsidRDefault="002D2B10" w:rsidP="00FD1D4D">
            <w:pPr>
              <w:pStyle w:val="a3"/>
              <w:overflowPunct/>
              <w:ind w:right="0"/>
              <w:jc w:val="right"/>
            </w:pPr>
            <w:r>
              <w:t>75</w:t>
            </w:r>
            <w:r w:rsidRPr="0070507D">
              <w:t xml:space="preserve"> </w:t>
            </w:r>
            <w:r>
              <w:t>444</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77</w:t>
            </w:r>
            <w:r w:rsidRPr="0070507D">
              <w:t xml:space="preserve"> </w:t>
            </w:r>
            <w:r>
              <w:t>177</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79</w:t>
            </w:r>
            <w:r w:rsidRPr="0070507D">
              <w:t xml:space="preserve"> </w:t>
            </w:r>
            <w:r>
              <w:t>225</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爱沙尼亚语</w:t>
            </w:r>
          </w:p>
        </w:tc>
        <w:tc>
          <w:tcPr>
            <w:tcW w:w="992" w:type="dxa"/>
            <w:shd w:val="clear" w:color="auto" w:fill="auto"/>
            <w:noWrap/>
            <w:vAlign w:val="bottom"/>
            <w:hideMark/>
          </w:tcPr>
          <w:p w:rsidR="002D2B10" w:rsidRPr="0070507D" w:rsidRDefault="002D2B10" w:rsidP="00FD1D4D">
            <w:pPr>
              <w:pStyle w:val="a3"/>
              <w:overflowPunct/>
              <w:ind w:right="0"/>
              <w:jc w:val="right"/>
            </w:pPr>
            <w:r>
              <w:t>42</w:t>
            </w:r>
            <w:r w:rsidRPr="0070507D">
              <w:t xml:space="preserve"> </w:t>
            </w:r>
            <w:r>
              <w:t>936</w:t>
            </w:r>
          </w:p>
        </w:tc>
        <w:tc>
          <w:tcPr>
            <w:tcW w:w="992" w:type="dxa"/>
            <w:shd w:val="clear" w:color="auto" w:fill="auto"/>
            <w:noWrap/>
            <w:vAlign w:val="bottom"/>
            <w:hideMark/>
          </w:tcPr>
          <w:p w:rsidR="002D2B10" w:rsidRPr="0070507D" w:rsidRDefault="002D2B10" w:rsidP="00FD1D4D">
            <w:pPr>
              <w:pStyle w:val="a3"/>
              <w:overflowPunct/>
              <w:ind w:right="0"/>
              <w:jc w:val="right"/>
            </w:pPr>
            <w:r>
              <w:t>46</w:t>
            </w:r>
            <w:r w:rsidRPr="0070507D">
              <w:t xml:space="preserve"> </w:t>
            </w:r>
            <w:r>
              <w:t>195</w:t>
            </w:r>
          </w:p>
        </w:tc>
        <w:tc>
          <w:tcPr>
            <w:tcW w:w="992" w:type="dxa"/>
            <w:shd w:val="clear" w:color="auto" w:fill="auto"/>
            <w:noWrap/>
            <w:vAlign w:val="bottom"/>
            <w:hideMark/>
          </w:tcPr>
          <w:p w:rsidR="002D2B10" w:rsidRPr="0070507D" w:rsidRDefault="002D2B10" w:rsidP="00FD1D4D">
            <w:pPr>
              <w:pStyle w:val="a3"/>
              <w:overflowPunct/>
              <w:ind w:right="0"/>
              <w:jc w:val="right"/>
            </w:pPr>
            <w:r>
              <w:t>48</w:t>
            </w:r>
            <w:r w:rsidRPr="0070507D">
              <w:t xml:space="preserve"> 0</w:t>
            </w:r>
            <w:r>
              <w:t>87</w:t>
            </w:r>
          </w:p>
        </w:tc>
        <w:tc>
          <w:tcPr>
            <w:tcW w:w="992" w:type="dxa"/>
            <w:shd w:val="clear" w:color="auto" w:fill="auto"/>
            <w:noWrap/>
            <w:vAlign w:val="bottom"/>
            <w:hideMark/>
          </w:tcPr>
          <w:p w:rsidR="002D2B10" w:rsidRPr="0070507D" w:rsidRDefault="002D2B10" w:rsidP="00FD1D4D">
            <w:pPr>
              <w:pStyle w:val="a3"/>
              <w:overflowPunct/>
              <w:ind w:right="0"/>
              <w:jc w:val="right"/>
            </w:pPr>
            <w:r>
              <w:t>49</w:t>
            </w:r>
            <w:r w:rsidRPr="0070507D">
              <w:t xml:space="preserve"> </w:t>
            </w:r>
            <w:r>
              <w:t>241</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49</w:t>
            </w:r>
            <w:r w:rsidRPr="0070507D">
              <w:t xml:space="preserve"> </w:t>
            </w:r>
            <w:r>
              <w:t>59</w:t>
            </w:r>
            <w:r w:rsidRPr="0070507D">
              <w:t>0</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49</w:t>
            </w:r>
            <w:r w:rsidRPr="0070507D">
              <w:t xml:space="preserve"> </w:t>
            </w:r>
            <w:r>
              <w:t>691</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阿拉伯语</w:t>
            </w:r>
          </w:p>
        </w:tc>
        <w:tc>
          <w:tcPr>
            <w:tcW w:w="992" w:type="dxa"/>
            <w:shd w:val="clear" w:color="auto" w:fill="auto"/>
            <w:noWrap/>
            <w:vAlign w:val="bottom"/>
            <w:hideMark/>
          </w:tcPr>
          <w:p w:rsidR="002D2B10" w:rsidRPr="0070507D" w:rsidRDefault="002D2B10" w:rsidP="00FD1D4D">
            <w:pPr>
              <w:pStyle w:val="a3"/>
              <w:overflowPunct/>
              <w:ind w:right="0"/>
              <w:jc w:val="right"/>
            </w:pPr>
            <w:r>
              <w:t>13</w:t>
            </w:r>
            <w:r w:rsidRPr="0070507D">
              <w:t xml:space="preserve"> </w:t>
            </w:r>
            <w:r>
              <w:t>17</w:t>
            </w:r>
            <w:r w:rsidRPr="0070507D">
              <w:t>0</w:t>
            </w:r>
          </w:p>
        </w:tc>
        <w:tc>
          <w:tcPr>
            <w:tcW w:w="992" w:type="dxa"/>
            <w:shd w:val="clear" w:color="auto" w:fill="auto"/>
            <w:noWrap/>
            <w:vAlign w:val="bottom"/>
            <w:hideMark/>
          </w:tcPr>
          <w:p w:rsidR="002D2B10" w:rsidRPr="0070507D" w:rsidRDefault="002D2B10" w:rsidP="00FD1D4D">
            <w:pPr>
              <w:pStyle w:val="a3"/>
              <w:overflowPunct/>
              <w:ind w:right="0"/>
              <w:jc w:val="right"/>
            </w:pPr>
            <w:r>
              <w:t>14</w:t>
            </w:r>
            <w:r w:rsidRPr="0070507D">
              <w:t xml:space="preserve"> </w:t>
            </w:r>
            <w:r>
              <w:t>825</w:t>
            </w:r>
          </w:p>
        </w:tc>
        <w:tc>
          <w:tcPr>
            <w:tcW w:w="992" w:type="dxa"/>
            <w:shd w:val="clear" w:color="auto" w:fill="auto"/>
            <w:noWrap/>
            <w:vAlign w:val="bottom"/>
            <w:hideMark/>
          </w:tcPr>
          <w:p w:rsidR="002D2B10" w:rsidRPr="0070507D" w:rsidRDefault="002D2B10" w:rsidP="00FD1D4D">
            <w:pPr>
              <w:pStyle w:val="a3"/>
              <w:overflowPunct/>
              <w:ind w:right="0"/>
              <w:jc w:val="right"/>
            </w:pPr>
            <w:r>
              <w:t>16</w:t>
            </w:r>
            <w:r w:rsidRPr="0070507D">
              <w:t xml:space="preserve"> </w:t>
            </w:r>
            <w:r>
              <w:t>713</w:t>
            </w:r>
          </w:p>
        </w:tc>
        <w:tc>
          <w:tcPr>
            <w:tcW w:w="992" w:type="dxa"/>
            <w:shd w:val="clear" w:color="auto" w:fill="auto"/>
            <w:noWrap/>
            <w:vAlign w:val="bottom"/>
            <w:hideMark/>
          </w:tcPr>
          <w:p w:rsidR="002D2B10" w:rsidRPr="0070507D" w:rsidRDefault="002D2B10" w:rsidP="00FD1D4D">
            <w:pPr>
              <w:pStyle w:val="a3"/>
              <w:overflowPunct/>
              <w:ind w:right="0"/>
              <w:jc w:val="right"/>
            </w:pPr>
            <w:r>
              <w:t>21</w:t>
            </w:r>
            <w:r w:rsidRPr="0070507D">
              <w:t xml:space="preserve"> </w:t>
            </w:r>
            <w:r>
              <w:t>783</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26</w:t>
            </w:r>
            <w:r w:rsidRPr="0070507D">
              <w:t xml:space="preserve"> </w:t>
            </w:r>
            <w:r>
              <w:t>467</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29</w:t>
            </w:r>
            <w:r w:rsidRPr="0070507D">
              <w:t xml:space="preserve"> </w:t>
            </w:r>
            <w:r>
              <w:t>462</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索马里语</w:t>
            </w:r>
          </w:p>
        </w:tc>
        <w:tc>
          <w:tcPr>
            <w:tcW w:w="992" w:type="dxa"/>
            <w:shd w:val="clear" w:color="auto" w:fill="auto"/>
            <w:noWrap/>
            <w:vAlign w:val="bottom"/>
            <w:hideMark/>
          </w:tcPr>
          <w:p w:rsidR="002D2B10" w:rsidRPr="0070507D" w:rsidRDefault="002D2B10" w:rsidP="00FD1D4D">
            <w:pPr>
              <w:pStyle w:val="a3"/>
              <w:overflowPunct/>
              <w:ind w:right="0"/>
              <w:jc w:val="right"/>
            </w:pPr>
            <w:r>
              <w:t>15</w:t>
            </w:r>
            <w:r w:rsidRPr="0070507D">
              <w:t xml:space="preserve"> </w:t>
            </w:r>
            <w:r>
              <w:t>789</w:t>
            </w:r>
          </w:p>
        </w:tc>
        <w:tc>
          <w:tcPr>
            <w:tcW w:w="992" w:type="dxa"/>
            <w:shd w:val="clear" w:color="auto" w:fill="auto"/>
            <w:noWrap/>
            <w:vAlign w:val="bottom"/>
            <w:hideMark/>
          </w:tcPr>
          <w:p w:rsidR="002D2B10" w:rsidRPr="0070507D" w:rsidRDefault="002D2B10" w:rsidP="00FD1D4D">
            <w:pPr>
              <w:pStyle w:val="a3"/>
              <w:overflowPunct/>
              <w:ind w:right="0"/>
              <w:jc w:val="right"/>
            </w:pPr>
            <w:r>
              <w:t>16</w:t>
            </w:r>
            <w:r w:rsidRPr="0070507D">
              <w:t xml:space="preserve"> </w:t>
            </w:r>
            <w:r>
              <w:t>721</w:t>
            </w:r>
          </w:p>
        </w:tc>
        <w:tc>
          <w:tcPr>
            <w:tcW w:w="992" w:type="dxa"/>
            <w:shd w:val="clear" w:color="auto" w:fill="auto"/>
            <w:noWrap/>
            <w:vAlign w:val="bottom"/>
            <w:hideMark/>
          </w:tcPr>
          <w:p w:rsidR="002D2B10" w:rsidRPr="0070507D" w:rsidRDefault="002D2B10" w:rsidP="00FD1D4D">
            <w:pPr>
              <w:pStyle w:val="a3"/>
              <w:overflowPunct/>
              <w:ind w:right="0"/>
              <w:jc w:val="right"/>
            </w:pPr>
            <w:r>
              <w:t>17</w:t>
            </w:r>
            <w:r w:rsidRPr="0070507D">
              <w:t xml:space="preserve"> </w:t>
            </w:r>
            <w:r>
              <w:t>871</w:t>
            </w:r>
          </w:p>
        </w:tc>
        <w:tc>
          <w:tcPr>
            <w:tcW w:w="992" w:type="dxa"/>
            <w:shd w:val="clear" w:color="auto" w:fill="auto"/>
            <w:noWrap/>
            <w:vAlign w:val="bottom"/>
            <w:hideMark/>
          </w:tcPr>
          <w:p w:rsidR="002D2B10" w:rsidRPr="0070507D" w:rsidRDefault="002D2B10" w:rsidP="00FD1D4D">
            <w:pPr>
              <w:pStyle w:val="a3"/>
              <w:overflowPunct/>
              <w:ind w:right="0"/>
              <w:jc w:val="right"/>
            </w:pPr>
            <w:r>
              <w:t>19</w:t>
            </w:r>
            <w:r w:rsidRPr="0070507D">
              <w:t xml:space="preserve"> 0</w:t>
            </w:r>
            <w:r>
              <w:t>59</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w:t>
            </w:r>
            <w:r w:rsidRPr="0070507D">
              <w:t>0 00</w:t>
            </w:r>
            <w:r>
              <w:t>7</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w:t>
            </w:r>
            <w:r w:rsidRPr="0070507D">
              <w:t xml:space="preserve">0 </w:t>
            </w:r>
            <w:r>
              <w:t>944</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英语</w:t>
            </w:r>
          </w:p>
        </w:tc>
        <w:tc>
          <w:tcPr>
            <w:tcW w:w="992" w:type="dxa"/>
            <w:shd w:val="clear" w:color="auto" w:fill="auto"/>
            <w:noWrap/>
            <w:vAlign w:val="bottom"/>
            <w:hideMark/>
          </w:tcPr>
          <w:p w:rsidR="002D2B10" w:rsidRPr="0070507D" w:rsidRDefault="002D2B10" w:rsidP="00FD1D4D">
            <w:pPr>
              <w:pStyle w:val="a3"/>
              <w:overflowPunct/>
              <w:ind w:right="0"/>
              <w:jc w:val="right"/>
            </w:pPr>
            <w:r>
              <w:t>15</w:t>
            </w:r>
            <w:r w:rsidRPr="0070507D">
              <w:t xml:space="preserve"> </w:t>
            </w:r>
            <w:r>
              <w:t>57</w:t>
            </w:r>
            <w:r w:rsidRPr="0070507D">
              <w:t>0</w:t>
            </w:r>
          </w:p>
        </w:tc>
        <w:tc>
          <w:tcPr>
            <w:tcW w:w="992" w:type="dxa"/>
            <w:shd w:val="clear" w:color="auto" w:fill="auto"/>
            <w:noWrap/>
            <w:vAlign w:val="bottom"/>
            <w:hideMark/>
          </w:tcPr>
          <w:p w:rsidR="002D2B10" w:rsidRPr="0070507D" w:rsidRDefault="002D2B10" w:rsidP="00FD1D4D">
            <w:pPr>
              <w:pStyle w:val="a3"/>
              <w:overflowPunct/>
              <w:ind w:right="0"/>
              <w:jc w:val="right"/>
            </w:pPr>
            <w:r>
              <w:t>16</w:t>
            </w:r>
            <w:r w:rsidRPr="0070507D">
              <w:t xml:space="preserve"> </w:t>
            </w:r>
            <w:r>
              <w:t>732</w:t>
            </w:r>
          </w:p>
        </w:tc>
        <w:tc>
          <w:tcPr>
            <w:tcW w:w="992" w:type="dxa"/>
            <w:shd w:val="clear" w:color="auto" w:fill="auto"/>
            <w:noWrap/>
            <w:vAlign w:val="bottom"/>
            <w:hideMark/>
          </w:tcPr>
          <w:p w:rsidR="002D2B10" w:rsidRPr="0070507D" w:rsidRDefault="002D2B10" w:rsidP="00FD1D4D">
            <w:pPr>
              <w:pStyle w:val="a3"/>
              <w:overflowPunct/>
              <w:ind w:right="0"/>
              <w:jc w:val="right"/>
            </w:pPr>
            <w:r>
              <w:t>17</w:t>
            </w:r>
            <w:r w:rsidRPr="0070507D">
              <w:t xml:space="preserve"> </w:t>
            </w:r>
            <w:r>
              <w:t>784</w:t>
            </w:r>
          </w:p>
        </w:tc>
        <w:tc>
          <w:tcPr>
            <w:tcW w:w="992" w:type="dxa"/>
            <w:shd w:val="clear" w:color="auto" w:fill="auto"/>
            <w:noWrap/>
            <w:vAlign w:val="bottom"/>
            <w:hideMark/>
          </w:tcPr>
          <w:p w:rsidR="002D2B10" w:rsidRPr="0070507D" w:rsidRDefault="002D2B10" w:rsidP="00FD1D4D">
            <w:pPr>
              <w:pStyle w:val="a3"/>
              <w:overflowPunct/>
              <w:ind w:right="0"/>
              <w:jc w:val="right"/>
            </w:pPr>
            <w:r>
              <w:t>18</w:t>
            </w:r>
            <w:r w:rsidRPr="0070507D">
              <w:t xml:space="preserve"> </w:t>
            </w:r>
            <w:r>
              <w:t>758</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19</w:t>
            </w:r>
            <w:r w:rsidRPr="0070507D">
              <w:t xml:space="preserve"> </w:t>
            </w:r>
            <w:r>
              <w:t>626</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2</w:t>
            </w:r>
            <w:r w:rsidRPr="0070507D">
              <w:t xml:space="preserve">0 </w:t>
            </w:r>
            <w:r>
              <w:t>713</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库尔德语</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0 0</w:t>
            </w:r>
            <w:r>
              <w:t>75</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0 </w:t>
            </w:r>
            <w:r>
              <w:t>731</w:t>
            </w:r>
          </w:p>
        </w:tc>
        <w:tc>
          <w:tcPr>
            <w:tcW w:w="992" w:type="dxa"/>
            <w:shd w:val="clear" w:color="auto" w:fill="auto"/>
            <w:noWrap/>
            <w:vAlign w:val="bottom"/>
            <w:hideMark/>
          </w:tcPr>
          <w:p w:rsidR="002D2B10" w:rsidRPr="0070507D" w:rsidRDefault="002D2B10" w:rsidP="00FD1D4D">
            <w:pPr>
              <w:pStyle w:val="a3"/>
              <w:overflowPunct/>
              <w:ind w:right="0"/>
              <w:jc w:val="right"/>
            </w:pPr>
            <w:r>
              <w:t>11</w:t>
            </w:r>
            <w:r w:rsidRPr="0070507D">
              <w:t xml:space="preserve"> </w:t>
            </w:r>
            <w:r>
              <w:t>271</w:t>
            </w:r>
          </w:p>
        </w:tc>
        <w:tc>
          <w:tcPr>
            <w:tcW w:w="992" w:type="dxa"/>
            <w:shd w:val="clear" w:color="auto" w:fill="auto"/>
            <w:noWrap/>
            <w:vAlign w:val="bottom"/>
            <w:hideMark/>
          </w:tcPr>
          <w:p w:rsidR="002D2B10" w:rsidRPr="0070507D" w:rsidRDefault="002D2B10" w:rsidP="00FD1D4D">
            <w:pPr>
              <w:pStyle w:val="a3"/>
              <w:overflowPunct/>
              <w:ind w:right="0"/>
              <w:jc w:val="right"/>
            </w:pPr>
            <w:r>
              <w:t>12</w:t>
            </w:r>
            <w:r w:rsidRPr="0070507D">
              <w:t xml:space="preserve"> </w:t>
            </w:r>
            <w:r>
              <w:t>226</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13</w:t>
            </w:r>
            <w:r w:rsidRPr="0070507D">
              <w:t xml:space="preserve"> </w:t>
            </w:r>
            <w:r>
              <w:t>327</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14</w:t>
            </w:r>
            <w:r w:rsidRPr="0070507D">
              <w:t xml:space="preserve"> 0</w:t>
            </w:r>
            <w:r>
              <w:t>54</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波斯语</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w:t>
            </w:r>
            <w:r>
              <w:t>281</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w:t>
            </w:r>
            <w:r>
              <w:t>1</w:t>
            </w:r>
            <w:r w:rsidRPr="0070507D">
              <w:t>0</w:t>
            </w:r>
            <w:r>
              <w:t>3</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w:t>
            </w:r>
            <w:r>
              <w:t>745</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0 </w:t>
            </w:r>
            <w:r>
              <w:t>882</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12</w:t>
            </w:r>
            <w:r w:rsidRPr="0070507D">
              <w:t xml:space="preserve"> 0</w:t>
            </w:r>
            <w:r>
              <w:t>9</w:t>
            </w:r>
            <w:r w:rsidRPr="0070507D">
              <w:t>0</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13</w:t>
            </w:r>
            <w:r w:rsidRPr="0070507D">
              <w:t xml:space="preserve"> 0</w:t>
            </w:r>
            <w:r>
              <w:t>17</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汉语</w:t>
            </w:r>
          </w:p>
        </w:tc>
        <w:tc>
          <w:tcPr>
            <w:tcW w:w="992" w:type="dxa"/>
            <w:shd w:val="clear" w:color="auto" w:fill="auto"/>
            <w:noWrap/>
            <w:vAlign w:val="bottom"/>
            <w:hideMark/>
          </w:tcPr>
          <w:p w:rsidR="002D2B10" w:rsidRPr="0070507D" w:rsidRDefault="002D2B10" w:rsidP="00FD1D4D">
            <w:pPr>
              <w:pStyle w:val="a3"/>
              <w:overflowPunct/>
              <w:ind w:right="0"/>
              <w:jc w:val="right"/>
            </w:pPr>
            <w:r>
              <w:t>9</w:t>
            </w:r>
            <w:r w:rsidRPr="0070507D">
              <w:t xml:space="preserve"> </w:t>
            </w:r>
            <w:r>
              <w:t>496</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0 </w:t>
            </w:r>
            <w:r>
              <w:t>11</w:t>
            </w:r>
            <w:r w:rsidRPr="0070507D">
              <w:t>0</w:t>
            </w:r>
          </w:p>
        </w:tc>
        <w:tc>
          <w:tcPr>
            <w:tcW w:w="992" w:type="dxa"/>
            <w:shd w:val="clear" w:color="auto" w:fill="auto"/>
            <w:noWrap/>
            <w:vAlign w:val="bottom"/>
            <w:hideMark/>
          </w:tcPr>
          <w:p w:rsidR="002D2B10" w:rsidRPr="0070507D" w:rsidRDefault="002D2B10" w:rsidP="00FD1D4D">
            <w:pPr>
              <w:pStyle w:val="a3"/>
              <w:overflowPunct/>
              <w:ind w:right="0"/>
              <w:jc w:val="right"/>
            </w:pPr>
            <w:r>
              <w:t>1</w:t>
            </w:r>
            <w:r w:rsidRPr="0070507D">
              <w:t xml:space="preserve">0 </w:t>
            </w:r>
            <w:r>
              <w:t>722</w:t>
            </w:r>
          </w:p>
        </w:tc>
        <w:tc>
          <w:tcPr>
            <w:tcW w:w="992" w:type="dxa"/>
            <w:shd w:val="clear" w:color="auto" w:fill="auto"/>
            <w:noWrap/>
            <w:vAlign w:val="bottom"/>
            <w:hideMark/>
          </w:tcPr>
          <w:p w:rsidR="002D2B10" w:rsidRPr="0070507D" w:rsidRDefault="002D2B10" w:rsidP="00FD1D4D">
            <w:pPr>
              <w:pStyle w:val="a3"/>
              <w:overflowPunct/>
              <w:ind w:right="0"/>
              <w:jc w:val="right"/>
            </w:pPr>
            <w:r>
              <w:t>11</w:t>
            </w:r>
            <w:r w:rsidRPr="0070507D">
              <w:t xml:space="preserve"> </w:t>
            </w:r>
            <w:r>
              <w:t>334</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11</w:t>
            </w:r>
            <w:r w:rsidRPr="0070507D">
              <w:t xml:space="preserve"> </w:t>
            </w:r>
            <w:r>
              <w:t>825</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12</w:t>
            </w:r>
            <w:r w:rsidRPr="0070507D">
              <w:t xml:space="preserve"> </w:t>
            </w:r>
            <w:r>
              <w:t>4</w:t>
            </w:r>
            <w:r w:rsidRPr="0070507D">
              <w:t>0</w:t>
            </w:r>
            <w:r>
              <w:t>7</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阿尔巴尼亚语</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w:t>
            </w:r>
            <w:r>
              <w:t>214</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w:t>
            </w:r>
            <w:r>
              <w:t>754</w:t>
            </w:r>
          </w:p>
        </w:tc>
        <w:tc>
          <w:tcPr>
            <w:tcW w:w="992" w:type="dxa"/>
            <w:shd w:val="clear" w:color="auto" w:fill="auto"/>
            <w:noWrap/>
            <w:vAlign w:val="bottom"/>
            <w:hideMark/>
          </w:tcPr>
          <w:p w:rsidR="002D2B10" w:rsidRPr="0070507D" w:rsidRDefault="002D2B10" w:rsidP="00FD1D4D">
            <w:pPr>
              <w:pStyle w:val="a3"/>
              <w:overflowPunct/>
              <w:ind w:right="0"/>
              <w:jc w:val="right"/>
            </w:pPr>
            <w:r>
              <w:t>9</w:t>
            </w:r>
            <w:r w:rsidRPr="0070507D">
              <w:t xml:space="preserve"> </w:t>
            </w:r>
            <w:r>
              <w:t>233</w:t>
            </w:r>
          </w:p>
        </w:tc>
        <w:tc>
          <w:tcPr>
            <w:tcW w:w="992" w:type="dxa"/>
            <w:shd w:val="clear" w:color="auto" w:fill="auto"/>
            <w:noWrap/>
            <w:vAlign w:val="bottom"/>
            <w:hideMark/>
          </w:tcPr>
          <w:p w:rsidR="002D2B10" w:rsidRPr="0070507D" w:rsidRDefault="002D2B10" w:rsidP="00FD1D4D">
            <w:pPr>
              <w:pStyle w:val="a3"/>
              <w:overflowPunct/>
              <w:ind w:right="0"/>
              <w:jc w:val="right"/>
            </w:pPr>
            <w:r>
              <w:t>9</w:t>
            </w:r>
            <w:r w:rsidRPr="0070507D">
              <w:t xml:space="preserve"> </w:t>
            </w:r>
            <w:r>
              <w:t>791</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w:t>
            </w:r>
            <w:r w:rsidRPr="0070507D">
              <w:t xml:space="preserve">0 </w:t>
            </w:r>
            <w:r>
              <w:t>391</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w:t>
            </w:r>
            <w:r w:rsidRPr="0070507D">
              <w:t xml:space="preserve">0 </w:t>
            </w:r>
            <w:r>
              <w:t>99</w:t>
            </w:r>
            <w:r w:rsidRPr="0070507D">
              <w:t>0</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越南语</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w:t>
            </w:r>
            <w:r>
              <w:t>991</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w:t>
            </w:r>
            <w:r>
              <w:t>532</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w:t>
            </w:r>
            <w:r>
              <w:t>273</w:t>
            </w:r>
          </w:p>
        </w:tc>
        <w:tc>
          <w:tcPr>
            <w:tcW w:w="992" w:type="dxa"/>
            <w:shd w:val="clear" w:color="auto" w:fill="auto"/>
            <w:noWrap/>
            <w:vAlign w:val="bottom"/>
            <w:hideMark/>
          </w:tcPr>
          <w:p w:rsidR="002D2B10" w:rsidRPr="0070507D" w:rsidRDefault="002D2B10" w:rsidP="00FD1D4D">
            <w:pPr>
              <w:pStyle w:val="a3"/>
              <w:overflowPunct/>
              <w:ind w:right="0"/>
              <w:jc w:val="right"/>
            </w:pPr>
            <w:r>
              <w:t>9</w:t>
            </w:r>
            <w:r w:rsidRPr="0070507D">
              <w:t xml:space="preserve"> </w:t>
            </w:r>
            <w:r>
              <w:t>248</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9</w:t>
            </w:r>
            <w:r w:rsidRPr="0070507D">
              <w:t xml:space="preserve"> </w:t>
            </w:r>
            <w:r>
              <w:t>872</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1</w:t>
            </w:r>
            <w:r w:rsidRPr="0070507D">
              <w:t xml:space="preserve">0 </w:t>
            </w:r>
            <w:r>
              <w:t>44</w:t>
            </w:r>
            <w:r w:rsidRPr="0070507D">
              <w:t>0</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泰国语</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w:t>
            </w:r>
            <w:r>
              <w:t>513</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0</w:t>
            </w:r>
            <w:r>
              <w:t>38</w:t>
            </w:r>
          </w:p>
        </w:tc>
        <w:tc>
          <w:tcPr>
            <w:tcW w:w="992" w:type="dxa"/>
            <w:shd w:val="clear" w:color="auto" w:fill="auto"/>
            <w:noWrap/>
            <w:vAlign w:val="bottom"/>
            <w:hideMark/>
          </w:tcPr>
          <w:p w:rsidR="002D2B10" w:rsidRPr="0070507D" w:rsidRDefault="002D2B10" w:rsidP="00FD1D4D">
            <w:pPr>
              <w:pStyle w:val="a3"/>
              <w:overflowPunct/>
              <w:ind w:right="0"/>
              <w:jc w:val="right"/>
            </w:pPr>
            <w:r>
              <w:t>8</w:t>
            </w:r>
            <w:r w:rsidRPr="0070507D">
              <w:t xml:space="preserve"> </w:t>
            </w:r>
            <w:r>
              <w:t>582</w:t>
            </w:r>
          </w:p>
        </w:tc>
        <w:tc>
          <w:tcPr>
            <w:tcW w:w="992" w:type="dxa"/>
            <w:shd w:val="clear" w:color="auto" w:fill="auto"/>
            <w:noWrap/>
            <w:vAlign w:val="bottom"/>
            <w:hideMark/>
          </w:tcPr>
          <w:p w:rsidR="002D2B10" w:rsidRPr="0070507D" w:rsidRDefault="002D2B10" w:rsidP="00FD1D4D">
            <w:pPr>
              <w:pStyle w:val="a3"/>
              <w:overflowPunct/>
              <w:ind w:right="0"/>
              <w:jc w:val="right"/>
            </w:pPr>
            <w:r>
              <w:t>9</w:t>
            </w:r>
            <w:r w:rsidRPr="0070507D">
              <w:t xml:space="preserve"> 0</w:t>
            </w:r>
            <w:r>
              <w:t>47</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9</w:t>
            </w:r>
            <w:r w:rsidRPr="0070507D">
              <w:t xml:space="preserve"> </w:t>
            </w:r>
            <w:r>
              <w:t>4</w:t>
            </w:r>
            <w:r w:rsidRPr="0070507D">
              <w:t>0</w:t>
            </w:r>
            <w:r>
              <w:t>3</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9</w:t>
            </w:r>
            <w:r w:rsidRPr="0070507D">
              <w:t xml:space="preserve"> </w:t>
            </w:r>
            <w:r>
              <w:t>763</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土耳其语</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w:t>
            </w:r>
            <w:r>
              <w:t>441</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w:t>
            </w:r>
            <w:r>
              <w:t>766</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0</w:t>
            </w:r>
            <w:r>
              <w:t>82</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w:t>
            </w:r>
            <w:r>
              <w:t>4</w:t>
            </w:r>
            <w:r w:rsidRPr="0070507D">
              <w:t>0</w:t>
            </w:r>
            <w:r>
              <w:t>3</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7</w:t>
            </w:r>
            <w:r w:rsidRPr="0070507D">
              <w:t xml:space="preserve"> </w:t>
            </w:r>
            <w:r>
              <w:t>739</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8</w:t>
            </w:r>
            <w:r w:rsidRPr="0070507D">
              <w:t xml:space="preserve"> </w:t>
            </w:r>
            <w:r>
              <w:t>127</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西班牙语</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0</w:t>
            </w:r>
            <w:r>
              <w:t>22</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w:t>
            </w:r>
            <w:r>
              <w:t>583</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0</w:t>
            </w:r>
            <w:r>
              <w:t>25</w:t>
            </w:r>
          </w:p>
        </w:tc>
        <w:tc>
          <w:tcPr>
            <w:tcW w:w="992" w:type="dxa"/>
            <w:shd w:val="clear" w:color="auto" w:fill="auto"/>
            <w:noWrap/>
            <w:vAlign w:val="bottom"/>
            <w:hideMark/>
          </w:tcPr>
          <w:p w:rsidR="002D2B10" w:rsidRPr="0070507D" w:rsidRDefault="002D2B10" w:rsidP="00FD1D4D">
            <w:pPr>
              <w:pStyle w:val="a3"/>
              <w:overflowPunct/>
              <w:ind w:right="0"/>
              <w:jc w:val="right"/>
            </w:pPr>
            <w:r>
              <w:t>7</w:t>
            </w:r>
            <w:r w:rsidRPr="0070507D">
              <w:t xml:space="preserve"> </w:t>
            </w:r>
            <w:r>
              <w:t>449</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7</w:t>
            </w:r>
            <w:r w:rsidRPr="0070507D">
              <w:t xml:space="preserve"> </w:t>
            </w:r>
            <w:r>
              <w:t>77</w:t>
            </w:r>
            <w:r w:rsidRPr="0070507D">
              <w:t>0</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8</w:t>
            </w:r>
            <w:r w:rsidRPr="0070507D">
              <w:t xml:space="preserve"> 0</w:t>
            </w:r>
            <w:r>
              <w:t>99</w:t>
            </w:r>
          </w:p>
        </w:tc>
      </w:tr>
      <w:tr w:rsidR="002D2B10" w:rsidRPr="0070507D" w:rsidTr="00A95614">
        <w:tc>
          <w:tcPr>
            <w:tcW w:w="1418" w:type="dxa"/>
            <w:shd w:val="clear" w:color="auto" w:fill="auto"/>
            <w:noWrap/>
            <w:hideMark/>
          </w:tcPr>
          <w:p w:rsidR="002D2B10" w:rsidRPr="0070507D" w:rsidRDefault="002D2B10" w:rsidP="00FD1D4D">
            <w:pPr>
              <w:pStyle w:val="a3"/>
              <w:overflowPunct/>
              <w:ind w:right="0"/>
              <w:jc w:val="left"/>
            </w:pPr>
            <w:r w:rsidRPr="0070507D">
              <w:rPr>
                <w:rFonts w:hint="eastAsia"/>
              </w:rPr>
              <w:t>德语</w:t>
            </w:r>
          </w:p>
        </w:tc>
        <w:tc>
          <w:tcPr>
            <w:tcW w:w="992" w:type="dxa"/>
            <w:shd w:val="clear" w:color="auto" w:fill="auto"/>
            <w:noWrap/>
            <w:vAlign w:val="bottom"/>
            <w:hideMark/>
          </w:tcPr>
          <w:p w:rsidR="002D2B10" w:rsidRPr="0070507D" w:rsidRDefault="002D2B10" w:rsidP="00FD1D4D">
            <w:pPr>
              <w:pStyle w:val="a3"/>
              <w:overflowPunct/>
              <w:ind w:right="0"/>
              <w:jc w:val="right"/>
            </w:pPr>
            <w:r>
              <w:t>5</w:t>
            </w:r>
            <w:r w:rsidRPr="0070507D">
              <w:t xml:space="preserve"> </w:t>
            </w:r>
            <w:r>
              <w:t>9</w:t>
            </w:r>
            <w:r w:rsidRPr="0070507D">
              <w:t>0</w:t>
            </w:r>
            <w:r>
              <w:t>2</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0</w:t>
            </w:r>
            <w:r>
              <w:t>59</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w:t>
            </w:r>
            <w:r>
              <w:t>168</w:t>
            </w:r>
          </w:p>
        </w:tc>
        <w:tc>
          <w:tcPr>
            <w:tcW w:w="992" w:type="dxa"/>
            <w:shd w:val="clear" w:color="auto" w:fill="auto"/>
            <w:noWrap/>
            <w:vAlign w:val="bottom"/>
            <w:hideMark/>
          </w:tcPr>
          <w:p w:rsidR="002D2B10" w:rsidRPr="0070507D" w:rsidRDefault="002D2B10" w:rsidP="00FD1D4D">
            <w:pPr>
              <w:pStyle w:val="a3"/>
              <w:overflowPunct/>
              <w:ind w:right="0"/>
              <w:jc w:val="right"/>
            </w:pPr>
            <w:r>
              <w:t>6</w:t>
            </w:r>
            <w:r w:rsidRPr="0070507D">
              <w:t xml:space="preserve"> </w:t>
            </w:r>
            <w:r>
              <w:t>256</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6</w:t>
            </w:r>
            <w:r w:rsidRPr="0070507D">
              <w:t xml:space="preserve"> </w:t>
            </w:r>
            <w:r>
              <w:t>183</w:t>
            </w:r>
          </w:p>
        </w:tc>
        <w:tc>
          <w:tcPr>
            <w:tcW w:w="992" w:type="dxa"/>
            <w:shd w:val="clear" w:color="auto" w:fill="auto"/>
            <w:vAlign w:val="bottom"/>
            <w:hideMark/>
          </w:tcPr>
          <w:p w:rsidR="002D2B10" w:rsidRPr="0070507D" w:rsidRDefault="002D2B10" w:rsidP="00FD1D4D">
            <w:pPr>
              <w:pStyle w:val="a3"/>
              <w:overflowPunct/>
              <w:ind w:right="0"/>
              <w:jc w:val="right"/>
              <w:rPr>
                <w:lang w:eastAsia="fi-FI"/>
              </w:rPr>
            </w:pPr>
            <w:r>
              <w:t>6</w:t>
            </w:r>
            <w:r w:rsidRPr="0070507D">
              <w:t xml:space="preserve"> </w:t>
            </w:r>
            <w:r>
              <w:t>317</w:t>
            </w:r>
          </w:p>
        </w:tc>
      </w:tr>
      <w:tr w:rsidR="002D2B10" w:rsidRPr="0070507D" w:rsidTr="00A95614">
        <w:tc>
          <w:tcPr>
            <w:tcW w:w="1418" w:type="dxa"/>
            <w:tcBorders>
              <w:bottom w:val="nil"/>
            </w:tcBorders>
            <w:shd w:val="clear" w:color="auto" w:fill="auto"/>
            <w:noWrap/>
            <w:hideMark/>
          </w:tcPr>
          <w:p w:rsidR="002D2B10" w:rsidRPr="0070507D" w:rsidRDefault="002D2B10" w:rsidP="00FD1D4D">
            <w:pPr>
              <w:pStyle w:val="a3"/>
              <w:overflowPunct/>
              <w:ind w:right="0"/>
              <w:jc w:val="left"/>
            </w:pPr>
            <w:r w:rsidRPr="0070507D">
              <w:rPr>
                <w:rFonts w:hint="eastAsia"/>
              </w:rPr>
              <w:t>波兰语</w:t>
            </w:r>
          </w:p>
        </w:tc>
        <w:tc>
          <w:tcPr>
            <w:tcW w:w="992" w:type="dxa"/>
            <w:tcBorders>
              <w:bottom w:val="nil"/>
            </w:tcBorders>
            <w:shd w:val="clear" w:color="auto" w:fill="auto"/>
            <w:noWrap/>
            <w:vAlign w:val="bottom"/>
            <w:hideMark/>
          </w:tcPr>
          <w:p w:rsidR="002D2B10" w:rsidRPr="0070507D" w:rsidRDefault="002D2B10" w:rsidP="00FD1D4D">
            <w:pPr>
              <w:pStyle w:val="a3"/>
              <w:overflowPunct/>
              <w:ind w:right="0"/>
              <w:jc w:val="right"/>
            </w:pPr>
            <w:r>
              <w:t>4</w:t>
            </w:r>
            <w:r w:rsidRPr="0070507D">
              <w:t xml:space="preserve"> 0</w:t>
            </w:r>
            <w:r>
              <w:t>6</w:t>
            </w:r>
            <w:r w:rsidRPr="0070507D">
              <w:t>0</w:t>
            </w:r>
          </w:p>
        </w:tc>
        <w:tc>
          <w:tcPr>
            <w:tcW w:w="992" w:type="dxa"/>
            <w:tcBorders>
              <w:bottom w:val="nil"/>
            </w:tcBorders>
            <w:shd w:val="clear" w:color="auto" w:fill="auto"/>
            <w:noWrap/>
            <w:vAlign w:val="bottom"/>
            <w:hideMark/>
          </w:tcPr>
          <w:p w:rsidR="002D2B10" w:rsidRPr="0070507D" w:rsidRDefault="002D2B10" w:rsidP="00FD1D4D">
            <w:pPr>
              <w:pStyle w:val="a3"/>
              <w:overflowPunct/>
              <w:ind w:right="0"/>
              <w:jc w:val="right"/>
            </w:pPr>
            <w:r>
              <w:t>4</w:t>
            </w:r>
            <w:r w:rsidRPr="0070507D">
              <w:t xml:space="preserve"> </w:t>
            </w:r>
            <w:r>
              <w:t>459</w:t>
            </w:r>
          </w:p>
        </w:tc>
        <w:tc>
          <w:tcPr>
            <w:tcW w:w="992" w:type="dxa"/>
            <w:tcBorders>
              <w:bottom w:val="nil"/>
            </w:tcBorders>
            <w:shd w:val="clear" w:color="auto" w:fill="auto"/>
            <w:noWrap/>
            <w:vAlign w:val="bottom"/>
            <w:hideMark/>
          </w:tcPr>
          <w:p w:rsidR="002D2B10" w:rsidRPr="0070507D" w:rsidRDefault="002D2B10" w:rsidP="00FD1D4D">
            <w:pPr>
              <w:pStyle w:val="a3"/>
              <w:overflowPunct/>
              <w:ind w:right="0"/>
              <w:jc w:val="right"/>
            </w:pPr>
            <w:r>
              <w:t>4</w:t>
            </w:r>
            <w:r w:rsidRPr="0070507D">
              <w:t xml:space="preserve"> </w:t>
            </w:r>
            <w:r>
              <w:t>794</w:t>
            </w:r>
          </w:p>
        </w:tc>
        <w:tc>
          <w:tcPr>
            <w:tcW w:w="992" w:type="dxa"/>
            <w:tcBorders>
              <w:bottom w:val="nil"/>
            </w:tcBorders>
            <w:shd w:val="clear" w:color="auto" w:fill="auto"/>
            <w:noWrap/>
            <w:vAlign w:val="bottom"/>
            <w:hideMark/>
          </w:tcPr>
          <w:p w:rsidR="002D2B10" w:rsidRPr="0070507D" w:rsidRDefault="002D2B10" w:rsidP="00FD1D4D">
            <w:pPr>
              <w:pStyle w:val="a3"/>
              <w:overflowPunct/>
              <w:ind w:right="0"/>
              <w:jc w:val="right"/>
            </w:pPr>
            <w:r>
              <w:t>5</w:t>
            </w:r>
            <w:r w:rsidRPr="0070507D">
              <w:t xml:space="preserve"> 0</w:t>
            </w:r>
            <w:r>
              <w:t>81</w:t>
            </w:r>
          </w:p>
        </w:tc>
        <w:tc>
          <w:tcPr>
            <w:tcW w:w="992" w:type="dxa"/>
            <w:tcBorders>
              <w:bottom w:val="nil"/>
            </w:tcBorders>
            <w:shd w:val="clear" w:color="auto" w:fill="auto"/>
            <w:vAlign w:val="bottom"/>
            <w:hideMark/>
          </w:tcPr>
          <w:p w:rsidR="002D2B10" w:rsidRPr="0070507D" w:rsidRDefault="002D2B10" w:rsidP="00FD1D4D">
            <w:pPr>
              <w:pStyle w:val="a3"/>
              <w:overflowPunct/>
              <w:ind w:right="0"/>
              <w:jc w:val="right"/>
              <w:rPr>
                <w:lang w:eastAsia="fi-FI"/>
              </w:rPr>
            </w:pPr>
            <w:r>
              <w:t>5</w:t>
            </w:r>
            <w:r w:rsidRPr="0070507D">
              <w:t xml:space="preserve"> </w:t>
            </w:r>
            <w:r>
              <w:t>274</w:t>
            </w:r>
          </w:p>
        </w:tc>
        <w:tc>
          <w:tcPr>
            <w:tcW w:w="992" w:type="dxa"/>
            <w:tcBorders>
              <w:bottom w:val="nil"/>
            </w:tcBorders>
            <w:shd w:val="clear" w:color="auto" w:fill="auto"/>
            <w:vAlign w:val="bottom"/>
            <w:hideMark/>
          </w:tcPr>
          <w:p w:rsidR="002D2B10" w:rsidRPr="0070507D" w:rsidRDefault="002D2B10" w:rsidP="00FD1D4D">
            <w:pPr>
              <w:pStyle w:val="a3"/>
              <w:overflowPunct/>
              <w:ind w:right="0"/>
              <w:jc w:val="right"/>
              <w:rPr>
                <w:lang w:eastAsia="fi-FI"/>
              </w:rPr>
            </w:pPr>
            <w:r>
              <w:t>5</w:t>
            </w:r>
            <w:r w:rsidRPr="0070507D">
              <w:t xml:space="preserve"> </w:t>
            </w:r>
            <w:r>
              <w:t>441</w:t>
            </w:r>
          </w:p>
        </w:tc>
      </w:tr>
      <w:tr w:rsidR="002D2B10" w:rsidRPr="0070507D" w:rsidTr="00A95614">
        <w:tc>
          <w:tcPr>
            <w:tcW w:w="1418" w:type="dxa"/>
            <w:tcBorders>
              <w:top w:val="nil"/>
              <w:bottom w:val="single" w:sz="4" w:space="0" w:color="auto"/>
            </w:tcBorders>
            <w:shd w:val="clear" w:color="auto" w:fill="auto"/>
            <w:noWrap/>
            <w:hideMark/>
          </w:tcPr>
          <w:p w:rsidR="002D2B10" w:rsidRPr="0070507D" w:rsidRDefault="002D2B10" w:rsidP="00FD1D4D">
            <w:pPr>
              <w:pStyle w:val="a3"/>
              <w:overflowPunct/>
              <w:ind w:right="0"/>
              <w:jc w:val="left"/>
            </w:pPr>
            <w:r w:rsidRPr="0070507D">
              <w:rPr>
                <w:rFonts w:hint="eastAsia"/>
              </w:rPr>
              <w:t>其他</w:t>
            </w:r>
          </w:p>
        </w:tc>
        <w:tc>
          <w:tcPr>
            <w:tcW w:w="992" w:type="dxa"/>
            <w:tcBorders>
              <w:top w:val="nil"/>
              <w:bottom w:val="single" w:sz="4" w:space="0" w:color="auto"/>
            </w:tcBorders>
            <w:shd w:val="clear" w:color="auto" w:fill="auto"/>
            <w:noWrap/>
            <w:vAlign w:val="bottom"/>
            <w:hideMark/>
          </w:tcPr>
          <w:p w:rsidR="002D2B10" w:rsidRPr="0070507D" w:rsidRDefault="002D2B10" w:rsidP="00FD1D4D">
            <w:pPr>
              <w:pStyle w:val="a3"/>
              <w:overflowPunct/>
              <w:ind w:right="0"/>
              <w:jc w:val="right"/>
            </w:pPr>
            <w:r>
              <w:t>63</w:t>
            </w:r>
            <w:r w:rsidRPr="0070507D">
              <w:t xml:space="preserve"> </w:t>
            </w:r>
            <w:r>
              <w:t>229</w:t>
            </w:r>
          </w:p>
        </w:tc>
        <w:tc>
          <w:tcPr>
            <w:tcW w:w="992" w:type="dxa"/>
            <w:tcBorders>
              <w:top w:val="nil"/>
              <w:bottom w:val="single" w:sz="4" w:space="0" w:color="auto"/>
            </w:tcBorders>
            <w:shd w:val="clear" w:color="auto" w:fill="auto"/>
            <w:noWrap/>
            <w:vAlign w:val="bottom"/>
            <w:hideMark/>
          </w:tcPr>
          <w:p w:rsidR="002D2B10" w:rsidRPr="0070507D" w:rsidRDefault="002D2B10" w:rsidP="00FD1D4D">
            <w:pPr>
              <w:pStyle w:val="a3"/>
              <w:overflowPunct/>
              <w:ind w:right="0"/>
              <w:jc w:val="right"/>
            </w:pPr>
            <w:r>
              <w:t>69</w:t>
            </w:r>
            <w:r w:rsidRPr="0070507D">
              <w:t xml:space="preserve"> 0</w:t>
            </w:r>
            <w:r>
              <w:t>84</w:t>
            </w:r>
          </w:p>
        </w:tc>
        <w:tc>
          <w:tcPr>
            <w:tcW w:w="992" w:type="dxa"/>
            <w:tcBorders>
              <w:top w:val="nil"/>
              <w:bottom w:val="single" w:sz="4" w:space="0" w:color="auto"/>
            </w:tcBorders>
            <w:shd w:val="clear" w:color="auto" w:fill="auto"/>
            <w:noWrap/>
            <w:vAlign w:val="bottom"/>
            <w:hideMark/>
          </w:tcPr>
          <w:p w:rsidR="002D2B10" w:rsidRPr="0070507D" w:rsidRDefault="002D2B10" w:rsidP="00FD1D4D">
            <w:pPr>
              <w:pStyle w:val="a3"/>
              <w:overflowPunct/>
              <w:ind w:right="0"/>
              <w:jc w:val="right"/>
            </w:pPr>
            <w:r>
              <w:t>74</w:t>
            </w:r>
            <w:r w:rsidRPr="0070507D">
              <w:t xml:space="preserve"> </w:t>
            </w:r>
            <w:r>
              <w:t>776</w:t>
            </w:r>
          </w:p>
        </w:tc>
        <w:tc>
          <w:tcPr>
            <w:tcW w:w="992" w:type="dxa"/>
            <w:tcBorders>
              <w:top w:val="nil"/>
              <w:bottom w:val="single" w:sz="4" w:space="0" w:color="auto"/>
            </w:tcBorders>
            <w:shd w:val="clear" w:color="auto" w:fill="auto"/>
            <w:noWrap/>
            <w:vAlign w:val="bottom"/>
            <w:hideMark/>
          </w:tcPr>
          <w:p w:rsidR="002D2B10" w:rsidRPr="0070507D" w:rsidRDefault="002D2B10" w:rsidP="00FD1D4D">
            <w:pPr>
              <w:pStyle w:val="a3"/>
              <w:overflowPunct/>
              <w:ind w:right="0"/>
              <w:jc w:val="right"/>
            </w:pPr>
            <w:r>
              <w:t>8</w:t>
            </w:r>
            <w:r w:rsidRPr="0070507D">
              <w:t xml:space="preserve">0 </w:t>
            </w:r>
            <w:r>
              <w:t>991</w:t>
            </w:r>
          </w:p>
        </w:tc>
        <w:tc>
          <w:tcPr>
            <w:tcW w:w="992" w:type="dxa"/>
            <w:tcBorders>
              <w:top w:val="nil"/>
              <w:bottom w:val="single" w:sz="4" w:space="0" w:color="auto"/>
            </w:tcBorders>
            <w:shd w:val="clear" w:color="auto" w:fill="auto"/>
            <w:vAlign w:val="bottom"/>
            <w:hideMark/>
          </w:tcPr>
          <w:p w:rsidR="002D2B10" w:rsidRPr="0070507D" w:rsidRDefault="002D2B10" w:rsidP="00FD1D4D">
            <w:pPr>
              <w:pStyle w:val="a3"/>
              <w:overflowPunct/>
              <w:ind w:right="0"/>
              <w:jc w:val="right"/>
            </w:pPr>
            <w:r>
              <w:t>86</w:t>
            </w:r>
            <w:r w:rsidRPr="0070507D">
              <w:t xml:space="preserve"> </w:t>
            </w:r>
            <w:r>
              <w:t>584</w:t>
            </w:r>
          </w:p>
        </w:tc>
        <w:tc>
          <w:tcPr>
            <w:tcW w:w="992" w:type="dxa"/>
            <w:tcBorders>
              <w:top w:val="nil"/>
              <w:bottom w:val="single" w:sz="4" w:space="0" w:color="auto"/>
            </w:tcBorders>
            <w:shd w:val="clear" w:color="auto" w:fill="auto"/>
            <w:vAlign w:val="bottom"/>
            <w:hideMark/>
          </w:tcPr>
          <w:p w:rsidR="002D2B10" w:rsidRPr="0070507D" w:rsidRDefault="002D2B10" w:rsidP="00FD1D4D">
            <w:pPr>
              <w:pStyle w:val="a3"/>
              <w:overflowPunct/>
              <w:ind w:right="0"/>
              <w:jc w:val="right"/>
            </w:pPr>
            <w:r>
              <w:t>93</w:t>
            </w:r>
            <w:r w:rsidRPr="0070507D">
              <w:t xml:space="preserve"> 0</w:t>
            </w:r>
            <w:r>
              <w:t>56</w:t>
            </w:r>
          </w:p>
        </w:tc>
      </w:tr>
      <w:tr w:rsidR="002D2B10" w:rsidRPr="0070507D" w:rsidTr="00A95614">
        <w:tc>
          <w:tcPr>
            <w:tcW w:w="1418" w:type="dxa"/>
            <w:tcBorders>
              <w:top w:val="single" w:sz="4" w:space="0" w:color="auto"/>
            </w:tcBorders>
            <w:shd w:val="clear" w:color="auto" w:fill="auto"/>
            <w:noWrap/>
            <w:hideMark/>
          </w:tcPr>
          <w:p w:rsidR="002D2B10" w:rsidRPr="002D2B10" w:rsidRDefault="00D57AA7" w:rsidP="00FD1D4D">
            <w:pPr>
              <w:pStyle w:val="a3"/>
              <w:overflowPunct/>
              <w:ind w:right="0"/>
              <w:jc w:val="left"/>
              <w:rPr>
                <w:rFonts w:ascii="Time New Roman" w:eastAsia="黑体" w:hAnsi="Time New Roman" w:hint="eastAsia"/>
                <w:bCs/>
              </w:rPr>
            </w:pPr>
            <w:r>
              <w:rPr>
                <w:rFonts w:ascii="Time New Roman" w:eastAsia="黑体" w:hAnsi="Time New Roman"/>
                <w:bCs/>
              </w:rPr>
              <w:t xml:space="preserve">  </w:t>
            </w:r>
            <w:r w:rsidR="002D2B10" w:rsidRPr="002D2B10">
              <w:rPr>
                <w:rFonts w:ascii="Time New Roman" w:eastAsia="黑体" w:hAnsi="Time New Roman" w:hint="eastAsia"/>
                <w:bCs/>
              </w:rPr>
              <w:t>共计</w:t>
            </w:r>
          </w:p>
        </w:tc>
        <w:tc>
          <w:tcPr>
            <w:tcW w:w="992" w:type="dxa"/>
            <w:tcBorders>
              <w:top w:val="single" w:sz="4" w:space="0" w:color="auto"/>
            </w:tcBorders>
            <w:shd w:val="clear" w:color="auto" w:fill="auto"/>
            <w:noWrap/>
            <w:vAlign w:val="bottom"/>
            <w:hideMark/>
          </w:tcPr>
          <w:p w:rsidR="002D2B10" w:rsidRPr="0070507D" w:rsidRDefault="002D2B10" w:rsidP="00FD1D4D">
            <w:pPr>
              <w:pStyle w:val="a3"/>
              <w:overflowPunct/>
              <w:ind w:right="0"/>
              <w:jc w:val="right"/>
              <w:rPr>
                <w:b/>
              </w:rPr>
            </w:pPr>
            <w:r>
              <w:rPr>
                <w:b/>
              </w:rPr>
              <w:t>5</w:t>
            </w:r>
            <w:r w:rsidRPr="0070507D">
              <w:rPr>
                <w:b/>
              </w:rPr>
              <w:t xml:space="preserve"> </w:t>
            </w:r>
            <w:r>
              <w:rPr>
                <w:b/>
              </w:rPr>
              <w:t>451</w:t>
            </w:r>
            <w:r w:rsidRPr="0070507D">
              <w:rPr>
                <w:b/>
              </w:rPr>
              <w:t xml:space="preserve"> </w:t>
            </w:r>
            <w:r>
              <w:rPr>
                <w:b/>
              </w:rPr>
              <w:t>27</w:t>
            </w:r>
            <w:r w:rsidRPr="0070507D">
              <w:rPr>
                <w:b/>
              </w:rPr>
              <w:t>0</w:t>
            </w:r>
          </w:p>
        </w:tc>
        <w:tc>
          <w:tcPr>
            <w:tcW w:w="992" w:type="dxa"/>
            <w:tcBorders>
              <w:top w:val="single" w:sz="4" w:space="0" w:color="auto"/>
            </w:tcBorders>
            <w:shd w:val="clear" w:color="auto" w:fill="auto"/>
            <w:noWrap/>
            <w:vAlign w:val="bottom"/>
            <w:hideMark/>
          </w:tcPr>
          <w:p w:rsidR="002D2B10" w:rsidRPr="0070507D" w:rsidRDefault="002D2B10" w:rsidP="00FD1D4D">
            <w:pPr>
              <w:pStyle w:val="a3"/>
              <w:overflowPunct/>
              <w:ind w:right="0"/>
              <w:jc w:val="right"/>
              <w:rPr>
                <w:b/>
              </w:rPr>
            </w:pPr>
            <w:r>
              <w:rPr>
                <w:b/>
              </w:rPr>
              <w:t>5</w:t>
            </w:r>
            <w:r w:rsidRPr="0070507D">
              <w:rPr>
                <w:b/>
              </w:rPr>
              <w:t xml:space="preserve"> </w:t>
            </w:r>
            <w:r>
              <w:rPr>
                <w:b/>
              </w:rPr>
              <w:t>471</w:t>
            </w:r>
            <w:r w:rsidRPr="0070507D">
              <w:rPr>
                <w:b/>
              </w:rPr>
              <w:t xml:space="preserve"> </w:t>
            </w:r>
            <w:r>
              <w:rPr>
                <w:b/>
              </w:rPr>
              <w:t>753</w:t>
            </w:r>
          </w:p>
        </w:tc>
        <w:tc>
          <w:tcPr>
            <w:tcW w:w="992" w:type="dxa"/>
            <w:tcBorders>
              <w:top w:val="single" w:sz="4" w:space="0" w:color="auto"/>
            </w:tcBorders>
            <w:shd w:val="clear" w:color="auto" w:fill="auto"/>
            <w:noWrap/>
            <w:vAlign w:val="bottom"/>
            <w:hideMark/>
          </w:tcPr>
          <w:p w:rsidR="002D2B10" w:rsidRPr="0070507D" w:rsidRDefault="002D2B10" w:rsidP="00FD1D4D">
            <w:pPr>
              <w:pStyle w:val="a3"/>
              <w:overflowPunct/>
              <w:ind w:right="0"/>
              <w:jc w:val="right"/>
              <w:rPr>
                <w:b/>
              </w:rPr>
            </w:pPr>
            <w:r>
              <w:rPr>
                <w:b/>
              </w:rPr>
              <w:t>5</w:t>
            </w:r>
            <w:r w:rsidRPr="0070507D">
              <w:rPr>
                <w:b/>
              </w:rPr>
              <w:t xml:space="preserve"> </w:t>
            </w:r>
            <w:r>
              <w:rPr>
                <w:b/>
              </w:rPr>
              <w:t>487</w:t>
            </w:r>
            <w:r w:rsidRPr="0070507D">
              <w:rPr>
                <w:b/>
              </w:rPr>
              <w:t xml:space="preserve"> </w:t>
            </w:r>
            <w:r>
              <w:rPr>
                <w:b/>
              </w:rPr>
              <w:t>3</w:t>
            </w:r>
            <w:r w:rsidRPr="0070507D">
              <w:rPr>
                <w:b/>
              </w:rPr>
              <w:t>0</w:t>
            </w:r>
            <w:r>
              <w:rPr>
                <w:b/>
              </w:rPr>
              <w:t>8</w:t>
            </w:r>
          </w:p>
        </w:tc>
        <w:tc>
          <w:tcPr>
            <w:tcW w:w="992" w:type="dxa"/>
            <w:tcBorders>
              <w:top w:val="single" w:sz="4" w:space="0" w:color="auto"/>
            </w:tcBorders>
            <w:shd w:val="clear" w:color="auto" w:fill="auto"/>
            <w:noWrap/>
            <w:vAlign w:val="bottom"/>
            <w:hideMark/>
          </w:tcPr>
          <w:p w:rsidR="002D2B10" w:rsidRPr="0070507D" w:rsidRDefault="002D2B10" w:rsidP="00FD1D4D">
            <w:pPr>
              <w:pStyle w:val="a3"/>
              <w:overflowPunct/>
              <w:ind w:right="0"/>
              <w:jc w:val="right"/>
              <w:rPr>
                <w:b/>
              </w:rPr>
            </w:pPr>
            <w:r>
              <w:rPr>
                <w:b/>
              </w:rPr>
              <w:t>5</w:t>
            </w:r>
            <w:r w:rsidRPr="0070507D">
              <w:rPr>
                <w:b/>
              </w:rPr>
              <w:t xml:space="preserve"> </w:t>
            </w:r>
            <w:r>
              <w:rPr>
                <w:b/>
              </w:rPr>
              <w:t>5</w:t>
            </w:r>
            <w:r w:rsidRPr="0070507D">
              <w:rPr>
                <w:b/>
              </w:rPr>
              <w:t>0</w:t>
            </w:r>
            <w:r>
              <w:rPr>
                <w:b/>
              </w:rPr>
              <w:t>3</w:t>
            </w:r>
            <w:r w:rsidRPr="0070507D">
              <w:rPr>
                <w:b/>
              </w:rPr>
              <w:t xml:space="preserve"> </w:t>
            </w:r>
            <w:r>
              <w:rPr>
                <w:b/>
              </w:rPr>
              <w:t>297</w:t>
            </w:r>
          </w:p>
        </w:tc>
        <w:tc>
          <w:tcPr>
            <w:tcW w:w="992" w:type="dxa"/>
            <w:tcBorders>
              <w:top w:val="single" w:sz="4" w:space="0" w:color="auto"/>
            </w:tcBorders>
            <w:shd w:val="clear" w:color="auto" w:fill="auto"/>
            <w:vAlign w:val="bottom"/>
            <w:hideMark/>
          </w:tcPr>
          <w:p w:rsidR="002D2B10" w:rsidRPr="0070507D" w:rsidRDefault="002D2B10" w:rsidP="00FD1D4D">
            <w:pPr>
              <w:pStyle w:val="a3"/>
              <w:overflowPunct/>
              <w:ind w:right="0"/>
              <w:jc w:val="right"/>
              <w:rPr>
                <w:b/>
                <w:lang w:eastAsia="fi-FI"/>
              </w:rPr>
            </w:pPr>
            <w:r>
              <w:rPr>
                <w:b/>
              </w:rPr>
              <w:t>5</w:t>
            </w:r>
            <w:r w:rsidRPr="0070507D">
              <w:rPr>
                <w:b/>
              </w:rPr>
              <w:t xml:space="preserve"> </w:t>
            </w:r>
            <w:r>
              <w:rPr>
                <w:b/>
              </w:rPr>
              <w:t>513</w:t>
            </w:r>
            <w:r w:rsidRPr="0070507D">
              <w:rPr>
                <w:b/>
              </w:rPr>
              <w:t xml:space="preserve"> </w:t>
            </w:r>
            <w:r>
              <w:rPr>
                <w:b/>
              </w:rPr>
              <w:t>13</w:t>
            </w:r>
            <w:r w:rsidRPr="0070507D">
              <w:rPr>
                <w:b/>
              </w:rPr>
              <w:t>0</w:t>
            </w:r>
          </w:p>
        </w:tc>
        <w:tc>
          <w:tcPr>
            <w:tcW w:w="992" w:type="dxa"/>
            <w:tcBorders>
              <w:top w:val="single" w:sz="4" w:space="0" w:color="auto"/>
            </w:tcBorders>
            <w:shd w:val="clear" w:color="auto" w:fill="auto"/>
            <w:vAlign w:val="bottom"/>
            <w:hideMark/>
          </w:tcPr>
          <w:p w:rsidR="002D2B10" w:rsidRPr="0070507D" w:rsidRDefault="002D2B10" w:rsidP="00FD1D4D">
            <w:pPr>
              <w:pStyle w:val="a3"/>
              <w:overflowPunct/>
              <w:ind w:right="0"/>
              <w:jc w:val="right"/>
              <w:rPr>
                <w:b/>
                <w:lang w:eastAsia="fi-FI"/>
              </w:rPr>
            </w:pPr>
            <w:r>
              <w:rPr>
                <w:b/>
              </w:rPr>
              <w:t>5</w:t>
            </w:r>
            <w:r w:rsidRPr="0070507D">
              <w:rPr>
                <w:b/>
              </w:rPr>
              <w:t xml:space="preserve"> </w:t>
            </w:r>
            <w:r>
              <w:rPr>
                <w:b/>
              </w:rPr>
              <w:t>517</w:t>
            </w:r>
            <w:r w:rsidRPr="0070507D">
              <w:rPr>
                <w:b/>
              </w:rPr>
              <w:t xml:space="preserve"> </w:t>
            </w:r>
            <w:r>
              <w:rPr>
                <w:b/>
              </w:rPr>
              <w:t>919</w:t>
            </w:r>
          </w:p>
        </w:tc>
      </w:tr>
    </w:tbl>
    <w:p w:rsidR="005F3BD7" w:rsidRPr="003E491A" w:rsidRDefault="001E7D8D" w:rsidP="001E7D8D">
      <w:pPr>
        <w:pStyle w:val="ac"/>
        <w:spacing w:before="120"/>
        <w:rPr>
          <w:rFonts w:eastAsiaTheme="minorEastAsia"/>
        </w:rPr>
      </w:pPr>
      <w:r>
        <w:rPr>
          <w:rFonts w:eastAsia="楷体"/>
          <w:sz w:val="19"/>
          <w:szCs w:val="19"/>
        </w:rPr>
        <w:tab/>
      </w:r>
      <w:r>
        <w:rPr>
          <w:rFonts w:eastAsia="楷体"/>
          <w:sz w:val="19"/>
          <w:szCs w:val="19"/>
        </w:rPr>
        <w:tab/>
      </w:r>
      <w:r>
        <w:rPr>
          <w:rFonts w:eastAsia="楷体"/>
          <w:sz w:val="19"/>
          <w:szCs w:val="19"/>
        </w:rPr>
        <w:tab/>
      </w:r>
      <w:r w:rsidR="005F3BD7" w:rsidRPr="00016580">
        <w:rPr>
          <w:rFonts w:eastAsia="楷体" w:hint="eastAsia"/>
          <w:sz w:val="19"/>
          <w:szCs w:val="19"/>
        </w:rPr>
        <w:t>资料来源</w:t>
      </w:r>
      <w:r w:rsidR="005F3BD7" w:rsidRPr="003E491A">
        <w:rPr>
          <w:rFonts w:eastAsiaTheme="minorEastAsia" w:hint="eastAsia"/>
          <w:sz w:val="19"/>
          <w:szCs w:val="19"/>
        </w:rPr>
        <w:t>：</w:t>
      </w:r>
      <w:r w:rsidR="005F3BD7" w:rsidRPr="005F3BD7">
        <w:rPr>
          <w:rFonts w:eastAsiaTheme="minorEastAsia" w:hint="eastAsia"/>
          <w:sz w:val="19"/>
          <w:szCs w:val="19"/>
        </w:rPr>
        <w:t>芬兰统计局，人口结构。</w:t>
      </w:r>
    </w:p>
    <w:p w:rsidR="005F3BD7" w:rsidRDefault="005F3BD7" w:rsidP="005F3BD7">
      <w:pPr>
        <w:pStyle w:val="SingleTxtGC"/>
      </w:pPr>
      <w:r>
        <w:rPr>
          <w:rFonts w:hint="eastAsia"/>
        </w:rPr>
        <w:lastRenderedPageBreak/>
        <w:t>13.</w:t>
      </w:r>
      <w:r>
        <w:rPr>
          <w:rFonts w:hint="eastAsia"/>
        </w:rPr>
        <w:tab/>
        <w:t>2018</w:t>
      </w:r>
      <w:r>
        <w:rPr>
          <w:rFonts w:hint="eastAsia"/>
        </w:rPr>
        <w:t>年人口的宗教信仰如下：</w:t>
      </w:r>
      <w:proofErr w:type="gramStart"/>
      <w:r>
        <w:rPr>
          <w:rFonts w:hint="eastAsia"/>
        </w:rPr>
        <w:t>福音派路德</w:t>
      </w:r>
      <w:proofErr w:type="gramEnd"/>
      <w:r>
        <w:rPr>
          <w:rFonts w:hint="eastAsia"/>
        </w:rPr>
        <w:t>教徒占</w:t>
      </w:r>
      <w:r>
        <w:rPr>
          <w:rFonts w:hint="eastAsia"/>
        </w:rPr>
        <w:t>70%</w:t>
      </w:r>
      <w:r>
        <w:rPr>
          <w:rFonts w:hint="eastAsia"/>
        </w:rPr>
        <w:t>，东正教徒占</w:t>
      </w:r>
      <w:r>
        <w:rPr>
          <w:rFonts w:hint="eastAsia"/>
        </w:rPr>
        <w:t>1%</w:t>
      </w:r>
      <w:r>
        <w:rPr>
          <w:rFonts w:hint="eastAsia"/>
        </w:rPr>
        <w:t>，其他教徒占</w:t>
      </w:r>
      <w:r>
        <w:rPr>
          <w:rFonts w:hint="eastAsia"/>
        </w:rPr>
        <w:t>12%</w:t>
      </w:r>
      <w:r>
        <w:rPr>
          <w:rFonts w:hint="eastAsia"/>
        </w:rPr>
        <w:t>，</w:t>
      </w:r>
      <w:r>
        <w:rPr>
          <w:rFonts w:hint="eastAsia"/>
        </w:rPr>
        <w:t>27%</w:t>
      </w:r>
      <w:r>
        <w:rPr>
          <w:rFonts w:hint="eastAsia"/>
        </w:rPr>
        <w:t>的人口属于无宗教信仰群体。</w:t>
      </w:r>
    </w:p>
    <w:p w:rsidR="005F3BD7" w:rsidRDefault="005F3BD7" w:rsidP="005F3BD7">
      <w:pPr>
        <w:pStyle w:val="SingleTxtGC"/>
      </w:pPr>
      <w:r>
        <w:rPr>
          <w:rFonts w:hint="eastAsia"/>
        </w:rPr>
        <w:t>14.</w:t>
      </w:r>
      <w:r>
        <w:rPr>
          <w:rFonts w:hint="eastAsia"/>
        </w:rPr>
        <w:tab/>
      </w:r>
      <w:r>
        <w:rPr>
          <w:rFonts w:hint="eastAsia"/>
        </w:rPr>
        <w:t>芬兰没有编制关于族裔群体成员的统计数据。根据欧洲议会和欧盟理事会第</w:t>
      </w:r>
      <w:r>
        <w:rPr>
          <w:rFonts w:hint="eastAsia"/>
        </w:rPr>
        <w:t>2016/679(EU)</w:t>
      </w:r>
      <w:r>
        <w:rPr>
          <w:rFonts w:hint="eastAsia"/>
        </w:rPr>
        <w:t>号条例，</w:t>
      </w:r>
      <w:r>
        <w:rPr>
          <w:rFonts w:hint="eastAsia"/>
        </w:rPr>
        <w:t>(</w:t>
      </w:r>
      <w:r>
        <w:rPr>
          <w:rFonts w:hint="eastAsia"/>
        </w:rPr>
        <w:t>下称“《一般数据保护条例》”</w:t>
      </w:r>
      <w:r>
        <w:rPr>
          <w:rFonts w:hint="eastAsia"/>
        </w:rPr>
        <w:t>)</w:t>
      </w:r>
      <w:r>
        <w:rPr>
          <w:rFonts w:hint="eastAsia"/>
        </w:rPr>
        <w:t>，原则上禁止处理披露种族或族裔血统的个人数据。目前，芬兰统计局不仅汇编关于个人的语言和</w:t>
      </w:r>
      <w:proofErr w:type="gramStart"/>
      <w:r>
        <w:rPr>
          <w:rFonts w:hint="eastAsia"/>
        </w:rPr>
        <w:t>出生国</w:t>
      </w:r>
      <w:proofErr w:type="gramEnd"/>
      <w:r>
        <w:rPr>
          <w:rFonts w:hint="eastAsia"/>
        </w:rPr>
        <w:t>以及他们的公民身份和原籍的统计数据。</w:t>
      </w:r>
    </w:p>
    <w:p w:rsidR="005F3BD7" w:rsidRDefault="005F3BD7" w:rsidP="00ED3115">
      <w:pPr>
        <w:pStyle w:val="H23GC"/>
      </w:pPr>
      <w:r>
        <w:rPr>
          <w:rFonts w:hint="eastAsia"/>
        </w:rPr>
        <w:tab/>
      </w:r>
      <w:r>
        <w:rPr>
          <w:rFonts w:hint="eastAsia"/>
        </w:rPr>
        <w:tab/>
      </w:r>
      <w:r>
        <w:rPr>
          <w:rFonts w:hint="eastAsia"/>
        </w:rPr>
        <w:t>萨米人</w:t>
      </w:r>
    </w:p>
    <w:p w:rsidR="005F3BD7" w:rsidRDefault="005F3BD7" w:rsidP="005F3BD7">
      <w:pPr>
        <w:pStyle w:val="SingleTxtGC"/>
      </w:pPr>
      <w:r>
        <w:rPr>
          <w:rFonts w:hint="eastAsia"/>
        </w:rPr>
        <w:t>15.</w:t>
      </w:r>
      <w:r>
        <w:rPr>
          <w:rFonts w:hint="eastAsia"/>
        </w:rPr>
        <w:tab/>
      </w:r>
      <w:r>
        <w:rPr>
          <w:rFonts w:hint="eastAsia"/>
        </w:rPr>
        <w:t>萨米人是芬兰唯一的土著人民。根据萨米议会收集的信息，</w:t>
      </w:r>
      <w:r>
        <w:rPr>
          <w:rFonts w:hint="eastAsia"/>
        </w:rPr>
        <w:t>2015</w:t>
      </w:r>
      <w:r>
        <w:rPr>
          <w:rFonts w:hint="eastAsia"/>
        </w:rPr>
        <w:t>年芬兰的萨米族人数为</w:t>
      </w:r>
      <w:r>
        <w:rPr>
          <w:rFonts w:hint="eastAsia"/>
        </w:rPr>
        <w:t>10</w:t>
      </w:r>
      <w:r w:rsidR="006909B5">
        <w:t>,</w:t>
      </w:r>
      <w:r>
        <w:rPr>
          <w:rFonts w:hint="eastAsia"/>
        </w:rPr>
        <w:t>463</w:t>
      </w:r>
      <w:r>
        <w:rPr>
          <w:rFonts w:hint="eastAsia"/>
        </w:rPr>
        <w:t>人。芬兰萨米人中只有</w:t>
      </w:r>
      <w:r>
        <w:rPr>
          <w:rFonts w:hint="eastAsia"/>
        </w:rPr>
        <w:t>33.44%</w:t>
      </w:r>
      <w:r>
        <w:rPr>
          <w:rFonts w:hint="eastAsia"/>
        </w:rPr>
        <w:t>居住在他们的原住地区萨米家园</w:t>
      </w:r>
      <w:r>
        <w:rPr>
          <w:rFonts w:hint="eastAsia"/>
        </w:rPr>
        <w:t>(</w:t>
      </w:r>
      <w:proofErr w:type="spellStart"/>
      <w:r>
        <w:rPr>
          <w:rFonts w:hint="eastAsia"/>
        </w:rPr>
        <w:t>Enontekiö</w:t>
      </w:r>
      <w:proofErr w:type="spellEnd"/>
      <w:r>
        <w:rPr>
          <w:rFonts w:hint="eastAsia"/>
        </w:rPr>
        <w:t>市、</w:t>
      </w:r>
      <w:proofErr w:type="spellStart"/>
      <w:r>
        <w:rPr>
          <w:rFonts w:hint="eastAsia"/>
        </w:rPr>
        <w:t>Utsjoki</w:t>
      </w:r>
      <w:proofErr w:type="spellEnd"/>
      <w:r>
        <w:rPr>
          <w:rFonts w:hint="eastAsia"/>
        </w:rPr>
        <w:t>市和</w:t>
      </w:r>
      <w:r>
        <w:rPr>
          <w:rFonts w:hint="eastAsia"/>
        </w:rPr>
        <w:t>Inari</w:t>
      </w:r>
      <w:r>
        <w:rPr>
          <w:rFonts w:hint="eastAsia"/>
        </w:rPr>
        <w:t>市以及</w:t>
      </w:r>
      <w:proofErr w:type="spellStart"/>
      <w:r>
        <w:rPr>
          <w:rFonts w:hint="eastAsia"/>
        </w:rPr>
        <w:t>Sodankylä</w:t>
      </w:r>
      <w:proofErr w:type="spellEnd"/>
      <w:r>
        <w:rPr>
          <w:rFonts w:hint="eastAsia"/>
        </w:rPr>
        <w:t>的</w:t>
      </w:r>
      <w:r>
        <w:rPr>
          <w:rFonts w:hint="eastAsia"/>
        </w:rPr>
        <w:t>Lapland</w:t>
      </w:r>
      <w:r>
        <w:rPr>
          <w:rFonts w:hint="eastAsia"/>
        </w:rPr>
        <w:t>驯鹿业主协会地区</w:t>
      </w:r>
      <w:r>
        <w:rPr>
          <w:rFonts w:hint="eastAsia"/>
        </w:rPr>
        <w:t>)</w:t>
      </w:r>
      <w:r>
        <w:rPr>
          <w:rFonts w:hint="eastAsia"/>
        </w:rPr>
        <w:t>，</w:t>
      </w:r>
      <w:r>
        <w:rPr>
          <w:rFonts w:hint="eastAsia"/>
        </w:rPr>
        <w:t>60.47%</w:t>
      </w:r>
      <w:r>
        <w:rPr>
          <w:rFonts w:hint="eastAsia"/>
        </w:rPr>
        <w:t>居住在芬兰其他地方，其余的居住在国外。</w:t>
      </w:r>
    </w:p>
    <w:p w:rsidR="005F3BD7" w:rsidRDefault="005F3BD7" w:rsidP="005F3BD7">
      <w:pPr>
        <w:pStyle w:val="SingleTxtGC"/>
      </w:pPr>
      <w:r>
        <w:rPr>
          <w:rFonts w:hint="eastAsia"/>
        </w:rPr>
        <w:t>16.</w:t>
      </w:r>
      <w:r>
        <w:rPr>
          <w:rFonts w:hint="eastAsia"/>
        </w:rPr>
        <w:tab/>
      </w:r>
      <w:r>
        <w:rPr>
          <w:rFonts w:hint="eastAsia"/>
        </w:rPr>
        <w:t>根据《宪法》第</w:t>
      </w:r>
      <w:r>
        <w:rPr>
          <w:rFonts w:hint="eastAsia"/>
        </w:rPr>
        <w:t>17</w:t>
      </w:r>
      <w:r>
        <w:rPr>
          <w:rFonts w:hint="eastAsia"/>
        </w:rPr>
        <w:t>条第</w:t>
      </w:r>
      <w:r>
        <w:rPr>
          <w:rFonts w:hint="eastAsia"/>
        </w:rPr>
        <w:t>3</w:t>
      </w:r>
      <w:r>
        <w:rPr>
          <w:rFonts w:hint="eastAsia"/>
        </w:rPr>
        <w:t>款，萨米人作为土著人民，有权保持和发展自己的语言和文化。第</w:t>
      </w:r>
      <w:r>
        <w:rPr>
          <w:rFonts w:hint="eastAsia"/>
        </w:rPr>
        <w:t>121</w:t>
      </w:r>
      <w:r>
        <w:rPr>
          <w:rFonts w:hint="eastAsia"/>
        </w:rPr>
        <w:t>条第</w:t>
      </w:r>
      <w:r>
        <w:rPr>
          <w:rFonts w:hint="eastAsia"/>
        </w:rPr>
        <w:t>4</w:t>
      </w:r>
      <w:r>
        <w:rPr>
          <w:rFonts w:hint="eastAsia"/>
        </w:rPr>
        <w:t>款规定，根据相关法律，萨米人在他们的原住地区享有语言和文化自治。萨米人文化包括萨米语言、文化遗产、手工艺遗产、文化表现形式和萨米人传统的谋生手段，如驯鹿饲养、捕鱼、手工艺、捕猎和打猎，以及从事这些活动的现代方式。《萨米语法》</w:t>
      </w:r>
      <w:r>
        <w:rPr>
          <w:rFonts w:hint="eastAsia"/>
        </w:rPr>
        <w:t>(1086/2003)</w:t>
      </w:r>
      <w:r>
        <w:rPr>
          <w:rFonts w:hint="eastAsia"/>
        </w:rPr>
        <w:t>规定，萨米人在与当局打交道时有权使用萨米语。</w:t>
      </w:r>
    </w:p>
    <w:p w:rsidR="005F3BD7" w:rsidRDefault="005F3BD7" w:rsidP="005F3BD7">
      <w:pPr>
        <w:pStyle w:val="SingleTxtGC"/>
      </w:pPr>
      <w:r>
        <w:rPr>
          <w:rFonts w:hint="eastAsia"/>
        </w:rPr>
        <w:t>17.</w:t>
      </w:r>
      <w:r>
        <w:rPr>
          <w:rFonts w:hint="eastAsia"/>
        </w:rPr>
        <w:tab/>
      </w:r>
      <w:r>
        <w:rPr>
          <w:rFonts w:hint="eastAsia"/>
        </w:rPr>
        <w:t>芬兰颁布了《斯科尔特法》</w:t>
      </w:r>
      <w:r>
        <w:rPr>
          <w:rFonts w:hint="eastAsia"/>
        </w:rPr>
        <w:t>(253/1995)</w:t>
      </w:r>
      <w:r>
        <w:rPr>
          <w:rFonts w:hint="eastAsia"/>
        </w:rPr>
        <w:t>，以促进斯科尔特萨米人及其地区的生活条件和生计，并维护斯科尔特文化。该法界定了斯科尔特地区，还承认斯科尔特村议会是管理斯科尔特事务的古老的行政机构。</w:t>
      </w:r>
    </w:p>
    <w:p w:rsidR="005F3BD7" w:rsidRDefault="005F3BD7" w:rsidP="005F3BD7">
      <w:pPr>
        <w:pStyle w:val="SingleTxtGC"/>
      </w:pPr>
      <w:r>
        <w:rPr>
          <w:rFonts w:hint="eastAsia"/>
        </w:rPr>
        <w:t>18.</w:t>
      </w:r>
      <w:r>
        <w:rPr>
          <w:rFonts w:hint="eastAsia"/>
        </w:rPr>
        <w:tab/>
      </w:r>
      <w:r>
        <w:rPr>
          <w:rFonts w:hint="eastAsia"/>
        </w:rPr>
        <w:t>芬兰有三种</w:t>
      </w:r>
      <w:proofErr w:type="gramStart"/>
      <w:r>
        <w:rPr>
          <w:rFonts w:hint="eastAsia"/>
        </w:rPr>
        <w:t>萨</w:t>
      </w:r>
      <w:proofErr w:type="gramEnd"/>
      <w:r>
        <w:rPr>
          <w:rFonts w:hint="eastAsia"/>
        </w:rPr>
        <w:t>米语：北方</w:t>
      </w:r>
      <w:proofErr w:type="gramStart"/>
      <w:r>
        <w:rPr>
          <w:rFonts w:hint="eastAsia"/>
        </w:rPr>
        <w:t>萨</w:t>
      </w:r>
      <w:proofErr w:type="gramEnd"/>
      <w:r>
        <w:rPr>
          <w:rFonts w:hint="eastAsia"/>
        </w:rPr>
        <w:t>米语、伊纳里萨米语和</w:t>
      </w:r>
      <w:proofErr w:type="gramStart"/>
      <w:r>
        <w:rPr>
          <w:rFonts w:hint="eastAsia"/>
        </w:rPr>
        <w:t>斯科尔特萨</w:t>
      </w:r>
      <w:proofErr w:type="gramEnd"/>
      <w:r>
        <w:rPr>
          <w:rFonts w:hint="eastAsia"/>
        </w:rPr>
        <w:t>米语，后两种语言尤其处于高度濒危状态。根据《萨米语言法》，萨米语指的是所有三种萨米语。</w:t>
      </w:r>
      <w:r>
        <w:rPr>
          <w:rFonts w:hint="eastAsia"/>
        </w:rPr>
        <w:t>2018</w:t>
      </w:r>
      <w:r>
        <w:rPr>
          <w:rFonts w:hint="eastAsia"/>
        </w:rPr>
        <w:t>年年底，</w:t>
      </w:r>
      <w:r>
        <w:rPr>
          <w:rFonts w:hint="eastAsia"/>
        </w:rPr>
        <w:t>1,995</w:t>
      </w:r>
      <w:r>
        <w:rPr>
          <w:rFonts w:hint="eastAsia"/>
        </w:rPr>
        <w:t>名芬兰人在人口资料系统中申报萨米语为其母语。根据《萨米语言法》第</w:t>
      </w:r>
      <w:r>
        <w:rPr>
          <w:rFonts w:hint="eastAsia"/>
        </w:rPr>
        <w:t>7</w:t>
      </w:r>
      <w:r>
        <w:rPr>
          <w:rFonts w:hint="eastAsia"/>
        </w:rPr>
        <w:t>条，萨米人有权在人口登记册上申报萨米语为其母语。由于并非所有母语为萨米语的人都行使了这一权利，官方统计数据显示的讲萨米语的人数并非总与实际人数相符。人口资料系统只允许申报一种母语，因此，尽管萨米人有两种甚至三种母语，但他们经常将芬兰语申报为母语。此外，相当数量的讲萨米语的人也会说另一种语言。</w:t>
      </w:r>
    </w:p>
    <w:p w:rsidR="005F3BD7" w:rsidRDefault="005F3BD7" w:rsidP="005F3BD7">
      <w:pPr>
        <w:pStyle w:val="SingleTxtGC"/>
      </w:pPr>
      <w:r>
        <w:rPr>
          <w:rFonts w:hint="eastAsia"/>
        </w:rPr>
        <w:t>19.</w:t>
      </w:r>
      <w:r>
        <w:rPr>
          <w:rFonts w:hint="eastAsia"/>
        </w:rPr>
        <w:tab/>
      </w:r>
      <w:r>
        <w:rPr>
          <w:rFonts w:hint="eastAsia"/>
        </w:rPr>
        <w:t>萨米议会是根据法律</w:t>
      </w:r>
      <w:r>
        <w:rPr>
          <w:rFonts w:hint="eastAsia"/>
        </w:rPr>
        <w:t>(</w:t>
      </w:r>
      <w:r>
        <w:rPr>
          <w:rFonts w:hint="eastAsia"/>
        </w:rPr>
        <w:t>《萨米议会法》，</w:t>
      </w:r>
      <w:r>
        <w:rPr>
          <w:rFonts w:hint="eastAsia"/>
        </w:rPr>
        <w:t>974/1995)</w:t>
      </w:r>
      <w:r>
        <w:rPr>
          <w:rFonts w:hint="eastAsia"/>
        </w:rPr>
        <w:t>设立的萨米人民自治政府。萨米议会作为司法部的行政分支部门运作，但独立于中央政府当局。萨米人议会的任务是履行《芬兰宪法》赋予它的职责，即萨米人的语言和文化自治，保护萨米人土著文化的维护和发展。</w:t>
      </w:r>
    </w:p>
    <w:p w:rsidR="005F3BD7" w:rsidRDefault="005F3BD7" w:rsidP="005F3BD7">
      <w:pPr>
        <w:pStyle w:val="SingleTxtGC"/>
      </w:pPr>
      <w:r>
        <w:rPr>
          <w:rFonts w:hint="eastAsia"/>
        </w:rPr>
        <w:t>20.</w:t>
      </w:r>
      <w:r>
        <w:rPr>
          <w:rFonts w:hint="eastAsia"/>
        </w:rPr>
        <w:tab/>
      </w:r>
      <w:r>
        <w:rPr>
          <w:rFonts w:hint="eastAsia"/>
        </w:rPr>
        <w:t>《萨米议会法》第</w:t>
      </w:r>
      <w:r>
        <w:rPr>
          <w:rFonts w:hint="eastAsia"/>
        </w:rPr>
        <w:t>9</w:t>
      </w:r>
      <w:r>
        <w:rPr>
          <w:rFonts w:hint="eastAsia"/>
        </w:rPr>
        <w:t>条规定，当局有义务与萨米议会就所有可能直接和具体影响萨米族土著人民地位并涉及以下问题的影响深远的重要措施进行谈判：社区规划；国有土地、保护区和荒地的管理、使用、租赁和转让；在国有土地、水域勘探、采矿和淘金；对属于萨米文化的各种职业的立法或行政改革；在学校以发展萨米语教学和使用萨米语，发展社会和卫生服务；在萨米家园影响萨米语言和文化或萨米人作为土著人民地位的任何其他事项。</w:t>
      </w:r>
    </w:p>
    <w:p w:rsidR="005F3BD7" w:rsidRDefault="005F3BD7" w:rsidP="005F3BD7">
      <w:pPr>
        <w:pStyle w:val="SingleTxtGC"/>
      </w:pPr>
      <w:r>
        <w:rPr>
          <w:rFonts w:hint="eastAsia"/>
        </w:rPr>
        <w:lastRenderedPageBreak/>
        <w:t>21.</w:t>
      </w:r>
      <w:r>
        <w:rPr>
          <w:rFonts w:hint="eastAsia"/>
        </w:rPr>
        <w:tab/>
      </w:r>
      <w:r>
        <w:rPr>
          <w:rFonts w:hint="eastAsia"/>
        </w:rPr>
        <w:t>萨米议会是向萨米文化和协会、青年活动以及萨米语幼儿教育和保育以及卫生和社会服务提供资金的渠道。此外，萨米议会利用每年划拨的预算资金，用萨米语编写学习材料。</w:t>
      </w:r>
    </w:p>
    <w:p w:rsidR="005F3BD7" w:rsidRDefault="005F3BD7" w:rsidP="005F3BD7">
      <w:pPr>
        <w:pStyle w:val="SingleTxtGC"/>
      </w:pPr>
      <w:r>
        <w:rPr>
          <w:rFonts w:hint="eastAsia"/>
        </w:rPr>
        <w:t>22.</w:t>
      </w:r>
      <w:r>
        <w:rPr>
          <w:rFonts w:hint="eastAsia"/>
        </w:rPr>
        <w:tab/>
      </w:r>
      <w:r>
        <w:rPr>
          <w:rFonts w:hint="eastAsia"/>
        </w:rPr>
        <w:t>萨米议会获得预算资金，以开展运作。</w:t>
      </w:r>
      <w:r>
        <w:rPr>
          <w:rFonts w:hint="eastAsia"/>
        </w:rPr>
        <w:t>2019</w:t>
      </w:r>
      <w:r>
        <w:rPr>
          <w:rFonts w:hint="eastAsia"/>
        </w:rPr>
        <w:t>年，政府为维护萨米人的语言和文化自治拨付的政府一般酌情裁处转款为</w:t>
      </w:r>
      <w:r>
        <w:rPr>
          <w:rFonts w:hint="eastAsia"/>
        </w:rPr>
        <w:t>3,787,000</w:t>
      </w:r>
      <w:r>
        <w:rPr>
          <w:rFonts w:hint="eastAsia"/>
        </w:rPr>
        <w:t>欧元。</w:t>
      </w:r>
    </w:p>
    <w:p w:rsidR="005F3BD7" w:rsidRDefault="005F3BD7" w:rsidP="005F3BD7">
      <w:pPr>
        <w:pStyle w:val="SingleTxtGC"/>
      </w:pPr>
      <w:r>
        <w:rPr>
          <w:rFonts w:hint="eastAsia"/>
        </w:rPr>
        <w:t>23.</w:t>
      </w:r>
      <w:r>
        <w:rPr>
          <w:rFonts w:hint="eastAsia"/>
        </w:rPr>
        <w:tab/>
      </w:r>
      <w:r>
        <w:rPr>
          <w:rFonts w:hint="eastAsia"/>
        </w:rPr>
        <w:t>根据《基础教育法》</w:t>
      </w:r>
      <w:r>
        <w:rPr>
          <w:rFonts w:hint="eastAsia"/>
        </w:rPr>
        <w:t>(628/1998)</w:t>
      </w:r>
      <w:r>
        <w:rPr>
          <w:rFonts w:hint="eastAsia"/>
        </w:rPr>
        <w:t>第</w:t>
      </w:r>
      <w:r>
        <w:rPr>
          <w:rFonts w:hint="eastAsia"/>
        </w:rPr>
        <w:t>10</w:t>
      </w:r>
      <w:r>
        <w:rPr>
          <w:rFonts w:hint="eastAsia"/>
        </w:rPr>
        <w:t>条，萨米语可以作为基础教育的教学语言。居住在萨米家园、熟练掌握萨米语的学生应主要接受萨米语授课。在为</w:t>
      </w:r>
      <w:proofErr w:type="gramStart"/>
      <w:r>
        <w:rPr>
          <w:rFonts w:hint="eastAsia"/>
        </w:rPr>
        <w:t>萨米语</w:t>
      </w:r>
      <w:proofErr w:type="gramEnd"/>
      <w:r>
        <w:rPr>
          <w:rFonts w:hint="eastAsia"/>
        </w:rPr>
        <w:t>的学生改编的教学大纲中，</w:t>
      </w:r>
      <w:proofErr w:type="gramStart"/>
      <w:r>
        <w:rPr>
          <w:rFonts w:hint="eastAsia"/>
        </w:rPr>
        <w:t>萨米语</w:t>
      </w:r>
      <w:proofErr w:type="gramEnd"/>
      <w:r>
        <w:rPr>
          <w:rFonts w:hint="eastAsia"/>
        </w:rPr>
        <w:t>也被作为“土著语言和文学”科目，与芬兰语或瑞典</w:t>
      </w:r>
      <w:proofErr w:type="gramStart"/>
      <w:r>
        <w:rPr>
          <w:rFonts w:hint="eastAsia"/>
        </w:rPr>
        <w:t>语一起</w:t>
      </w:r>
      <w:proofErr w:type="gramEnd"/>
      <w:r>
        <w:rPr>
          <w:rFonts w:hint="eastAsia"/>
        </w:rPr>
        <w:t>教授。在</w:t>
      </w:r>
      <w:r>
        <w:rPr>
          <w:rFonts w:hint="eastAsia"/>
        </w:rPr>
        <w:t>1</w:t>
      </w:r>
      <w:r>
        <w:rPr>
          <w:rFonts w:hint="eastAsia"/>
        </w:rPr>
        <w:t>至</w:t>
      </w:r>
      <w:r>
        <w:rPr>
          <w:rFonts w:hint="eastAsia"/>
        </w:rPr>
        <w:t>6</w:t>
      </w:r>
      <w:r>
        <w:rPr>
          <w:rFonts w:hint="eastAsia"/>
        </w:rPr>
        <w:t>年级基础教育语言教学大纲或较短的</w:t>
      </w:r>
      <w:r>
        <w:rPr>
          <w:rFonts w:hint="eastAsia"/>
        </w:rPr>
        <w:t>7</w:t>
      </w:r>
      <w:r>
        <w:rPr>
          <w:rFonts w:hint="eastAsia"/>
        </w:rPr>
        <w:t>至</w:t>
      </w:r>
      <w:r>
        <w:rPr>
          <w:rFonts w:hint="eastAsia"/>
        </w:rPr>
        <w:t>9</w:t>
      </w:r>
      <w:r>
        <w:rPr>
          <w:rFonts w:hint="eastAsia"/>
        </w:rPr>
        <w:t>年级或普通高中教育教学大纲中，萨米语也可作为外语教授。也可在沉浸式语言教育或双语教育中将萨米语作为授课语言。立法规定同样适用于所有三种萨米语。萨米家园的市镇在教授萨米语和用萨米语授课时遵守国家教学大纲和课程分配计划。在萨米家园以外，不用萨米语授课，萨米语教学属于基础教育补充课程，没有学科地位，教育提供方获得政府的酌情裁处转款，每周提供两节一小时的课程。</w:t>
      </w:r>
    </w:p>
    <w:p w:rsidR="005F3BD7" w:rsidRDefault="005F3BD7" w:rsidP="005F3BD7">
      <w:pPr>
        <w:pStyle w:val="SingleTxtGC"/>
      </w:pPr>
      <w:r>
        <w:rPr>
          <w:rFonts w:hint="eastAsia"/>
        </w:rPr>
        <w:t>24.</w:t>
      </w:r>
      <w:r>
        <w:rPr>
          <w:rFonts w:hint="eastAsia"/>
        </w:rPr>
        <w:tab/>
      </w:r>
      <w:r>
        <w:rPr>
          <w:rFonts w:hint="eastAsia"/>
        </w:rPr>
        <w:t>萨米家园的市镇获得政府划拨的专款，用于开展和发展教育。支付教授萨米语和用萨米语教学的教师工资的专项资金可高达工资总额的</w:t>
      </w:r>
      <w:r>
        <w:rPr>
          <w:rFonts w:hint="eastAsia"/>
        </w:rPr>
        <w:t>100%</w:t>
      </w:r>
      <w:r>
        <w:rPr>
          <w:rFonts w:hint="eastAsia"/>
        </w:rPr>
        <w:t>。在</w:t>
      </w:r>
      <w:proofErr w:type="gramStart"/>
      <w:r>
        <w:rPr>
          <w:rFonts w:hint="eastAsia"/>
        </w:rPr>
        <w:t>萨</w:t>
      </w:r>
      <w:proofErr w:type="gramEnd"/>
      <w:r>
        <w:rPr>
          <w:rFonts w:hint="eastAsia"/>
        </w:rPr>
        <w:t>米家园各城镇提供的基础教育中，学习</w:t>
      </w:r>
      <w:proofErr w:type="gramStart"/>
      <w:r>
        <w:rPr>
          <w:rFonts w:hint="eastAsia"/>
        </w:rPr>
        <w:t>萨米语</w:t>
      </w:r>
      <w:proofErr w:type="gramEnd"/>
      <w:r>
        <w:rPr>
          <w:rFonts w:hint="eastAsia"/>
        </w:rPr>
        <w:t>和接受</w:t>
      </w:r>
      <w:proofErr w:type="gramStart"/>
      <w:r>
        <w:rPr>
          <w:rFonts w:hint="eastAsia"/>
        </w:rPr>
        <w:t>萨米语</w:t>
      </w:r>
      <w:proofErr w:type="gramEnd"/>
      <w:r>
        <w:rPr>
          <w:rFonts w:hint="eastAsia"/>
        </w:rPr>
        <w:t>教学的学生人数和课时数之和正在上升，而在普通高中，学习</w:t>
      </w:r>
      <w:proofErr w:type="gramStart"/>
      <w:r>
        <w:rPr>
          <w:rFonts w:hint="eastAsia"/>
        </w:rPr>
        <w:t>萨米语</w:t>
      </w:r>
      <w:proofErr w:type="gramEnd"/>
      <w:r>
        <w:rPr>
          <w:rFonts w:hint="eastAsia"/>
        </w:rPr>
        <w:t>的学生人数下降，</w:t>
      </w:r>
      <w:proofErr w:type="gramStart"/>
      <w:r>
        <w:rPr>
          <w:rFonts w:hint="eastAsia"/>
        </w:rPr>
        <w:t>萨米语教育</w:t>
      </w:r>
      <w:proofErr w:type="gramEnd"/>
      <w:r>
        <w:rPr>
          <w:rFonts w:hint="eastAsia"/>
        </w:rPr>
        <w:t>已经结束。依纳里萨米语和北方</w:t>
      </w:r>
      <w:proofErr w:type="gramStart"/>
      <w:r>
        <w:rPr>
          <w:rFonts w:hint="eastAsia"/>
        </w:rPr>
        <w:t>萨米语</w:t>
      </w:r>
      <w:proofErr w:type="gramEnd"/>
      <w:r>
        <w:rPr>
          <w:rFonts w:hint="eastAsia"/>
        </w:rPr>
        <w:t>的学生人数在整个</w:t>
      </w:r>
      <w:proofErr w:type="gramStart"/>
      <w:r>
        <w:rPr>
          <w:rFonts w:hint="eastAsia"/>
        </w:rPr>
        <w:t>2000</w:t>
      </w:r>
      <w:proofErr w:type="gramEnd"/>
      <w:r>
        <w:rPr>
          <w:rFonts w:hint="eastAsia"/>
        </w:rPr>
        <w:t>年代一直略有上升，而斯科尔特</w:t>
      </w:r>
      <w:proofErr w:type="gramStart"/>
      <w:r>
        <w:rPr>
          <w:rFonts w:hint="eastAsia"/>
        </w:rPr>
        <w:t>萨米语</w:t>
      </w:r>
      <w:proofErr w:type="gramEnd"/>
      <w:r>
        <w:rPr>
          <w:rFonts w:hint="eastAsia"/>
        </w:rPr>
        <w:t>的教育状况很脆弱，学生人数没有增长。</w:t>
      </w:r>
    </w:p>
    <w:p w:rsidR="005F3BD7" w:rsidRDefault="005F3BD7" w:rsidP="00ED3115">
      <w:pPr>
        <w:pStyle w:val="H23GC"/>
      </w:pPr>
      <w:r>
        <w:rPr>
          <w:rFonts w:hint="eastAsia"/>
        </w:rPr>
        <w:tab/>
      </w:r>
      <w:r>
        <w:rPr>
          <w:rFonts w:hint="eastAsia"/>
        </w:rPr>
        <w:tab/>
      </w:r>
      <w:r>
        <w:rPr>
          <w:rFonts w:hint="eastAsia"/>
        </w:rPr>
        <w:t>少数民族和其他少数群体</w:t>
      </w:r>
    </w:p>
    <w:p w:rsidR="005F3BD7" w:rsidRDefault="005F3BD7" w:rsidP="005F3BD7">
      <w:pPr>
        <w:pStyle w:val="SingleTxtGC"/>
      </w:pPr>
      <w:r>
        <w:rPr>
          <w:rFonts w:hint="eastAsia"/>
        </w:rPr>
        <w:t>25.</w:t>
      </w:r>
      <w:r>
        <w:rPr>
          <w:rFonts w:hint="eastAsia"/>
        </w:rPr>
        <w:tab/>
      </w:r>
      <w:r>
        <w:rPr>
          <w:rFonts w:hint="eastAsia"/>
        </w:rPr>
        <w:t>国家罗姆人事务咨询委员会估计，目前芬兰的罗姆人约为</w:t>
      </w:r>
      <w:r>
        <w:rPr>
          <w:rFonts w:hint="eastAsia"/>
        </w:rPr>
        <w:t>10,000</w:t>
      </w:r>
      <w:r>
        <w:rPr>
          <w:rFonts w:hint="eastAsia"/>
        </w:rPr>
        <w:t>至</w:t>
      </w:r>
      <w:r>
        <w:rPr>
          <w:rFonts w:hint="eastAsia"/>
        </w:rPr>
        <w:t>12,000</w:t>
      </w:r>
      <w:r>
        <w:rPr>
          <w:rFonts w:hint="eastAsia"/>
        </w:rPr>
        <w:t>人。估计还有</w:t>
      </w:r>
      <w:r>
        <w:rPr>
          <w:rFonts w:hint="eastAsia"/>
        </w:rPr>
        <w:t>3</w:t>
      </w:r>
      <w:r w:rsidR="006909B5">
        <w:t>,</w:t>
      </w:r>
      <w:r>
        <w:rPr>
          <w:rFonts w:hint="eastAsia"/>
        </w:rPr>
        <w:t>000</w:t>
      </w:r>
      <w:r>
        <w:rPr>
          <w:rFonts w:hint="eastAsia"/>
        </w:rPr>
        <w:t>至</w:t>
      </w:r>
      <w:r>
        <w:rPr>
          <w:rFonts w:hint="eastAsia"/>
        </w:rPr>
        <w:t>4</w:t>
      </w:r>
      <w:r w:rsidR="006909B5">
        <w:t>,</w:t>
      </w:r>
      <w:r>
        <w:rPr>
          <w:rFonts w:hint="eastAsia"/>
        </w:rPr>
        <w:t>000</w:t>
      </w:r>
      <w:r>
        <w:rPr>
          <w:rFonts w:hint="eastAsia"/>
        </w:rPr>
        <w:t>名芬兰罗姆人居住在瑞典。罗姆人分散在芬兰各地，但其居住地的地理分布不均衡。芬兰国家教育局估计，约有</w:t>
      </w:r>
      <w:r>
        <w:rPr>
          <w:rFonts w:hint="eastAsia"/>
        </w:rPr>
        <w:t>4,500</w:t>
      </w:r>
      <w:r>
        <w:rPr>
          <w:rFonts w:hint="eastAsia"/>
        </w:rPr>
        <w:t>名罗姆人生活在芬兰南部，约</w:t>
      </w:r>
      <w:r>
        <w:rPr>
          <w:rFonts w:hint="eastAsia"/>
        </w:rPr>
        <w:t>2,500</w:t>
      </w:r>
      <w:r>
        <w:rPr>
          <w:rFonts w:hint="eastAsia"/>
        </w:rPr>
        <w:t>人生活在芬兰西部、内陆和西南部，</w:t>
      </w:r>
      <w:r>
        <w:rPr>
          <w:rFonts w:hint="eastAsia"/>
        </w:rPr>
        <w:t>1,500</w:t>
      </w:r>
      <w:r>
        <w:rPr>
          <w:rFonts w:hint="eastAsia"/>
        </w:rPr>
        <w:t>人生活在芬兰东部，</w:t>
      </w:r>
      <w:r>
        <w:rPr>
          <w:rFonts w:hint="eastAsia"/>
        </w:rPr>
        <w:t>1,000</w:t>
      </w:r>
      <w:r>
        <w:rPr>
          <w:rFonts w:hint="eastAsia"/>
        </w:rPr>
        <w:t>人生活在芬兰最北部。从欧盟其他成员国到芬兰的罗姆移民人数稳步上升，母语为保加利亚和罗马尼亚的罗姆方言的人数也在上升。目前，芬兰约有</w:t>
      </w:r>
      <w:r>
        <w:rPr>
          <w:rFonts w:hint="eastAsia"/>
        </w:rPr>
        <w:t>500</w:t>
      </w:r>
      <w:r>
        <w:rPr>
          <w:rFonts w:hint="eastAsia"/>
        </w:rPr>
        <w:t>名罗姆裔欧盟公民。</w:t>
      </w:r>
    </w:p>
    <w:p w:rsidR="005F3BD7" w:rsidRDefault="005F3BD7" w:rsidP="005F3BD7">
      <w:pPr>
        <w:pStyle w:val="SingleTxtGC"/>
      </w:pPr>
      <w:r>
        <w:rPr>
          <w:rFonts w:hint="eastAsia"/>
        </w:rPr>
        <w:t>26.</w:t>
      </w:r>
      <w:r>
        <w:rPr>
          <w:rFonts w:hint="eastAsia"/>
        </w:rPr>
        <w:tab/>
      </w:r>
      <w:r>
        <w:rPr>
          <w:rFonts w:hint="eastAsia"/>
        </w:rPr>
        <w:t>截至</w:t>
      </w:r>
      <w:r>
        <w:rPr>
          <w:rFonts w:hint="eastAsia"/>
        </w:rPr>
        <w:t>2018</w:t>
      </w:r>
      <w:r>
        <w:rPr>
          <w:rFonts w:hint="eastAsia"/>
        </w:rPr>
        <w:t>年底，芬兰有</w:t>
      </w:r>
      <w:r>
        <w:rPr>
          <w:rFonts w:hint="eastAsia"/>
        </w:rPr>
        <w:t>79,225</w:t>
      </w:r>
      <w:r>
        <w:rPr>
          <w:rFonts w:hint="eastAsia"/>
        </w:rPr>
        <w:t>名母语为俄语的居民。在过去的十年里，芬兰传统的俄罗斯少数民族随着大量新移民的到来而人数增加，目前，讲俄语的人构成了芬兰最大的外语移民群体。就地理分布而言，讲俄语的人口集中在最大的城市，而在较小的城市，讲俄语的人数最多的是靠近俄罗斯边境的城市。</w:t>
      </w:r>
    </w:p>
    <w:p w:rsidR="005F3BD7" w:rsidRDefault="005F3BD7" w:rsidP="005F3BD7">
      <w:pPr>
        <w:pStyle w:val="SingleTxtGC"/>
      </w:pPr>
      <w:r>
        <w:rPr>
          <w:rFonts w:hint="eastAsia"/>
        </w:rPr>
        <w:t>27.</w:t>
      </w:r>
      <w:r>
        <w:rPr>
          <w:rFonts w:hint="eastAsia"/>
        </w:rPr>
        <w:tab/>
      </w:r>
      <w:r>
        <w:rPr>
          <w:rFonts w:hint="eastAsia"/>
        </w:rPr>
        <w:t>芬兰讲爱沙尼亚语的人数一直在大幅上升，现在他们是第二大外语群体。截至</w:t>
      </w:r>
      <w:r>
        <w:rPr>
          <w:rFonts w:hint="eastAsia"/>
        </w:rPr>
        <w:t>2018</w:t>
      </w:r>
      <w:r>
        <w:rPr>
          <w:rFonts w:hint="eastAsia"/>
        </w:rPr>
        <w:t>年底，芬兰有</w:t>
      </w:r>
      <w:r>
        <w:rPr>
          <w:rFonts w:hint="eastAsia"/>
        </w:rPr>
        <w:t>49,691</w:t>
      </w:r>
      <w:r>
        <w:rPr>
          <w:rFonts w:hint="eastAsia"/>
        </w:rPr>
        <w:t>名母语为爱沙尼亚语的居民。爱沙尼亚人向芬兰的移民始于</w:t>
      </w:r>
      <w:proofErr w:type="gramStart"/>
      <w:r>
        <w:rPr>
          <w:rFonts w:hint="eastAsia"/>
        </w:rPr>
        <w:t>1990</w:t>
      </w:r>
      <w:proofErr w:type="gramEnd"/>
      <w:r>
        <w:rPr>
          <w:rFonts w:hint="eastAsia"/>
        </w:rPr>
        <w:t>年代</w:t>
      </w:r>
      <w:r>
        <w:rPr>
          <w:rFonts w:hint="eastAsia"/>
        </w:rPr>
        <w:t>(1990</w:t>
      </w:r>
      <w:r>
        <w:rPr>
          <w:rFonts w:hint="eastAsia"/>
        </w:rPr>
        <w:t>年，芬兰有</w:t>
      </w:r>
      <w:r>
        <w:rPr>
          <w:rFonts w:hint="eastAsia"/>
        </w:rPr>
        <w:t>1,394</w:t>
      </w:r>
      <w:r>
        <w:rPr>
          <w:rFonts w:hint="eastAsia"/>
        </w:rPr>
        <w:t>名讲爱沙尼亚语的居民</w:t>
      </w:r>
      <w:r>
        <w:rPr>
          <w:rFonts w:hint="eastAsia"/>
        </w:rPr>
        <w:t>)</w:t>
      </w:r>
      <w:r>
        <w:rPr>
          <w:rFonts w:hint="eastAsia"/>
        </w:rPr>
        <w:t>，并在</w:t>
      </w:r>
      <w:r>
        <w:rPr>
          <w:rFonts w:hint="eastAsia"/>
        </w:rPr>
        <w:t>2004</w:t>
      </w:r>
      <w:r>
        <w:rPr>
          <w:rFonts w:hint="eastAsia"/>
        </w:rPr>
        <w:t>年爱沙尼亚加入欧盟后加快了速度。芬兰的许多爱沙尼亚人是劳务移民。</w:t>
      </w:r>
    </w:p>
    <w:p w:rsidR="005F3BD7" w:rsidRDefault="005F3BD7" w:rsidP="005F3BD7">
      <w:pPr>
        <w:pStyle w:val="SingleTxtGC"/>
      </w:pPr>
      <w:r>
        <w:rPr>
          <w:rFonts w:hint="eastAsia"/>
        </w:rPr>
        <w:t>28.</w:t>
      </w:r>
      <w:r>
        <w:rPr>
          <w:rFonts w:hint="eastAsia"/>
        </w:rPr>
        <w:tab/>
      </w:r>
      <w:r>
        <w:rPr>
          <w:rFonts w:hint="eastAsia"/>
        </w:rPr>
        <w:t>估计有</w:t>
      </w:r>
      <w:r>
        <w:rPr>
          <w:rFonts w:hint="eastAsia"/>
        </w:rPr>
        <w:t>700</w:t>
      </w:r>
      <w:r>
        <w:rPr>
          <w:rFonts w:hint="eastAsia"/>
        </w:rPr>
        <w:t>至</w:t>
      </w:r>
      <w:r>
        <w:rPr>
          <w:rFonts w:hint="eastAsia"/>
        </w:rPr>
        <w:t>800</w:t>
      </w:r>
      <w:r>
        <w:rPr>
          <w:rFonts w:hint="eastAsia"/>
        </w:rPr>
        <w:t>名土耳其裔鞑靼人居住在芬兰，其中一半以上仍然以鞑靼语为母语。芬兰鞑靼人以鞑靼语的西部方言米</w:t>
      </w:r>
      <w:proofErr w:type="gramStart"/>
      <w:r>
        <w:rPr>
          <w:rFonts w:hint="eastAsia"/>
        </w:rPr>
        <w:t>萨</w:t>
      </w:r>
      <w:proofErr w:type="gramEnd"/>
      <w:r>
        <w:rPr>
          <w:rFonts w:hint="eastAsia"/>
        </w:rPr>
        <w:t>鞑靼语为母语，这种语言是一种突厥语。</w:t>
      </w:r>
      <w:r>
        <w:rPr>
          <w:rFonts w:hint="eastAsia"/>
        </w:rPr>
        <w:t>2015</w:t>
      </w:r>
      <w:r>
        <w:rPr>
          <w:rFonts w:hint="eastAsia"/>
        </w:rPr>
        <w:t>年，</w:t>
      </w:r>
      <w:r>
        <w:rPr>
          <w:rFonts w:hint="eastAsia"/>
        </w:rPr>
        <w:t>184</w:t>
      </w:r>
      <w:r>
        <w:rPr>
          <w:rFonts w:hint="eastAsia"/>
        </w:rPr>
        <w:t>人在人口记录中申报鞑靼语为其母语。大多数芬兰鞑靼人居住在赫尔辛基地区。</w:t>
      </w:r>
    </w:p>
    <w:p w:rsidR="005F3BD7" w:rsidRDefault="005F3BD7" w:rsidP="005F3BD7">
      <w:pPr>
        <w:pStyle w:val="SingleTxtGC"/>
      </w:pPr>
      <w:r>
        <w:rPr>
          <w:rFonts w:hint="eastAsia"/>
        </w:rPr>
        <w:lastRenderedPageBreak/>
        <w:t>29.</w:t>
      </w:r>
      <w:r>
        <w:rPr>
          <w:rFonts w:hint="eastAsia"/>
        </w:rPr>
        <w:tab/>
      </w:r>
      <w:r>
        <w:rPr>
          <w:rFonts w:hint="eastAsia"/>
        </w:rPr>
        <w:t>赫尔辛基和图尔库的犹太社区约有</w:t>
      </w:r>
      <w:r>
        <w:rPr>
          <w:rFonts w:hint="eastAsia"/>
        </w:rPr>
        <w:t>100</w:t>
      </w:r>
      <w:r>
        <w:rPr>
          <w:rFonts w:hint="eastAsia"/>
        </w:rPr>
        <w:t>名讲意第</w:t>
      </w:r>
      <w:proofErr w:type="gramStart"/>
      <w:r>
        <w:rPr>
          <w:rFonts w:hint="eastAsia"/>
        </w:rPr>
        <w:t>绪</w:t>
      </w:r>
      <w:proofErr w:type="gramEnd"/>
      <w:r>
        <w:rPr>
          <w:rFonts w:hint="eastAsia"/>
        </w:rPr>
        <w:t>语的人，其中</w:t>
      </w:r>
      <w:r>
        <w:rPr>
          <w:rFonts w:hint="eastAsia"/>
        </w:rPr>
        <w:t>20</w:t>
      </w:r>
      <w:r>
        <w:rPr>
          <w:rFonts w:hint="eastAsia"/>
        </w:rPr>
        <w:t>人的母语是意第</w:t>
      </w:r>
      <w:proofErr w:type="gramStart"/>
      <w:r>
        <w:rPr>
          <w:rFonts w:hint="eastAsia"/>
        </w:rPr>
        <w:t>绪</w:t>
      </w:r>
      <w:proofErr w:type="gramEnd"/>
      <w:r>
        <w:rPr>
          <w:rFonts w:hint="eastAsia"/>
        </w:rPr>
        <w:t>语。母语为希伯来语的人数约为</w:t>
      </w:r>
      <w:r>
        <w:rPr>
          <w:rFonts w:hint="eastAsia"/>
        </w:rPr>
        <w:t>150</w:t>
      </w:r>
      <w:r>
        <w:rPr>
          <w:rFonts w:hint="eastAsia"/>
        </w:rPr>
        <w:t>人，至少还有</w:t>
      </w:r>
      <w:r>
        <w:rPr>
          <w:rFonts w:hint="eastAsia"/>
        </w:rPr>
        <w:t>200</w:t>
      </w:r>
      <w:r>
        <w:rPr>
          <w:rFonts w:hint="eastAsia"/>
        </w:rPr>
        <w:t>人的第二母语为希伯来语。芬兰没有讲意第</w:t>
      </w:r>
      <w:proofErr w:type="gramStart"/>
      <w:r>
        <w:rPr>
          <w:rFonts w:hint="eastAsia"/>
        </w:rPr>
        <w:t>绪</w:t>
      </w:r>
      <w:proofErr w:type="gramEnd"/>
      <w:r>
        <w:rPr>
          <w:rFonts w:hint="eastAsia"/>
        </w:rPr>
        <w:t>语和希伯来语的人的官方统计数据。在芬兰，意第</w:t>
      </w:r>
      <w:proofErr w:type="gramStart"/>
      <w:r>
        <w:rPr>
          <w:rFonts w:hint="eastAsia"/>
        </w:rPr>
        <w:t>绪</w:t>
      </w:r>
      <w:proofErr w:type="gramEnd"/>
      <w:r>
        <w:rPr>
          <w:rFonts w:hint="eastAsia"/>
        </w:rPr>
        <w:t>语作为一种口语正处于消失的边缘，然而，意第</w:t>
      </w:r>
      <w:proofErr w:type="gramStart"/>
      <w:r>
        <w:rPr>
          <w:rFonts w:hint="eastAsia"/>
        </w:rPr>
        <w:t>绪</w:t>
      </w:r>
      <w:proofErr w:type="gramEnd"/>
      <w:r>
        <w:rPr>
          <w:rFonts w:hint="eastAsia"/>
        </w:rPr>
        <w:t>语文化遗产现在和将来都对犹太人身份非常重要，并且该语言仍将是研究和关注的主题。芬兰犹太人的主要语言是芬兰语，芬兰语也是他们大多数人的母语。</w:t>
      </w:r>
      <w:proofErr w:type="gramStart"/>
      <w:r>
        <w:rPr>
          <w:rFonts w:hint="eastAsia"/>
        </w:rPr>
        <w:t>1990</w:t>
      </w:r>
      <w:proofErr w:type="gramEnd"/>
      <w:r>
        <w:rPr>
          <w:rFonts w:hint="eastAsia"/>
        </w:rPr>
        <w:t>年代东欧的动荡使俄语回归芬兰的犹太社区，尽管俄语只是其中少数人的母语。芬兰的犹太人越来越变得文化多样，国内的犹太社区反映了芬兰社会更广泛的文化多样性。</w:t>
      </w:r>
    </w:p>
    <w:p w:rsidR="005F3BD7" w:rsidRDefault="005F3BD7" w:rsidP="005F3BD7">
      <w:pPr>
        <w:pStyle w:val="SingleTxtGC"/>
      </w:pPr>
      <w:r>
        <w:rPr>
          <w:rFonts w:hint="eastAsia"/>
        </w:rPr>
        <w:t>30.</w:t>
      </w:r>
      <w:r>
        <w:rPr>
          <w:rFonts w:hint="eastAsia"/>
        </w:rPr>
        <w:tab/>
      </w:r>
      <w:r>
        <w:rPr>
          <w:rFonts w:hint="eastAsia"/>
        </w:rPr>
        <w:t>芬兰大约有</w:t>
      </w:r>
      <w:r>
        <w:rPr>
          <w:rFonts w:hint="eastAsia"/>
        </w:rPr>
        <w:t>5</w:t>
      </w:r>
      <w:r w:rsidR="00677F42">
        <w:t>,</w:t>
      </w:r>
      <w:r>
        <w:rPr>
          <w:rFonts w:hint="eastAsia"/>
        </w:rPr>
        <w:t>000</w:t>
      </w:r>
      <w:r>
        <w:rPr>
          <w:rFonts w:hint="eastAsia"/>
        </w:rPr>
        <w:t>名母语为卡累利阿语的人。另有约</w:t>
      </w:r>
      <w:r>
        <w:rPr>
          <w:rFonts w:hint="eastAsia"/>
        </w:rPr>
        <w:t>20,000</w:t>
      </w:r>
      <w:r>
        <w:rPr>
          <w:rFonts w:hint="eastAsia"/>
        </w:rPr>
        <w:t>人自认为</w:t>
      </w:r>
      <w:proofErr w:type="gramStart"/>
      <w:r>
        <w:rPr>
          <w:rFonts w:hint="eastAsia"/>
        </w:rPr>
        <w:t>是讲卡累</w:t>
      </w:r>
      <w:proofErr w:type="gramEnd"/>
      <w:r>
        <w:rPr>
          <w:rFonts w:hint="eastAsia"/>
        </w:rPr>
        <w:t>利阿语的人，他们都至少在某种程度上懂得并能讲卡累利阿语。然而，芬兰没有</w:t>
      </w:r>
      <w:proofErr w:type="gramStart"/>
      <w:r>
        <w:rPr>
          <w:rFonts w:hint="eastAsia"/>
        </w:rPr>
        <w:t>关于讲卡累</w:t>
      </w:r>
      <w:proofErr w:type="gramEnd"/>
      <w:r>
        <w:rPr>
          <w:rFonts w:hint="eastAsia"/>
        </w:rPr>
        <w:t>利阿语的人的全面统计数据。自</w:t>
      </w:r>
      <w:r>
        <w:rPr>
          <w:rFonts w:hint="eastAsia"/>
        </w:rPr>
        <w:t>2011</w:t>
      </w:r>
      <w:r>
        <w:rPr>
          <w:rFonts w:hint="eastAsia"/>
        </w:rPr>
        <w:t>年以来，卡累利阿</w:t>
      </w:r>
      <w:proofErr w:type="gramStart"/>
      <w:r>
        <w:rPr>
          <w:rFonts w:hint="eastAsia"/>
        </w:rPr>
        <w:t>语一直</w:t>
      </w:r>
      <w:proofErr w:type="gramEnd"/>
      <w:r>
        <w:rPr>
          <w:rFonts w:hint="eastAsia"/>
        </w:rPr>
        <w:t>是人口登记中心维护的人口资料系统中的母语选项。</w:t>
      </w:r>
      <w:r>
        <w:rPr>
          <w:rFonts w:hint="eastAsia"/>
        </w:rPr>
        <w:t>2015</w:t>
      </w:r>
      <w:r>
        <w:rPr>
          <w:rFonts w:hint="eastAsia"/>
        </w:rPr>
        <w:t>年，</w:t>
      </w:r>
      <w:r>
        <w:rPr>
          <w:rFonts w:hint="eastAsia"/>
        </w:rPr>
        <w:t>152</w:t>
      </w:r>
      <w:r>
        <w:rPr>
          <w:rFonts w:hint="eastAsia"/>
        </w:rPr>
        <w:t>人申报卡累利阿语为其母语。</w:t>
      </w:r>
    </w:p>
    <w:p w:rsidR="005F3BD7" w:rsidRDefault="005F3BD7" w:rsidP="005F3BD7">
      <w:pPr>
        <w:pStyle w:val="SingleTxtGC"/>
      </w:pPr>
      <w:r>
        <w:rPr>
          <w:rFonts w:hint="eastAsia"/>
        </w:rPr>
        <w:t>31.</w:t>
      </w:r>
      <w:r>
        <w:rPr>
          <w:rFonts w:hint="eastAsia"/>
        </w:rPr>
        <w:tab/>
      </w:r>
      <w:r>
        <w:rPr>
          <w:rFonts w:hint="eastAsia"/>
        </w:rPr>
        <w:t>根据《芬兰宪法》第</w:t>
      </w:r>
      <w:r>
        <w:rPr>
          <w:rFonts w:hint="eastAsia"/>
        </w:rPr>
        <w:t>17</w:t>
      </w:r>
      <w:r>
        <w:rPr>
          <w:rFonts w:hint="eastAsia"/>
        </w:rPr>
        <w:t>条第</w:t>
      </w:r>
      <w:r>
        <w:rPr>
          <w:rFonts w:hint="eastAsia"/>
        </w:rPr>
        <w:t>3</w:t>
      </w:r>
      <w:r>
        <w:rPr>
          <w:rFonts w:hint="eastAsia"/>
        </w:rPr>
        <w:t>款，使用手语的人和因残疾需要口译或笔译协助的人的权利应得到法律的保障。手语使用者是芬兰的语言和文化少数群体。芬兰国家手语语言政策方案建议国家致力于在欧洲一级，例如在《欧洲区域或少数民族语言宪章》和其他语言文件中，提高少数群体语言，包括手语的地位。芬兰有两种国家手语：芬兰手语和芬兰</w:t>
      </w:r>
      <w:r w:rsidR="00983742">
        <w:rPr>
          <w:rFonts w:hint="eastAsia"/>
        </w:rPr>
        <w:t>－</w:t>
      </w:r>
      <w:r>
        <w:rPr>
          <w:rFonts w:hint="eastAsia"/>
        </w:rPr>
        <w:t>瑞典手语。前者是大约</w:t>
      </w:r>
      <w:r>
        <w:rPr>
          <w:rFonts w:hint="eastAsia"/>
        </w:rPr>
        <w:t>4</w:t>
      </w:r>
      <w:r w:rsidR="00554D9A">
        <w:t>,</w:t>
      </w:r>
      <w:r>
        <w:rPr>
          <w:rFonts w:hint="eastAsia"/>
        </w:rPr>
        <w:t>000</w:t>
      </w:r>
      <w:r>
        <w:rPr>
          <w:rFonts w:hint="eastAsia"/>
        </w:rPr>
        <w:t>至</w:t>
      </w:r>
      <w:r>
        <w:rPr>
          <w:rFonts w:hint="eastAsia"/>
        </w:rPr>
        <w:t>5</w:t>
      </w:r>
      <w:r w:rsidR="00554D9A">
        <w:t>,</w:t>
      </w:r>
      <w:r>
        <w:rPr>
          <w:rFonts w:hint="eastAsia"/>
        </w:rPr>
        <w:t>000</w:t>
      </w:r>
      <w:r>
        <w:rPr>
          <w:rFonts w:hint="eastAsia"/>
        </w:rPr>
        <w:t>名聋人或听觉障碍者的母语。总共大约有</w:t>
      </w:r>
      <w:r>
        <w:rPr>
          <w:rFonts w:hint="eastAsia"/>
        </w:rPr>
        <w:t>14,000</w:t>
      </w:r>
      <w:r>
        <w:rPr>
          <w:rFonts w:hint="eastAsia"/>
        </w:rPr>
        <w:t>人使用芬兰手语，包括听觉正常者。长期以来，芬兰</w:t>
      </w:r>
      <w:r w:rsidR="00983742">
        <w:rPr>
          <w:rFonts w:hint="eastAsia"/>
        </w:rPr>
        <w:t>－</w:t>
      </w:r>
      <w:r>
        <w:rPr>
          <w:rFonts w:hint="eastAsia"/>
        </w:rPr>
        <w:t>瑞典手语使用者估计约有</w:t>
      </w:r>
      <w:r>
        <w:rPr>
          <w:rFonts w:hint="eastAsia"/>
        </w:rPr>
        <w:t>300</w:t>
      </w:r>
      <w:r>
        <w:rPr>
          <w:rFonts w:hint="eastAsia"/>
        </w:rPr>
        <w:t>人，其中一半是聋人。然而，</w:t>
      </w:r>
      <w:r>
        <w:rPr>
          <w:rFonts w:hint="eastAsia"/>
        </w:rPr>
        <w:t>2014-2015</w:t>
      </w:r>
      <w:r>
        <w:rPr>
          <w:rFonts w:hint="eastAsia"/>
        </w:rPr>
        <w:t>年进行的一项研究显示，芬兰</w:t>
      </w:r>
      <w:r w:rsidR="00554D9A">
        <w:rPr>
          <w:rFonts w:hint="eastAsia"/>
        </w:rPr>
        <w:t>－</w:t>
      </w:r>
      <w:r>
        <w:rPr>
          <w:rFonts w:hint="eastAsia"/>
        </w:rPr>
        <w:t>瑞典手语聋人使用者约为</w:t>
      </w:r>
      <w:r>
        <w:rPr>
          <w:rFonts w:hint="eastAsia"/>
        </w:rPr>
        <w:t>90</w:t>
      </w:r>
      <w:r>
        <w:rPr>
          <w:rFonts w:hint="eastAsia"/>
        </w:rPr>
        <w:t>人，其中大多数人年事已高。芬兰</w:t>
      </w:r>
      <w:r w:rsidR="00983742">
        <w:rPr>
          <w:rFonts w:hint="eastAsia"/>
        </w:rPr>
        <w:t>－</w:t>
      </w:r>
      <w:r>
        <w:rPr>
          <w:rFonts w:hint="eastAsia"/>
        </w:rPr>
        <w:t>瑞典手语其实是一种严重濒危的语言。</w:t>
      </w:r>
    </w:p>
    <w:p w:rsidR="005F3BD7" w:rsidRDefault="005F3BD7" w:rsidP="00ED3115">
      <w:pPr>
        <w:pStyle w:val="H23GC"/>
      </w:pPr>
      <w:r>
        <w:rPr>
          <w:rFonts w:hint="eastAsia"/>
        </w:rPr>
        <w:tab/>
      </w:r>
      <w:r>
        <w:rPr>
          <w:rFonts w:hint="eastAsia"/>
        </w:rPr>
        <w:tab/>
      </w:r>
      <w:r>
        <w:rPr>
          <w:rFonts w:hint="eastAsia"/>
        </w:rPr>
        <w:t>出生率和死亡率</w:t>
      </w:r>
    </w:p>
    <w:p w:rsidR="005F3BD7" w:rsidRDefault="005F3BD7" w:rsidP="005F3BD7">
      <w:pPr>
        <w:pStyle w:val="SingleTxtGC"/>
      </w:pPr>
      <w:r>
        <w:rPr>
          <w:rFonts w:hint="eastAsia"/>
        </w:rPr>
        <w:t>32.</w:t>
      </w:r>
      <w:r>
        <w:rPr>
          <w:rFonts w:hint="eastAsia"/>
        </w:rPr>
        <w:tab/>
        <w:t>2018</w:t>
      </w:r>
      <w:r>
        <w:rPr>
          <w:rFonts w:hint="eastAsia"/>
        </w:rPr>
        <w:t>年，芬兰有</w:t>
      </w:r>
      <w:r>
        <w:rPr>
          <w:rFonts w:hint="eastAsia"/>
        </w:rPr>
        <w:t>47</w:t>
      </w:r>
      <w:r w:rsidR="006B335C">
        <w:t>,</w:t>
      </w:r>
      <w:r>
        <w:rPr>
          <w:rFonts w:hint="eastAsia"/>
        </w:rPr>
        <w:t>577</w:t>
      </w:r>
      <w:r>
        <w:rPr>
          <w:rFonts w:hint="eastAsia"/>
        </w:rPr>
        <w:t>名新生儿。出生率已连续八年下降。与</w:t>
      </w:r>
      <w:r>
        <w:rPr>
          <w:rFonts w:hint="eastAsia"/>
        </w:rPr>
        <w:t>2017</w:t>
      </w:r>
      <w:r>
        <w:rPr>
          <w:rFonts w:hint="eastAsia"/>
        </w:rPr>
        <w:t>年相比，出生人数减少了</w:t>
      </w:r>
      <w:r>
        <w:rPr>
          <w:rFonts w:hint="eastAsia"/>
        </w:rPr>
        <w:t>2</w:t>
      </w:r>
      <w:r w:rsidR="006B335C">
        <w:t>,</w:t>
      </w:r>
      <w:r>
        <w:rPr>
          <w:rFonts w:hint="eastAsia"/>
        </w:rPr>
        <w:t>744</w:t>
      </w:r>
      <w:r>
        <w:rPr>
          <w:rFonts w:hint="eastAsia"/>
        </w:rPr>
        <w:t>人，降幅为</w:t>
      </w:r>
      <w:r>
        <w:rPr>
          <w:rFonts w:hint="eastAsia"/>
        </w:rPr>
        <w:t>5.5%</w:t>
      </w:r>
      <w:r>
        <w:rPr>
          <w:rFonts w:hint="eastAsia"/>
        </w:rPr>
        <w:t>，这是自</w:t>
      </w:r>
      <w:proofErr w:type="gramStart"/>
      <w:r>
        <w:rPr>
          <w:rFonts w:hint="eastAsia"/>
        </w:rPr>
        <w:t>1970</w:t>
      </w:r>
      <w:proofErr w:type="gramEnd"/>
      <w:r>
        <w:rPr>
          <w:rFonts w:hint="eastAsia"/>
        </w:rPr>
        <w:t>年代初以来相对降幅最大的一年。除了出生率，</w:t>
      </w:r>
      <w:r>
        <w:rPr>
          <w:rFonts w:hint="eastAsia"/>
        </w:rPr>
        <w:t>2018</w:t>
      </w:r>
      <w:r>
        <w:rPr>
          <w:rFonts w:hint="eastAsia"/>
        </w:rPr>
        <w:t>年生育率也继续下降。按照</w:t>
      </w:r>
      <w:r>
        <w:rPr>
          <w:rFonts w:hint="eastAsia"/>
        </w:rPr>
        <w:t>2018</w:t>
      </w:r>
      <w:r>
        <w:rPr>
          <w:rFonts w:hint="eastAsia"/>
        </w:rPr>
        <w:t>年一般的生育率，一名妇女平均将生育</w:t>
      </w:r>
      <w:r>
        <w:rPr>
          <w:rFonts w:hint="eastAsia"/>
        </w:rPr>
        <w:t>1.41</w:t>
      </w:r>
      <w:r>
        <w:rPr>
          <w:rFonts w:hint="eastAsia"/>
        </w:rPr>
        <w:t>个子女。</w:t>
      </w:r>
    </w:p>
    <w:p w:rsidR="005F3BD7" w:rsidRDefault="005F3BD7" w:rsidP="005F3BD7">
      <w:pPr>
        <w:pStyle w:val="SingleTxtGC"/>
      </w:pPr>
      <w:r>
        <w:rPr>
          <w:rFonts w:hint="eastAsia"/>
        </w:rPr>
        <w:t>33.</w:t>
      </w:r>
      <w:r>
        <w:rPr>
          <w:rFonts w:hint="eastAsia"/>
        </w:rPr>
        <w:tab/>
        <w:t>2018</w:t>
      </w:r>
      <w:r>
        <w:rPr>
          <w:rFonts w:hint="eastAsia"/>
        </w:rPr>
        <w:t>年共有</w:t>
      </w:r>
      <w:r>
        <w:rPr>
          <w:rFonts w:hint="eastAsia"/>
        </w:rPr>
        <w:t>54</w:t>
      </w:r>
      <w:r w:rsidR="006B335C">
        <w:t>,</w:t>
      </w:r>
      <w:r>
        <w:rPr>
          <w:rFonts w:hint="eastAsia"/>
        </w:rPr>
        <w:t>527</w:t>
      </w:r>
      <w:r>
        <w:rPr>
          <w:rFonts w:hint="eastAsia"/>
        </w:rPr>
        <w:t>人死亡，是</w:t>
      </w:r>
      <w:r>
        <w:rPr>
          <w:rFonts w:hint="eastAsia"/>
        </w:rPr>
        <w:t>1944</w:t>
      </w:r>
      <w:r>
        <w:rPr>
          <w:rFonts w:hint="eastAsia"/>
        </w:rPr>
        <w:t>年以来的最高数字。上一个</w:t>
      </w:r>
      <w:proofErr w:type="gramStart"/>
      <w:r>
        <w:rPr>
          <w:rFonts w:hint="eastAsia"/>
        </w:rPr>
        <w:t>1940</w:t>
      </w:r>
      <w:proofErr w:type="gramEnd"/>
      <w:r>
        <w:rPr>
          <w:rFonts w:hint="eastAsia"/>
        </w:rPr>
        <w:t>年代后创纪录年份是</w:t>
      </w:r>
      <w:r>
        <w:rPr>
          <w:rFonts w:hint="eastAsia"/>
        </w:rPr>
        <w:t>2016</w:t>
      </w:r>
      <w:r>
        <w:rPr>
          <w:rFonts w:hint="eastAsia"/>
        </w:rPr>
        <w:t>年，当时的死亡人数比</w:t>
      </w:r>
      <w:r>
        <w:rPr>
          <w:rFonts w:hint="eastAsia"/>
        </w:rPr>
        <w:t>2018</w:t>
      </w:r>
      <w:r>
        <w:rPr>
          <w:rFonts w:hint="eastAsia"/>
        </w:rPr>
        <w:t>年少</w:t>
      </w:r>
      <w:r>
        <w:rPr>
          <w:rFonts w:hint="eastAsia"/>
        </w:rPr>
        <w:t>604</w:t>
      </w:r>
      <w:r>
        <w:rPr>
          <w:rFonts w:hint="eastAsia"/>
        </w:rPr>
        <w:t>人。</w:t>
      </w:r>
    </w:p>
    <w:p w:rsidR="005F3BD7" w:rsidRDefault="005F3BD7" w:rsidP="005F3BD7">
      <w:pPr>
        <w:pStyle w:val="SingleTxtGC"/>
      </w:pPr>
      <w:r>
        <w:rPr>
          <w:rFonts w:hint="eastAsia"/>
        </w:rPr>
        <w:t>34.</w:t>
      </w:r>
      <w:r>
        <w:rPr>
          <w:rFonts w:hint="eastAsia"/>
        </w:rPr>
        <w:tab/>
      </w:r>
      <w:r>
        <w:rPr>
          <w:rFonts w:hint="eastAsia"/>
        </w:rPr>
        <w:t>芬兰人口中，</w:t>
      </w:r>
      <w:r>
        <w:rPr>
          <w:rFonts w:hint="eastAsia"/>
        </w:rPr>
        <w:t>65</w:t>
      </w:r>
      <w:r>
        <w:rPr>
          <w:rFonts w:hint="eastAsia"/>
        </w:rPr>
        <w:t>岁以上占</w:t>
      </w:r>
      <w:r>
        <w:rPr>
          <w:rFonts w:hint="eastAsia"/>
        </w:rPr>
        <w:t>22%</w:t>
      </w:r>
      <w:r>
        <w:rPr>
          <w:rFonts w:hint="eastAsia"/>
        </w:rPr>
        <w:t>，</w:t>
      </w:r>
      <w:r>
        <w:rPr>
          <w:rFonts w:hint="eastAsia"/>
        </w:rPr>
        <w:t>15</w:t>
      </w:r>
      <w:r>
        <w:rPr>
          <w:rFonts w:hint="eastAsia"/>
        </w:rPr>
        <w:t>岁以下占</w:t>
      </w:r>
      <w:r>
        <w:rPr>
          <w:rFonts w:hint="eastAsia"/>
        </w:rPr>
        <w:t>16%</w:t>
      </w:r>
      <w:r>
        <w:rPr>
          <w:rFonts w:hint="eastAsia"/>
        </w:rPr>
        <w:t>。</w:t>
      </w:r>
      <w:r>
        <w:rPr>
          <w:rFonts w:hint="eastAsia"/>
        </w:rPr>
        <w:t>2018</w:t>
      </w:r>
      <w:r>
        <w:rPr>
          <w:rFonts w:hint="eastAsia"/>
        </w:rPr>
        <w:t>年全国</w:t>
      </w:r>
      <w:r>
        <w:rPr>
          <w:rFonts w:hint="eastAsia"/>
        </w:rPr>
        <w:t>15</w:t>
      </w:r>
      <w:r>
        <w:rPr>
          <w:rFonts w:hint="eastAsia"/>
        </w:rPr>
        <w:t>岁以下和</w:t>
      </w:r>
      <w:r>
        <w:rPr>
          <w:rFonts w:hint="eastAsia"/>
        </w:rPr>
        <w:t>65</w:t>
      </w:r>
      <w:r>
        <w:rPr>
          <w:rFonts w:hint="eastAsia"/>
        </w:rPr>
        <w:t>岁以上人口与劳动年龄</w:t>
      </w:r>
      <w:r>
        <w:rPr>
          <w:rFonts w:hint="eastAsia"/>
        </w:rPr>
        <w:t>(15-64</w:t>
      </w:r>
      <w:r>
        <w:rPr>
          <w:rFonts w:hint="eastAsia"/>
        </w:rPr>
        <w:t>岁</w:t>
      </w:r>
      <w:r>
        <w:rPr>
          <w:rFonts w:hint="eastAsia"/>
        </w:rPr>
        <w:t>)</w:t>
      </w:r>
      <w:r>
        <w:rPr>
          <w:rFonts w:hint="eastAsia"/>
        </w:rPr>
        <w:t>人口比率为</w:t>
      </w:r>
      <w:r>
        <w:rPr>
          <w:rFonts w:hint="eastAsia"/>
        </w:rPr>
        <w:t>61:100</w:t>
      </w:r>
      <w:r>
        <w:rPr>
          <w:rFonts w:hint="eastAsia"/>
        </w:rPr>
        <w:t>。</w:t>
      </w:r>
    </w:p>
    <w:p w:rsidR="005F3BD7" w:rsidRDefault="005F3BD7" w:rsidP="00ED3115">
      <w:pPr>
        <w:pStyle w:val="H23GC"/>
      </w:pPr>
      <w:r>
        <w:rPr>
          <w:rFonts w:hint="eastAsia"/>
        </w:rPr>
        <w:tab/>
      </w:r>
      <w:r>
        <w:rPr>
          <w:rFonts w:hint="eastAsia"/>
        </w:rPr>
        <w:tab/>
      </w:r>
      <w:r>
        <w:rPr>
          <w:rFonts w:hint="eastAsia"/>
        </w:rPr>
        <w:t>家庭</w:t>
      </w:r>
    </w:p>
    <w:p w:rsidR="005F3BD7" w:rsidRDefault="005F3BD7" w:rsidP="005F3BD7">
      <w:pPr>
        <w:pStyle w:val="SingleTxtGC"/>
      </w:pPr>
      <w:r>
        <w:rPr>
          <w:rFonts w:hint="eastAsia"/>
        </w:rPr>
        <w:t>35.</w:t>
      </w:r>
      <w:r>
        <w:rPr>
          <w:rFonts w:hint="eastAsia"/>
        </w:rPr>
        <w:tab/>
      </w:r>
      <w:r>
        <w:rPr>
          <w:rFonts w:hint="eastAsia"/>
        </w:rPr>
        <w:t>截至</w:t>
      </w:r>
      <w:r>
        <w:rPr>
          <w:rFonts w:hint="eastAsia"/>
        </w:rPr>
        <w:t>2018</w:t>
      </w:r>
      <w:r>
        <w:rPr>
          <w:rFonts w:hint="eastAsia"/>
        </w:rPr>
        <w:t>年底，芬兰有</w:t>
      </w:r>
      <w:r>
        <w:rPr>
          <w:rFonts w:hint="eastAsia"/>
        </w:rPr>
        <w:t>146.9</w:t>
      </w:r>
      <w:r>
        <w:rPr>
          <w:rFonts w:hint="eastAsia"/>
        </w:rPr>
        <w:t>万户家庭。家庭数量在</w:t>
      </w:r>
      <w:r>
        <w:rPr>
          <w:rFonts w:hint="eastAsia"/>
        </w:rPr>
        <w:t>2016</w:t>
      </w:r>
      <w:r>
        <w:rPr>
          <w:rFonts w:hint="eastAsia"/>
        </w:rPr>
        <w:t>年之前一直在不断上升，但在</w:t>
      </w:r>
      <w:r>
        <w:rPr>
          <w:rFonts w:hint="eastAsia"/>
        </w:rPr>
        <w:t>2017</w:t>
      </w:r>
      <w:r>
        <w:rPr>
          <w:rFonts w:hint="eastAsia"/>
        </w:rPr>
        <w:t>年和</w:t>
      </w:r>
      <w:r>
        <w:rPr>
          <w:rFonts w:hint="eastAsia"/>
        </w:rPr>
        <w:t>2018</w:t>
      </w:r>
      <w:r>
        <w:rPr>
          <w:rFonts w:hint="eastAsia"/>
        </w:rPr>
        <w:t>年却出现了下降。</w:t>
      </w:r>
      <w:r>
        <w:rPr>
          <w:rFonts w:hint="eastAsia"/>
        </w:rPr>
        <w:t>2018</w:t>
      </w:r>
      <w:r>
        <w:rPr>
          <w:rFonts w:hint="eastAsia"/>
        </w:rPr>
        <w:t>年平均家庭规模为</w:t>
      </w:r>
      <w:r>
        <w:rPr>
          <w:rFonts w:hint="eastAsia"/>
        </w:rPr>
        <w:t>2.7</w:t>
      </w:r>
      <w:r>
        <w:rPr>
          <w:rFonts w:hint="eastAsia"/>
        </w:rPr>
        <w:t>人，</w:t>
      </w:r>
      <w:r>
        <w:rPr>
          <w:rFonts w:hint="eastAsia"/>
        </w:rPr>
        <w:t>73%</w:t>
      </w:r>
      <w:r>
        <w:rPr>
          <w:rFonts w:hint="eastAsia"/>
        </w:rPr>
        <w:t>的人口是家庭成员。</w:t>
      </w:r>
      <w:r>
        <w:rPr>
          <w:rFonts w:hint="eastAsia"/>
        </w:rPr>
        <w:t>2018</w:t>
      </w:r>
      <w:r>
        <w:rPr>
          <w:rFonts w:hint="eastAsia"/>
        </w:rPr>
        <w:t>年单亲家庭为</w:t>
      </w:r>
      <w:r>
        <w:rPr>
          <w:rFonts w:hint="eastAsia"/>
        </w:rPr>
        <w:t>186</w:t>
      </w:r>
      <w:r w:rsidR="00D914D2">
        <w:t>,</w:t>
      </w:r>
      <w:r>
        <w:rPr>
          <w:rFonts w:hint="eastAsia"/>
        </w:rPr>
        <w:t>180</w:t>
      </w:r>
      <w:r>
        <w:rPr>
          <w:rFonts w:hint="eastAsia"/>
        </w:rPr>
        <w:t>户：单亲母亲家庭</w:t>
      </w:r>
      <w:r>
        <w:rPr>
          <w:rFonts w:hint="eastAsia"/>
        </w:rPr>
        <w:t>152</w:t>
      </w:r>
      <w:r w:rsidR="00D914D2">
        <w:t>,</w:t>
      </w:r>
      <w:r>
        <w:rPr>
          <w:rFonts w:hint="eastAsia"/>
        </w:rPr>
        <w:t>888</w:t>
      </w:r>
      <w:r>
        <w:rPr>
          <w:rFonts w:hint="eastAsia"/>
        </w:rPr>
        <w:t>户，单亲父亲家庭</w:t>
      </w:r>
      <w:r>
        <w:rPr>
          <w:rFonts w:hint="eastAsia"/>
        </w:rPr>
        <w:t>33</w:t>
      </w:r>
      <w:r w:rsidR="00D914D2">
        <w:t>,</w:t>
      </w:r>
      <w:r>
        <w:rPr>
          <w:rFonts w:hint="eastAsia"/>
        </w:rPr>
        <w:t>292</w:t>
      </w:r>
      <w:r>
        <w:rPr>
          <w:rFonts w:hint="eastAsia"/>
        </w:rPr>
        <w:t>户。</w:t>
      </w:r>
    </w:p>
    <w:p w:rsidR="005F3BD7" w:rsidRDefault="005F3BD7" w:rsidP="00ED3115">
      <w:pPr>
        <w:pStyle w:val="H23GC"/>
      </w:pPr>
      <w:r>
        <w:rPr>
          <w:rFonts w:hint="eastAsia"/>
        </w:rPr>
        <w:tab/>
      </w:r>
      <w:r>
        <w:rPr>
          <w:rFonts w:hint="eastAsia"/>
        </w:rPr>
        <w:tab/>
      </w:r>
      <w:r>
        <w:rPr>
          <w:rFonts w:hint="eastAsia"/>
        </w:rPr>
        <w:t>移民</w:t>
      </w:r>
    </w:p>
    <w:p w:rsidR="005F3BD7" w:rsidRDefault="005F3BD7" w:rsidP="005F3BD7">
      <w:pPr>
        <w:pStyle w:val="SingleTxtGC"/>
      </w:pPr>
      <w:r>
        <w:rPr>
          <w:rFonts w:hint="eastAsia"/>
        </w:rPr>
        <w:t>36.</w:t>
      </w:r>
      <w:r>
        <w:rPr>
          <w:rFonts w:hint="eastAsia"/>
        </w:rPr>
        <w:tab/>
      </w:r>
      <w:r>
        <w:rPr>
          <w:rFonts w:hint="eastAsia"/>
        </w:rPr>
        <w:t>芬兰的移民政策和相关立法起草工作以欧盟共同的移民和庇护政策、国际文书以及政府概述的目标为依据。</w:t>
      </w:r>
    </w:p>
    <w:p w:rsidR="005F3BD7" w:rsidRDefault="005F3BD7" w:rsidP="005F3BD7">
      <w:pPr>
        <w:pStyle w:val="SingleTxtGC"/>
      </w:pPr>
      <w:r>
        <w:rPr>
          <w:rFonts w:hint="eastAsia"/>
        </w:rPr>
        <w:lastRenderedPageBreak/>
        <w:t>37.</w:t>
      </w:r>
      <w:r>
        <w:rPr>
          <w:rFonts w:hint="eastAsia"/>
        </w:rPr>
        <w:tab/>
      </w:r>
      <w:r>
        <w:rPr>
          <w:rFonts w:hint="eastAsia"/>
        </w:rPr>
        <w:t>随着出生率连续几年下降，人口老龄化速度加快，芬兰已认识到需要外国劳动力。希望外国劳动力促进该国的经济增长和就业。桑娜·马林总理政府</w:t>
      </w:r>
      <w:r>
        <w:rPr>
          <w:rFonts w:hint="eastAsia"/>
        </w:rPr>
        <w:t>(2019</w:t>
      </w:r>
      <w:r>
        <w:rPr>
          <w:rFonts w:hint="eastAsia"/>
        </w:rPr>
        <w:t>年</w:t>
      </w:r>
      <w:r>
        <w:rPr>
          <w:rFonts w:hint="eastAsia"/>
        </w:rPr>
        <w:t>12</w:t>
      </w:r>
      <w:r>
        <w:rPr>
          <w:rFonts w:hint="eastAsia"/>
        </w:rPr>
        <w:t>月—</w:t>
      </w:r>
      <w:r>
        <w:rPr>
          <w:rFonts w:hint="eastAsia"/>
        </w:rPr>
        <w:t>)</w:t>
      </w:r>
      <w:r>
        <w:rPr>
          <w:rFonts w:hint="eastAsia"/>
        </w:rPr>
        <w:t>的目标是增加劳动力移民以及季节性工人和学生的移民。尤哈·西比莱总理政府</w:t>
      </w:r>
      <w:r>
        <w:rPr>
          <w:rFonts w:hint="eastAsia"/>
        </w:rPr>
        <w:t>(2015-2019</w:t>
      </w:r>
      <w:r>
        <w:rPr>
          <w:rFonts w:hint="eastAsia"/>
        </w:rPr>
        <w:t>年</w:t>
      </w:r>
      <w:r>
        <w:rPr>
          <w:rFonts w:hint="eastAsia"/>
        </w:rPr>
        <w:t>)</w:t>
      </w:r>
      <w:r>
        <w:rPr>
          <w:rFonts w:hint="eastAsia"/>
        </w:rPr>
        <w:t>也曾颁布一些立法修正案，以期通过各种办法促进专家和学生的移徙。</w:t>
      </w:r>
    </w:p>
    <w:p w:rsidR="005F3BD7" w:rsidRDefault="005F3BD7" w:rsidP="005F3BD7">
      <w:pPr>
        <w:pStyle w:val="SingleTxtGC"/>
      </w:pPr>
      <w:r>
        <w:rPr>
          <w:rFonts w:hint="eastAsia"/>
        </w:rPr>
        <w:t>38.</w:t>
      </w:r>
      <w:r>
        <w:rPr>
          <w:rFonts w:hint="eastAsia"/>
        </w:rPr>
        <w:tab/>
      </w:r>
      <w:r>
        <w:rPr>
          <w:rFonts w:hint="eastAsia"/>
        </w:rPr>
        <w:t>几年来，移民到芬兰的工人和学生人数一直在上升。</w:t>
      </w:r>
      <w:r>
        <w:rPr>
          <w:rFonts w:hint="eastAsia"/>
        </w:rPr>
        <w:t>2018</w:t>
      </w:r>
      <w:r>
        <w:rPr>
          <w:rFonts w:hint="eastAsia"/>
        </w:rPr>
        <w:t>年，共有</w:t>
      </w:r>
      <w:r>
        <w:rPr>
          <w:rFonts w:hint="eastAsia"/>
        </w:rPr>
        <w:t>6,281</w:t>
      </w:r>
      <w:r>
        <w:rPr>
          <w:rFonts w:hint="eastAsia"/>
        </w:rPr>
        <w:t>名申请人以学业为由首次申请居留证</w:t>
      </w:r>
      <w:r>
        <w:rPr>
          <w:rFonts w:hint="eastAsia"/>
        </w:rPr>
        <w:t>(2017</w:t>
      </w:r>
      <w:r>
        <w:rPr>
          <w:rFonts w:hint="eastAsia"/>
        </w:rPr>
        <w:t>年：</w:t>
      </w:r>
      <w:r>
        <w:rPr>
          <w:rFonts w:hint="eastAsia"/>
        </w:rPr>
        <w:t>5,646</w:t>
      </w:r>
      <w:r>
        <w:rPr>
          <w:rFonts w:hint="eastAsia"/>
        </w:rPr>
        <w:t>人</w:t>
      </w:r>
      <w:r>
        <w:rPr>
          <w:rFonts w:hint="eastAsia"/>
        </w:rPr>
        <w:t>)</w:t>
      </w:r>
      <w:r>
        <w:rPr>
          <w:rFonts w:hint="eastAsia"/>
        </w:rPr>
        <w:t>。向以学业为由提出申请者发放了</w:t>
      </w:r>
      <w:r>
        <w:rPr>
          <w:rFonts w:hint="eastAsia"/>
        </w:rPr>
        <w:t>5,202</w:t>
      </w:r>
      <w:r>
        <w:rPr>
          <w:rFonts w:hint="eastAsia"/>
        </w:rPr>
        <w:t>份居留证</w:t>
      </w:r>
      <w:r>
        <w:rPr>
          <w:rFonts w:hint="eastAsia"/>
        </w:rPr>
        <w:t>(2017</w:t>
      </w:r>
      <w:r>
        <w:rPr>
          <w:rFonts w:hint="eastAsia"/>
        </w:rPr>
        <w:t>年：</w:t>
      </w:r>
      <w:r>
        <w:rPr>
          <w:rFonts w:hint="eastAsia"/>
        </w:rPr>
        <w:t>5,194</w:t>
      </w:r>
      <w:r>
        <w:rPr>
          <w:rFonts w:hint="eastAsia"/>
        </w:rPr>
        <w:t>份</w:t>
      </w:r>
      <w:r>
        <w:rPr>
          <w:rFonts w:hint="eastAsia"/>
        </w:rPr>
        <w:t>)</w:t>
      </w:r>
      <w:r>
        <w:rPr>
          <w:rFonts w:hint="eastAsia"/>
        </w:rPr>
        <w:t>。</w:t>
      </w:r>
      <w:r>
        <w:rPr>
          <w:rFonts w:hint="eastAsia"/>
        </w:rPr>
        <w:t>2018</w:t>
      </w:r>
      <w:r>
        <w:rPr>
          <w:rFonts w:hint="eastAsia"/>
        </w:rPr>
        <w:t>年以就业为由首次提交居留证申请的数量为</w:t>
      </w:r>
      <w:r>
        <w:rPr>
          <w:rFonts w:hint="eastAsia"/>
        </w:rPr>
        <w:t>10,805</w:t>
      </w:r>
      <w:r>
        <w:rPr>
          <w:rFonts w:hint="eastAsia"/>
        </w:rPr>
        <w:t>份</w:t>
      </w:r>
      <w:r>
        <w:rPr>
          <w:rFonts w:hint="eastAsia"/>
        </w:rPr>
        <w:t>(2017</w:t>
      </w:r>
      <w:r>
        <w:rPr>
          <w:rFonts w:hint="eastAsia"/>
        </w:rPr>
        <w:t>年：</w:t>
      </w:r>
      <w:r>
        <w:rPr>
          <w:rFonts w:hint="eastAsia"/>
        </w:rPr>
        <w:t>8,650</w:t>
      </w:r>
      <w:r>
        <w:rPr>
          <w:rFonts w:hint="eastAsia"/>
        </w:rPr>
        <w:t>份</w:t>
      </w:r>
      <w:r>
        <w:rPr>
          <w:rFonts w:hint="eastAsia"/>
        </w:rPr>
        <w:t>)</w:t>
      </w:r>
      <w:r>
        <w:rPr>
          <w:rFonts w:hint="eastAsia"/>
        </w:rPr>
        <w:t>。向以就业为由提出申请者发放了</w:t>
      </w:r>
      <w:r>
        <w:rPr>
          <w:rFonts w:hint="eastAsia"/>
        </w:rPr>
        <w:t>7,687</w:t>
      </w:r>
      <w:r>
        <w:rPr>
          <w:rFonts w:hint="eastAsia"/>
        </w:rPr>
        <w:t>名份居留证</w:t>
      </w:r>
      <w:r>
        <w:rPr>
          <w:rFonts w:hint="eastAsia"/>
        </w:rPr>
        <w:t>(2017</w:t>
      </w:r>
      <w:r>
        <w:rPr>
          <w:rFonts w:hint="eastAsia"/>
        </w:rPr>
        <w:t>年：</w:t>
      </w:r>
      <w:r>
        <w:rPr>
          <w:rFonts w:hint="eastAsia"/>
        </w:rPr>
        <w:t>6,751</w:t>
      </w:r>
      <w:r>
        <w:rPr>
          <w:rFonts w:hint="eastAsia"/>
        </w:rPr>
        <w:t>份</w:t>
      </w:r>
      <w:r>
        <w:rPr>
          <w:rFonts w:hint="eastAsia"/>
        </w:rPr>
        <w:t>)</w:t>
      </w:r>
      <w:r>
        <w:rPr>
          <w:rFonts w:hint="eastAsia"/>
        </w:rPr>
        <w:t>。另外还向</w:t>
      </w:r>
      <w:r>
        <w:rPr>
          <w:rFonts w:hint="eastAsia"/>
        </w:rPr>
        <w:t>6,916</w:t>
      </w:r>
      <w:r>
        <w:rPr>
          <w:rFonts w:hint="eastAsia"/>
        </w:rPr>
        <w:t>人发放了季节性工作证。芬兰移民局每年向约</w:t>
      </w:r>
      <w:r>
        <w:rPr>
          <w:rFonts w:hint="eastAsia"/>
        </w:rPr>
        <w:t>10,000</w:t>
      </w:r>
      <w:r>
        <w:rPr>
          <w:rFonts w:hint="eastAsia"/>
        </w:rPr>
        <w:t>人授予芬兰公民身份。</w:t>
      </w:r>
    </w:p>
    <w:p w:rsidR="005F3BD7" w:rsidRDefault="005F3BD7" w:rsidP="005F3BD7">
      <w:pPr>
        <w:pStyle w:val="SingleTxtGC"/>
      </w:pPr>
      <w:r>
        <w:rPr>
          <w:rFonts w:hint="eastAsia"/>
        </w:rPr>
        <w:t>39.</w:t>
      </w:r>
      <w:r>
        <w:rPr>
          <w:rFonts w:hint="eastAsia"/>
        </w:rPr>
        <w:tab/>
      </w:r>
      <w:r>
        <w:rPr>
          <w:rFonts w:hint="eastAsia"/>
        </w:rPr>
        <w:t>在移民到芬兰的人中，国际保护受益人只占相当小的比例。</w:t>
      </w:r>
      <w:r>
        <w:rPr>
          <w:rFonts w:hint="eastAsia"/>
        </w:rPr>
        <w:t>2018</w:t>
      </w:r>
      <w:r>
        <w:rPr>
          <w:rFonts w:hint="eastAsia"/>
        </w:rPr>
        <w:t>年，芬兰移民局收到</w:t>
      </w:r>
      <w:r>
        <w:rPr>
          <w:rFonts w:hint="eastAsia"/>
        </w:rPr>
        <w:t>4,548</w:t>
      </w:r>
      <w:r>
        <w:rPr>
          <w:rFonts w:hint="eastAsia"/>
        </w:rPr>
        <w:t>份庇护申请，其中近一半是后续申请。尽管近年来申请人数降至降低水平，但由于</w:t>
      </w:r>
      <w:r>
        <w:rPr>
          <w:rFonts w:hint="eastAsia"/>
        </w:rPr>
        <w:t>2015</w:t>
      </w:r>
      <w:r>
        <w:rPr>
          <w:rFonts w:hint="eastAsia"/>
        </w:rPr>
        <w:t>年申请人数特别多，芬兰庇护系统仍然面临压力。近年来，颁布了立法修正案，以加快庇护程序，申请处理时间也有所缩短。</w:t>
      </w:r>
    </w:p>
    <w:p w:rsidR="005F3BD7" w:rsidRDefault="005F3BD7" w:rsidP="005F3BD7">
      <w:pPr>
        <w:pStyle w:val="SingleTxtGC"/>
      </w:pPr>
      <w:r>
        <w:rPr>
          <w:rFonts w:hint="eastAsia"/>
        </w:rPr>
        <w:t>40.</w:t>
      </w:r>
      <w:r>
        <w:rPr>
          <w:rFonts w:hint="eastAsia"/>
        </w:rPr>
        <w:tab/>
      </w:r>
      <w:r>
        <w:rPr>
          <w:rFonts w:hint="eastAsia"/>
        </w:rPr>
        <w:t>关于驱逐已被发出拒绝入境或遣返决定的人的做法，芬兰继续与主要国家进行双边谈判，以制定遣返制度。修订了《外国人法》</w:t>
      </w:r>
      <w:r>
        <w:rPr>
          <w:rFonts w:hint="eastAsia"/>
        </w:rPr>
        <w:t>(301/2004)</w:t>
      </w:r>
      <w:r>
        <w:rPr>
          <w:rFonts w:hint="eastAsia"/>
        </w:rPr>
        <w:t>，以加快对犯罪或被视为对公共秩序和安全构成威胁者的驱逐。还修订了《公民身份法》</w:t>
      </w:r>
      <w:r>
        <w:rPr>
          <w:rFonts w:hint="eastAsia"/>
        </w:rPr>
        <w:t>(359/2003)</w:t>
      </w:r>
      <w:r>
        <w:rPr>
          <w:rFonts w:hint="eastAsia"/>
        </w:rPr>
        <w:t>，以允许剥夺犯有某些严重罪行的人的芬兰公民身份。</w:t>
      </w:r>
    </w:p>
    <w:p w:rsidR="000B2431" w:rsidRDefault="005F3BD7" w:rsidP="00FF48B3">
      <w:pPr>
        <w:pStyle w:val="SingleTxtGC"/>
      </w:pPr>
      <w:r>
        <w:rPr>
          <w:rFonts w:hint="eastAsia"/>
        </w:rPr>
        <w:t>表</w:t>
      </w:r>
      <w:r>
        <w:rPr>
          <w:rFonts w:hint="eastAsia"/>
        </w:rPr>
        <w:t>2.</w:t>
      </w:r>
      <w:r w:rsidR="00FF48B3">
        <w:br/>
      </w:r>
      <w:r w:rsidRPr="00FF48B3">
        <w:rPr>
          <w:rFonts w:ascii="Time New Roman" w:eastAsia="黑体" w:hAnsi="Time New Roman" w:hint="eastAsia"/>
        </w:rPr>
        <w:t>2017</w:t>
      </w:r>
      <w:r w:rsidR="00FF48B3">
        <w:rPr>
          <w:rFonts w:ascii="Time New Roman" w:eastAsia="黑体" w:hAnsi="Time New Roman" w:hint="eastAsia"/>
        </w:rPr>
        <w:t>-</w:t>
      </w:r>
      <w:r w:rsidRPr="00FF48B3">
        <w:rPr>
          <w:rFonts w:ascii="Time New Roman" w:eastAsia="黑体" w:hAnsi="Time New Roman" w:hint="eastAsia"/>
        </w:rPr>
        <w:t>2018</w:t>
      </w:r>
      <w:r w:rsidRPr="00FF48B3">
        <w:rPr>
          <w:rFonts w:ascii="Time New Roman" w:eastAsia="黑体" w:hAnsi="Time New Roman" w:hint="eastAsia"/>
        </w:rPr>
        <w:t>年外国公民情况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3"/>
        <w:gridCol w:w="724"/>
        <w:gridCol w:w="708"/>
        <w:gridCol w:w="1418"/>
        <w:gridCol w:w="1134"/>
        <w:gridCol w:w="709"/>
        <w:gridCol w:w="1274"/>
      </w:tblGrid>
      <w:tr w:rsidR="00D57AA7" w:rsidRPr="0070507D" w:rsidTr="00A95614">
        <w:trPr>
          <w:tblHeader/>
        </w:trPr>
        <w:tc>
          <w:tcPr>
            <w:tcW w:w="1403"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left"/>
            </w:pPr>
            <w:proofErr w:type="gramStart"/>
            <w:r w:rsidRPr="0070507D">
              <w:rPr>
                <w:rFonts w:hint="eastAsia"/>
              </w:rPr>
              <w:t>国籍国</w:t>
            </w:r>
            <w:proofErr w:type="gramEnd"/>
          </w:p>
        </w:tc>
        <w:tc>
          <w:tcPr>
            <w:tcW w:w="724"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right"/>
              <w:rPr>
                <w:bCs/>
                <w:szCs w:val="24"/>
              </w:rPr>
            </w:pPr>
            <w:r>
              <w:rPr>
                <w:bCs/>
                <w:szCs w:val="24"/>
              </w:rPr>
              <w:t>2</w:t>
            </w:r>
            <w:r w:rsidRPr="0070507D">
              <w:rPr>
                <w:bCs/>
                <w:szCs w:val="24"/>
              </w:rPr>
              <w:t>0</w:t>
            </w:r>
            <w:r>
              <w:rPr>
                <w:bCs/>
                <w:szCs w:val="24"/>
              </w:rPr>
              <w:t>17</w:t>
            </w:r>
            <w:r w:rsidRPr="0070507D">
              <w:rPr>
                <w:rFonts w:hint="eastAsia"/>
                <w:bCs/>
                <w:szCs w:val="24"/>
              </w:rPr>
              <w:t>年</w:t>
            </w:r>
          </w:p>
        </w:tc>
        <w:tc>
          <w:tcPr>
            <w:tcW w:w="708"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right"/>
              <w:rPr>
                <w:bCs/>
                <w:szCs w:val="24"/>
              </w:rPr>
            </w:pPr>
            <w:r w:rsidRPr="0070507D">
              <w:rPr>
                <w:bCs/>
                <w:szCs w:val="24"/>
              </w:rPr>
              <w:t>%</w:t>
            </w:r>
          </w:p>
        </w:tc>
        <w:tc>
          <w:tcPr>
            <w:tcW w:w="1418"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right"/>
              <w:rPr>
                <w:bCs/>
                <w:szCs w:val="24"/>
              </w:rPr>
            </w:pPr>
            <w:r w:rsidRPr="0070507D">
              <w:rPr>
                <w:rFonts w:hint="eastAsia"/>
                <w:bCs/>
                <w:szCs w:val="24"/>
              </w:rPr>
              <w:t>同比变化，</w:t>
            </w:r>
            <w:r w:rsidRPr="0070507D">
              <w:rPr>
                <w:bCs/>
                <w:szCs w:val="24"/>
              </w:rPr>
              <w:t>%</w:t>
            </w:r>
          </w:p>
        </w:tc>
        <w:tc>
          <w:tcPr>
            <w:tcW w:w="1134"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right"/>
              <w:rPr>
                <w:bCs/>
                <w:szCs w:val="24"/>
              </w:rPr>
            </w:pPr>
            <w:r>
              <w:rPr>
                <w:bCs/>
                <w:szCs w:val="24"/>
              </w:rPr>
              <w:t>2</w:t>
            </w:r>
            <w:r w:rsidRPr="0070507D">
              <w:rPr>
                <w:bCs/>
                <w:szCs w:val="24"/>
              </w:rPr>
              <w:t>0</w:t>
            </w:r>
            <w:r>
              <w:rPr>
                <w:bCs/>
                <w:szCs w:val="24"/>
              </w:rPr>
              <w:t>18</w:t>
            </w:r>
            <w:r w:rsidRPr="0070507D">
              <w:rPr>
                <w:rFonts w:hint="eastAsia"/>
                <w:bCs/>
                <w:szCs w:val="24"/>
              </w:rPr>
              <w:t>年</w:t>
            </w:r>
          </w:p>
        </w:tc>
        <w:tc>
          <w:tcPr>
            <w:tcW w:w="709"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right"/>
              <w:rPr>
                <w:bCs/>
                <w:szCs w:val="24"/>
              </w:rPr>
            </w:pPr>
            <w:r w:rsidRPr="0070507D">
              <w:rPr>
                <w:bCs/>
                <w:szCs w:val="24"/>
              </w:rPr>
              <w:t>%</w:t>
            </w:r>
          </w:p>
        </w:tc>
        <w:tc>
          <w:tcPr>
            <w:tcW w:w="1274" w:type="dxa"/>
            <w:tcBorders>
              <w:top w:val="single" w:sz="4" w:space="0" w:color="auto"/>
              <w:bottom w:val="single" w:sz="12" w:space="0" w:color="auto"/>
            </w:tcBorders>
            <w:shd w:val="clear" w:color="auto" w:fill="auto"/>
            <w:noWrap/>
            <w:vAlign w:val="bottom"/>
            <w:hideMark/>
          </w:tcPr>
          <w:p w:rsidR="00D57AA7" w:rsidRPr="0070507D" w:rsidRDefault="00D57AA7" w:rsidP="00FD1D4D">
            <w:pPr>
              <w:pStyle w:val="a4"/>
              <w:ind w:right="0"/>
              <w:jc w:val="right"/>
              <w:rPr>
                <w:bCs/>
                <w:szCs w:val="24"/>
              </w:rPr>
            </w:pPr>
            <w:r w:rsidRPr="0070507D">
              <w:rPr>
                <w:rFonts w:hint="eastAsia"/>
                <w:bCs/>
                <w:szCs w:val="24"/>
              </w:rPr>
              <w:t>同比变化，</w:t>
            </w:r>
            <w:r w:rsidRPr="0070507D">
              <w:rPr>
                <w:bCs/>
                <w:szCs w:val="24"/>
              </w:rPr>
              <w:t>%</w:t>
            </w:r>
          </w:p>
        </w:tc>
      </w:tr>
      <w:tr w:rsidR="00A95614" w:rsidRPr="0070507D" w:rsidTr="00A95614">
        <w:trPr>
          <w:trHeight w:hRule="exact" w:val="113"/>
          <w:tblHeader/>
        </w:trPr>
        <w:tc>
          <w:tcPr>
            <w:tcW w:w="1403" w:type="dxa"/>
            <w:tcBorders>
              <w:top w:val="single" w:sz="12" w:space="0" w:color="auto"/>
            </w:tcBorders>
            <w:shd w:val="clear" w:color="auto" w:fill="auto"/>
            <w:noWrap/>
            <w:vAlign w:val="bottom"/>
          </w:tcPr>
          <w:p w:rsidR="00D57AA7" w:rsidRPr="0070507D" w:rsidRDefault="00D57AA7" w:rsidP="00FD1D4D">
            <w:pPr>
              <w:pStyle w:val="a3"/>
              <w:overflowPunct/>
              <w:ind w:right="0"/>
              <w:jc w:val="left"/>
              <w:rPr>
                <w:i/>
                <w:sz w:val="16"/>
              </w:rPr>
            </w:pPr>
          </w:p>
        </w:tc>
        <w:tc>
          <w:tcPr>
            <w:tcW w:w="724" w:type="dxa"/>
            <w:tcBorders>
              <w:top w:val="single" w:sz="12" w:space="0" w:color="auto"/>
            </w:tcBorders>
            <w:shd w:val="clear" w:color="auto" w:fill="auto"/>
            <w:noWrap/>
            <w:vAlign w:val="bottom"/>
          </w:tcPr>
          <w:p w:rsidR="00D57AA7" w:rsidRPr="0070507D" w:rsidRDefault="00D57AA7" w:rsidP="00FD1D4D">
            <w:pPr>
              <w:pStyle w:val="a3"/>
              <w:overflowPunct/>
              <w:ind w:right="0"/>
              <w:jc w:val="right"/>
              <w:rPr>
                <w:bCs/>
                <w:i/>
                <w:sz w:val="16"/>
                <w:szCs w:val="24"/>
              </w:rPr>
            </w:pPr>
          </w:p>
        </w:tc>
        <w:tc>
          <w:tcPr>
            <w:tcW w:w="708" w:type="dxa"/>
            <w:tcBorders>
              <w:top w:val="single" w:sz="12" w:space="0" w:color="auto"/>
            </w:tcBorders>
            <w:shd w:val="clear" w:color="auto" w:fill="auto"/>
            <w:noWrap/>
            <w:vAlign w:val="bottom"/>
          </w:tcPr>
          <w:p w:rsidR="00D57AA7" w:rsidRPr="0070507D" w:rsidRDefault="00D57AA7" w:rsidP="00FD1D4D">
            <w:pPr>
              <w:pStyle w:val="a3"/>
              <w:overflowPunct/>
              <w:ind w:right="0"/>
              <w:jc w:val="right"/>
              <w:rPr>
                <w:bCs/>
                <w:i/>
                <w:sz w:val="16"/>
                <w:szCs w:val="24"/>
              </w:rPr>
            </w:pPr>
          </w:p>
        </w:tc>
        <w:tc>
          <w:tcPr>
            <w:tcW w:w="1418" w:type="dxa"/>
            <w:tcBorders>
              <w:top w:val="single" w:sz="12" w:space="0" w:color="auto"/>
            </w:tcBorders>
            <w:shd w:val="clear" w:color="auto" w:fill="auto"/>
            <w:noWrap/>
            <w:vAlign w:val="bottom"/>
          </w:tcPr>
          <w:p w:rsidR="00D57AA7" w:rsidRPr="0070507D" w:rsidRDefault="00D57AA7" w:rsidP="00FD1D4D">
            <w:pPr>
              <w:pStyle w:val="a3"/>
              <w:overflowPunct/>
              <w:ind w:right="0"/>
              <w:jc w:val="right"/>
              <w:rPr>
                <w:bCs/>
                <w:i/>
                <w:sz w:val="16"/>
                <w:szCs w:val="24"/>
              </w:rPr>
            </w:pPr>
          </w:p>
        </w:tc>
        <w:tc>
          <w:tcPr>
            <w:tcW w:w="1134" w:type="dxa"/>
            <w:tcBorders>
              <w:top w:val="single" w:sz="12" w:space="0" w:color="auto"/>
            </w:tcBorders>
            <w:shd w:val="clear" w:color="auto" w:fill="auto"/>
            <w:noWrap/>
            <w:vAlign w:val="bottom"/>
          </w:tcPr>
          <w:p w:rsidR="00D57AA7" w:rsidRPr="0070507D" w:rsidRDefault="00D57AA7" w:rsidP="00FD1D4D">
            <w:pPr>
              <w:pStyle w:val="a3"/>
              <w:overflowPunct/>
              <w:ind w:right="0"/>
              <w:jc w:val="right"/>
              <w:rPr>
                <w:bCs/>
                <w:i/>
                <w:sz w:val="16"/>
                <w:szCs w:val="24"/>
              </w:rPr>
            </w:pPr>
          </w:p>
        </w:tc>
        <w:tc>
          <w:tcPr>
            <w:tcW w:w="709" w:type="dxa"/>
            <w:tcBorders>
              <w:top w:val="single" w:sz="12" w:space="0" w:color="auto"/>
            </w:tcBorders>
            <w:shd w:val="clear" w:color="auto" w:fill="auto"/>
            <w:noWrap/>
            <w:vAlign w:val="bottom"/>
          </w:tcPr>
          <w:p w:rsidR="00D57AA7" w:rsidRPr="0070507D" w:rsidRDefault="00D57AA7" w:rsidP="00FD1D4D">
            <w:pPr>
              <w:pStyle w:val="a3"/>
              <w:overflowPunct/>
              <w:ind w:right="0"/>
              <w:jc w:val="right"/>
              <w:rPr>
                <w:bCs/>
                <w:i/>
                <w:sz w:val="16"/>
                <w:szCs w:val="24"/>
              </w:rPr>
            </w:pPr>
          </w:p>
        </w:tc>
        <w:tc>
          <w:tcPr>
            <w:tcW w:w="1274" w:type="dxa"/>
            <w:tcBorders>
              <w:top w:val="single" w:sz="12" w:space="0" w:color="auto"/>
            </w:tcBorders>
            <w:shd w:val="clear" w:color="auto" w:fill="auto"/>
            <w:noWrap/>
            <w:vAlign w:val="bottom"/>
          </w:tcPr>
          <w:p w:rsidR="00D57AA7" w:rsidRPr="0070507D" w:rsidRDefault="00D57AA7" w:rsidP="00FD1D4D">
            <w:pPr>
              <w:pStyle w:val="a3"/>
              <w:overflowPunct/>
              <w:ind w:right="0"/>
              <w:jc w:val="right"/>
              <w:rPr>
                <w:bCs/>
                <w:i/>
                <w:sz w:val="16"/>
                <w:szCs w:val="24"/>
              </w:rPr>
            </w:pP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rPr>
            </w:pPr>
            <w:r w:rsidRPr="0070507D">
              <w:rPr>
                <w:bCs/>
              </w:rPr>
              <w:t>爱沙尼亚</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51</w:t>
            </w:r>
            <w:r w:rsidRPr="0070507D">
              <w:rPr>
                <w:szCs w:val="24"/>
              </w:rPr>
              <w:t xml:space="preserve"> </w:t>
            </w:r>
            <w:r>
              <w:rPr>
                <w:szCs w:val="24"/>
              </w:rPr>
              <w:t>539</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0.</w:t>
            </w:r>
            <w:r>
              <w:rPr>
                <w:szCs w:val="24"/>
              </w:rPr>
              <w:t>7</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0.</w:t>
            </w:r>
            <w:r>
              <w:rPr>
                <w:szCs w:val="24"/>
              </w:rPr>
              <w:t>1</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51</w:t>
            </w:r>
            <w:r w:rsidRPr="0070507D">
              <w:rPr>
                <w:szCs w:val="24"/>
              </w:rPr>
              <w:t xml:space="preserve"> </w:t>
            </w:r>
            <w:r>
              <w:rPr>
                <w:szCs w:val="24"/>
              </w:rPr>
              <w:t>456</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0.0</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-0.</w:t>
            </w:r>
            <w:r>
              <w:rPr>
                <w:szCs w:val="24"/>
              </w:rPr>
              <w:t>2</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rFonts w:hint="eastAsia"/>
                <w:bCs/>
                <w:szCs w:val="24"/>
              </w:rPr>
              <w:t>俄罗斯</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29</w:t>
            </w:r>
            <w:r w:rsidRPr="0070507D">
              <w:rPr>
                <w:szCs w:val="24"/>
              </w:rPr>
              <w:t xml:space="preserve"> </w:t>
            </w:r>
            <w:r>
              <w:rPr>
                <w:szCs w:val="24"/>
              </w:rPr>
              <w:t>183</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11</w:t>
            </w:r>
            <w:r w:rsidRPr="0070507D">
              <w:rPr>
                <w:szCs w:val="24"/>
              </w:rPr>
              <w:t>.</w:t>
            </w:r>
            <w:r>
              <w:rPr>
                <w:szCs w:val="24"/>
              </w:rPr>
              <w:t>7</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w:t>
            </w:r>
            <w:r>
              <w:rPr>
                <w:szCs w:val="24"/>
              </w:rPr>
              <w:t>5</w:t>
            </w:r>
            <w:r w:rsidRPr="0070507D">
              <w:rPr>
                <w:szCs w:val="24"/>
              </w:rPr>
              <w:t>.</w:t>
            </w:r>
            <w:r>
              <w:rPr>
                <w:szCs w:val="24"/>
              </w:rPr>
              <w:t>8</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28</w:t>
            </w:r>
            <w:r w:rsidRPr="0070507D">
              <w:rPr>
                <w:szCs w:val="24"/>
              </w:rPr>
              <w:t xml:space="preserve"> </w:t>
            </w:r>
            <w:r>
              <w:rPr>
                <w:szCs w:val="24"/>
              </w:rPr>
              <w:t>747</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11</w:t>
            </w:r>
            <w:r w:rsidRPr="0070507D">
              <w:rPr>
                <w:szCs w:val="24"/>
              </w:rPr>
              <w:t>.</w:t>
            </w:r>
            <w:r>
              <w:rPr>
                <w:szCs w:val="24"/>
              </w:rPr>
              <w:t>2</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w:t>
            </w:r>
            <w:r>
              <w:rPr>
                <w:szCs w:val="24"/>
              </w:rPr>
              <w:t>1</w:t>
            </w:r>
            <w:r w:rsidRPr="0070507D">
              <w:rPr>
                <w:szCs w:val="24"/>
              </w:rPr>
              <w:t>.</w:t>
            </w:r>
            <w:r>
              <w:rPr>
                <w:szCs w:val="24"/>
              </w:rPr>
              <w:t>5</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伊拉克</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11</w:t>
            </w:r>
            <w:r w:rsidRPr="0070507D">
              <w:rPr>
                <w:szCs w:val="24"/>
              </w:rPr>
              <w:t xml:space="preserve"> </w:t>
            </w:r>
            <w:r>
              <w:rPr>
                <w:szCs w:val="24"/>
              </w:rPr>
              <w:t>729</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w:t>
            </w:r>
            <w:r>
              <w:rPr>
                <w:szCs w:val="24"/>
              </w:rPr>
              <w:t>7</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19</w:t>
            </w:r>
            <w:r w:rsidRPr="0070507D">
              <w:rPr>
                <w:szCs w:val="24"/>
              </w:rPr>
              <w:t>.</w:t>
            </w:r>
            <w:r>
              <w:rPr>
                <w:szCs w:val="24"/>
              </w:rPr>
              <w:t>5</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13</w:t>
            </w:r>
            <w:r w:rsidRPr="0070507D">
              <w:rPr>
                <w:szCs w:val="24"/>
              </w:rPr>
              <w:t xml:space="preserve"> 0</w:t>
            </w:r>
            <w:r>
              <w:rPr>
                <w:szCs w:val="24"/>
              </w:rPr>
              <w:t>78</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w:t>
            </w:r>
            <w:r>
              <w:rPr>
                <w:szCs w:val="24"/>
              </w:rPr>
              <w:t>1</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11</w:t>
            </w:r>
            <w:r w:rsidRPr="0070507D">
              <w:rPr>
                <w:szCs w:val="24"/>
              </w:rPr>
              <w:t>.</w:t>
            </w:r>
            <w:r>
              <w:rPr>
                <w:szCs w:val="24"/>
              </w:rPr>
              <w:t>5</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中国</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8</w:t>
            </w:r>
            <w:r w:rsidRPr="0070507D">
              <w:rPr>
                <w:szCs w:val="24"/>
              </w:rPr>
              <w:t xml:space="preserve"> </w:t>
            </w:r>
            <w:r>
              <w:rPr>
                <w:szCs w:val="24"/>
              </w:rPr>
              <w:t>742</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w:t>
            </w:r>
            <w:r>
              <w:rPr>
                <w:szCs w:val="24"/>
              </w:rPr>
              <w:t>5</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w:t>
            </w:r>
            <w:r>
              <w:rPr>
                <w:szCs w:val="24"/>
              </w:rPr>
              <w:t>1</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9</w:t>
            </w:r>
            <w:r w:rsidRPr="0070507D">
              <w:rPr>
                <w:szCs w:val="24"/>
              </w:rPr>
              <w:t xml:space="preserve"> </w:t>
            </w:r>
            <w:r>
              <w:rPr>
                <w:szCs w:val="24"/>
              </w:rPr>
              <w:t>23</w:t>
            </w:r>
            <w:r w:rsidRPr="0070507D">
              <w:rPr>
                <w:szCs w:val="24"/>
              </w:rPr>
              <w:t>0</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w:t>
            </w:r>
            <w:r>
              <w:rPr>
                <w:szCs w:val="24"/>
              </w:rPr>
              <w:t>6</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w:t>
            </w:r>
            <w:r>
              <w:rPr>
                <w:szCs w:val="24"/>
              </w:rPr>
              <w:t>6</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瑞典</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8</w:t>
            </w:r>
            <w:r w:rsidRPr="0070507D">
              <w:rPr>
                <w:szCs w:val="24"/>
              </w:rPr>
              <w:t xml:space="preserve"> 0</w:t>
            </w:r>
            <w:r>
              <w:rPr>
                <w:szCs w:val="24"/>
              </w:rPr>
              <w:t>18</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w:t>
            </w:r>
            <w:r>
              <w:rPr>
                <w:szCs w:val="24"/>
              </w:rPr>
              <w:t>2</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-0.</w:t>
            </w:r>
            <w:r>
              <w:rPr>
                <w:szCs w:val="24"/>
              </w:rPr>
              <w:t>3</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7</w:t>
            </w:r>
            <w:r w:rsidRPr="0070507D">
              <w:rPr>
                <w:szCs w:val="24"/>
              </w:rPr>
              <w:t xml:space="preserve"> </w:t>
            </w:r>
            <w:r>
              <w:rPr>
                <w:szCs w:val="24"/>
              </w:rPr>
              <w:t>996</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w:t>
            </w:r>
            <w:r>
              <w:rPr>
                <w:szCs w:val="24"/>
              </w:rPr>
              <w:t>1</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-0.</w:t>
            </w:r>
            <w:r>
              <w:rPr>
                <w:szCs w:val="24"/>
              </w:rPr>
              <w:t>3</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泰国</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7</w:t>
            </w:r>
            <w:r w:rsidRPr="0070507D">
              <w:rPr>
                <w:szCs w:val="24"/>
              </w:rPr>
              <w:t xml:space="preserve"> </w:t>
            </w:r>
            <w:r>
              <w:rPr>
                <w:szCs w:val="24"/>
              </w:rPr>
              <w:t>533</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.0</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0.</w:t>
            </w:r>
            <w:r>
              <w:rPr>
                <w:szCs w:val="24"/>
              </w:rPr>
              <w:t>6</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7</w:t>
            </w:r>
            <w:r w:rsidRPr="0070507D">
              <w:rPr>
                <w:szCs w:val="24"/>
              </w:rPr>
              <w:t xml:space="preserve"> </w:t>
            </w:r>
            <w:r>
              <w:rPr>
                <w:szCs w:val="24"/>
              </w:rPr>
              <w:t>632</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.0</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3</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索马里</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6</w:t>
            </w:r>
            <w:r w:rsidRPr="0070507D">
              <w:rPr>
                <w:szCs w:val="24"/>
              </w:rPr>
              <w:t xml:space="preserve"> </w:t>
            </w:r>
            <w:r>
              <w:rPr>
                <w:szCs w:val="24"/>
              </w:rPr>
              <w:t>677</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7</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w:t>
            </w:r>
            <w:r>
              <w:rPr>
                <w:szCs w:val="24"/>
              </w:rPr>
              <w:t>4</w:t>
            </w:r>
            <w:r w:rsidRPr="0070507D">
              <w:rPr>
                <w:szCs w:val="24"/>
              </w:rPr>
              <w:t>.</w:t>
            </w:r>
            <w:r>
              <w:rPr>
                <w:szCs w:val="24"/>
              </w:rPr>
              <w:t>9</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6</w:t>
            </w:r>
            <w:r w:rsidRPr="0070507D">
              <w:rPr>
                <w:szCs w:val="24"/>
              </w:rPr>
              <w:t xml:space="preserve"> </w:t>
            </w:r>
            <w:r>
              <w:rPr>
                <w:szCs w:val="24"/>
              </w:rPr>
              <w:t>448</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5</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w:t>
            </w:r>
            <w:r>
              <w:rPr>
                <w:szCs w:val="24"/>
              </w:rPr>
              <w:t>3</w:t>
            </w:r>
            <w:r w:rsidRPr="0070507D">
              <w:rPr>
                <w:szCs w:val="24"/>
              </w:rPr>
              <w:t>.</w:t>
            </w:r>
            <w:r>
              <w:rPr>
                <w:szCs w:val="24"/>
              </w:rPr>
              <w:t>4</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阿富汗</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 xml:space="preserve"> </w:t>
            </w:r>
            <w:r>
              <w:rPr>
                <w:szCs w:val="24"/>
              </w:rPr>
              <w:t>792</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3</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9</w:t>
            </w:r>
            <w:r w:rsidRPr="0070507D">
              <w:rPr>
                <w:szCs w:val="24"/>
              </w:rPr>
              <w:t>.</w:t>
            </w:r>
            <w:r>
              <w:rPr>
                <w:szCs w:val="24"/>
              </w:rPr>
              <w:t>4</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6</w:t>
            </w:r>
            <w:r w:rsidRPr="0070507D">
              <w:rPr>
                <w:szCs w:val="24"/>
              </w:rPr>
              <w:t xml:space="preserve"> </w:t>
            </w:r>
            <w:r>
              <w:rPr>
                <w:szCs w:val="24"/>
              </w:rPr>
              <w:t>198</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4</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7</w:t>
            </w:r>
            <w:r w:rsidRPr="0070507D">
              <w:rPr>
                <w:szCs w:val="24"/>
              </w:rPr>
              <w:t>.0</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rFonts w:hint="eastAsia"/>
                <w:bCs/>
                <w:szCs w:val="24"/>
              </w:rPr>
              <w:t>叙利亚</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 xml:space="preserve"> </w:t>
            </w:r>
            <w:r>
              <w:rPr>
                <w:szCs w:val="24"/>
              </w:rPr>
              <w:t>29</w:t>
            </w:r>
            <w:r w:rsidRPr="0070507D">
              <w:rPr>
                <w:szCs w:val="24"/>
              </w:rPr>
              <w:t>0</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1</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57</w:t>
            </w:r>
            <w:r w:rsidRPr="0070507D">
              <w:rPr>
                <w:szCs w:val="24"/>
              </w:rPr>
              <w:t>.</w:t>
            </w:r>
            <w:r>
              <w:rPr>
                <w:szCs w:val="24"/>
              </w:rPr>
              <w:t>7</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6</w:t>
            </w:r>
            <w:r w:rsidRPr="0070507D">
              <w:rPr>
                <w:szCs w:val="24"/>
              </w:rPr>
              <w:t xml:space="preserve"> 0</w:t>
            </w:r>
            <w:r>
              <w:rPr>
                <w:szCs w:val="24"/>
              </w:rPr>
              <w:t>16</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3</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13</w:t>
            </w:r>
            <w:r w:rsidRPr="0070507D">
              <w:rPr>
                <w:szCs w:val="24"/>
              </w:rPr>
              <w:t>.</w:t>
            </w:r>
            <w:r>
              <w:rPr>
                <w:szCs w:val="24"/>
              </w:rPr>
              <w:t>7</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越南</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 xml:space="preserve"> </w:t>
            </w:r>
            <w:r>
              <w:rPr>
                <w:szCs w:val="24"/>
              </w:rPr>
              <w:t>6</w:t>
            </w:r>
            <w:r w:rsidRPr="0070507D">
              <w:rPr>
                <w:szCs w:val="24"/>
              </w:rPr>
              <w:t>0</w:t>
            </w:r>
            <w:r>
              <w:rPr>
                <w:szCs w:val="24"/>
              </w:rPr>
              <w:t>3</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2</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6</w:t>
            </w:r>
            <w:r w:rsidRPr="0070507D">
              <w:rPr>
                <w:szCs w:val="24"/>
              </w:rPr>
              <w:t>.</w:t>
            </w:r>
            <w:r>
              <w:rPr>
                <w:szCs w:val="24"/>
              </w:rPr>
              <w:t>7</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 xml:space="preserve"> </w:t>
            </w:r>
            <w:r>
              <w:rPr>
                <w:szCs w:val="24"/>
              </w:rPr>
              <w:t>941</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3</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6</w:t>
            </w:r>
            <w:r w:rsidRPr="0070507D">
              <w:rPr>
                <w:szCs w:val="24"/>
              </w:rPr>
              <w:t>.0</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印度</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 xml:space="preserve"> </w:t>
            </w:r>
            <w:r>
              <w:rPr>
                <w:szCs w:val="24"/>
              </w:rPr>
              <w:t>159</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1</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9</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5</w:t>
            </w:r>
            <w:r w:rsidRPr="0070507D">
              <w:rPr>
                <w:szCs w:val="24"/>
              </w:rPr>
              <w:t xml:space="preserve"> </w:t>
            </w:r>
            <w:r>
              <w:rPr>
                <w:szCs w:val="24"/>
              </w:rPr>
              <w:t>73</w:t>
            </w:r>
            <w:r w:rsidRPr="0070507D">
              <w:rPr>
                <w:szCs w:val="24"/>
              </w:rPr>
              <w:t>0</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2</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11</w:t>
            </w:r>
            <w:r w:rsidRPr="0070507D">
              <w:rPr>
                <w:szCs w:val="24"/>
              </w:rPr>
              <w:t>.</w:t>
            </w:r>
            <w:r>
              <w:rPr>
                <w:szCs w:val="24"/>
              </w:rPr>
              <w:t>1</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土耳其</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66</w:t>
            </w:r>
            <w:r w:rsidRPr="0070507D">
              <w:rPr>
                <w:szCs w:val="24"/>
              </w:rPr>
              <w:t>0</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9</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0.</w:t>
            </w:r>
            <w:r>
              <w:rPr>
                <w:szCs w:val="24"/>
              </w:rPr>
              <w:t>1</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794</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9</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9</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rFonts w:hint="eastAsia"/>
                <w:bCs/>
                <w:szCs w:val="24"/>
              </w:rPr>
              <w:t>联合王国</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518</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8</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w:t>
            </w:r>
            <w:r>
              <w:rPr>
                <w:szCs w:val="24"/>
              </w:rPr>
              <w:t>1</w:t>
            </w:r>
            <w:r w:rsidRPr="0070507D">
              <w:rPr>
                <w:szCs w:val="24"/>
              </w:rPr>
              <w:t>.0</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619</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8</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2</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乌克兰</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0</w:t>
            </w:r>
            <w:r>
              <w:rPr>
                <w:szCs w:val="24"/>
              </w:rPr>
              <w:t>33</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6</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7</w:t>
            </w:r>
            <w:r w:rsidRPr="0070507D">
              <w:rPr>
                <w:szCs w:val="24"/>
              </w:rPr>
              <w:t>.</w:t>
            </w:r>
            <w:r>
              <w:rPr>
                <w:szCs w:val="24"/>
              </w:rPr>
              <w:t>2</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593</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8</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13</w:t>
            </w:r>
            <w:r w:rsidRPr="0070507D">
              <w:rPr>
                <w:szCs w:val="24"/>
              </w:rPr>
              <w:t>.</w:t>
            </w:r>
            <w:r>
              <w:rPr>
                <w:szCs w:val="24"/>
              </w:rPr>
              <w:t>9</w:t>
            </w:r>
          </w:p>
        </w:tc>
      </w:tr>
      <w:tr w:rsidR="00A95614" w:rsidRPr="0070507D" w:rsidTr="00A95614">
        <w:tc>
          <w:tcPr>
            <w:tcW w:w="1403" w:type="dxa"/>
            <w:shd w:val="clear" w:color="auto" w:fill="auto"/>
            <w:noWrap/>
            <w:hideMark/>
          </w:tcPr>
          <w:p w:rsidR="00D57AA7" w:rsidRPr="0070507D" w:rsidRDefault="00D57AA7" w:rsidP="00FD1D4D">
            <w:pPr>
              <w:pStyle w:val="a3"/>
              <w:overflowPunct/>
              <w:ind w:right="0"/>
              <w:jc w:val="left"/>
              <w:rPr>
                <w:bCs/>
                <w:szCs w:val="24"/>
              </w:rPr>
            </w:pPr>
            <w:r w:rsidRPr="0070507D">
              <w:rPr>
                <w:bCs/>
                <w:szCs w:val="24"/>
              </w:rPr>
              <w:t>波兰</w:t>
            </w:r>
          </w:p>
        </w:tc>
        <w:tc>
          <w:tcPr>
            <w:tcW w:w="72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284</w:t>
            </w:r>
          </w:p>
        </w:tc>
        <w:tc>
          <w:tcPr>
            <w:tcW w:w="70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7</w:t>
            </w:r>
          </w:p>
        </w:tc>
        <w:tc>
          <w:tcPr>
            <w:tcW w:w="1418"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2</w:t>
            </w:r>
          </w:p>
        </w:tc>
        <w:tc>
          <w:tcPr>
            <w:tcW w:w="113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41</w:t>
            </w:r>
            <w:r w:rsidRPr="0070507D">
              <w:rPr>
                <w:szCs w:val="24"/>
              </w:rPr>
              <w:t>0</w:t>
            </w:r>
          </w:p>
        </w:tc>
        <w:tc>
          <w:tcPr>
            <w:tcW w:w="709" w:type="dxa"/>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7</w:t>
            </w:r>
          </w:p>
        </w:tc>
        <w:tc>
          <w:tcPr>
            <w:tcW w:w="1274" w:type="dxa"/>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9</w:t>
            </w:r>
          </w:p>
        </w:tc>
      </w:tr>
      <w:tr w:rsidR="00A95614" w:rsidRPr="0070507D" w:rsidTr="00A95614">
        <w:tc>
          <w:tcPr>
            <w:tcW w:w="1403" w:type="dxa"/>
            <w:tcBorders>
              <w:bottom w:val="nil"/>
            </w:tcBorders>
            <w:shd w:val="clear" w:color="auto" w:fill="auto"/>
            <w:noWrap/>
            <w:hideMark/>
          </w:tcPr>
          <w:p w:rsidR="00D57AA7" w:rsidRPr="0070507D" w:rsidRDefault="00D57AA7" w:rsidP="00FD1D4D">
            <w:pPr>
              <w:pStyle w:val="a3"/>
              <w:overflowPunct/>
              <w:ind w:right="0"/>
              <w:jc w:val="left"/>
              <w:rPr>
                <w:bCs/>
                <w:szCs w:val="24"/>
              </w:rPr>
            </w:pPr>
            <w:r w:rsidRPr="0070507D">
              <w:rPr>
                <w:bCs/>
                <w:szCs w:val="24"/>
              </w:rPr>
              <w:t>德国</w:t>
            </w:r>
          </w:p>
        </w:tc>
        <w:tc>
          <w:tcPr>
            <w:tcW w:w="724" w:type="dxa"/>
            <w:tcBorders>
              <w:bottom w:val="nil"/>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0</w:t>
            </w:r>
            <w:r>
              <w:rPr>
                <w:szCs w:val="24"/>
              </w:rPr>
              <w:t>14</w:t>
            </w:r>
          </w:p>
        </w:tc>
        <w:tc>
          <w:tcPr>
            <w:tcW w:w="708" w:type="dxa"/>
            <w:tcBorders>
              <w:bottom w:val="nil"/>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6</w:t>
            </w:r>
          </w:p>
        </w:tc>
        <w:tc>
          <w:tcPr>
            <w:tcW w:w="1418" w:type="dxa"/>
            <w:tcBorders>
              <w:bottom w:val="nil"/>
            </w:tcBorders>
            <w:shd w:val="clear" w:color="auto" w:fill="auto"/>
            <w:noWrap/>
            <w:vAlign w:val="bottom"/>
            <w:hideMark/>
          </w:tcPr>
          <w:p w:rsidR="00D57AA7" w:rsidRPr="0070507D" w:rsidRDefault="00D57AA7" w:rsidP="00FD1D4D">
            <w:pPr>
              <w:pStyle w:val="a3"/>
              <w:overflowPunct/>
              <w:ind w:right="0"/>
              <w:jc w:val="right"/>
              <w:rPr>
                <w:szCs w:val="24"/>
              </w:rPr>
            </w:pPr>
            <w:r w:rsidRPr="0070507D">
              <w:rPr>
                <w:szCs w:val="24"/>
              </w:rPr>
              <w:t>-</w:t>
            </w:r>
            <w:r>
              <w:rPr>
                <w:szCs w:val="24"/>
              </w:rPr>
              <w:t>3</w:t>
            </w:r>
            <w:r w:rsidRPr="0070507D">
              <w:rPr>
                <w:szCs w:val="24"/>
              </w:rPr>
              <w:t>.</w:t>
            </w:r>
            <w:r>
              <w:rPr>
                <w:szCs w:val="24"/>
              </w:rPr>
              <w:t>3</w:t>
            </w:r>
          </w:p>
        </w:tc>
        <w:tc>
          <w:tcPr>
            <w:tcW w:w="1134" w:type="dxa"/>
            <w:tcBorders>
              <w:bottom w:val="nil"/>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 xml:space="preserve"> </w:t>
            </w:r>
            <w:r>
              <w:rPr>
                <w:szCs w:val="24"/>
              </w:rPr>
              <w:t>1</w:t>
            </w:r>
            <w:r w:rsidRPr="0070507D">
              <w:rPr>
                <w:szCs w:val="24"/>
              </w:rPr>
              <w:t>0</w:t>
            </w:r>
            <w:r>
              <w:rPr>
                <w:szCs w:val="24"/>
              </w:rPr>
              <w:t>2</w:t>
            </w:r>
          </w:p>
        </w:tc>
        <w:tc>
          <w:tcPr>
            <w:tcW w:w="709" w:type="dxa"/>
            <w:tcBorders>
              <w:bottom w:val="nil"/>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1</w:t>
            </w:r>
            <w:r w:rsidRPr="0070507D">
              <w:rPr>
                <w:szCs w:val="24"/>
              </w:rPr>
              <w:t>.</w:t>
            </w:r>
            <w:r>
              <w:rPr>
                <w:szCs w:val="24"/>
              </w:rPr>
              <w:t>6</w:t>
            </w:r>
          </w:p>
        </w:tc>
        <w:tc>
          <w:tcPr>
            <w:tcW w:w="1274" w:type="dxa"/>
            <w:tcBorders>
              <w:bottom w:val="nil"/>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2</w:t>
            </w:r>
            <w:r w:rsidRPr="0070507D">
              <w:rPr>
                <w:szCs w:val="24"/>
              </w:rPr>
              <w:t>.</w:t>
            </w:r>
            <w:r>
              <w:rPr>
                <w:szCs w:val="24"/>
              </w:rPr>
              <w:t>2</w:t>
            </w:r>
          </w:p>
        </w:tc>
      </w:tr>
      <w:tr w:rsidR="00D57AA7" w:rsidRPr="0070507D" w:rsidTr="00A95614">
        <w:tc>
          <w:tcPr>
            <w:tcW w:w="1403" w:type="dxa"/>
            <w:tcBorders>
              <w:top w:val="nil"/>
              <w:bottom w:val="single" w:sz="4" w:space="0" w:color="auto"/>
            </w:tcBorders>
            <w:shd w:val="clear" w:color="auto" w:fill="auto"/>
            <w:noWrap/>
            <w:hideMark/>
          </w:tcPr>
          <w:p w:rsidR="00D57AA7" w:rsidRPr="0070507D" w:rsidRDefault="00D57AA7" w:rsidP="00FD1D4D">
            <w:pPr>
              <w:pStyle w:val="a3"/>
              <w:overflowPunct/>
              <w:ind w:right="0"/>
              <w:jc w:val="left"/>
              <w:rPr>
                <w:bCs/>
                <w:szCs w:val="24"/>
              </w:rPr>
            </w:pPr>
            <w:r w:rsidRPr="0070507D">
              <w:rPr>
                <w:rFonts w:hint="eastAsia"/>
                <w:bCs/>
                <w:szCs w:val="24"/>
              </w:rPr>
              <w:t>其他</w:t>
            </w:r>
          </w:p>
        </w:tc>
        <w:tc>
          <w:tcPr>
            <w:tcW w:w="724" w:type="dxa"/>
            <w:tcBorders>
              <w:top w:val="nil"/>
              <w:bottom w:val="single" w:sz="4" w:space="0" w:color="auto"/>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82</w:t>
            </w:r>
            <w:r w:rsidRPr="0070507D">
              <w:rPr>
                <w:szCs w:val="24"/>
              </w:rPr>
              <w:t xml:space="preserve"> </w:t>
            </w:r>
            <w:r>
              <w:rPr>
                <w:szCs w:val="24"/>
              </w:rPr>
              <w:t>678</w:t>
            </w:r>
          </w:p>
        </w:tc>
        <w:tc>
          <w:tcPr>
            <w:tcW w:w="708" w:type="dxa"/>
            <w:tcBorders>
              <w:top w:val="nil"/>
              <w:bottom w:val="single" w:sz="4" w:space="0" w:color="auto"/>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33</w:t>
            </w:r>
            <w:r w:rsidRPr="0070507D">
              <w:rPr>
                <w:szCs w:val="24"/>
              </w:rPr>
              <w:t>.</w:t>
            </w:r>
            <w:r>
              <w:rPr>
                <w:szCs w:val="24"/>
              </w:rPr>
              <w:t>1</w:t>
            </w:r>
          </w:p>
        </w:tc>
        <w:tc>
          <w:tcPr>
            <w:tcW w:w="1418" w:type="dxa"/>
            <w:tcBorders>
              <w:top w:val="nil"/>
              <w:bottom w:val="single" w:sz="4" w:space="0" w:color="auto"/>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3</w:t>
            </w:r>
            <w:r w:rsidRPr="0070507D">
              <w:rPr>
                <w:szCs w:val="24"/>
              </w:rPr>
              <w:t>.</w:t>
            </w:r>
            <w:r>
              <w:rPr>
                <w:szCs w:val="24"/>
              </w:rPr>
              <w:t>2</w:t>
            </w:r>
          </w:p>
        </w:tc>
        <w:tc>
          <w:tcPr>
            <w:tcW w:w="1134" w:type="dxa"/>
            <w:tcBorders>
              <w:top w:val="nil"/>
              <w:bottom w:val="single" w:sz="4" w:space="0" w:color="auto"/>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86</w:t>
            </w:r>
            <w:r w:rsidRPr="0070507D">
              <w:rPr>
                <w:szCs w:val="24"/>
              </w:rPr>
              <w:t xml:space="preserve"> </w:t>
            </w:r>
            <w:r>
              <w:rPr>
                <w:szCs w:val="24"/>
              </w:rPr>
              <w:t>582</w:t>
            </w:r>
          </w:p>
        </w:tc>
        <w:tc>
          <w:tcPr>
            <w:tcW w:w="709" w:type="dxa"/>
            <w:tcBorders>
              <w:top w:val="nil"/>
              <w:bottom w:val="single" w:sz="4" w:space="0" w:color="auto"/>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33</w:t>
            </w:r>
            <w:r w:rsidRPr="0070507D">
              <w:rPr>
                <w:szCs w:val="24"/>
              </w:rPr>
              <w:t>.</w:t>
            </w:r>
            <w:r>
              <w:rPr>
                <w:szCs w:val="24"/>
              </w:rPr>
              <w:t>6</w:t>
            </w:r>
          </w:p>
        </w:tc>
        <w:tc>
          <w:tcPr>
            <w:tcW w:w="1274" w:type="dxa"/>
            <w:tcBorders>
              <w:top w:val="nil"/>
              <w:bottom w:val="single" w:sz="4" w:space="0" w:color="auto"/>
            </w:tcBorders>
            <w:shd w:val="clear" w:color="auto" w:fill="auto"/>
            <w:noWrap/>
            <w:vAlign w:val="bottom"/>
            <w:hideMark/>
          </w:tcPr>
          <w:p w:rsidR="00D57AA7" w:rsidRPr="0070507D" w:rsidRDefault="00D57AA7" w:rsidP="00FD1D4D">
            <w:pPr>
              <w:pStyle w:val="a3"/>
              <w:overflowPunct/>
              <w:ind w:right="0"/>
              <w:jc w:val="right"/>
              <w:rPr>
                <w:szCs w:val="24"/>
              </w:rPr>
            </w:pPr>
            <w:r>
              <w:rPr>
                <w:szCs w:val="24"/>
              </w:rPr>
              <w:t>4</w:t>
            </w:r>
            <w:r w:rsidRPr="0070507D">
              <w:rPr>
                <w:szCs w:val="24"/>
              </w:rPr>
              <w:t>.</w:t>
            </w:r>
            <w:r>
              <w:rPr>
                <w:szCs w:val="24"/>
              </w:rPr>
              <w:t>7</w:t>
            </w:r>
          </w:p>
        </w:tc>
      </w:tr>
      <w:tr w:rsidR="00D57AA7" w:rsidRPr="0070507D" w:rsidTr="00A95614">
        <w:tc>
          <w:tcPr>
            <w:tcW w:w="1403" w:type="dxa"/>
            <w:tcBorders>
              <w:top w:val="single" w:sz="4" w:space="0" w:color="auto"/>
            </w:tcBorders>
            <w:shd w:val="clear" w:color="auto" w:fill="auto"/>
            <w:noWrap/>
            <w:hideMark/>
          </w:tcPr>
          <w:p w:rsidR="00D57AA7" w:rsidRPr="006B6FEA" w:rsidRDefault="00D57AA7" w:rsidP="00FD1D4D">
            <w:pPr>
              <w:pStyle w:val="a3"/>
              <w:overflowPunct/>
              <w:ind w:right="0"/>
              <w:jc w:val="left"/>
              <w:rPr>
                <w:rFonts w:ascii="Time New Roman" w:eastAsia="黑体" w:hAnsi="Time New Roman" w:hint="eastAsia"/>
                <w:szCs w:val="24"/>
              </w:rPr>
            </w:pPr>
            <w:r>
              <w:rPr>
                <w:rFonts w:ascii="Time New Roman" w:eastAsia="黑体" w:hAnsi="Time New Roman" w:hint="eastAsia"/>
                <w:szCs w:val="24"/>
              </w:rPr>
              <w:t xml:space="preserve"> </w:t>
            </w:r>
            <w:r>
              <w:rPr>
                <w:rFonts w:ascii="Time New Roman" w:eastAsia="黑体" w:hAnsi="Time New Roman"/>
                <w:szCs w:val="24"/>
              </w:rPr>
              <w:t xml:space="preserve"> </w:t>
            </w:r>
            <w:r w:rsidRPr="006B6FEA">
              <w:rPr>
                <w:rFonts w:ascii="Time New Roman" w:eastAsia="黑体" w:hAnsi="Time New Roman" w:hint="eastAsia"/>
                <w:szCs w:val="24"/>
              </w:rPr>
              <w:t>共计</w:t>
            </w:r>
          </w:p>
        </w:tc>
        <w:tc>
          <w:tcPr>
            <w:tcW w:w="724" w:type="dxa"/>
            <w:tcBorders>
              <w:top w:val="single" w:sz="4" w:space="0" w:color="auto"/>
            </w:tcBorders>
            <w:shd w:val="clear" w:color="auto" w:fill="auto"/>
            <w:noWrap/>
            <w:vAlign w:val="bottom"/>
            <w:hideMark/>
          </w:tcPr>
          <w:p w:rsidR="00D57AA7" w:rsidRPr="0070507D" w:rsidRDefault="00D57AA7" w:rsidP="00FD1D4D">
            <w:pPr>
              <w:pStyle w:val="a3"/>
              <w:overflowPunct/>
              <w:ind w:right="0"/>
              <w:jc w:val="right"/>
              <w:rPr>
                <w:b/>
                <w:bCs/>
                <w:szCs w:val="24"/>
              </w:rPr>
            </w:pPr>
            <w:r>
              <w:rPr>
                <w:b/>
                <w:bCs/>
                <w:szCs w:val="24"/>
              </w:rPr>
              <w:t>249</w:t>
            </w:r>
            <w:r w:rsidRPr="0070507D">
              <w:rPr>
                <w:b/>
                <w:bCs/>
                <w:szCs w:val="24"/>
              </w:rPr>
              <w:t xml:space="preserve"> </w:t>
            </w:r>
            <w:r>
              <w:rPr>
                <w:b/>
                <w:bCs/>
                <w:szCs w:val="24"/>
              </w:rPr>
              <w:t>452</w:t>
            </w:r>
          </w:p>
        </w:tc>
        <w:tc>
          <w:tcPr>
            <w:tcW w:w="708" w:type="dxa"/>
            <w:tcBorders>
              <w:top w:val="single" w:sz="4" w:space="0" w:color="auto"/>
            </w:tcBorders>
            <w:shd w:val="clear" w:color="auto" w:fill="auto"/>
            <w:noWrap/>
            <w:vAlign w:val="bottom"/>
            <w:hideMark/>
          </w:tcPr>
          <w:p w:rsidR="00D57AA7" w:rsidRPr="0070507D" w:rsidRDefault="00D57AA7" w:rsidP="00FD1D4D">
            <w:pPr>
              <w:pStyle w:val="a3"/>
              <w:overflowPunct/>
              <w:ind w:right="0"/>
              <w:jc w:val="right"/>
              <w:rPr>
                <w:b/>
                <w:bCs/>
                <w:szCs w:val="24"/>
              </w:rPr>
            </w:pPr>
            <w:r>
              <w:rPr>
                <w:b/>
                <w:bCs/>
                <w:szCs w:val="24"/>
              </w:rPr>
              <w:t>1</w:t>
            </w:r>
            <w:r w:rsidRPr="0070507D">
              <w:rPr>
                <w:b/>
                <w:bCs/>
                <w:szCs w:val="24"/>
              </w:rPr>
              <w:t>00</w:t>
            </w:r>
          </w:p>
        </w:tc>
        <w:tc>
          <w:tcPr>
            <w:tcW w:w="1418" w:type="dxa"/>
            <w:tcBorders>
              <w:top w:val="single" w:sz="4" w:space="0" w:color="auto"/>
            </w:tcBorders>
            <w:shd w:val="clear" w:color="auto" w:fill="auto"/>
            <w:noWrap/>
            <w:vAlign w:val="bottom"/>
            <w:hideMark/>
          </w:tcPr>
          <w:p w:rsidR="00D57AA7" w:rsidRPr="0070507D" w:rsidRDefault="00D57AA7" w:rsidP="00FD1D4D">
            <w:pPr>
              <w:pStyle w:val="a3"/>
              <w:overflowPunct/>
              <w:ind w:right="0"/>
              <w:jc w:val="right"/>
              <w:rPr>
                <w:b/>
                <w:bCs/>
                <w:szCs w:val="24"/>
              </w:rPr>
            </w:pPr>
            <w:r>
              <w:rPr>
                <w:b/>
                <w:bCs/>
                <w:szCs w:val="24"/>
              </w:rPr>
              <w:t>2</w:t>
            </w:r>
            <w:r w:rsidRPr="0070507D">
              <w:rPr>
                <w:b/>
                <w:bCs/>
                <w:szCs w:val="24"/>
              </w:rPr>
              <w:t>.</w:t>
            </w:r>
            <w:r>
              <w:rPr>
                <w:b/>
                <w:bCs/>
                <w:szCs w:val="24"/>
              </w:rPr>
              <w:t>4</w:t>
            </w:r>
          </w:p>
        </w:tc>
        <w:tc>
          <w:tcPr>
            <w:tcW w:w="1134" w:type="dxa"/>
            <w:tcBorders>
              <w:top w:val="single" w:sz="4" w:space="0" w:color="auto"/>
            </w:tcBorders>
            <w:shd w:val="clear" w:color="auto" w:fill="auto"/>
            <w:noWrap/>
            <w:vAlign w:val="bottom"/>
            <w:hideMark/>
          </w:tcPr>
          <w:p w:rsidR="00D57AA7" w:rsidRPr="0070507D" w:rsidRDefault="00D57AA7" w:rsidP="00FD1D4D">
            <w:pPr>
              <w:pStyle w:val="a3"/>
              <w:overflowPunct/>
              <w:ind w:right="0"/>
              <w:jc w:val="right"/>
              <w:rPr>
                <w:b/>
                <w:bCs/>
                <w:szCs w:val="24"/>
              </w:rPr>
            </w:pPr>
            <w:r>
              <w:rPr>
                <w:b/>
                <w:bCs/>
                <w:szCs w:val="24"/>
              </w:rPr>
              <w:t>257</w:t>
            </w:r>
            <w:r w:rsidRPr="0070507D">
              <w:rPr>
                <w:b/>
                <w:bCs/>
                <w:szCs w:val="24"/>
              </w:rPr>
              <w:t xml:space="preserve"> </w:t>
            </w:r>
            <w:r>
              <w:rPr>
                <w:b/>
                <w:bCs/>
                <w:szCs w:val="24"/>
              </w:rPr>
              <w:t>572</w:t>
            </w:r>
          </w:p>
        </w:tc>
        <w:tc>
          <w:tcPr>
            <w:tcW w:w="709" w:type="dxa"/>
            <w:tcBorders>
              <w:top w:val="single" w:sz="4" w:space="0" w:color="auto"/>
            </w:tcBorders>
            <w:shd w:val="clear" w:color="auto" w:fill="auto"/>
            <w:noWrap/>
            <w:vAlign w:val="bottom"/>
            <w:hideMark/>
          </w:tcPr>
          <w:p w:rsidR="00D57AA7" w:rsidRPr="0070507D" w:rsidRDefault="00D57AA7" w:rsidP="00FD1D4D">
            <w:pPr>
              <w:pStyle w:val="a3"/>
              <w:overflowPunct/>
              <w:ind w:right="0"/>
              <w:jc w:val="right"/>
              <w:rPr>
                <w:b/>
                <w:bCs/>
                <w:szCs w:val="24"/>
              </w:rPr>
            </w:pPr>
            <w:r>
              <w:rPr>
                <w:b/>
                <w:bCs/>
                <w:szCs w:val="24"/>
              </w:rPr>
              <w:t>1</w:t>
            </w:r>
            <w:r w:rsidRPr="0070507D">
              <w:rPr>
                <w:b/>
                <w:bCs/>
                <w:szCs w:val="24"/>
              </w:rPr>
              <w:t>00</w:t>
            </w:r>
          </w:p>
        </w:tc>
        <w:tc>
          <w:tcPr>
            <w:tcW w:w="1274" w:type="dxa"/>
            <w:tcBorders>
              <w:top w:val="single" w:sz="4" w:space="0" w:color="auto"/>
            </w:tcBorders>
            <w:shd w:val="clear" w:color="auto" w:fill="auto"/>
            <w:noWrap/>
            <w:vAlign w:val="bottom"/>
            <w:hideMark/>
          </w:tcPr>
          <w:p w:rsidR="00D57AA7" w:rsidRPr="0070507D" w:rsidRDefault="00D57AA7" w:rsidP="00FD1D4D">
            <w:pPr>
              <w:pStyle w:val="a3"/>
              <w:overflowPunct/>
              <w:ind w:right="0"/>
              <w:jc w:val="right"/>
              <w:rPr>
                <w:b/>
                <w:bCs/>
                <w:szCs w:val="24"/>
              </w:rPr>
            </w:pPr>
            <w:r>
              <w:rPr>
                <w:b/>
                <w:bCs/>
                <w:szCs w:val="24"/>
              </w:rPr>
              <w:t>3</w:t>
            </w:r>
            <w:r w:rsidRPr="0070507D">
              <w:rPr>
                <w:b/>
                <w:bCs/>
                <w:szCs w:val="24"/>
              </w:rPr>
              <w:t>.</w:t>
            </w:r>
            <w:r>
              <w:rPr>
                <w:b/>
                <w:bCs/>
                <w:szCs w:val="24"/>
              </w:rPr>
              <w:t>3</w:t>
            </w:r>
          </w:p>
        </w:tc>
      </w:tr>
    </w:tbl>
    <w:p w:rsidR="00A95614" w:rsidRPr="003E491A" w:rsidRDefault="001E7D8D" w:rsidP="001E7D8D">
      <w:pPr>
        <w:pStyle w:val="ac"/>
        <w:spacing w:before="120"/>
        <w:rPr>
          <w:rFonts w:eastAsiaTheme="minorEastAsia"/>
        </w:rPr>
      </w:pPr>
      <w:r>
        <w:rPr>
          <w:rFonts w:eastAsia="楷体"/>
          <w:sz w:val="19"/>
          <w:szCs w:val="19"/>
        </w:rPr>
        <w:tab/>
      </w:r>
      <w:r>
        <w:rPr>
          <w:rFonts w:eastAsia="楷体"/>
          <w:sz w:val="19"/>
          <w:szCs w:val="19"/>
        </w:rPr>
        <w:tab/>
      </w:r>
      <w:r>
        <w:rPr>
          <w:rFonts w:eastAsia="楷体"/>
          <w:sz w:val="19"/>
          <w:szCs w:val="19"/>
        </w:rPr>
        <w:tab/>
      </w:r>
      <w:r w:rsidR="00A95614" w:rsidRPr="00016580">
        <w:rPr>
          <w:rFonts w:eastAsia="楷体" w:hint="eastAsia"/>
          <w:sz w:val="19"/>
          <w:szCs w:val="19"/>
        </w:rPr>
        <w:t>资料来源</w:t>
      </w:r>
      <w:r w:rsidR="00A95614" w:rsidRPr="003E491A">
        <w:rPr>
          <w:rFonts w:eastAsiaTheme="minorEastAsia" w:hint="eastAsia"/>
          <w:sz w:val="19"/>
          <w:szCs w:val="19"/>
        </w:rPr>
        <w:t>：</w:t>
      </w:r>
      <w:r w:rsidR="00A95614" w:rsidRPr="00A95614">
        <w:rPr>
          <w:rFonts w:eastAsiaTheme="minorEastAsia" w:hint="eastAsia"/>
          <w:sz w:val="19"/>
          <w:szCs w:val="19"/>
        </w:rPr>
        <w:t>芬兰</w:t>
      </w:r>
      <w:r w:rsidR="00A95614" w:rsidRPr="001E7D8D">
        <w:rPr>
          <w:rFonts w:hint="eastAsia"/>
        </w:rPr>
        <w:t>统计局</w:t>
      </w:r>
      <w:r w:rsidR="00A95614" w:rsidRPr="00A95614">
        <w:rPr>
          <w:rFonts w:eastAsiaTheme="minorEastAsia" w:hint="eastAsia"/>
          <w:sz w:val="19"/>
          <w:szCs w:val="19"/>
        </w:rPr>
        <w:t>，人口结构。</w:t>
      </w:r>
    </w:p>
    <w:p w:rsidR="002F2BE7" w:rsidRDefault="002F2BE7" w:rsidP="002F2BE7">
      <w:pPr>
        <w:pStyle w:val="H23GC"/>
      </w:pPr>
      <w:r>
        <w:rPr>
          <w:rFonts w:hint="eastAsia"/>
        </w:rPr>
        <w:lastRenderedPageBreak/>
        <w:tab/>
        <w:t>(b)</w:t>
      </w:r>
      <w:r>
        <w:rPr>
          <w:rFonts w:hint="eastAsia"/>
        </w:rPr>
        <w:tab/>
      </w:r>
      <w:r>
        <w:rPr>
          <w:rFonts w:hint="eastAsia"/>
        </w:rPr>
        <w:t>经济</w:t>
      </w:r>
    </w:p>
    <w:p w:rsidR="002F2BE7" w:rsidRDefault="002F2BE7" w:rsidP="002F2BE7">
      <w:pPr>
        <w:pStyle w:val="H23GC"/>
      </w:pPr>
      <w:r>
        <w:rPr>
          <w:rFonts w:hint="eastAsia"/>
        </w:rPr>
        <w:tab/>
      </w:r>
      <w:r>
        <w:rPr>
          <w:rFonts w:hint="eastAsia"/>
        </w:rPr>
        <w:tab/>
      </w:r>
      <w:r>
        <w:rPr>
          <w:rFonts w:hint="eastAsia"/>
        </w:rPr>
        <w:t>国民总收入</w:t>
      </w:r>
    </w:p>
    <w:p w:rsidR="002F2BE7" w:rsidRDefault="002F2BE7" w:rsidP="002F2BE7">
      <w:pPr>
        <w:pStyle w:val="SingleTxtGC"/>
      </w:pPr>
      <w:r>
        <w:rPr>
          <w:rFonts w:hint="eastAsia"/>
        </w:rPr>
        <w:t>41.</w:t>
      </w:r>
      <w:r>
        <w:rPr>
          <w:rFonts w:hint="eastAsia"/>
        </w:rPr>
        <w:tab/>
        <w:t>2018</w:t>
      </w:r>
      <w:r>
        <w:rPr>
          <w:rFonts w:hint="eastAsia"/>
        </w:rPr>
        <w:t>年，芬兰的国内生产总值约为</w:t>
      </w:r>
      <w:r>
        <w:rPr>
          <w:rFonts w:hint="eastAsia"/>
        </w:rPr>
        <w:t>2</w:t>
      </w:r>
      <w:r w:rsidR="006F2829">
        <w:t>,</w:t>
      </w:r>
      <w:r>
        <w:rPr>
          <w:rFonts w:hint="eastAsia"/>
        </w:rPr>
        <w:t>336</w:t>
      </w:r>
      <w:r>
        <w:rPr>
          <w:rFonts w:hint="eastAsia"/>
        </w:rPr>
        <w:t>亿欧元，年变动量为</w:t>
      </w:r>
      <w:r>
        <w:rPr>
          <w:rFonts w:hint="eastAsia"/>
        </w:rPr>
        <w:t>2.3%</w:t>
      </w:r>
      <w:r>
        <w:rPr>
          <w:rFonts w:hint="eastAsia"/>
        </w:rPr>
        <w:t>。人均国内生产总值为</w:t>
      </w:r>
      <w:r>
        <w:rPr>
          <w:rFonts w:hint="eastAsia"/>
        </w:rPr>
        <w:t>42,504</w:t>
      </w:r>
      <w:r>
        <w:rPr>
          <w:rFonts w:hint="eastAsia"/>
        </w:rPr>
        <w:t>欧元。</w:t>
      </w:r>
    </w:p>
    <w:p w:rsidR="002F2BE7" w:rsidRDefault="002F2BE7" w:rsidP="002F2BE7">
      <w:pPr>
        <w:pStyle w:val="SingleTxtGC"/>
      </w:pPr>
      <w:r>
        <w:rPr>
          <w:rFonts w:hint="eastAsia"/>
        </w:rPr>
        <w:t>42.</w:t>
      </w:r>
      <w:r>
        <w:rPr>
          <w:rFonts w:hint="eastAsia"/>
        </w:rPr>
        <w:tab/>
        <w:t>2018</w:t>
      </w:r>
      <w:r>
        <w:rPr>
          <w:rFonts w:hint="eastAsia"/>
        </w:rPr>
        <w:t>年的税收比率，即税收和类似税收支付占国内生产总值的比例约为</w:t>
      </w:r>
      <w:r>
        <w:rPr>
          <w:rFonts w:hint="eastAsia"/>
        </w:rPr>
        <w:t>42.4%</w:t>
      </w:r>
      <w:r>
        <w:rPr>
          <w:rFonts w:hint="eastAsia"/>
        </w:rPr>
        <w:t>，预计在可预见的未来不会有重大变化。</w:t>
      </w:r>
    </w:p>
    <w:p w:rsidR="002F2BE7" w:rsidRDefault="002F2BE7" w:rsidP="002F2BE7">
      <w:pPr>
        <w:pStyle w:val="SingleTxtGC"/>
      </w:pPr>
      <w:r>
        <w:rPr>
          <w:rFonts w:hint="eastAsia"/>
        </w:rPr>
        <w:t>43.</w:t>
      </w:r>
      <w:r>
        <w:rPr>
          <w:rFonts w:hint="eastAsia"/>
        </w:rPr>
        <w:tab/>
        <w:t>2017</w:t>
      </w:r>
      <w:r>
        <w:rPr>
          <w:rFonts w:hint="eastAsia"/>
        </w:rPr>
        <w:t>年，自然人的平均应税收入为每个收入接受者</w:t>
      </w:r>
      <w:r>
        <w:rPr>
          <w:rFonts w:hint="eastAsia"/>
        </w:rPr>
        <w:t>29,540</w:t>
      </w:r>
      <w:r>
        <w:rPr>
          <w:rFonts w:hint="eastAsia"/>
        </w:rPr>
        <w:t>欧元：男子为</w:t>
      </w:r>
      <w:r>
        <w:rPr>
          <w:rFonts w:hint="eastAsia"/>
        </w:rPr>
        <w:t>34,227</w:t>
      </w:r>
      <w:r>
        <w:rPr>
          <w:rFonts w:hint="eastAsia"/>
        </w:rPr>
        <w:t>欧元，妇女为</w:t>
      </w:r>
      <w:r>
        <w:rPr>
          <w:rFonts w:hint="eastAsia"/>
        </w:rPr>
        <w:t>25,061</w:t>
      </w:r>
      <w:r>
        <w:rPr>
          <w:rFonts w:hint="eastAsia"/>
        </w:rPr>
        <w:t>欧元。</w:t>
      </w:r>
    </w:p>
    <w:p w:rsidR="002F2BE7" w:rsidRDefault="002F2BE7" w:rsidP="002F2BE7">
      <w:pPr>
        <w:pStyle w:val="H23GC"/>
      </w:pPr>
      <w:r>
        <w:rPr>
          <w:rFonts w:hint="eastAsia"/>
        </w:rPr>
        <w:tab/>
      </w:r>
      <w:r>
        <w:rPr>
          <w:rFonts w:hint="eastAsia"/>
        </w:rPr>
        <w:tab/>
      </w:r>
      <w:r>
        <w:rPr>
          <w:rFonts w:hint="eastAsia"/>
        </w:rPr>
        <w:t>居民消费价格指数</w:t>
      </w:r>
    </w:p>
    <w:p w:rsidR="002F2BE7" w:rsidRDefault="002F2BE7" w:rsidP="002F2BE7">
      <w:pPr>
        <w:pStyle w:val="SingleTxtGC"/>
      </w:pPr>
      <w:r>
        <w:rPr>
          <w:rFonts w:hint="eastAsia"/>
        </w:rPr>
        <w:t>44.</w:t>
      </w:r>
      <w:r>
        <w:rPr>
          <w:rFonts w:hint="eastAsia"/>
        </w:rPr>
        <w:tab/>
      </w:r>
      <w:r>
        <w:rPr>
          <w:rFonts w:hint="eastAsia"/>
        </w:rPr>
        <w:t>居民消费价格指数说明了芬兰家庭购买的产品和服务的价格变化情况。居民消费价格指数被用作衡量通货膨胀的一般标准。</w:t>
      </w:r>
    </w:p>
    <w:p w:rsidR="002F2BE7" w:rsidRDefault="002F2BE7" w:rsidP="002F2BE7">
      <w:pPr>
        <w:pStyle w:val="SingleTxtGC"/>
      </w:pPr>
      <w:r>
        <w:rPr>
          <w:rFonts w:hint="eastAsia"/>
        </w:rPr>
        <w:t>45.</w:t>
      </w:r>
      <w:r>
        <w:rPr>
          <w:rFonts w:hint="eastAsia"/>
        </w:rPr>
        <w:tab/>
      </w:r>
      <w:r>
        <w:rPr>
          <w:rFonts w:hint="eastAsia"/>
        </w:rPr>
        <w:t>居民消费价格指数的计算方法是将不同商品的价格与其消费份额一起权衡。该指数的计算遵循拉</w:t>
      </w:r>
      <w:proofErr w:type="gramStart"/>
      <w:r>
        <w:rPr>
          <w:rFonts w:hint="eastAsia"/>
        </w:rPr>
        <w:t>氏价格</w:t>
      </w:r>
      <w:proofErr w:type="gramEnd"/>
      <w:r>
        <w:rPr>
          <w:rFonts w:hint="eastAsia"/>
        </w:rPr>
        <w:t>指数公式，其中用作权重的消费份额与基期相关。</w:t>
      </w:r>
    </w:p>
    <w:p w:rsidR="000B2431" w:rsidRPr="002F2BE7" w:rsidRDefault="002F2BE7" w:rsidP="002F2BE7">
      <w:pPr>
        <w:pStyle w:val="SingleTxtGC"/>
        <w:rPr>
          <w:rFonts w:ascii="Time New Roman" w:eastAsia="黑体" w:hAnsi="Time New Roman" w:hint="eastAsia"/>
        </w:rPr>
      </w:pPr>
      <w:r>
        <w:rPr>
          <w:rFonts w:hint="eastAsia"/>
        </w:rPr>
        <w:t>表</w:t>
      </w:r>
      <w:r>
        <w:rPr>
          <w:rFonts w:hint="eastAsia"/>
        </w:rPr>
        <w:t>3.</w:t>
      </w:r>
      <w:r>
        <w:br/>
      </w:r>
      <w:r w:rsidRPr="002F2BE7">
        <w:rPr>
          <w:rFonts w:ascii="Time New Roman" w:eastAsia="黑体" w:hAnsi="Time New Roman" w:hint="eastAsia"/>
        </w:rPr>
        <w:t>2010-2016</w:t>
      </w:r>
      <w:r w:rsidRPr="002F2BE7">
        <w:rPr>
          <w:rFonts w:ascii="Time New Roman" w:eastAsia="黑体" w:hAnsi="Time New Roman" w:hint="eastAsia"/>
        </w:rPr>
        <w:t>年按货物和服务类别分列的消费价格指数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0"/>
        <w:gridCol w:w="762"/>
        <w:gridCol w:w="770"/>
        <w:gridCol w:w="770"/>
        <w:gridCol w:w="771"/>
        <w:gridCol w:w="770"/>
        <w:gridCol w:w="770"/>
        <w:gridCol w:w="770"/>
        <w:gridCol w:w="772"/>
        <w:gridCol w:w="785"/>
      </w:tblGrid>
      <w:tr w:rsidR="00FD1D4D" w:rsidRPr="0070507D" w:rsidTr="00FD1D4D">
        <w:trPr>
          <w:tblHeader/>
        </w:trPr>
        <w:tc>
          <w:tcPr>
            <w:tcW w:w="430" w:type="dxa"/>
            <w:tcBorders>
              <w:top w:val="single" w:sz="4" w:space="0" w:color="auto"/>
              <w:bottom w:val="single" w:sz="12" w:space="0" w:color="auto"/>
            </w:tcBorders>
            <w:shd w:val="clear" w:color="auto" w:fill="auto"/>
            <w:vAlign w:val="bottom"/>
          </w:tcPr>
          <w:p w:rsidR="00FD1D4D" w:rsidRPr="0070507D" w:rsidRDefault="00FD1D4D" w:rsidP="00FD1D4D">
            <w:pPr>
              <w:pStyle w:val="a4"/>
              <w:ind w:right="0"/>
              <w:jc w:val="left"/>
            </w:pPr>
          </w:p>
        </w:tc>
        <w:tc>
          <w:tcPr>
            <w:tcW w:w="762"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w:t>
            </w:r>
            <w:r w:rsidRPr="0070507D">
              <w:rPr>
                <w:iCs/>
              </w:rPr>
              <w:t>0</w:t>
            </w:r>
            <w:r w:rsidRPr="0070507D">
              <w:rPr>
                <w:rFonts w:hint="eastAsia"/>
                <w:iCs/>
              </w:rPr>
              <w:t>年</w:t>
            </w:r>
          </w:p>
        </w:tc>
        <w:tc>
          <w:tcPr>
            <w:tcW w:w="770"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11</w:t>
            </w:r>
            <w:r w:rsidRPr="0070507D">
              <w:rPr>
                <w:rFonts w:hint="eastAsia"/>
                <w:iCs/>
              </w:rPr>
              <w:t>年</w:t>
            </w:r>
          </w:p>
        </w:tc>
        <w:tc>
          <w:tcPr>
            <w:tcW w:w="770"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12</w:t>
            </w:r>
            <w:r w:rsidRPr="0070507D">
              <w:rPr>
                <w:rFonts w:hint="eastAsia"/>
                <w:iCs/>
              </w:rPr>
              <w:t>年</w:t>
            </w:r>
          </w:p>
        </w:tc>
        <w:tc>
          <w:tcPr>
            <w:tcW w:w="771"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13</w:t>
            </w:r>
            <w:r w:rsidRPr="0070507D">
              <w:rPr>
                <w:rFonts w:hint="eastAsia"/>
                <w:iCs/>
              </w:rPr>
              <w:t>年</w:t>
            </w:r>
          </w:p>
        </w:tc>
        <w:tc>
          <w:tcPr>
            <w:tcW w:w="770"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14</w:t>
            </w:r>
            <w:r w:rsidRPr="0070507D">
              <w:rPr>
                <w:rFonts w:hint="eastAsia"/>
                <w:iCs/>
              </w:rPr>
              <w:t>年</w:t>
            </w:r>
          </w:p>
        </w:tc>
        <w:tc>
          <w:tcPr>
            <w:tcW w:w="770"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15</w:t>
            </w:r>
            <w:r w:rsidRPr="0070507D">
              <w:rPr>
                <w:rFonts w:hint="eastAsia"/>
                <w:iCs/>
              </w:rPr>
              <w:t>年</w:t>
            </w:r>
          </w:p>
        </w:tc>
        <w:tc>
          <w:tcPr>
            <w:tcW w:w="770" w:type="dxa"/>
            <w:tcBorders>
              <w:top w:val="single" w:sz="4" w:space="0" w:color="auto"/>
              <w:bottom w:val="single" w:sz="12" w:space="0" w:color="auto"/>
            </w:tcBorders>
            <w:shd w:val="clear" w:color="auto" w:fill="auto"/>
            <w:vAlign w:val="bottom"/>
            <w:hideMark/>
          </w:tcPr>
          <w:p w:rsidR="00FD1D4D" w:rsidRPr="0070507D" w:rsidRDefault="00FD1D4D" w:rsidP="00FD1D4D">
            <w:pPr>
              <w:pStyle w:val="a4"/>
              <w:ind w:right="0"/>
              <w:jc w:val="right"/>
              <w:rPr>
                <w:iCs/>
              </w:rPr>
            </w:pPr>
            <w:r>
              <w:rPr>
                <w:iCs/>
              </w:rPr>
              <w:t>2</w:t>
            </w:r>
            <w:r w:rsidRPr="0070507D">
              <w:rPr>
                <w:iCs/>
              </w:rPr>
              <w:t>0</w:t>
            </w:r>
            <w:r>
              <w:rPr>
                <w:iCs/>
              </w:rPr>
              <w:t>16</w:t>
            </w:r>
            <w:r w:rsidRPr="0070507D">
              <w:rPr>
                <w:rFonts w:hint="eastAsia"/>
                <w:iCs/>
              </w:rPr>
              <w:t>年</w:t>
            </w:r>
          </w:p>
        </w:tc>
        <w:tc>
          <w:tcPr>
            <w:tcW w:w="772" w:type="dxa"/>
            <w:tcBorders>
              <w:top w:val="single" w:sz="4" w:space="0" w:color="auto"/>
              <w:bottom w:val="single" w:sz="12" w:space="0" w:color="auto"/>
            </w:tcBorders>
            <w:shd w:val="clear" w:color="auto" w:fill="auto"/>
            <w:vAlign w:val="bottom"/>
          </w:tcPr>
          <w:p w:rsidR="00FD1D4D" w:rsidRPr="0070507D" w:rsidRDefault="00FD1D4D" w:rsidP="00FD1D4D">
            <w:pPr>
              <w:pStyle w:val="a4"/>
              <w:ind w:right="0"/>
              <w:jc w:val="right"/>
              <w:rPr>
                <w:iCs/>
              </w:rPr>
            </w:pPr>
            <w:r>
              <w:rPr>
                <w:iCs/>
              </w:rPr>
              <w:t>2</w:t>
            </w:r>
            <w:r w:rsidRPr="0070507D">
              <w:rPr>
                <w:iCs/>
              </w:rPr>
              <w:t>0</w:t>
            </w:r>
            <w:r>
              <w:rPr>
                <w:iCs/>
              </w:rPr>
              <w:t>17</w:t>
            </w:r>
            <w:r w:rsidRPr="0070507D">
              <w:rPr>
                <w:rFonts w:hint="eastAsia"/>
                <w:iCs/>
              </w:rPr>
              <w:t>年</w:t>
            </w:r>
          </w:p>
        </w:tc>
        <w:tc>
          <w:tcPr>
            <w:tcW w:w="785" w:type="dxa"/>
            <w:tcBorders>
              <w:top w:val="single" w:sz="4" w:space="0" w:color="auto"/>
              <w:bottom w:val="single" w:sz="12" w:space="0" w:color="auto"/>
            </w:tcBorders>
            <w:shd w:val="clear" w:color="auto" w:fill="auto"/>
            <w:vAlign w:val="bottom"/>
          </w:tcPr>
          <w:p w:rsidR="00FD1D4D" w:rsidRPr="0070507D" w:rsidRDefault="00FD1D4D" w:rsidP="00FD1D4D">
            <w:pPr>
              <w:pStyle w:val="a4"/>
              <w:ind w:right="0"/>
              <w:jc w:val="right"/>
              <w:rPr>
                <w:iCs/>
              </w:rPr>
            </w:pPr>
            <w:r>
              <w:rPr>
                <w:iCs/>
              </w:rPr>
              <w:t>2</w:t>
            </w:r>
            <w:r w:rsidRPr="0070507D">
              <w:rPr>
                <w:iCs/>
              </w:rPr>
              <w:t>0</w:t>
            </w:r>
            <w:r>
              <w:rPr>
                <w:iCs/>
              </w:rPr>
              <w:t>18</w:t>
            </w:r>
            <w:r w:rsidRPr="0070507D">
              <w:rPr>
                <w:rFonts w:hint="eastAsia"/>
                <w:iCs/>
              </w:rPr>
              <w:t>年</w:t>
            </w:r>
          </w:p>
        </w:tc>
      </w:tr>
      <w:tr w:rsidR="00FD1D4D" w:rsidRPr="0070507D" w:rsidTr="00FD1D4D">
        <w:tc>
          <w:tcPr>
            <w:tcW w:w="430" w:type="dxa"/>
            <w:tcBorders>
              <w:top w:val="single" w:sz="12" w:space="0" w:color="auto"/>
            </w:tcBorders>
            <w:shd w:val="clear" w:color="auto" w:fill="auto"/>
            <w:hideMark/>
          </w:tcPr>
          <w:p w:rsidR="00FD1D4D" w:rsidRPr="0070507D" w:rsidRDefault="00FD1D4D" w:rsidP="00FD1D4D">
            <w:pPr>
              <w:pStyle w:val="a3"/>
              <w:overflowPunct/>
              <w:ind w:right="0"/>
              <w:jc w:val="left"/>
              <w:rPr>
                <w:szCs w:val="24"/>
              </w:rPr>
            </w:pPr>
            <w:r w:rsidRPr="0070507D">
              <w:rPr>
                <w:szCs w:val="24"/>
              </w:rPr>
              <w:t>00</w:t>
            </w:r>
          </w:p>
        </w:tc>
        <w:tc>
          <w:tcPr>
            <w:tcW w:w="762"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3</w:t>
            </w:r>
            <w:r w:rsidRPr="0070507D">
              <w:rPr>
                <w:szCs w:val="24"/>
              </w:rPr>
              <w:t>.</w:t>
            </w:r>
            <w:r>
              <w:rPr>
                <w:szCs w:val="24"/>
              </w:rPr>
              <w:t>4</w:t>
            </w:r>
          </w:p>
        </w:tc>
        <w:tc>
          <w:tcPr>
            <w:tcW w:w="770"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w:t>
            </w:r>
            <w:r>
              <w:rPr>
                <w:szCs w:val="24"/>
              </w:rPr>
              <w:t>3</w:t>
            </w:r>
          </w:p>
        </w:tc>
        <w:tc>
          <w:tcPr>
            <w:tcW w:w="771"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7</w:t>
            </w:r>
            <w:r w:rsidRPr="0070507D">
              <w:rPr>
                <w:szCs w:val="24"/>
              </w:rPr>
              <w:t>.</w:t>
            </w:r>
            <w:r>
              <w:rPr>
                <w:szCs w:val="24"/>
              </w:rPr>
              <w:t>9</w:t>
            </w:r>
          </w:p>
        </w:tc>
        <w:tc>
          <w:tcPr>
            <w:tcW w:w="770"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9</w:t>
            </w:r>
            <w:r w:rsidRPr="0070507D">
              <w:rPr>
                <w:szCs w:val="24"/>
              </w:rPr>
              <w:t>.0</w:t>
            </w:r>
          </w:p>
        </w:tc>
        <w:tc>
          <w:tcPr>
            <w:tcW w:w="770"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8</w:t>
            </w:r>
            <w:r w:rsidRPr="0070507D">
              <w:rPr>
                <w:szCs w:val="24"/>
              </w:rPr>
              <w:t>.</w:t>
            </w:r>
            <w:r>
              <w:rPr>
                <w:szCs w:val="24"/>
              </w:rPr>
              <w:t>8</w:t>
            </w:r>
          </w:p>
        </w:tc>
        <w:tc>
          <w:tcPr>
            <w:tcW w:w="770" w:type="dxa"/>
            <w:tcBorders>
              <w:top w:val="single" w:sz="12" w:space="0" w:color="auto"/>
            </w:tcBorders>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9</w:t>
            </w:r>
            <w:r w:rsidRPr="0070507D">
              <w:rPr>
                <w:szCs w:val="24"/>
              </w:rPr>
              <w:t>.</w:t>
            </w:r>
            <w:r>
              <w:rPr>
                <w:szCs w:val="24"/>
              </w:rPr>
              <w:t>2</w:t>
            </w:r>
          </w:p>
        </w:tc>
        <w:tc>
          <w:tcPr>
            <w:tcW w:w="772" w:type="dxa"/>
            <w:tcBorders>
              <w:top w:val="single" w:sz="12" w:space="0" w:color="auto"/>
            </w:tcBorders>
            <w:shd w:val="clear" w:color="auto" w:fill="auto"/>
            <w:vAlign w:val="bottom"/>
          </w:tcPr>
          <w:p w:rsidR="00FD1D4D" w:rsidRPr="0070507D" w:rsidRDefault="00FD1D4D" w:rsidP="00FD1D4D">
            <w:pPr>
              <w:pStyle w:val="a3"/>
              <w:overflowPunct/>
              <w:ind w:right="0"/>
              <w:jc w:val="right"/>
              <w:rPr>
                <w:szCs w:val="24"/>
              </w:rPr>
            </w:pPr>
            <w:r>
              <w:rPr>
                <w:szCs w:val="24"/>
              </w:rPr>
              <w:t>11</w:t>
            </w:r>
            <w:r w:rsidRPr="0070507D">
              <w:rPr>
                <w:szCs w:val="24"/>
              </w:rPr>
              <w:t>0.0</w:t>
            </w:r>
          </w:p>
        </w:tc>
        <w:tc>
          <w:tcPr>
            <w:tcW w:w="785" w:type="dxa"/>
            <w:tcBorders>
              <w:top w:val="single" w:sz="12" w:space="0" w:color="auto"/>
            </w:tcBorders>
            <w:shd w:val="clear" w:color="auto" w:fill="auto"/>
            <w:vAlign w:val="bottom"/>
          </w:tcPr>
          <w:p w:rsidR="00FD1D4D" w:rsidRPr="0070507D" w:rsidRDefault="00FD1D4D" w:rsidP="00FD1D4D">
            <w:pPr>
              <w:pStyle w:val="a3"/>
              <w:overflowPunct/>
              <w:ind w:right="0"/>
              <w:jc w:val="right"/>
              <w:rPr>
                <w:szCs w:val="24"/>
              </w:rPr>
            </w:pPr>
            <w:r>
              <w:rPr>
                <w:szCs w:val="24"/>
              </w:rPr>
              <w:t>111</w:t>
            </w:r>
            <w:r w:rsidRPr="0070507D">
              <w:rPr>
                <w:szCs w:val="24"/>
              </w:rPr>
              <w:t>.</w:t>
            </w:r>
            <w:r>
              <w:rPr>
                <w:szCs w:val="24"/>
              </w:rPr>
              <w:t>2</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1</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w:t>
            </w:r>
            <w:r>
              <w:rPr>
                <w:szCs w:val="24"/>
              </w:rPr>
              <w:t>3</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111</w:t>
            </w:r>
            <w:r w:rsidRPr="0070507D">
              <w:rPr>
                <w:szCs w:val="24"/>
              </w:rPr>
              <w:t>.</w:t>
            </w:r>
            <w:r>
              <w:rPr>
                <w:szCs w:val="24"/>
              </w:rPr>
              <w:t>8</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117</w:t>
            </w:r>
            <w:r w:rsidRPr="0070507D">
              <w:rPr>
                <w:szCs w:val="24"/>
              </w:rPr>
              <w:t>.</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117</w:t>
            </w:r>
            <w:r w:rsidRPr="0070507D">
              <w:rPr>
                <w:szCs w:val="24"/>
              </w:rPr>
              <w:t>.</w:t>
            </w:r>
            <w:r>
              <w:rPr>
                <w:szCs w:val="24"/>
              </w:rPr>
              <w:t>9</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115</w:t>
            </w:r>
            <w:r w:rsidRPr="0070507D">
              <w:rPr>
                <w:szCs w:val="24"/>
              </w:rPr>
              <w:t>.</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114</w:t>
            </w:r>
            <w:r w:rsidRPr="0070507D">
              <w:rPr>
                <w:szCs w:val="24"/>
              </w:rPr>
              <w:t>.</w:t>
            </w:r>
            <w:r>
              <w:rPr>
                <w:szCs w:val="24"/>
              </w:rPr>
              <w:t>4</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113</w:t>
            </w:r>
            <w:r w:rsidRPr="0070507D">
              <w:rPr>
                <w:szCs w:val="24"/>
              </w:rPr>
              <w:t>.</w:t>
            </w:r>
            <w:r>
              <w:rPr>
                <w:szCs w:val="24"/>
              </w:rPr>
              <w:t>3</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115</w:t>
            </w:r>
            <w:r w:rsidRPr="0070507D">
              <w:rPr>
                <w:szCs w:val="24"/>
              </w:rPr>
              <w:t>.</w:t>
            </w:r>
            <w:r>
              <w:rPr>
                <w:szCs w:val="24"/>
              </w:rPr>
              <w:t>5</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2</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w:t>
            </w:r>
            <w:r>
              <w:rPr>
                <w:szCs w:val="24"/>
              </w:rPr>
              <w:t>8</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7</w:t>
            </w:r>
            <w:r w:rsidRPr="0070507D">
              <w:rPr>
                <w:szCs w:val="24"/>
              </w:rPr>
              <w:t>.</w:t>
            </w:r>
            <w:r>
              <w:rPr>
                <w:szCs w:val="24"/>
              </w:rPr>
              <w:t>9</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11</w:t>
            </w:r>
            <w:r w:rsidRPr="0070507D">
              <w:rPr>
                <w:szCs w:val="24"/>
              </w:rPr>
              <w:t>0.</w:t>
            </w:r>
            <w:r>
              <w:rPr>
                <w:szCs w:val="24"/>
              </w:rPr>
              <w:t>3</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114</w:t>
            </w:r>
            <w:r w:rsidRPr="0070507D">
              <w:rPr>
                <w:szCs w:val="24"/>
              </w:rPr>
              <w:t>.</w:t>
            </w:r>
            <w:r>
              <w:rPr>
                <w:szCs w:val="24"/>
              </w:rPr>
              <w:t>6</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116</w:t>
            </w:r>
            <w:r w:rsidRPr="0070507D">
              <w:rPr>
                <w:szCs w:val="24"/>
              </w:rPr>
              <w:t>.0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117</w:t>
            </w:r>
            <w:r w:rsidRPr="0070507D">
              <w:rPr>
                <w:szCs w:val="24"/>
              </w:rPr>
              <w:t>.</w:t>
            </w:r>
            <w:r>
              <w:rPr>
                <w:szCs w:val="24"/>
              </w:rPr>
              <w:t>2</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12</w:t>
            </w:r>
            <w:r w:rsidRPr="0070507D">
              <w:rPr>
                <w:szCs w:val="24"/>
              </w:rPr>
              <w:t>0.</w:t>
            </w:r>
            <w:r>
              <w:rPr>
                <w:szCs w:val="24"/>
              </w:rPr>
              <w:t>7</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128</w:t>
            </w:r>
            <w:r w:rsidRPr="0070507D">
              <w:rPr>
                <w:szCs w:val="24"/>
              </w:rPr>
              <w:t>.</w:t>
            </w:r>
            <w:r>
              <w:rPr>
                <w:szCs w:val="24"/>
              </w:rPr>
              <w:t>2</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3</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1</w:t>
            </w:r>
            <w:r w:rsidRPr="0070507D">
              <w:rPr>
                <w:szCs w:val="24"/>
              </w:rPr>
              <w:t>.</w:t>
            </w:r>
            <w:r>
              <w:rPr>
                <w:szCs w:val="24"/>
              </w:rPr>
              <w:t>2</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3</w:t>
            </w:r>
            <w:r w:rsidRPr="0070507D">
              <w:rPr>
                <w:szCs w:val="24"/>
              </w:rPr>
              <w:t>.</w:t>
            </w:r>
            <w:r>
              <w:rPr>
                <w:szCs w:val="24"/>
              </w:rPr>
              <w:t>9</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6</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2</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8</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1</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w:t>
            </w:r>
            <w:r w:rsidRPr="0070507D">
              <w:rPr>
                <w:szCs w:val="24"/>
              </w:rPr>
              <w:t>00.</w:t>
            </w:r>
            <w:r>
              <w:rPr>
                <w:szCs w:val="24"/>
              </w:rPr>
              <w:t>9</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99</w:t>
            </w:r>
            <w:r w:rsidRPr="0070507D">
              <w:rPr>
                <w:szCs w:val="24"/>
              </w:rPr>
              <w:t>.</w:t>
            </w:r>
            <w:r>
              <w:rPr>
                <w:szCs w:val="24"/>
              </w:rPr>
              <w:t>7</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4</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w:t>
            </w:r>
            <w:r>
              <w:rPr>
                <w:szCs w:val="24"/>
              </w:rPr>
              <w:t>3</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8</w:t>
            </w:r>
            <w:r w:rsidRPr="0070507D">
              <w:rPr>
                <w:szCs w:val="24"/>
              </w:rPr>
              <w:t>.</w:t>
            </w:r>
            <w:r>
              <w:rPr>
                <w:szCs w:val="24"/>
              </w:rPr>
              <w:t>1</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8</w:t>
            </w:r>
            <w:r w:rsidRPr="0070507D">
              <w:rPr>
                <w:szCs w:val="24"/>
              </w:rPr>
              <w:t>.</w:t>
            </w:r>
            <w:r>
              <w:rPr>
                <w:szCs w:val="24"/>
              </w:rPr>
              <w:t>5</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9</w:t>
            </w:r>
            <w:r w:rsidRPr="0070507D">
              <w:rPr>
                <w:szCs w:val="24"/>
              </w:rPr>
              <w:t>.</w:t>
            </w:r>
            <w:r>
              <w:rPr>
                <w:szCs w:val="24"/>
              </w:rPr>
              <w:t>8</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w:t>
            </w:r>
            <w:r w:rsidRPr="0070507D">
              <w:rPr>
                <w:szCs w:val="24"/>
              </w:rPr>
              <w:t>0.</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111</w:t>
            </w:r>
            <w:r w:rsidRPr="0070507D">
              <w:rPr>
                <w:szCs w:val="24"/>
              </w:rPr>
              <w:t>.</w:t>
            </w:r>
            <w:r>
              <w:rPr>
                <w:szCs w:val="24"/>
              </w:rPr>
              <w:t>3</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112</w:t>
            </w:r>
            <w:r w:rsidRPr="0070507D">
              <w:rPr>
                <w:szCs w:val="24"/>
              </w:rPr>
              <w:t>.</w:t>
            </w:r>
            <w:r>
              <w:rPr>
                <w:szCs w:val="24"/>
              </w:rPr>
              <w:t>8</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114</w:t>
            </w:r>
            <w:r w:rsidRPr="0070507D">
              <w:rPr>
                <w:szCs w:val="24"/>
              </w:rPr>
              <w:t>.</w:t>
            </w:r>
            <w:r>
              <w:rPr>
                <w:szCs w:val="24"/>
              </w:rPr>
              <w:t>5</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5</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3</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3</w:t>
            </w:r>
            <w:r w:rsidRPr="0070507D">
              <w:rPr>
                <w:szCs w:val="24"/>
              </w:rPr>
              <w:t>.</w:t>
            </w:r>
            <w:r>
              <w:rPr>
                <w:szCs w:val="24"/>
              </w:rPr>
              <w:t>9</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5</w:t>
            </w:r>
            <w:r w:rsidRPr="0070507D">
              <w:rPr>
                <w:szCs w:val="24"/>
              </w:rPr>
              <w:t>.</w:t>
            </w:r>
            <w:r>
              <w:rPr>
                <w:szCs w:val="24"/>
              </w:rPr>
              <w:t>4</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5</w:t>
            </w:r>
            <w:r w:rsidRPr="0070507D">
              <w:rPr>
                <w:szCs w:val="24"/>
              </w:rPr>
              <w:t>.</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5</w:t>
            </w:r>
            <w:r w:rsidRPr="0070507D">
              <w:rPr>
                <w:szCs w:val="24"/>
              </w:rPr>
              <w:t>.</w:t>
            </w:r>
            <w:r>
              <w:rPr>
                <w:szCs w:val="24"/>
              </w:rPr>
              <w:t>3</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5</w:t>
            </w:r>
            <w:r w:rsidRPr="0070507D">
              <w:rPr>
                <w:szCs w:val="24"/>
              </w:rPr>
              <w:t>.</w:t>
            </w:r>
            <w:r>
              <w:rPr>
                <w:szCs w:val="24"/>
              </w:rPr>
              <w:t>1</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4</w:t>
            </w:r>
            <w:r w:rsidRPr="0070507D">
              <w:rPr>
                <w:szCs w:val="24"/>
              </w:rPr>
              <w:t>.</w:t>
            </w:r>
            <w:r>
              <w:rPr>
                <w:szCs w:val="24"/>
              </w:rPr>
              <w:t>2</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6</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1</w:t>
            </w:r>
            <w:r w:rsidRPr="0070507D">
              <w:rPr>
                <w:szCs w:val="24"/>
              </w:rPr>
              <w:t>.</w:t>
            </w:r>
            <w:r>
              <w:rPr>
                <w:szCs w:val="24"/>
              </w:rPr>
              <w:t>1</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9</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9</w:t>
            </w:r>
            <w:r w:rsidRPr="0070507D">
              <w:rPr>
                <w:szCs w:val="24"/>
              </w:rPr>
              <w:t>.</w:t>
            </w:r>
            <w:r>
              <w:rPr>
                <w:szCs w:val="24"/>
              </w:rPr>
              <w:t>3</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116</w:t>
            </w:r>
            <w:r w:rsidRPr="0070507D">
              <w:rPr>
                <w:szCs w:val="24"/>
              </w:rPr>
              <w:t>.</w:t>
            </w:r>
            <w:r>
              <w:rPr>
                <w:szCs w:val="24"/>
              </w:rPr>
              <w:t>8</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118</w:t>
            </w:r>
            <w:r w:rsidRPr="0070507D">
              <w:rPr>
                <w:szCs w:val="24"/>
              </w:rPr>
              <w:t>.</w:t>
            </w:r>
            <w:r>
              <w:rPr>
                <w:szCs w:val="24"/>
              </w:rPr>
              <w:t>8</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12</w:t>
            </w:r>
            <w:r w:rsidRPr="0070507D">
              <w:rPr>
                <w:szCs w:val="24"/>
              </w:rPr>
              <w:t>0.</w:t>
            </w:r>
            <w:r>
              <w:rPr>
                <w:szCs w:val="24"/>
              </w:rPr>
              <w:t>2</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7</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3</w:t>
            </w:r>
            <w:r w:rsidRPr="0070507D">
              <w:rPr>
                <w:szCs w:val="24"/>
              </w:rPr>
              <w:t>.</w:t>
            </w:r>
            <w:r>
              <w:rPr>
                <w:szCs w:val="24"/>
              </w:rPr>
              <w:t>9</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8</w:t>
            </w:r>
            <w:r w:rsidRPr="0070507D">
              <w:rPr>
                <w:szCs w:val="24"/>
              </w:rPr>
              <w:t>.</w:t>
            </w:r>
            <w:r>
              <w:rPr>
                <w:szCs w:val="24"/>
              </w:rPr>
              <w:t>6</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11</w:t>
            </w:r>
            <w:r w:rsidRPr="0070507D">
              <w:rPr>
                <w:szCs w:val="24"/>
              </w:rPr>
              <w:t>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9</w:t>
            </w:r>
            <w:r w:rsidRPr="0070507D">
              <w:rPr>
                <w:szCs w:val="24"/>
              </w:rPr>
              <w:t>.</w:t>
            </w:r>
            <w:r>
              <w:rPr>
                <w:szCs w:val="24"/>
              </w:rPr>
              <w:t>2</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7</w:t>
            </w:r>
            <w:r w:rsidRPr="0070507D">
              <w:rPr>
                <w:szCs w:val="24"/>
              </w:rPr>
              <w:t>.</w:t>
            </w:r>
            <w:r>
              <w:rPr>
                <w:szCs w:val="24"/>
              </w:rPr>
              <w:t>1</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w:t>
            </w:r>
            <w:r>
              <w:rPr>
                <w:szCs w:val="24"/>
              </w:rPr>
              <w:t>9</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9</w:t>
            </w:r>
            <w:r w:rsidRPr="0070507D">
              <w:rPr>
                <w:szCs w:val="24"/>
              </w:rPr>
              <w:t>.</w:t>
            </w:r>
            <w:r>
              <w:rPr>
                <w:szCs w:val="24"/>
              </w:rPr>
              <w:t>7</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11</w:t>
            </w:r>
            <w:r w:rsidRPr="0070507D">
              <w:rPr>
                <w:szCs w:val="24"/>
              </w:rPr>
              <w:t>0.</w:t>
            </w:r>
            <w:r>
              <w:rPr>
                <w:szCs w:val="24"/>
              </w:rPr>
              <w:t>6</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8</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98</w:t>
            </w:r>
            <w:r w:rsidRPr="0070507D">
              <w:rPr>
                <w:szCs w:val="24"/>
              </w:rPr>
              <w:t>.0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91</w:t>
            </w:r>
            <w:r w:rsidRPr="0070507D">
              <w:rPr>
                <w:szCs w:val="24"/>
              </w:rPr>
              <w:t>.</w:t>
            </w:r>
            <w:r>
              <w:rPr>
                <w:szCs w:val="24"/>
              </w:rPr>
              <w:t>7</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85</w:t>
            </w:r>
            <w:r w:rsidRPr="0070507D">
              <w:rPr>
                <w:szCs w:val="24"/>
              </w:rPr>
              <w:t>.</w:t>
            </w:r>
            <w:r>
              <w:rPr>
                <w:szCs w:val="24"/>
              </w:rPr>
              <w:t>6</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86</w:t>
            </w:r>
            <w:r w:rsidRPr="0070507D">
              <w:rPr>
                <w:szCs w:val="24"/>
              </w:rPr>
              <w:t>.</w:t>
            </w:r>
            <w:r>
              <w:rPr>
                <w:szCs w:val="24"/>
              </w:rPr>
              <w:t>8</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83</w:t>
            </w:r>
            <w:r w:rsidRPr="0070507D">
              <w:rPr>
                <w:szCs w:val="24"/>
              </w:rPr>
              <w:t>.</w:t>
            </w:r>
            <w:r>
              <w:rPr>
                <w:szCs w:val="24"/>
              </w:rPr>
              <w:t>1</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83</w:t>
            </w:r>
            <w:r w:rsidRPr="0070507D">
              <w:rPr>
                <w:szCs w:val="24"/>
              </w:rPr>
              <w:t>.</w:t>
            </w:r>
            <w:r>
              <w:rPr>
                <w:szCs w:val="24"/>
              </w:rPr>
              <w:t>8</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82</w:t>
            </w:r>
            <w:r w:rsidRPr="0070507D">
              <w:rPr>
                <w:szCs w:val="24"/>
              </w:rPr>
              <w:t>.</w:t>
            </w:r>
            <w:r>
              <w:rPr>
                <w:szCs w:val="24"/>
              </w:rPr>
              <w:t>4</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8</w:t>
            </w:r>
            <w:r w:rsidRPr="0070507D">
              <w:rPr>
                <w:szCs w:val="24"/>
              </w:rPr>
              <w:t>0.</w:t>
            </w:r>
            <w:r>
              <w:rPr>
                <w:szCs w:val="24"/>
              </w:rPr>
              <w:t>3</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sidRPr="0070507D">
              <w:rPr>
                <w:szCs w:val="24"/>
              </w:rPr>
              <w:t>0</w:t>
            </w:r>
            <w:r>
              <w:rPr>
                <w:szCs w:val="24"/>
              </w:rPr>
              <w:t>9</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99</w:t>
            </w:r>
            <w:r w:rsidRPr="0070507D">
              <w:rPr>
                <w:szCs w:val="24"/>
              </w:rPr>
              <w:t>.</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w:t>
            </w:r>
            <w:r>
              <w:rPr>
                <w:szCs w:val="24"/>
              </w:rPr>
              <w:t>2</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w:t>
            </w:r>
            <w:r>
              <w:rPr>
                <w:szCs w:val="24"/>
              </w:rPr>
              <w:t>8</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1</w:t>
            </w:r>
            <w:r w:rsidRPr="0070507D">
              <w:rPr>
                <w:szCs w:val="24"/>
              </w:rPr>
              <w:t>.</w:t>
            </w:r>
            <w:r>
              <w:rPr>
                <w:szCs w:val="24"/>
              </w:rPr>
              <w:t>5</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w:t>
            </w:r>
            <w:r>
              <w:rPr>
                <w:szCs w:val="24"/>
              </w:rPr>
              <w:t>2</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99</w:t>
            </w:r>
            <w:r w:rsidRPr="0070507D">
              <w:rPr>
                <w:szCs w:val="24"/>
              </w:rPr>
              <w:t>.</w:t>
            </w:r>
            <w:r>
              <w:rPr>
                <w:szCs w:val="24"/>
              </w:rPr>
              <w:t>6</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98</w:t>
            </w:r>
            <w:r w:rsidRPr="0070507D">
              <w:rPr>
                <w:szCs w:val="24"/>
              </w:rPr>
              <w:t>.</w:t>
            </w:r>
            <w:r>
              <w:rPr>
                <w:szCs w:val="24"/>
              </w:rPr>
              <w:t>9</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98</w:t>
            </w:r>
            <w:r w:rsidRPr="0070507D">
              <w:rPr>
                <w:szCs w:val="24"/>
              </w:rPr>
              <w:t>.</w:t>
            </w:r>
            <w:r>
              <w:rPr>
                <w:szCs w:val="24"/>
              </w:rPr>
              <w:t>9</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Pr>
                <w:szCs w:val="24"/>
              </w:rPr>
              <w:t>1</w:t>
            </w:r>
            <w:r w:rsidRPr="0070507D">
              <w:rPr>
                <w:szCs w:val="24"/>
              </w:rPr>
              <w:t>0</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3</w:t>
            </w:r>
            <w:r w:rsidRPr="0070507D">
              <w:rPr>
                <w:szCs w:val="24"/>
              </w:rPr>
              <w:t>.</w:t>
            </w:r>
            <w:r>
              <w:rPr>
                <w:szCs w:val="24"/>
              </w:rPr>
              <w:t>2</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5</w:t>
            </w:r>
            <w:r w:rsidRPr="0070507D">
              <w:rPr>
                <w:szCs w:val="24"/>
              </w:rPr>
              <w:t>.0</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7</w:t>
            </w:r>
            <w:r w:rsidRPr="0070507D">
              <w:rPr>
                <w:szCs w:val="24"/>
              </w:rPr>
              <w:t>.</w:t>
            </w:r>
            <w:r>
              <w:rPr>
                <w:szCs w:val="24"/>
              </w:rPr>
              <w:t>9</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114</w:t>
            </w:r>
            <w:r w:rsidRPr="0070507D">
              <w:rPr>
                <w:szCs w:val="24"/>
              </w:rPr>
              <w:t>.</w:t>
            </w:r>
            <w:r>
              <w:rPr>
                <w:szCs w:val="24"/>
              </w:rPr>
              <w:t>2</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113</w:t>
            </w:r>
            <w:r w:rsidRPr="0070507D">
              <w:rPr>
                <w:szCs w:val="24"/>
              </w:rPr>
              <w:t>.</w:t>
            </w:r>
            <w:r>
              <w:rPr>
                <w:szCs w:val="24"/>
              </w:rPr>
              <w:t>1</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115</w:t>
            </w:r>
            <w:r w:rsidRPr="0070507D">
              <w:rPr>
                <w:szCs w:val="24"/>
              </w:rPr>
              <w:t>.</w:t>
            </w:r>
            <w:r>
              <w:rPr>
                <w:szCs w:val="24"/>
              </w:rPr>
              <w:t>7</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117</w:t>
            </w:r>
            <w:r w:rsidRPr="0070507D">
              <w:rPr>
                <w:szCs w:val="24"/>
              </w:rPr>
              <w:t>.</w:t>
            </w:r>
            <w:r>
              <w:rPr>
                <w:szCs w:val="24"/>
              </w:rPr>
              <w:t>6</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119</w:t>
            </w:r>
            <w:r w:rsidRPr="0070507D">
              <w:rPr>
                <w:szCs w:val="24"/>
              </w:rPr>
              <w:t>.</w:t>
            </w:r>
            <w:r>
              <w:rPr>
                <w:szCs w:val="24"/>
              </w:rPr>
              <w:t>3</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Pr>
                <w:szCs w:val="24"/>
              </w:rPr>
              <w:t>11</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2</w:t>
            </w:r>
            <w:r w:rsidRPr="0070507D">
              <w:rPr>
                <w:szCs w:val="24"/>
              </w:rPr>
              <w:t>.</w:t>
            </w:r>
            <w:r>
              <w:rPr>
                <w:szCs w:val="24"/>
              </w:rPr>
              <w:t>5</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6</w:t>
            </w:r>
            <w:r w:rsidRPr="0070507D">
              <w:rPr>
                <w:szCs w:val="24"/>
              </w:rPr>
              <w:t>.</w:t>
            </w:r>
            <w:r>
              <w:rPr>
                <w:szCs w:val="24"/>
              </w:rPr>
              <w:t>4</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111</w:t>
            </w:r>
            <w:r w:rsidRPr="0070507D">
              <w:rPr>
                <w:szCs w:val="24"/>
              </w:rPr>
              <w:t>.</w:t>
            </w:r>
            <w:r>
              <w:rPr>
                <w:szCs w:val="24"/>
              </w:rPr>
              <w:t>1</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113</w:t>
            </w:r>
            <w:r w:rsidRPr="0070507D">
              <w:rPr>
                <w:szCs w:val="24"/>
              </w:rPr>
              <w:t>.</w:t>
            </w:r>
            <w:r>
              <w:rPr>
                <w:szCs w:val="24"/>
              </w:rPr>
              <w:t>8</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115</w:t>
            </w:r>
            <w:r w:rsidRPr="0070507D">
              <w:rPr>
                <w:szCs w:val="24"/>
              </w:rPr>
              <w:t>.</w:t>
            </w:r>
            <w:r>
              <w:rPr>
                <w:szCs w:val="24"/>
              </w:rPr>
              <w:t>5</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117</w:t>
            </w:r>
            <w:r w:rsidRPr="0070507D">
              <w:rPr>
                <w:szCs w:val="24"/>
              </w:rPr>
              <w:t>.</w:t>
            </w:r>
            <w:r>
              <w:rPr>
                <w:szCs w:val="24"/>
              </w:rPr>
              <w:t>5</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119</w:t>
            </w:r>
            <w:r w:rsidRPr="0070507D">
              <w:rPr>
                <w:szCs w:val="24"/>
              </w:rPr>
              <w:t>.</w:t>
            </w:r>
            <w:r>
              <w:rPr>
                <w:szCs w:val="24"/>
              </w:rPr>
              <w:t>7</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122</w:t>
            </w:r>
            <w:r w:rsidRPr="0070507D">
              <w:rPr>
                <w:szCs w:val="24"/>
              </w:rPr>
              <w:t>.</w:t>
            </w:r>
            <w:r>
              <w:rPr>
                <w:szCs w:val="24"/>
              </w:rPr>
              <w:t>5</w:t>
            </w:r>
          </w:p>
        </w:tc>
      </w:tr>
      <w:tr w:rsidR="00FD1D4D" w:rsidRPr="0070507D" w:rsidTr="00FD1D4D">
        <w:tc>
          <w:tcPr>
            <w:tcW w:w="430" w:type="dxa"/>
            <w:shd w:val="clear" w:color="auto" w:fill="auto"/>
            <w:hideMark/>
          </w:tcPr>
          <w:p w:rsidR="00FD1D4D" w:rsidRPr="0070507D" w:rsidRDefault="00FD1D4D" w:rsidP="00FD1D4D">
            <w:pPr>
              <w:pStyle w:val="a3"/>
              <w:overflowPunct/>
              <w:ind w:right="0"/>
              <w:jc w:val="left"/>
              <w:rPr>
                <w:szCs w:val="24"/>
              </w:rPr>
            </w:pPr>
            <w:r>
              <w:rPr>
                <w:szCs w:val="24"/>
              </w:rPr>
              <w:t>12</w:t>
            </w:r>
          </w:p>
        </w:tc>
        <w:tc>
          <w:tcPr>
            <w:tcW w:w="762"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00.0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3</w:t>
            </w:r>
            <w:r w:rsidRPr="0070507D">
              <w:rPr>
                <w:szCs w:val="24"/>
              </w:rPr>
              <w:t>.</w:t>
            </w:r>
            <w:r>
              <w:rPr>
                <w:szCs w:val="24"/>
              </w:rPr>
              <w:t>6</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7</w:t>
            </w:r>
            <w:r w:rsidRPr="0070507D">
              <w:rPr>
                <w:szCs w:val="24"/>
              </w:rPr>
              <w:t>.</w:t>
            </w:r>
            <w:r>
              <w:rPr>
                <w:szCs w:val="24"/>
              </w:rPr>
              <w:t>8</w:t>
            </w:r>
          </w:p>
        </w:tc>
        <w:tc>
          <w:tcPr>
            <w:tcW w:w="771" w:type="dxa"/>
            <w:shd w:val="clear" w:color="auto" w:fill="auto"/>
            <w:vAlign w:val="bottom"/>
            <w:hideMark/>
          </w:tcPr>
          <w:p w:rsidR="00FD1D4D" w:rsidRPr="0070507D" w:rsidRDefault="00FD1D4D" w:rsidP="00FD1D4D">
            <w:pPr>
              <w:pStyle w:val="a3"/>
              <w:overflowPunct/>
              <w:ind w:right="0"/>
              <w:jc w:val="right"/>
              <w:rPr>
                <w:szCs w:val="24"/>
              </w:rPr>
            </w:pPr>
            <w:r>
              <w:rPr>
                <w:szCs w:val="24"/>
              </w:rPr>
              <w:t>1</w:t>
            </w:r>
            <w:r w:rsidRPr="0070507D">
              <w:rPr>
                <w:szCs w:val="24"/>
              </w:rPr>
              <w:t>0</w:t>
            </w:r>
            <w:r>
              <w:rPr>
                <w:szCs w:val="24"/>
              </w:rPr>
              <w:t>8</w:t>
            </w:r>
            <w:r w:rsidRPr="0070507D">
              <w:rPr>
                <w:szCs w:val="24"/>
              </w:rPr>
              <w:t>.</w:t>
            </w:r>
            <w:r>
              <w:rPr>
                <w:szCs w:val="24"/>
              </w:rPr>
              <w:t>1</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w:t>
            </w:r>
            <w:r w:rsidRPr="0070507D">
              <w:rPr>
                <w:szCs w:val="24"/>
              </w:rPr>
              <w:t>0.</w:t>
            </w:r>
            <w:r>
              <w:rPr>
                <w:szCs w:val="24"/>
              </w:rPr>
              <w:t>7</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111</w:t>
            </w:r>
            <w:r w:rsidRPr="0070507D">
              <w:rPr>
                <w:szCs w:val="24"/>
              </w:rPr>
              <w:t>.0</w:t>
            </w:r>
          </w:p>
        </w:tc>
        <w:tc>
          <w:tcPr>
            <w:tcW w:w="770" w:type="dxa"/>
            <w:shd w:val="clear" w:color="auto" w:fill="auto"/>
            <w:vAlign w:val="bottom"/>
            <w:hideMark/>
          </w:tcPr>
          <w:p w:rsidR="00FD1D4D" w:rsidRPr="0070507D" w:rsidRDefault="00FD1D4D" w:rsidP="00FD1D4D">
            <w:pPr>
              <w:pStyle w:val="a3"/>
              <w:overflowPunct/>
              <w:ind w:right="0"/>
              <w:jc w:val="right"/>
              <w:rPr>
                <w:szCs w:val="24"/>
              </w:rPr>
            </w:pPr>
            <w:r>
              <w:rPr>
                <w:szCs w:val="24"/>
              </w:rPr>
              <w:t>11</w:t>
            </w:r>
            <w:r w:rsidRPr="0070507D">
              <w:rPr>
                <w:szCs w:val="24"/>
              </w:rPr>
              <w:t>0.</w:t>
            </w:r>
            <w:r>
              <w:rPr>
                <w:szCs w:val="24"/>
              </w:rPr>
              <w:t>7</w:t>
            </w:r>
          </w:p>
        </w:tc>
        <w:tc>
          <w:tcPr>
            <w:tcW w:w="772" w:type="dxa"/>
            <w:shd w:val="clear" w:color="auto" w:fill="auto"/>
            <w:vAlign w:val="bottom"/>
          </w:tcPr>
          <w:p w:rsidR="00FD1D4D" w:rsidRPr="0070507D" w:rsidRDefault="00FD1D4D" w:rsidP="00FD1D4D">
            <w:pPr>
              <w:pStyle w:val="a3"/>
              <w:overflowPunct/>
              <w:ind w:right="0"/>
              <w:jc w:val="right"/>
              <w:rPr>
                <w:szCs w:val="24"/>
              </w:rPr>
            </w:pPr>
            <w:r>
              <w:rPr>
                <w:szCs w:val="24"/>
              </w:rPr>
              <w:t>111</w:t>
            </w:r>
            <w:r w:rsidRPr="0070507D">
              <w:rPr>
                <w:szCs w:val="24"/>
              </w:rPr>
              <w:t>.0</w:t>
            </w:r>
          </w:p>
        </w:tc>
        <w:tc>
          <w:tcPr>
            <w:tcW w:w="785" w:type="dxa"/>
            <w:shd w:val="clear" w:color="auto" w:fill="auto"/>
            <w:vAlign w:val="bottom"/>
          </w:tcPr>
          <w:p w:rsidR="00FD1D4D" w:rsidRPr="0070507D" w:rsidRDefault="00FD1D4D" w:rsidP="00FD1D4D">
            <w:pPr>
              <w:pStyle w:val="a3"/>
              <w:overflowPunct/>
              <w:ind w:right="0"/>
              <w:jc w:val="right"/>
              <w:rPr>
                <w:szCs w:val="24"/>
              </w:rPr>
            </w:pPr>
            <w:r>
              <w:rPr>
                <w:szCs w:val="24"/>
              </w:rPr>
              <w:t>11</w:t>
            </w:r>
            <w:r w:rsidRPr="0070507D">
              <w:rPr>
                <w:szCs w:val="24"/>
              </w:rPr>
              <w:t>0.</w:t>
            </w:r>
            <w:r>
              <w:rPr>
                <w:szCs w:val="24"/>
              </w:rPr>
              <w:t>3</w:t>
            </w:r>
          </w:p>
        </w:tc>
      </w:tr>
    </w:tbl>
    <w:p w:rsidR="0024344F" w:rsidRPr="003E491A" w:rsidRDefault="001E7D8D" w:rsidP="001E7D8D">
      <w:pPr>
        <w:pStyle w:val="ac"/>
        <w:spacing w:before="120"/>
      </w:pPr>
      <w:r>
        <w:rPr>
          <w:rFonts w:eastAsia="楷体"/>
        </w:rPr>
        <w:tab/>
      </w:r>
      <w:r>
        <w:rPr>
          <w:rFonts w:eastAsia="楷体"/>
        </w:rPr>
        <w:tab/>
      </w:r>
      <w:r>
        <w:rPr>
          <w:rFonts w:eastAsia="楷体"/>
        </w:rPr>
        <w:tab/>
      </w:r>
      <w:r w:rsidR="0024344F" w:rsidRPr="00016580">
        <w:rPr>
          <w:rFonts w:eastAsia="楷体" w:hint="eastAsia"/>
        </w:rPr>
        <w:t>资料来源</w:t>
      </w:r>
      <w:r w:rsidR="0024344F" w:rsidRPr="003E491A">
        <w:rPr>
          <w:rFonts w:hint="eastAsia"/>
        </w:rPr>
        <w:t>：</w:t>
      </w:r>
      <w:r w:rsidR="0024344F" w:rsidRPr="0024344F">
        <w:rPr>
          <w:rFonts w:hint="eastAsia"/>
        </w:rPr>
        <w:t>芬兰统计局，居民消费价格指数，图表。</w:t>
      </w:r>
    </w:p>
    <w:p w:rsidR="000B2431" w:rsidRDefault="001E7D8D" w:rsidP="0074650F">
      <w:pPr>
        <w:pStyle w:val="ac"/>
        <w:spacing w:after="120"/>
      </w:pPr>
      <w:r>
        <w:tab/>
      </w:r>
      <w:r>
        <w:tab/>
      </w:r>
      <w:r>
        <w:tab/>
      </w:r>
      <w:r w:rsidR="0024344F" w:rsidRPr="0024344F">
        <w:rPr>
          <w:rFonts w:hint="eastAsia"/>
        </w:rPr>
        <w:t xml:space="preserve">0 = </w:t>
      </w:r>
      <w:r w:rsidR="0024344F" w:rsidRPr="0024344F">
        <w:rPr>
          <w:rFonts w:hint="eastAsia"/>
        </w:rPr>
        <w:t>居民消费价格指数，</w:t>
      </w:r>
      <w:r w:rsidR="0024344F" w:rsidRPr="0024344F">
        <w:rPr>
          <w:rFonts w:hint="eastAsia"/>
        </w:rPr>
        <w:t xml:space="preserve">01 = </w:t>
      </w:r>
      <w:r w:rsidR="0024344F" w:rsidRPr="0024344F">
        <w:rPr>
          <w:rFonts w:hint="eastAsia"/>
        </w:rPr>
        <w:t>食品和非酒精饮料，</w:t>
      </w:r>
      <w:r w:rsidR="0024344F" w:rsidRPr="0024344F">
        <w:rPr>
          <w:rFonts w:hint="eastAsia"/>
        </w:rPr>
        <w:t xml:space="preserve">02 = </w:t>
      </w:r>
      <w:r w:rsidR="0024344F" w:rsidRPr="0024344F">
        <w:rPr>
          <w:rFonts w:hint="eastAsia"/>
        </w:rPr>
        <w:t>酒精饮料和烟草，</w:t>
      </w:r>
      <w:r w:rsidR="0024344F" w:rsidRPr="0024344F">
        <w:rPr>
          <w:rFonts w:hint="eastAsia"/>
        </w:rPr>
        <w:t xml:space="preserve">03 = </w:t>
      </w:r>
      <w:r w:rsidR="0024344F" w:rsidRPr="0024344F">
        <w:rPr>
          <w:rFonts w:hint="eastAsia"/>
        </w:rPr>
        <w:t>服装和鞋类，</w:t>
      </w:r>
      <w:r w:rsidR="0024344F" w:rsidRPr="0024344F">
        <w:rPr>
          <w:rFonts w:hint="eastAsia"/>
        </w:rPr>
        <w:t xml:space="preserve">04 = </w:t>
      </w:r>
      <w:r w:rsidR="0024344F" w:rsidRPr="0024344F">
        <w:rPr>
          <w:rFonts w:hint="eastAsia"/>
        </w:rPr>
        <w:t>住房、水、电、煤气和其他燃料，</w:t>
      </w:r>
      <w:r w:rsidR="0024344F" w:rsidRPr="0024344F">
        <w:rPr>
          <w:rFonts w:hint="eastAsia"/>
        </w:rPr>
        <w:t xml:space="preserve">05 = </w:t>
      </w:r>
      <w:r w:rsidR="0024344F" w:rsidRPr="0024344F">
        <w:rPr>
          <w:rFonts w:hint="eastAsia"/>
        </w:rPr>
        <w:t>家具、家庭电器和房屋日常维护，</w:t>
      </w:r>
      <w:r w:rsidR="0024344F" w:rsidRPr="0024344F">
        <w:rPr>
          <w:rFonts w:hint="eastAsia"/>
        </w:rPr>
        <w:t xml:space="preserve">06 = </w:t>
      </w:r>
      <w:r w:rsidR="0024344F" w:rsidRPr="0024344F">
        <w:rPr>
          <w:rFonts w:hint="eastAsia"/>
        </w:rPr>
        <w:t>健康，</w:t>
      </w:r>
      <w:r w:rsidR="0024344F" w:rsidRPr="0024344F">
        <w:rPr>
          <w:rFonts w:hint="eastAsia"/>
        </w:rPr>
        <w:t xml:space="preserve">07 = </w:t>
      </w:r>
      <w:r w:rsidR="0024344F" w:rsidRPr="0024344F">
        <w:rPr>
          <w:rFonts w:hint="eastAsia"/>
        </w:rPr>
        <w:t>交通，</w:t>
      </w:r>
      <w:r w:rsidR="0024344F" w:rsidRPr="0024344F">
        <w:rPr>
          <w:rFonts w:hint="eastAsia"/>
        </w:rPr>
        <w:t xml:space="preserve">08 = </w:t>
      </w:r>
      <w:r w:rsidR="0024344F" w:rsidRPr="0024344F">
        <w:rPr>
          <w:rFonts w:hint="eastAsia"/>
        </w:rPr>
        <w:t>通信，</w:t>
      </w:r>
      <w:r w:rsidR="0024344F" w:rsidRPr="0024344F">
        <w:rPr>
          <w:rFonts w:hint="eastAsia"/>
        </w:rPr>
        <w:t xml:space="preserve">09 = </w:t>
      </w:r>
      <w:r w:rsidR="0024344F" w:rsidRPr="0024344F">
        <w:rPr>
          <w:rFonts w:hint="eastAsia"/>
        </w:rPr>
        <w:t>娱乐和文化，</w:t>
      </w:r>
      <w:r w:rsidR="0024344F" w:rsidRPr="0024344F">
        <w:rPr>
          <w:rFonts w:hint="eastAsia"/>
        </w:rPr>
        <w:t xml:space="preserve">10 = </w:t>
      </w:r>
      <w:r w:rsidR="0024344F" w:rsidRPr="0024344F">
        <w:rPr>
          <w:rFonts w:hint="eastAsia"/>
        </w:rPr>
        <w:t>教育，</w:t>
      </w:r>
      <w:r w:rsidR="0024344F" w:rsidRPr="0024344F">
        <w:rPr>
          <w:rFonts w:hint="eastAsia"/>
        </w:rPr>
        <w:t xml:space="preserve">11 = </w:t>
      </w:r>
      <w:r w:rsidR="0024344F" w:rsidRPr="0024344F">
        <w:rPr>
          <w:rFonts w:hint="eastAsia"/>
        </w:rPr>
        <w:t>餐馆和旅馆，</w:t>
      </w:r>
      <w:r w:rsidR="0024344F" w:rsidRPr="0024344F">
        <w:rPr>
          <w:rFonts w:hint="eastAsia"/>
        </w:rPr>
        <w:t xml:space="preserve">12 = </w:t>
      </w:r>
      <w:r w:rsidR="0024344F" w:rsidRPr="0024344F">
        <w:rPr>
          <w:rFonts w:hint="eastAsia"/>
        </w:rPr>
        <w:t>杂项货物和服务。</w:t>
      </w:r>
    </w:p>
    <w:p w:rsidR="0074650F" w:rsidRDefault="0074650F" w:rsidP="0074650F">
      <w:pPr>
        <w:pStyle w:val="SingleTxtGC"/>
      </w:pPr>
      <w:r>
        <w:rPr>
          <w:rFonts w:hint="eastAsia"/>
        </w:rPr>
        <w:t>46.</w:t>
      </w:r>
      <w:r>
        <w:rPr>
          <w:rFonts w:hint="eastAsia"/>
        </w:rPr>
        <w:tab/>
      </w:r>
      <w:r>
        <w:rPr>
          <w:rFonts w:hint="eastAsia"/>
        </w:rPr>
        <w:t>除了国家居民消费价格指数，欧洲联盟成员国还编制了居民消费价格调和指数。使用它的主要目的是比较欧盟国家之间的通货膨胀。欧洲中央银行在其货币政策中使用居民消费价格调和指数作为通货膨胀的衡量标准。居民消费价格调和指数的计算以欧盟法规为指导。</w:t>
      </w:r>
    </w:p>
    <w:p w:rsidR="0074650F" w:rsidRDefault="0074650F" w:rsidP="0074650F">
      <w:pPr>
        <w:pStyle w:val="H23GC"/>
      </w:pPr>
      <w:r>
        <w:rPr>
          <w:rFonts w:hint="eastAsia"/>
        </w:rPr>
        <w:lastRenderedPageBreak/>
        <w:tab/>
      </w:r>
      <w:r>
        <w:rPr>
          <w:rFonts w:hint="eastAsia"/>
        </w:rPr>
        <w:tab/>
      </w:r>
      <w:r>
        <w:rPr>
          <w:rFonts w:hint="eastAsia"/>
        </w:rPr>
        <w:t>中央政府债务</w:t>
      </w:r>
    </w:p>
    <w:p w:rsidR="0074650F" w:rsidRDefault="0074650F" w:rsidP="0074650F">
      <w:pPr>
        <w:pStyle w:val="SingleTxtGC"/>
      </w:pPr>
      <w:r>
        <w:rPr>
          <w:rFonts w:hint="eastAsia"/>
        </w:rPr>
        <w:t>47.</w:t>
      </w:r>
      <w:r>
        <w:rPr>
          <w:rFonts w:hint="eastAsia"/>
        </w:rPr>
        <w:tab/>
      </w:r>
      <w:r>
        <w:rPr>
          <w:rFonts w:hint="eastAsia"/>
        </w:rPr>
        <w:t>根据《芬兰宪法》，中央政府举债须经议会准许。该准许决定应说明新债务的最高水平或中央政府债务的总水平。议会已授权政府举债，前提是中央政府债务的名义价值不超过</w:t>
      </w:r>
      <w:r>
        <w:rPr>
          <w:rFonts w:hint="eastAsia"/>
        </w:rPr>
        <w:t>1</w:t>
      </w:r>
      <w:r w:rsidR="006F2829">
        <w:t>,</w:t>
      </w:r>
      <w:r>
        <w:rPr>
          <w:rFonts w:hint="eastAsia"/>
        </w:rPr>
        <w:t>250</w:t>
      </w:r>
      <w:r>
        <w:rPr>
          <w:rFonts w:hint="eastAsia"/>
        </w:rPr>
        <w:t>亿欧元，直至另行通知，并且在借款时，短期债务的价值不超过</w:t>
      </w:r>
      <w:r>
        <w:rPr>
          <w:rFonts w:hint="eastAsia"/>
        </w:rPr>
        <w:t>180</w:t>
      </w:r>
      <w:r>
        <w:rPr>
          <w:rFonts w:hint="eastAsia"/>
        </w:rPr>
        <w:t>亿欧元。</w:t>
      </w:r>
    </w:p>
    <w:p w:rsidR="0074650F" w:rsidRDefault="0074650F" w:rsidP="0074650F">
      <w:pPr>
        <w:pStyle w:val="SingleTxtGC"/>
      </w:pPr>
      <w:r>
        <w:rPr>
          <w:rFonts w:hint="eastAsia"/>
        </w:rPr>
        <w:t>48.</w:t>
      </w:r>
      <w:r>
        <w:rPr>
          <w:rFonts w:hint="eastAsia"/>
        </w:rPr>
        <w:tab/>
      </w:r>
      <w:r>
        <w:rPr>
          <w:rFonts w:hint="eastAsia"/>
        </w:rPr>
        <w:t>议会授权政府在必要时借入短期贷款，以保障中央政府的流动资金，并授权政府为与中央政府债务管理相关的风险管理目的，自行酌情决定签订衍生品合约。</w:t>
      </w:r>
    </w:p>
    <w:p w:rsidR="000B2431" w:rsidRPr="0074650F" w:rsidRDefault="0074650F" w:rsidP="0074650F">
      <w:pPr>
        <w:pStyle w:val="SingleTxtGC"/>
        <w:rPr>
          <w:rFonts w:ascii="Time New Roman" w:eastAsia="黑体" w:hAnsi="Time New Roman" w:hint="eastAsia"/>
        </w:rPr>
      </w:pPr>
      <w:r>
        <w:rPr>
          <w:rFonts w:hint="eastAsia"/>
        </w:rPr>
        <w:t>表</w:t>
      </w:r>
      <w:r>
        <w:rPr>
          <w:rFonts w:hint="eastAsia"/>
        </w:rPr>
        <w:t>4.</w:t>
      </w:r>
      <w:r>
        <w:br/>
      </w:r>
      <w:r w:rsidRPr="0074650F">
        <w:rPr>
          <w:rFonts w:ascii="Time New Roman" w:eastAsia="黑体" w:hAnsi="Time New Roman" w:hint="eastAsia"/>
        </w:rPr>
        <w:t>2010-2018</w:t>
      </w:r>
      <w:r w:rsidRPr="0074650F">
        <w:rPr>
          <w:rFonts w:ascii="Time New Roman" w:eastAsia="黑体" w:hAnsi="Time New Roman" w:hint="eastAsia"/>
        </w:rPr>
        <w:t>年芬兰中央政府债务变化情况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0"/>
        <w:gridCol w:w="2592"/>
        <w:gridCol w:w="2488"/>
      </w:tblGrid>
      <w:tr w:rsidR="00F029FD" w:rsidRPr="0070507D" w:rsidTr="00C02BD1">
        <w:trPr>
          <w:tblHeader/>
        </w:trPr>
        <w:tc>
          <w:tcPr>
            <w:tcW w:w="2290" w:type="dxa"/>
            <w:tcBorders>
              <w:top w:val="single" w:sz="4" w:space="0" w:color="auto"/>
              <w:bottom w:val="single" w:sz="12" w:space="0" w:color="auto"/>
            </w:tcBorders>
            <w:shd w:val="clear" w:color="auto" w:fill="auto"/>
            <w:vAlign w:val="bottom"/>
          </w:tcPr>
          <w:p w:rsidR="00F029FD" w:rsidRPr="0070507D" w:rsidRDefault="00F029FD" w:rsidP="00C02BD1">
            <w:pPr>
              <w:pStyle w:val="a4"/>
              <w:ind w:right="0"/>
              <w:jc w:val="left"/>
            </w:pPr>
            <w:r w:rsidRPr="0070507D">
              <w:rPr>
                <w:rFonts w:hint="eastAsia"/>
              </w:rPr>
              <w:t>年份</w:t>
            </w:r>
          </w:p>
        </w:tc>
        <w:tc>
          <w:tcPr>
            <w:tcW w:w="2592" w:type="dxa"/>
            <w:tcBorders>
              <w:top w:val="single" w:sz="4" w:space="0" w:color="auto"/>
              <w:bottom w:val="single" w:sz="12" w:space="0" w:color="auto"/>
            </w:tcBorders>
            <w:shd w:val="clear" w:color="auto" w:fill="auto"/>
            <w:vAlign w:val="bottom"/>
          </w:tcPr>
          <w:p w:rsidR="00F029FD" w:rsidRPr="0070507D" w:rsidRDefault="00F029FD" w:rsidP="00C02BD1">
            <w:pPr>
              <w:pStyle w:val="a4"/>
              <w:ind w:right="0"/>
              <w:jc w:val="right"/>
            </w:pPr>
            <w:r w:rsidRPr="0070507D">
              <w:rPr>
                <w:rFonts w:hint="eastAsia"/>
              </w:rPr>
              <w:t>百万欧元</w:t>
            </w:r>
          </w:p>
        </w:tc>
        <w:tc>
          <w:tcPr>
            <w:tcW w:w="2488" w:type="dxa"/>
            <w:tcBorders>
              <w:top w:val="single" w:sz="4" w:space="0" w:color="auto"/>
              <w:bottom w:val="single" w:sz="12" w:space="0" w:color="auto"/>
            </w:tcBorders>
            <w:shd w:val="clear" w:color="auto" w:fill="auto"/>
            <w:vAlign w:val="bottom"/>
          </w:tcPr>
          <w:p w:rsidR="00F029FD" w:rsidRPr="0070507D" w:rsidRDefault="00F029FD" w:rsidP="00C02BD1">
            <w:pPr>
              <w:pStyle w:val="a4"/>
              <w:ind w:right="0"/>
              <w:jc w:val="right"/>
            </w:pPr>
            <w:r w:rsidRPr="0070507D">
              <w:rPr>
                <w:rFonts w:hint="eastAsia"/>
              </w:rPr>
              <w:t>占</w:t>
            </w:r>
            <w:r>
              <w:t>GDP</w:t>
            </w:r>
            <w:r w:rsidRPr="0070507D">
              <w:rPr>
                <w:rFonts w:hint="eastAsia"/>
              </w:rPr>
              <w:t>百分比</w:t>
            </w:r>
          </w:p>
        </w:tc>
      </w:tr>
      <w:tr w:rsidR="00F029FD" w:rsidRPr="0070507D" w:rsidTr="00C02BD1">
        <w:tc>
          <w:tcPr>
            <w:tcW w:w="2290" w:type="dxa"/>
            <w:tcBorders>
              <w:top w:val="single" w:sz="12" w:space="0" w:color="auto"/>
            </w:tcBorders>
            <w:shd w:val="clear" w:color="auto" w:fill="auto"/>
          </w:tcPr>
          <w:p w:rsidR="00F029FD" w:rsidRPr="0070507D" w:rsidRDefault="00F029FD" w:rsidP="00C02BD1">
            <w:pPr>
              <w:pStyle w:val="a3"/>
              <w:overflowPunct/>
              <w:ind w:right="0"/>
              <w:jc w:val="left"/>
            </w:pPr>
            <w:r>
              <w:t>2</w:t>
            </w:r>
            <w:r w:rsidRPr="0070507D">
              <w:t>0</w:t>
            </w:r>
            <w:r>
              <w:t>1</w:t>
            </w:r>
            <w:r w:rsidRPr="0070507D">
              <w:t>0</w:t>
            </w:r>
            <w:r w:rsidRPr="0070507D">
              <w:rPr>
                <w:rFonts w:hint="eastAsia"/>
              </w:rPr>
              <w:t>年</w:t>
            </w:r>
          </w:p>
        </w:tc>
        <w:tc>
          <w:tcPr>
            <w:tcW w:w="2592" w:type="dxa"/>
            <w:tcBorders>
              <w:top w:val="single" w:sz="12" w:space="0" w:color="auto"/>
            </w:tcBorders>
            <w:shd w:val="clear" w:color="auto" w:fill="auto"/>
            <w:vAlign w:val="bottom"/>
          </w:tcPr>
          <w:p w:rsidR="00F029FD" w:rsidRPr="0070507D" w:rsidRDefault="00F029FD" w:rsidP="00C02BD1">
            <w:pPr>
              <w:pStyle w:val="a3"/>
              <w:overflowPunct/>
              <w:ind w:right="0"/>
              <w:jc w:val="right"/>
            </w:pPr>
            <w:r>
              <w:t>75</w:t>
            </w:r>
            <w:r w:rsidRPr="0070507D">
              <w:t xml:space="preserve"> </w:t>
            </w:r>
            <w:r>
              <w:t>152</w:t>
            </w:r>
          </w:p>
        </w:tc>
        <w:tc>
          <w:tcPr>
            <w:tcW w:w="2488" w:type="dxa"/>
            <w:tcBorders>
              <w:top w:val="single" w:sz="12" w:space="0" w:color="auto"/>
            </w:tcBorders>
            <w:shd w:val="clear" w:color="auto" w:fill="auto"/>
            <w:vAlign w:val="bottom"/>
          </w:tcPr>
          <w:p w:rsidR="00F029FD" w:rsidRPr="0070507D" w:rsidRDefault="00F029FD" w:rsidP="00C02BD1">
            <w:pPr>
              <w:pStyle w:val="a3"/>
              <w:overflowPunct/>
              <w:ind w:right="0"/>
              <w:jc w:val="right"/>
            </w:pPr>
            <w:r>
              <w:t>4</w:t>
            </w:r>
            <w:r w:rsidRPr="0070507D">
              <w:t>0.</w:t>
            </w:r>
            <w:r>
              <w:t>2</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11</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79</w:t>
            </w:r>
            <w:r w:rsidRPr="0070507D">
              <w:t xml:space="preserve"> </w:t>
            </w:r>
            <w:r>
              <w:t>661</w:t>
            </w:r>
          </w:p>
        </w:tc>
        <w:tc>
          <w:tcPr>
            <w:tcW w:w="2488" w:type="dxa"/>
            <w:shd w:val="clear" w:color="auto" w:fill="auto"/>
            <w:vAlign w:val="bottom"/>
          </w:tcPr>
          <w:p w:rsidR="00F029FD" w:rsidRPr="0070507D" w:rsidRDefault="00F029FD" w:rsidP="00C02BD1">
            <w:pPr>
              <w:pStyle w:val="a3"/>
              <w:overflowPunct/>
              <w:ind w:right="0"/>
              <w:jc w:val="right"/>
            </w:pPr>
            <w:r>
              <w:t>4</w:t>
            </w:r>
            <w:r w:rsidRPr="0070507D">
              <w:t>0.</w:t>
            </w:r>
            <w:r>
              <w:t>5</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12</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83</w:t>
            </w:r>
            <w:r w:rsidRPr="0070507D">
              <w:t xml:space="preserve"> </w:t>
            </w:r>
            <w:r>
              <w:t>91</w:t>
            </w:r>
            <w:r w:rsidRPr="0070507D">
              <w:t>0</w:t>
            </w:r>
          </w:p>
        </w:tc>
        <w:tc>
          <w:tcPr>
            <w:tcW w:w="2488" w:type="dxa"/>
            <w:shd w:val="clear" w:color="auto" w:fill="auto"/>
            <w:vAlign w:val="bottom"/>
          </w:tcPr>
          <w:p w:rsidR="00F029FD" w:rsidRPr="0070507D" w:rsidRDefault="00F029FD" w:rsidP="00C02BD1">
            <w:pPr>
              <w:pStyle w:val="a3"/>
              <w:overflowPunct/>
              <w:ind w:right="0"/>
              <w:jc w:val="right"/>
            </w:pPr>
            <w:r>
              <w:t>42</w:t>
            </w:r>
            <w:r w:rsidRPr="0070507D">
              <w:t>.0</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13</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89</w:t>
            </w:r>
            <w:r w:rsidRPr="0070507D">
              <w:t xml:space="preserve"> </w:t>
            </w:r>
            <w:r>
              <w:t>738</w:t>
            </w:r>
          </w:p>
        </w:tc>
        <w:tc>
          <w:tcPr>
            <w:tcW w:w="2488" w:type="dxa"/>
            <w:shd w:val="clear" w:color="auto" w:fill="auto"/>
            <w:vAlign w:val="bottom"/>
          </w:tcPr>
          <w:p w:rsidR="00F029FD" w:rsidRPr="0070507D" w:rsidRDefault="00F029FD" w:rsidP="00C02BD1">
            <w:pPr>
              <w:pStyle w:val="a3"/>
              <w:overflowPunct/>
              <w:ind w:right="0"/>
              <w:jc w:val="right"/>
            </w:pPr>
            <w:r>
              <w:t>44</w:t>
            </w:r>
            <w:r w:rsidRPr="0070507D">
              <w:t>.</w:t>
            </w:r>
            <w:r>
              <w:t>1</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14</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95</w:t>
            </w:r>
            <w:r w:rsidRPr="0070507D">
              <w:t xml:space="preserve"> </w:t>
            </w:r>
            <w:r>
              <w:t>129</w:t>
            </w:r>
          </w:p>
        </w:tc>
        <w:tc>
          <w:tcPr>
            <w:tcW w:w="2488" w:type="dxa"/>
            <w:shd w:val="clear" w:color="auto" w:fill="auto"/>
            <w:vAlign w:val="bottom"/>
          </w:tcPr>
          <w:p w:rsidR="00F029FD" w:rsidRPr="0070507D" w:rsidRDefault="00F029FD" w:rsidP="00C02BD1">
            <w:pPr>
              <w:pStyle w:val="a3"/>
              <w:overflowPunct/>
              <w:ind w:right="0"/>
              <w:jc w:val="right"/>
            </w:pPr>
            <w:r>
              <w:t>46</w:t>
            </w:r>
            <w:r w:rsidRPr="0070507D">
              <w:t>.</w:t>
            </w:r>
            <w:r>
              <w:t>3</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15</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99</w:t>
            </w:r>
            <w:r w:rsidRPr="0070507D">
              <w:t xml:space="preserve"> </w:t>
            </w:r>
            <w:r>
              <w:t>8</w:t>
            </w:r>
            <w:r w:rsidRPr="0070507D">
              <w:t>0</w:t>
            </w:r>
            <w:r>
              <w:t>7</w:t>
            </w:r>
          </w:p>
        </w:tc>
        <w:tc>
          <w:tcPr>
            <w:tcW w:w="2488" w:type="dxa"/>
            <w:shd w:val="clear" w:color="auto" w:fill="auto"/>
            <w:vAlign w:val="bottom"/>
          </w:tcPr>
          <w:p w:rsidR="00F029FD" w:rsidRPr="0070507D" w:rsidRDefault="00F029FD" w:rsidP="00C02BD1">
            <w:pPr>
              <w:pStyle w:val="a3"/>
              <w:overflowPunct/>
              <w:ind w:right="0"/>
              <w:jc w:val="right"/>
            </w:pPr>
            <w:r>
              <w:t>47</w:t>
            </w:r>
            <w:r w:rsidRPr="0070507D">
              <w:t>.</w:t>
            </w:r>
            <w:r>
              <w:t>6</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16</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1</w:t>
            </w:r>
            <w:r w:rsidRPr="0070507D">
              <w:t>0</w:t>
            </w:r>
            <w:r>
              <w:t>2</w:t>
            </w:r>
            <w:r w:rsidRPr="0070507D">
              <w:t xml:space="preserve"> </w:t>
            </w:r>
            <w:r>
              <w:t>352</w:t>
            </w:r>
          </w:p>
        </w:tc>
        <w:tc>
          <w:tcPr>
            <w:tcW w:w="2488" w:type="dxa"/>
            <w:shd w:val="clear" w:color="auto" w:fill="auto"/>
            <w:vAlign w:val="bottom"/>
          </w:tcPr>
          <w:p w:rsidR="00F029FD" w:rsidRPr="0070507D" w:rsidRDefault="00F029FD" w:rsidP="00C02BD1">
            <w:pPr>
              <w:pStyle w:val="a3"/>
              <w:overflowPunct/>
              <w:ind w:right="0"/>
              <w:jc w:val="right"/>
            </w:pPr>
            <w:r>
              <w:t>47</w:t>
            </w:r>
            <w:r w:rsidRPr="0070507D">
              <w:t>.</w:t>
            </w:r>
            <w:r>
              <w:t>4</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17</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1</w:t>
            </w:r>
            <w:r w:rsidRPr="0070507D">
              <w:t>0</w:t>
            </w:r>
            <w:r>
              <w:t>5</w:t>
            </w:r>
            <w:r w:rsidRPr="0070507D">
              <w:t xml:space="preserve"> </w:t>
            </w:r>
            <w:r>
              <w:t>773</w:t>
            </w:r>
          </w:p>
        </w:tc>
        <w:tc>
          <w:tcPr>
            <w:tcW w:w="2488" w:type="dxa"/>
            <w:shd w:val="clear" w:color="auto" w:fill="auto"/>
            <w:vAlign w:val="bottom"/>
          </w:tcPr>
          <w:p w:rsidR="00F029FD" w:rsidRPr="0070507D" w:rsidRDefault="00F029FD" w:rsidP="00C02BD1">
            <w:pPr>
              <w:pStyle w:val="a3"/>
              <w:overflowPunct/>
              <w:ind w:right="0"/>
              <w:jc w:val="right"/>
            </w:pPr>
            <w:r>
              <w:t>47</w:t>
            </w:r>
            <w:r w:rsidRPr="0070507D">
              <w:t>.</w:t>
            </w:r>
            <w:r>
              <w:t>2</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18</w:t>
            </w:r>
            <w:r w:rsidRPr="0070507D">
              <w:rPr>
                <w:rFonts w:hint="eastAsia"/>
              </w:rPr>
              <w:t>年</w:t>
            </w:r>
          </w:p>
        </w:tc>
        <w:tc>
          <w:tcPr>
            <w:tcW w:w="2592" w:type="dxa"/>
            <w:shd w:val="clear" w:color="auto" w:fill="auto"/>
            <w:vAlign w:val="bottom"/>
          </w:tcPr>
          <w:p w:rsidR="00F029FD" w:rsidRPr="0070507D" w:rsidRDefault="00F029FD" w:rsidP="00C02BD1">
            <w:pPr>
              <w:pStyle w:val="a3"/>
              <w:overflowPunct/>
              <w:ind w:right="0"/>
              <w:jc w:val="right"/>
            </w:pPr>
            <w:r>
              <w:t>1</w:t>
            </w:r>
            <w:r w:rsidRPr="0070507D">
              <w:t>0</w:t>
            </w:r>
            <w:r>
              <w:t>4</w:t>
            </w:r>
            <w:r w:rsidRPr="0070507D">
              <w:t xml:space="preserve"> </w:t>
            </w:r>
            <w:r>
              <w:t>973</w:t>
            </w:r>
          </w:p>
        </w:tc>
        <w:tc>
          <w:tcPr>
            <w:tcW w:w="2488" w:type="dxa"/>
            <w:shd w:val="clear" w:color="auto" w:fill="auto"/>
            <w:vAlign w:val="bottom"/>
          </w:tcPr>
          <w:p w:rsidR="00F029FD" w:rsidRPr="0070507D" w:rsidRDefault="00F029FD" w:rsidP="00C02BD1">
            <w:pPr>
              <w:pStyle w:val="a3"/>
              <w:overflowPunct/>
              <w:ind w:right="0"/>
              <w:jc w:val="right"/>
            </w:pPr>
            <w:r>
              <w:t>45</w:t>
            </w:r>
            <w:r w:rsidRPr="0070507D">
              <w:t>.0</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19</w:t>
            </w:r>
            <w:r w:rsidRPr="0070507D">
              <w:rPr>
                <w:rFonts w:hint="eastAsia"/>
              </w:rPr>
              <w:t>年</w:t>
            </w:r>
            <w:r w:rsidRPr="0070507D">
              <w:t>*</w:t>
            </w:r>
          </w:p>
        </w:tc>
        <w:tc>
          <w:tcPr>
            <w:tcW w:w="2592" w:type="dxa"/>
            <w:shd w:val="clear" w:color="auto" w:fill="auto"/>
            <w:vAlign w:val="bottom"/>
          </w:tcPr>
          <w:p w:rsidR="00F029FD" w:rsidRPr="0070507D" w:rsidRDefault="00F029FD" w:rsidP="00C02BD1">
            <w:pPr>
              <w:pStyle w:val="a3"/>
              <w:overflowPunct/>
              <w:ind w:right="0"/>
              <w:jc w:val="right"/>
            </w:pPr>
          </w:p>
        </w:tc>
        <w:tc>
          <w:tcPr>
            <w:tcW w:w="2488" w:type="dxa"/>
            <w:shd w:val="clear" w:color="auto" w:fill="auto"/>
            <w:vAlign w:val="bottom"/>
          </w:tcPr>
          <w:p w:rsidR="00F029FD" w:rsidRPr="0070507D" w:rsidRDefault="00F029FD" w:rsidP="00C02BD1">
            <w:pPr>
              <w:pStyle w:val="a3"/>
              <w:overflowPunct/>
              <w:ind w:right="0"/>
              <w:jc w:val="right"/>
            </w:pPr>
            <w:r>
              <w:t>44</w:t>
            </w:r>
            <w:r w:rsidRPr="0070507D">
              <w:t>.</w:t>
            </w:r>
            <w:r>
              <w:t>5</w:t>
            </w:r>
          </w:p>
        </w:tc>
      </w:tr>
      <w:tr w:rsidR="00F029FD" w:rsidRPr="0070507D" w:rsidTr="00C02BD1">
        <w:tc>
          <w:tcPr>
            <w:tcW w:w="2290" w:type="dxa"/>
            <w:shd w:val="clear" w:color="auto" w:fill="auto"/>
          </w:tcPr>
          <w:p w:rsidR="00F029FD" w:rsidRPr="0070507D" w:rsidRDefault="00F029FD" w:rsidP="00C02BD1">
            <w:pPr>
              <w:pStyle w:val="a3"/>
              <w:overflowPunct/>
              <w:ind w:right="0"/>
              <w:jc w:val="left"/>
            </w:pPr>
            <w:r>
              <w:t>2</w:t>
            </w:r>
            <w:r w:rsidRPr="0070507D">
              <w:t>0</w:t>
            </w:r>
            <w:r>
              <w:t>2</w:t>
            </w:r>
            <w:r w:rsidRPr="0070507D">
              <w:t>0</w:t>
            </w:r>
            <w:r w:rsidRPr="0070507D">
              <w:rPr>
                <w:rFonts w:hint="eastAsia"/>
              </w:rPr>
              <w:t>年</w:t>
            </w:r>
            <w:r w:rsidRPr="0070507D">
              <w:t>*</w:t>
            </w:r>
          </w:p>
        </w:tc>
        <w:tc>
          <w:tcPr>
            <w:tcW w:w="2592" w:type="dxa"/>
            <w:shd w:val="clear" w:color="auto" w:fill="auto"/>
            <w:vAlign w:val="bottom"/>
          </w:tcPr>
          <w:p w:rsidR="00F029FD" w:rsidRPr="0070507D" w:rsidRDefault="00F029FD" w:rsidP="00C02BD1">
            <w:pPr>
              <w:pStyle w:val="a3"/>
              <w:overflowPunct/>
              <w:ind w:right="0"/>
              <w:jc w:val="right"/>
            </w:pPr>
          </w:p>
        </w:tc>
        <w:tc>
          <w:tcPr>
            <w:tcW w:w="2488" w:type="dxa"/>
            <w:shd w:val="clear" w:color="auto" w:fill="auto"/>
            <w:vAlign w:val="bottom"/>
          </w:tcPr>
          <w:p w:rsidR="00F029FD" w:rsidRPr="0070507D" w:rsidRDefault="00F029FD" w:rsidP="00C02BD1">
            <w:pPr>
              <w:pStyle w:val="a3"/>
              <w:overflowPunct/>
              <w:ind w:right="0"/>
              <w:jc w:val="right"/>
            </w:pPr>
            <w:r>
              <w:t>43</w:t>
            </w:r>
            <w:r w:rsidRPr="0070507D">
              <w:t>.</w:t>
            </w:r>
            <w:r>
              <w:t>8</w:t>
            </w:r>
          </w:p>
        </w:tc>
      </w:tr>
    </w:tbl>
    <w:p w:rsidR="00F029FD" w:rsidRDefault="00F029FD" w:rsidP="00F029FD">
      <w:pPr>
        <w:pStyle w:val="ac"/>
        <w:spacing w:before="120"/>
      </w:pPr>
      <w:r>
        <w:tab/>
      </w:r>
      <w:r>
        <w:tab/>
      </w:r>
      <w:r>
        <w:tab/>
      </w:r>
      <w:r w:rsidRPr="00F029FD">
        <w:rPr>
          <w:rFonts w:ascii="Time New Roman" w:eastAsia="楷体" w:hAnsi="Time New Roman" w:hint="eastAsia"/>
        </w:rPr>
        <w:t>资料来源</w:t>
      </w:r>
      <w:r>
        <w:rPr>
          <w:rFonts w:hint="eastAsia"/>
        </w:rPr>
        <w:t>：</w:t>
      </w:r>
      <w:proofErr w:type="spellStart"/>
      <w:r>
        <w:rPr>
          <w:rFonts w:hint="eastAsia"/>
        </w:rPr>
        <w:t>veronmaksajat.fi</w:t>
      </w:r>
      <w:proofErr w:type="spellEnd"/>
      <w:r w:rsidR="000824FF">
        <w:t xml:space="preserve"> </w:t>
      </w:r>
      <w:r>
        <w:rPr>
          <w:rFonts w:hint="eastAsia"/>
        </w:rPr>
        <w:t>[</w:t>
      </w:r>
      <w:r>
        <w:rPr>
          <w:rFonts w:hint="eastAsia"/>
        </w:rPr>
        <w:t>芬兰纳税人协会</w:t>
      </w:r>
      <w:r>
        <w:rPr>
          <w:rFonts w:hint="eastAsia"/>
        </w:rPr>
        <w:t>]</w:t>
      </w:r>
      <w:r>
        <w:rPr>
          <w:rFonts w:hint="eastAsia"/>
        </w:rPr>
        <w:t>，中央政府债务。</w:t>
      </w:r>
    </w:p>
    <w:p w:rsidR="000B2431" w:rsidRDefault="00F6419E" w:rsidP="00B44F31">
      <w:pPr>
        <w:pStyle w:val="ac"/>
      </w:pPr>
      <w:r w:rsidRPr="00F6419E">
        <w:rPr>
          <w:rFonts w:hint="eastAsia"/>
        </w:rPr>
        <w:tab/>
      </w:r>
      <w:r>
        <w:rPr>
          <w:rFonts w:hint="eastAsia"/>
        </w:rPr>
        <w:tab/>
      </w:r>
      <w:r>
        <w:rPr>
          <w:rFonts w:hint="eastAsia"/>
        </w:rPr>
        <w:tab/>
        <w:t xml:space="preserve">* </w:t>
      </w:r>
      <w:r w:rsidR="00F029FD">
        <w:rPr>
          <w:rFonts w:hint="eastAsia"/>
        </w:rPr>
        <w:t>预测。</w:t>
      </w:r>
    </w:p>
    <w:p w:rsidR="00B44F31" w:rsidRDefault="00B44F31" w:rsidP="00B44F31">
      <w:pPr>
        <w:pStyle w:val="H23GC"/>
      </w:pPr>
      <w:r>
        <w:rPr>
          <w:rFonts w:hint="eastAsia"/>
        </w:rPr>
        <w:tab/>
      </w:r>
      <w:r>
        <w:rPr>
          <w:rFonts w:hint="eastAsia"/>
        </w:rPr>
        <w:tab/>
      </w:r>
      <w:r>
        <w:rPr>
          <w:rFonts w:hint="eastAsia"/>
        </w:rPr>
        <w:t>非正规经济</w:t>
      </w:r>
    </w:p>
    <w:p w:rsidR="00B44F31" w:rsidRDefault="00B44F31" w:rsidP="00B44F31">
      <w:pPr>
        <w:pStyle w:val="SingleTxtGC"/>
      </w:pPr>
      <w:r>
        <w:rPr>
          <w:rFonts w:hint="eastAsia"/>
        </w:rPr>
        <w:t>49.</w:t>
      </w:r>
      <w:r>
        <w:rPr>
          <w:rFonts w:hint="eastAsia"/>
        </w:rPr>
        <w:tab/>
      </w:r>
      <w:r>
        <w:rPr>
          <w:rFonts w:hint="eastAsia"/>
        </w:rPr>
        <w:t>芬兰通过与打击灰色经济、经济犯罪和就业保障、社会保障以及整个劳动力市场有关的政策行动和立法，打击非正规经济。就业市场的运作和包容性是重要的目标。芬兰劳动和社会服务立法的适用范围很广，因此我们在非正规经济方面没有具体的“正规化行动”。</w:t>
      </w:r>
    </w:p>
    <w:p w:rsidR="00B44F31" w:rsidRDefault="00B44F31" w:rsidP="00B44F31">
      <w:pPr>
        <w:pStyle w:val="SingleTxtGC"/>
      </w:pPr>
      <w:r>
        <w:rPr>
          <w:rFonts w:hint="eastAsia"/>
        </w:rPr>
        <w:t>50.</w:t>
      </w:r>
      <w:r>
        <w:rPr>
          <w:rFonts w:hint="eastAsia"/>
        </w:rPr>
        <w:tab/>
      </w:r>
      <w:r>
        <w:rPr>
          <w:rFonts w:hint="eastAsia"/>
        </w:rPr>
        <w:t>劳动和社会服务立法以及有关工作生活发展的政策是通过三方合作制定的。在关于劳动力市场运作的所有立法和政策起草工作中，雇员平等和促进参与工作生活都是重要观点。促进弱势群体参与工作生活的另一个重要因素是改善公共服务。</w:t>
      </w:r>
    </w:p>
    <w:p w:rsidR="00B44F31" w:rsidRDefault="00B44F31" w:rsidP="00B44F31">
      <w:pPr>
        <w:pStyle w:val="SingleTxtGC"/>
      </w:pPr>
      <w:r>
        <w:rPr>
          <w:rFonts w:hint="eastAsia"/>
        </w:rPr>
        <w:t>51.</w:t>
      </w:r>
      <w:r>
        <w:rPr>
          <w:rFonts w:hint="eastAsia"/>
        </w:rPr>
        <w:tab/>
      </w:r>
      <w:r>
        <w:rPr>
          <w:rFonts w:hint="eastAsia"/>
        </w:rPr>
        <w:t>《芬兰宪法》保障包括非正规经济行为者在内的所有人的结社自由权和集体谈判权。</w:t>
      </w:r>
    </w:p>
    <w:p w:rsidR="00B44F31" w:rsidRDefault="00B44F31" w:rsidP="00B44F31">
      <w:pPr>
        <w:pStyle w:val="SingleTxtGC"/>
      </w:pPr>
      <w:r>
        <w:rPr>
          <w:rFonts w:hint="eastAsia"/>
        </w:rPr>
        <w:t>52.</w:t>
      </w:r>
      <w:r>
        <w:rPr>
          <w:rFonts w:hint="eastAsia"/>
        </w:rPr>
        <w:tab/>
      </w:r>
      <w:r>
        <w:rPr>
          <w:rFonts w:hint="eastAsia"/>
        </w:rPr>
        <w:t>采取行动加强当局的监督能力以及用于监督工作生活法规遵守情况的工具，对于打击非正规经济和灰色经济至关重要。</w:t>
      </w:r>
    </w:p>
    <w:p w:rsidR="00B44F31" w:rsidRDefault="00B44F31" w:rsidP="00B44F31">
      <w:pPr>
        <w:pStyle w:val="SingleTxtGC"/>
      </w:pPr>
      <w:r>
        <w:rPr>
          <w:rFonts w:hint="eastAsia"/>
        </w:rPr>
        <w:t>53.</w:t>
      </w:r>
      <w:r>
        <w:rPr>
          <w:rFonts w:hint="eastAsia"/>
        </w:rPr>
        <w:tab/>
      </w:r>
      <w:r>
        <w:rPr>
          <w:rFonts w:hint="eastAsia"/>
        </w:rPr>
        <w:t>欧洲反对未申报工作平台是一个欧盟级机构，它编写了关于成员国处理未申报工作的政策和行动的国家情况说明。关于芬兰的行动的资料，请参见附件《关于未申报工作的情况介绍</w:t>
      </w:r>
      <w:r w:rsidR="00D6004D">
        <w:rPr>
          <w:rFonts w:hint="eastAsia"/>
          <w:spacing w:val="-50"/>
        </w:rPr>
        <w:t>―</w:t>
      </w:r>
      <w:r w:rsidR="00D6004D">
        <w:rPr>
          <w:rFonts w:hint="eastAsia"/>
        </w:rPr>
        <w:t>―</w:t>
      </w:r>
      <w:r>
        <w:rPr>
          <w:rFonts w:hint="eastAsia"/>
        </w:rPr>
        <w:t>芬兰》</w:t>
      </w:r>
      <w:r>
        <w:rPr>
          <w:rFonts w:hint="eastAsia"/>
        </w:rPr>
        <w:t>(2017</w:t>
      </w:r>
      <w:r>
        <w:rPr>
          <w:rFonts w:hint="eastAsia"/>
        </w:rPr>
        <w:t>年</w:t>
      </w:r>
      <w:r>
        <w:rPr>
          <w:rFonts w:hint="eastAsia"/>
        </w:rPr>
        <w:t>9</w:t>
      </w:r>
      <w:r>
        <w:rPr>
          <w:rFonts w:hint="eastAsia"/>
        </w:rPr>
        <w:t>月</w:t>
      </w:r>
      <w:r>
        <w:rPr>
          <w:rFonts w:hint="eastAsia"/>
        </w:rPr>
        <w:t>)(</w:t>
      </w:r>
      <w:r>
        <w:rPr>
          <w:rFonts w:hint="eastAsia"/>
        </w:rPr>
        <w:t>附件一</w:t>
      </w:r>
      <w:r>
        <w:rPr>
          <w:rFonts w:hint="eastAsia"/>
        </w:rPr>
        <w:t>)</w:t>
      </w:r>
      <w:r>
        <w:rPr>
          <w:rFonts w:hint="eastAsia"/>
        </w:rPr>
        <w:t>。</w:t>
      </w:r>
    </w:p>
    <w:p w:rsidR="00B44F31" w:rsidRDefault="00B44F31" w:rsidP="00B44F31">
      <w:pPr>
        <w:pStyle w:val="SingleTxtGC"/>
      </w:pPr>
      <w:r>
        <w:rPr>
          <w:rFonts w:hint="eastAsia"/>
        </w:rPr>
        <w:lastRenderedPageBreak/>
        <w:t>54.</w:t>
      </w:r>
      <w:r>
        <w:rPr>
          <w:rFonts w:hint="eastAsia"/>
        </w:rPr>
        <w:tab/>
      </w:r>
      <w:r>
        <w:rPr>
          <w:rFonts w:hint="eastAsia"/>
        </w:rPr>
        <w:t>没有关于非正规经济或未申报工作的可靠统计数据。</w:t>
      </w:r>
    </w:p>
    <w:p w:rsidR="00B44F31" w:rsidRDefault="00B44F31" w:rsidP="00B44F31">
      <w:pPr>
        <w:pStyle w:val="SingleTxtGC"/>
      </w:pPr>
      <w:r>
        <w:rPr>
          <w:rFonts w:hint="eastAsia"/>
        </w:rPr>
        <w:t>55.</w:t>
      </w:r>
      <w:r>
        <w:rPr>
          <w:rFonts w:hint="eastAsia"/>
        </w:rPr>
        <w:tab/>
      </w:r>
      <w:r>
        <w:rPr>
          <w:rFonts w:hint="eastAsia"/>
        </w:rPr>
        <w:t>在芬兰，灰色经济和未申报工作通常与建筑和招待性行业部门的“信袋工资”</w:t>
      </w:r>
      <w:r>
        <w:rPr>
          <w:rFonts w:hint="eastAsia"/>
        </w:rPr>
        <w:t>(</w:t>
      </w:r>
      <w:r>
        <w:rPr>
          <w:rFonts w:hint="eastAsia"/>
        </w:rPr>
        <w:t>即未向当局申报就业</w:t>
      </w:r>
      <w:r>
        <w:rPr>
          <w:rFonts w:hint="eastAsia"/>
        </w:rPr>
        <w:t>)</w:t>
      </w:r>
      <w:r>
        <w:rPr>
          <w:rFonts w:hint="eastAsia"/>
        </w:rPr>
        <w:t>有关。众所周知，娱乐行业和房地产部门也存在隐性就业。灰色经济和未申报工作尤为明显地存在于由家居装修部门中小企业或自营职业者开展的工作中。虽然无证件人员</w:t>
      </w:r>
      <w:r>
        <w:rPr>
          <w:rFonts w:hint="eastAsia"/>
        </w:rPr>
        <w:t>(</w:t>
      </w:r>
      <w:r>
        <w:rPr>
          <w:rFonts w:hint="eastAsia"/>
        </w:rPr>
        <w:t>没有工作许可证</w:t>
      </w:r>
      <w:r>
        <w:rPr>
          <w:rFonts w:hint="eastAsia"/>
        </w:rPr>
        <w:t>)</w:t>
      </w:r>
      <w:r>
        <w:rPr>
          <w:rFonts w:hint="eastAsia"/>
        </w:rPr>
        <w:t>从事工作在芬兰并不是一个问题，但移民们认为报酬过低是一个问题，特别是在建筑和饮食服务部门。</w:t>
      </w:r>
    </w:p>
    <w:p w:rsidR="00B44F31" w:rsidRDefault="00B44F31" w:rsidP="00B44F31">
      <w:pPr>
        <w:pStyle w:val="SingleTxtGC"/>
      </w:pPr>
      <w:r>
        <w:rPr>
          <w:rFonts w:hint="eastAsia"/>
        </w:rPr>
        <w:t>56.</w:t>
      </w:r>
      <w:r>
        <w:rPr>
          <w:rFonts w:hint="eastAsia"/>
        </w:rPr>
        <w:tab/>
      </w:r>
      <w:r>
        <w:rPr>
          <w:rFonts w:hint="eastAsia"/>
        </w:rPr>
        <w:t>未申报工资在建筑部门</w:t>
      </w:r>
      <w:r>
        <w:rPr>
          <w:rFonts w:hint="eastAsia"/>
        </w:rPr>
        <w:t>(</w:t>
      </w:r>
      <w:r>
        <w:rPr>
          <w:rFonts w:hint="eastAsia"/>
        </w:rPr>
        <w:t>占工资总额的</w:t>
      </w:r>
      <w:r>
        <w:rPr>
          <w:rFonts w:hint="eastAsia"/>
        </w:rPr>
        <w:t>7.1%)</w:t>
      </w:r>
      <w:r>
        <w:rPr>
          <w:rFonts w:hint="eastAsia"/>
        </w:rPr>
        <w:t>和房地产部门</w:t>
      </w:r>
      <w:r>
        <w:rPr>
          <w:rFonts w:hint="eastAsia"/>
        </w:rPr>
        <w:t>(6.7%)</w:t>
      </w:r>
      <w:r>
        <w:rPr>
          <w:rFonts w:hint="eastAsia"/>
        </w:rPr>
        <w:t>最为常见。招待性行业、制造业和娱乐业是经常被提到的未申报工作呈上升趋势的部门。</w:t>
      </w:r>
    </w:p>
    <w:p w:rsidR="00B44F31" w:rsidRDefault="00B44F31" w:rsidP="00B44F31">
      <w:pPr>
        <w:pStyle w:val="SingleTxtGC"/>
      </w:pPr>
      <w:r>
        <w:rPr>
          <w:rFonts w:hint="eastAsia"/>
        </w:rPr>
        <w:t>57.</w:t>
      </w:r>
      <w:r>
        <w:rPr>
          <w:rFonts w:hint="eastAsia"/>
        </w:rPr>
        <w:tab/>
      </w:r>
      <w:r>
        <w:rPr>
          <w:rFonts w:hint="eastAsia"/>
        </w:rPr>
        <w:t>没有关于按照雇主规模统计的未申报工作分布情况统计数据。在大多数情况下，未申报工作涉及中小型企业。在大型企业中，这些问题更多地与支付给员工的福利逃避所得税的安排有关。</w:t>
      </w:r>
    </w:p>
    <w:p w:rsidR="00B44F31" w:rsidRDefault="00B44F31" w:rsidP="00B44F31">
      <w:pPr>
        <w:pStyle w:val="H23GC"/>
      </w:pPr>
      <w:r>
        <w:rPr>
          <w:rFonts w:hint="eastAsia"/>
        </w:rPr>
        <w:tab/>
      </w:r>
      <w:r>
        <w:rPr>
          <w:rFonts w:hint="eastAsia"/>
        </w:rPr>
        <w:tab/>
      </w:r>
      <w:r>
        <w:rPr>
          <w:rFonts w:hint="eastAsia"/>
        </w:rPr>
        <w:t>贫困与收入分配</w:t>
      </w:r>
    </w:p>
    <w:p w:rsidR="00B44F31" w:rsidRDefault="00B44F31" w:rsidP="00B44F31">
      <w:pPr>
        <w:pStyle w:val="SingleTxtGC"/>
      </w:pPr>
      <w:r>
        <w:rPr>
          <w:rFonts w:hint="eastAsia"/>
        </w:rPr>
        <w:t>58.</w:t>
      </w:r>
      <w:r>
        <w:rPr>
          <w:rFonts w:hint="eastAsia"/>
        </w:rPr>
        <w:tab/>
      </w:r>
      <w:r>
        <w:rPr>
          <w:rFonts w:hint="eastAsia"/>
        </w:rPr>
        <w:t>芬兰的家庭结构在过去的二十年里发生了变化。一口或两口之家已经变得更加普遍，而有子女的家庭比例有所下降。</w:t>
      </w:r>
      <w:r>
        <w:rPr>
          <w:rFonts w:hint="eastAsia"/>
        </w:rPr>
        <w:t>2017</w:t>
      </w:r>
      <w:r>
        <w:rPr>
          <w:rFonts w:hint="eastAsia"/>
        </w:rPr>
        <w:t>年最常见的家庭类型是一口之家，占家庭总数的</w:t>
      </w:r>
      <w:r>
        <w:rPr>
          <w:rFonts w:hint="eastAsia"/>
        </w:rPr>
        <w:t>43%</w:t>
      </w:r>
      <w:r>
        <w:rPr>
          <w:rFonts w:hint="eastAsia"/>
        </w:rPr>
        <w:t>。无子女夫妇占</w:t>
      </w:r>
      <w:r>
        <w:rPr>
          <w:rFonts w:hint="eastAsia"/>
        </w:rPr>
        <w:t>30%</w:t>
      </w:r>
      <w:r>
        <w:rPr>
          <w:rFonts w:hint="eastAsia"/>
        </w:rPr>
        <w:t>，有子女的单亲或双亲家庭占</w:t>
      </w:r>
      <w:r>
        <w:rPr>
          <w:rFonts w:hint="eastAsia"/>
        </w:rPr>
        <w:t>21.2%</w:t>
      </w:r>
      <w:r>
        <w:rPr>
          <w:rFonts w:hint="eastAsia"/>
        </w:rPr>
        <w:t>。“其他”类别包括多代家庭以及由父母和成年子女组成的家庭等。</w:t>
      </w:r>
    </w:p>
    <w:p w:rsidR="00B44F31" w:rsidRDefault="00B44F31" w:rsidP="00B44F31">
      <w:pPr>
        <w:pStyle w:val="SingleTxtGC"/>
      </w:pPr>
      <w:r>
        <w:rPr>
          <w:rFonts w:hint="eastAsia"/>
        </w:rPr>
        <w:t>59.</w:t>
      </w:r>
      <w:r>
        <w:rPr>
          <w:rFonts w:hint="eastAsia"/>
        </w:rPr>
        <w:tab/>
      </w:r>
      <w:r>
        <w:rPr>
          <w:rFonts w:hint="eastAsia"/>
        </w:rPr>
        <w:t>近年来，低收入和持续低收入人口的比例在</w:t>
      </w:r>
      <w:r>
        <w:rPr>
          <w:rFonts w:hint="eastAsia"/>
        </w:rPr>
        <w:t>12%</w:t>
      </w:r>
      <w:r>
        <w:rPr>
          <w:rFonts w:hint="eastAsia"/>
        </w:rPr>
        <w:t>左右。同一时期的一般收入水平发展不佳，因此固定在平均收入水平上的低收入门槛没有显著变化。</w:t>
      </w:r>
    </w:p>
    <w:p w:rsidR="00B44F31" w:rsidRDefault="00B44F31" w:rsidP="00B44F31">
      <w:pPr>
        <w:pStyle w:val="SingleTxtGC"/>
      </w:pPr>
      <w:r>
        <w:rPr>
          <w:rFonts w:hint="eastAsia"/>
        </w:rPr>
        <w:t>60.</w:t>
      </w:r>
      <w:r>
        <w:rPr>
          <w:rFonts w:hint="eastAsia"/>
        </w:rPr>
        <w:tab/>
      </w:r>
      <w:r>
        <w:rPr>
          <w:rFonts w:hint="eastAsia"/>
        </w:rPr>
        <w:t>有子女家庭的贫困风险率低于整个人口。近年来，生活在</w:t>
      </w:r>
      <w:r>
        <w:rPr>
          <w:rFonts w:hint="eastAsia"/>
        </w:rPr>
        <w:t>(</w:t>
      </w:r>
      <w:r>
        <w:rPr>
          <w:rFonts w:hint="eastAsia"/>
        </w:rPr>
        <w:t>属于</w:t>
      </w:r>
      <w:r>
        <w:rPr>
          <w:rFonts w:hint="eastAsia"/>
        </w:rPr>
        <w:t>)</w:t>
      </w:r>
      <w:r>
        <w:rPr>
          <w:rFonts w:hint="eastAsia"/>
        </w:rPr>
        <w:t>有子女家庭的人的贫困风险率也保持在</w:t>
      </w:r>
      <w:r>
        <w:rPr>
          <w:rFonts w:hint="eastAsia"/>
        </w:rPr>
        <w:t>9%</w:t>
      </w:r>
      <w:r>
        <w:rPr>
          <w:rFonts w:hint="eastAsia"/>
        </w:rPr>
        <w:t>左右。低收入仍然是单亲家庭的一个严重问题。尽管如此，芬兰的相对贫困程度比大多数欧盟成员国要低。</w:t>
      </w:r>
    </w:p>
    <w:p w:rsidR="00B44F31" w:rsidRDefault="00B44F31" w:rsidP="00B44F31">
      <w:pPr>
        <w:pStyle w:val="SingleTxtGC"/>
      </w:pPr>
      <w:r>
        <w:rPr>
          <w:rFonts w:hint="eastAsia"/>
        </w:rPr>
        <w:t>61.</w:t>
      </w:r>
      <w:r>
        <w:rPr>
          <w:rFonts w:hint="eastAsia"/>
        </w:rPr>
        <w:tab/>
      </w:r>
      <w:r>
        <w:rPr>
          <w:rFonts w:hint="eastAsia"/>
        </w:rPr>
        <w:t>收入最高的是</w:t>
      </w:r>
      <w:r>
        <w:rPr>
          <w:rFonts w:hint="eastAsia"/>
        </w:rPr>
        <w:t>35</w:t>
      </w:r>
      <w:r>
        <w:rPr>
          <w:rFonts w:hint="eastAsia"/>
        </w:rPr>
        <w:t>至</w:t>
      </w:r>
      <w:r>
        <w:rPr>
          <w:rFonts w:hint="eastAsia"/>
        </w:rPr>
        <w:t>64</w:t>
      </w:r>
      <w:r>
        <w:rPr>
          <w:rFonts w:hint="eastAsia"/>
        </w:rPr>
        <w:t>岁的夫妇，收入最低的是年轻人、退休年龄的单身者和单亲父母。独居者无法获得夫妻因共同住房和其他费用带来的共同消费利益。此外，对单亲父母的收入水平产生影响的是，一人领取的收入要供养的不止是一个人。</w:t>
      </w:r>
    </w:p>
    <w:p w:rsidR="00B44F31" w:rsidRDefault="00B44F31" w:rsidP="00B44F31">
      <w:pPr>
        <w:pStyle w:val="SingleTxtGC"/>
      </w:pPr>
      <w:r>
        <w:rPr>
          <w:rFonts w:hint="eastAsia"/>
        </w:rPr>
        <w:t>62.</w:t>
      </w:r>
      <w:r>
        <w:rPr>
          <w:rFonts w:hint="eastAsia"/>
        </w:rPr>
        <w:tab/>
      </w:r>
      <w:r>
        <w:rPr>
          <w:rFonts w:hint="eastAsia"/>
        </w:rPr>
        <w:t>在芬兰，贫困通常是代际贫困，自</w:t>
      </w:r>
      <w:proofErr w:type="gramStart"/>
      <w:r>
        <w:rPr>
          <w:rFonts w:hint="eastAsia"/>
        </w:rPr>
        <w:t>1990</w:t>
      </w:r>
      <w:proofErr w:type="gramEnd"/>
      <w:r>
        <w:rPr>
          <w:rFonts w:hint="eastAsia"/>
        </w:rPr>
        <w:t>年代的经济衰退以来，有子女家庭的贫困变得更加常见。统计数据表明，有子女的移民家庭比有子女的主流人口家庭更容易陷入贫困。自</w:t>
      </w:r>
      <w:proofErr w:type="gramStart"/>
      <w:r>
        <w:rPr>
          <w:rFonts w:hint="eastAsia"/>
        </w:rPr>
        <w:t>1990</w:t>
      </w:r>
      <w:proofErr w:type="gramEnd"/>
      <w:r>
        <w:rPr>
          <w:rFonts w:hint="eastAsia"/>
        </w:rPr>
        <w:t>年代以来，单亲家庭的贫困也有所增加。在所有家庭中，领取社会援助的通常多是单身母亲。</w:t>
      </w:r>
      <w:r>
        <w:rPr>
          <w:rFonts w:hint="eastAsia"/>
        </w:rPr>
        <w:t>2017</w:t>
      </w:r>
      <w:r>
        <w:rPr>
          <w:rFonts w:hint="eastAsia"/>
        </w:rPr>
        <w:t>年，约</w:t>
      </w:r>
      <w:r>
        <w:rPr>
          <w:rFonts w:hint="eastAsia"/>
        </w:rPr>
        <w:t>30%</w:t>
      </w:r>
      <w:r>
        <w:rPr>
          <w:rFonts w:hint="eastAsia"/>
        </w:rPr>
        <w:t>的单身母亲家庭领取了社会援助，而整个人口的领取比例为</w:t>
      </w:r>
      <w:r>
        <w:rPr>
          <w:rFonts w:hint="eastAsia"/>
        </w:rPr>
        <w:t>8.5%</w:t>
      </w:r>
      <w:r>
        <w:rPr>
          <w:rFonts w:hint="eastAsia"/>
        </w:rPr>
        <w:t>。老年妇女面临持续贫困的风险最高。残疾妇女更有可能生活贫困。残疾妇女的贫困风险约为</w:t>
      </w:r>
      <w:r>
        <w:rPr>
          <w:rFonts w:hint="eastAsia"/>
        </w:rPr>
        <w:t>25.5%</w:t>
      </w:r>
      <w:r>
        <w:rPr>
          <w:rFonts w:hint="eastAsia"/>
        </w:rPr>
        <w:t>，而残疾男子的贫困风险为</w:t>
      </w:r>
      <w:r>
        <w:rPr>
          <w:rFonts w:hint="eastAsia"/>
        </w:rPr>
        <w:t>23.9%</w:t>
      </w:r>
      <w:r>
        <w:rPr>
          <w:rFonts w:hint="eastAsia"/>
        </w:rPr>
        <w:t>。对于非残疾人，这一数字分别为</w:t>
      </w:r>
      <w:r>
        <w:rPr>
          <w:rFonts w:hint="eastAsia"/>
        </w:rPr>
        <w:t>14.3%</w:t>
      </w:r>
      <w:r>
        <w:rPr>
          <w:rFonts w:hint="eastAsia"/>
        </w:rPr>
        <w:t>和</w:t>
      </w:r>
      <w:r>
        <w:rPr>
          <w:rFonts w:hint="eastAsia"/>
        </w:rPr>
        <w:t>13.7%</w:t>
      </w:r>
      <w:r>
        <w:rPr>
          <w:rFonts w:hint="eastAsia"/>
        </w:rPr>
        <w:t>。</w:t>
      </w:r>
    </w:p>
    <w:p w:rsidR="00B44F31" w:rsidRDefault="00B44F31" w:rsidP="00B44F31">
      <w:pPr>
        <w:pStyle w:val="SingleTxtGC"/>
      </w:pPr>
      <w:r>
        <w:rPr>
          <w:rFonts w:hint="eastAsia"/>
        </w:rPr>
        <w:t>63.</w:t>
      </w:r>
      <w:r>
        <w:rPr>
          <w:rFonts w:hint="eastAsia"/>
        </w:rPr>
        <w:tab/>
      </w:r>
      <w:r>
        <w:rPr>
          <w:rFonts w:hint="eastAsia"/>
        </w:rPr>
        <w:t>基尼系数是一个常用的收入差异指标，用于说明收入和资产的分配。基尼系数值越高，收入分配越不平等。基尼系数可能的最高值是</w:t>
      </w:r>
      <w:r>
        <w:rPr>
          <w:rFonts w:hint="eastAsia"/>
        </w:rPr>
        <w:t>100</w:t>
      </w:r>
      <w:r>
        <w:rPr>
          <w:rFonts w:hint="eastAsia"/>
        </w:rPr>
        <w:t>。在这种情况下，收入最高者得到所有的收入。当所有收入接受者的收入相等时，基尼系数最低值为</w:t>
      </w:r>
      <w:r>
        <w:rPr>
          <w:rFonts w:hint="eastAsia"/>
        </w:rPr>
        <w:t>0</w:t>
      </w:r>
      <w:r>
        <w:rPr>
          <w:rFonts w:hint="eastAsia"/>
        </w:rPr>
        <w:t>。下表汇编了</w:t>
      </w:r>
      <w:r>
        <w:rPr>
          <w:rFonts w:hint="eastAsia"/>
        </w:rPr>
        <w:t>2012-2017</w:t>
      </w:r>
      <w:r>
        <w:rPr>
          <w:rFonts w:hint="eastAsia"/>
        </w:rPr>
        <w:t>年期间某些主要经济指标的基尼系数。</w:t>
      </w:r>
    </w:p>
    <w:p w:rsidR="00F60DC2" w:rsidRDefault="00F60DC2">
      <w:pPr>
        <w:tabs>
          <w:tab w:val="clear" w:pos="431"/>
        </w:tabs>
        <w:overflowPunct/>
        <w:adjustRightInd/>
        <w:snapToGrid/>
        <w:spacing w:line="240" w:lineRule="auto"/>
        <w:jc w:val="left"/>
      </w:pPr>
      <w:r>
        <w:br w:type="page"/>
      </w:r>
    </w:p>
    <w:p w:rsidR="0074650F" w:rsidRDefault="00B44F31" w:rsidP="00B44F31">
      <w:pPr>
        <w:pStyle w:val="SingleTxtGC"/>
      </w:pPr>
      <w:r>
        <w:rPr>
          <w:rFonts w:hint="eastAsia"/>
        </w:rPr>
        <w:lastRenderedPageBreak/>
        <w:t>表</w:t>
      </w:r>
      <w:r>
        <w:rPr>
          <w:rFonts w:hint="eastAsia"/>
        </w:rPr>
        <w:t>5.</w:t>
      </w:r>
      <w:r>
        <w:br/>
      </w:r>
      <w:r w:rsidRPr="00B44F31">
        <w:rPr>
          <w:rFonts w:ascii="Time New Roman" w:eastAsia="黑体" w:hAnsi="Time New Roman" w:hint="eastAsia"/>
        </w:rPr>
        <w:t>2012-2017</w:t>
      </w:r>
      <w:r w:rsidRPr="00B44F31">
        <w:rPr>
          <w:rFonts w:ascii="Time New Roman" w:eastAsia="黑体" w:hAnsi="Time New Roman" w:hint="eastAsia"/>
        </w:rPr>
        <w:t>年生产要素收入、总收入和</w:t>
      </w:r>
      <w:proofErr w:type="gramStart"/>
      <w:r w:rsidRPr="00B44F31">
        <w:rPr>
          <w:rFonts w:ascii="Time New Roman" w:eastAsia="黑体" w:hAnsi="Time New Roman" w:hint="eastAsia"/>
        </w:rPr>
        <w:t>可</w:t>
      </w:r>
      <w:proofErr w:type="gramEnd"/>
      <w:r w:rsidRPr="00B44F31">
        <w:rPr>
          <w:rFonts w:ascii="Time New Roman" w:eastAsia="黑体" w:hAnsi="Time New Roman" w:hint="eastAsia"/>
        </w:rPr>
        <w:t>支配收入的基尼系数以及经常转移对收入差距的等量影响</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3"/>
        <w:gridCol w:w="938"/>
        <w:gridCol w:w="993"/>
        <w:gridCol w:w="1275"/>
        <w:gridCol w:w="1276"/>
        <w:gridCol w:w="1134"/>
        <w:gridCol w:w="991"/>
      </w:tblGrid>
      <w:tr w:rsidR="00F60DC2" w:rsidRPr="00476FCD" w:rsidTr="00C02BD1">
        <w:trPr>
          <w:tblHeader/>
        </w:trPr>
        <w:tc>
          <w:tcPr>
            <w:tcW w:w="763" w:type="dxa"/>
            <w:vMerge w:val="restart"/>
            <w:tcBorders>
              <w:top w:val="single" w:sz="4" w:space="0" w:color="auto"/>
              <w:bottom w:val="single" w:sz="12" w:space="0" w:color="auto"/>
            </w:tcBorders>
            <w:shd w:val="clear" w:color="auto" w:fill="auto"/>
            <w:vAlign w:val="bottom"/>
            <w:hideMark/>
          </w:tcPr>
          <w:p w:rsidR="00F60DC2" w:rsidRPr="00476FCD" w:rsidRDefault="00F60DC2" w:rsidP="00C02BD1">
            <w:pPr>
              <w:spacing w:before="80" w:after="80" w:line="200" w:lineRule="exact"/>
              <w:ind w:right="113"/>
              <w:rPr>
                <w:rFonts w:ascii="Time New Roman" w:eastAsia="楷体" w:hAnsi="Time New Roman" w:hint="eastAsia"/>
                <w:i/>
                <w:sz w:val="18"/>
                <w:szCs w:val="18"/>
              </w:rPr>
            </w:pPr>
            <w:r w:rsidRPr="00476FCD">
              <w:rPr>
                <w:rFonts w:ascii="Time New Roman" w:eastAsia="楷体" w:hAnsi="Time New Roman" w:hint="eastAsia"/>
                <w:iCs/>
                <w:sz w:val="18"/>
                <w:szCs w:val="18"/>
              </w:rPr>
              <w:t>年份</w:t>
            </w:r>
          </w:p>
        </w:tc>
        <w:tc>
          <w:tcPr>
            <w:tcW w:w="3206"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F60DC2" w:rsidRPr="00476FCD" w:rsidRDefault="00F60DC2" w:rsidP="00C02BD1">
            <w:pPr>
              <w:spacing w:before="80" w:after="80" w:line="200" w:lineRule="exact"/>
              <w:ind w:right="113"/>
              <w:jc w:val="center"/>
              <w:rPr>
                <w:rFonts w:ascii="Time New Roman" w:eastAsia="楷体" w:hAnsi="Time New Roman" w:hint="eastAsia"/>
                <w:iCs/>
                <w:sz w:val="18"/>
                <w:szCs w:val="18"/>
              </w:rPr>
            </w:pPr>
            <w:r w:rsidRPr="00476FCD">
              <w:rPr>
                <w:rFonts w:ascii="Time New Roman" w:eastAsia="楷体" w:hAnsi="Time New Roman" w:hint="eastAsia"/>
                <w:iCs/>
                <w:sz w:val="18"/>
                <w:szCs w:val="18"/>
              </w:rPr>
              <w:t>基尼系数，</w:t>
            </w:r>
            <w:r w:rsidRPr="00476FCD">
              <w:rPr>
                <w:rFonts w:ascii="Time New Roman" w:eastAsia="楷体" w:hAnsi="Time New Roman"/>
                <w:iCs/>
                <w:sz w:val="18"/>
                <w:szCs w:val="18"/>
              </w:rPr>
              <w:t>%</w:t>
            </w:r>
          </w:p>
        </w:tc>
        <w:tc>
          <w:tcPr>
            <w:tcW w:w="3401"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F60DC2" w:rsidRPr="00476FCD" w:rsidRDefault="00F60DC2" w:rsidP="00C02BD1">
            <w:pPr>
              <w:spacing w:before="80" w:after="80" w:line="200" w:lineRule="exact"/>
              <w:ind w:right="113"/>
              <w:jc w:val="center"/>
              <w:rPr>
                <w:rFonts w:ascii="Time New Roman" w:eastAsia="楷体" w:hAnsi="Time New Roman" w:hint="eastAsia"/>
                <w:iCs/>
                <w:sz w:val="18"/>
                <w:szCs w:val="18"/>
              </w:rPr>
            </w:pPr>
            <w:r w:rsidRPr="00476FCD">
              <w:rPr>
                <w:rFonts w:ascii="Time New Roman" w:eastAsia="楷体" w:hAnsi="Time New Roman" w:hint="eastAsia"/>
                <w:iCs/>
                <w:sz w:val="18"/>
                <w:szCs w:val="18"/>
              </w:rPr>
              <w:t>经常转移对收入差距的等量影响</w:t>
            </w:r>
          </w:p>
        </w:tc>
      </w:tr>
      <w:tr w:rsidR="00F60DC2" w:rsidRPr="00476FCD" w:rsidTr="00C02BD1">
        <w:trPr>
          <w:tblHeader/>
        </w:trPr>
        <w:tc>
          <w:tcPr>
            <w:tcW w:w="763" w:type="dxa"/>
            <w:vMerge/>
            <w:tcBorders>
              <w:top w:val="single" w:sz="12" w:space="0" w:color="auto"/>
              <w:bottom w:val="single" w:sz="12" w:space="0" w:color="auto"/>
            </w:tcBorders>
            <w:shd w:val="clear" w:color="auto" w:fill="auto"/>
            <w:vAlign w:val="bottom"/>
            <w:hideMark/>
          </w:tcPr>
          <w:p w:rsidR="00F60DC2" w:rsidRPr="00476FCD" w:rsidRDefault="00F60DC2" w:rsidP="00C02BD1">
            <w:pPr>
              <w:spacing w:before="40" w:after="40" w:line="220" w:lineRule="exact"/>
              <w:ind w:right="113"/>
              <w:rPr>
                <w:rFonts w:ascii="Time New Roman" w:eastAsia="楷体" w:hAnsi="Time New Roman" w:hint="eastAsia"/>
                <w:b/>
                <w:sz w:val="18"/>
                <w:szCs w:val="18"/>
              </w:rPr>
            </w:pPr>
          </w:p>
        </w:tc>
        <w:tc>
          <w:tcPr>
            <w:tcW w:w="938" w:type="dxa"/>
            <w:tcBorders>
              <w:top w:val="single" w:sz="4" w:space="0" w:color="auto"/>
              <w:bottom w:val="single" w:sz="12" w:space="0" w:color="auto"/>
            </w:tcBorders>
            <w:shd w:val="clear" w:color="auto" w:fill="auto"/>
            <w:vAlign w:val="bottom"/>
            <w:hideMark/>
          </w:tcPr>
          <w:p w:rsidR="00F60DC2" w:rsidRPr="00476FCD" w:rsidRDefault="00F60DC2" w:rsidP="00C02BD1">
            <w:pPr>
              <w:spacing w:before="80" w:after="80" w:line="200" w:lineRule="exact"/>
              <w:ind w:right="113"/>
              <w:jc w:val="right"/>
              <w:rPr>
                <w:rFonts w:ascii="Time New Roman" w:eastAsia="楷体" w:hAnsi="Time New Roman" w:hint="eastAsia"/>
                <w:iCs/>
                <w:sz w:val="18"/>
                <w:szCs w:val="18"/>
              </w:rPr>
            </w:pPr>
            <w:r w:rsidRPr="00476FCD">
              <w:rPr>
                <w:rFonts w:ascii="Time New Roman" w:eastAsia="楷体" w:hAnsi="Time New Roman" w:hint="eastAsia"/>
                <w:iCs/>
                <w:sz w:val="18"/>
                <w:szCs w:val="18"/>
              </w:rPr>
              <w:t>生产要素</w:t>
            </w:r>
            <w:r w:rsidR="004E5086">
              <w:rPr>
                <w:rFonts w:ascii="Time New Roman" w:eastAsia="楷体" w:hAnsi="Time New Roman"/>
                <w:iCs/>
                <w:sz w:val="18"/>
                <w:szCs w:val="18"/>
              </w:rPr>
              <w:br/>
            </w:r>
            <w:r w:rsidRPr="00476FCD">
              <w:rPr>
                <w:rFonts w:ascii="Time New Roman" w:eastAsia="楷体" w:hAnsi="Time New Roman" w:hint="eastAsia"/>
                <w:iCs/>
                <w:sz w:val="18"/>
                <w:szCs w:val="18"/>
              </w:rPr>
              <w:t>收入</w:t>
            </w:r>
          </w:p>
        </w:tc>
        <w:tc>
          <w:tcPr>
            <w:tcW w:w="993" w:type="dxa"/>
            <w:tcBorders>
              <w:top w:val="single" w:sz="4" w:space="0" w:color="auto"/>
              <w:bottom w:val="single" w:sz="12" w:space="0" w:color="auto"/>
            </w:tcBorders>
            <w:shd w:val="clear" w:color="auto" w:fill="auto"/>
            <w:vAlign w:val="bottom"/>
            <w:hideMark/>
          </w:tcPr>
          <w:p w:rsidR="00F60DC2" w:rsidRPr="00476FCD" w:rsidRDefault="00F60DC2" w:rsidP="00C02BD1">
            <w:pPr>
              <w:spacing w:before="80" w:after="80" w:line="200" w:lineRule="exact"/>
              <w:ind w:right="113"/>
              <w:jc w:val="right"/>
              <w:rPr>
                <w:rFonts w:ascii="Time New Roman" w:eastAsia="楷体" w:hAnsi="Time New Roman" w:hint="eastAsia"/>
                <w:iCs/>
                <w:sz w:val="18"/>
                <w:szCs w:val="18"/>
              </w:rPr>
            </w:pPr>
            <w:r w:rsidRPr="00476FCD">
              <w:rPr>
                <w:rFonts w:ascii="Time New Roman" w:eastAsia="楷体" w:hAnsi="Time New Roman" w:hint="eastAsia"/>
                <w:iCs/>
                <w:sz w:val="18"/>
                <w:szCs w:val="18"/>
              </w:rPr>
              <w:t>总收入</w:t>
            </w:r>
          </w:p>
        </w:tc>
        <w:tc>
          <w:tcPr>
            <w:tcW w:w="1275" w:type="dxa"/>
            <w:tcBorders>
              <w:top w:val="single" w:sz="4" w:space="0" w:color="auto"/>
              <w:bottom w:val="single" w:sz="12" w:space="0" w:color="auto"/>
              <w:right w:val="single" w:sz="24" w:space="0" w:color="FFFFFF" w:themeColor="background1"/>
            </w:tcBorders>
            <w:shd w:val="clear" w:color="auto" w:fill="auto"/>
            <w:vAlign w:val="bottom"/>
            <w:hideMark/>
          </w:tcPr>
          <w:p w:rsidR="00F60DC2" w:rsidRPr="00476FCD" w:rsidRDefault="00F60DC2" w:rsidP="00C02BD1">
            <w:pPr>
              <w:spacing w:before="80" w:after="80" w:line="200" w:lineRule="exact"/>
              <w:ind w:right="113"/>
              <w:jc w:val="right"/>
              <w:rPr>
                <w:rFonts w:ascii="Time New Roman" w:eastAsia="楷体" w:hAnsi="Time New Roman" w:hint="eastAsia"/>
                <w:iCs/>
                <w:sz w:val="18"/>
                <w:szCs w:val="18"/>
              </w:rPr>
            </w:pPr>
            <w:r w:rsidRPr="00476FCD">
              <w:rPr>
                <w:rFonts w:ascii="Time New Roman" w:eastAsia="楷体" w:hAnsi="Time New Roman" w:hint="eastAsia"/>
                <w:iCs/>
                <w:sz w:val="18"/>
                <w:szCs w:val="18"/>
              </w:rPr>
              <w:t>可支配</w:t>
            </w:r>
            <w:r w:rsidR="004E5086">
              <w:rPr>
                <w:rFonts w:ascii="Time New Roman" w:eastAsia="楷体" w:hAnsi="Time New Roman"/>
                <w:iCs/>
                <w:sz w:val="18"/>
                <w:szCs w:val="18"/>
              </w:rPr>
              <w:br/>
            </w:r>
            <w:r w:rsidRPr="00476FCD">
              <w:rPr>
                <w:rFonts w:ascii="Time New Roman" w:eastAsia="楷体" w:hAnsi="Time New Roman" w:hint="eastAsia"/>
                <w:iCs/>
                <w:sz w:val="18"/>
                <w:szCs w:val="18"/>
              </w:rPr>
              <w:t>收入</w:t>
            </w:r>
          </w:p>
        </w:tc>
        <w:tc>
          <w:tcPr>
            <w:tcW w:w="1276" w:type="dxa"/>
            <w:tcBorders>
              <w:top w:val="single" w:sz="4" w:space="0" w:color="auto"/>
              <w:left w:val="single" w:sz="24" w:space="0" w:color="FFFFFF" w:themeColor="background1"/>
              <w:bottom w:val="single" w:sz="12" w:space="0" w:color="auto"/>
            </w:tcBorders>
            <w:shd w:val="clear" w:color="auto" w:fill="auto"/>
            <w:vAlign w:val="bottom"/>
            <w:hideMark/>
          </w:tcPr>
          <w:p w:rsidR="00F60DC2" w:rsidRPr="00476FCD" w:rsidRDefault="00F60DC2" w:rsidP="00C02BD1">
            <w:pPr>
              <w:spacing w:before="80" w:after="80" w:line="200" w:lineRule="exact"/>
              <w:ind w:right="113"/>
              <w:jc w:val="right"/>
              <w:rPr>
                <w:rFonts w:ascii="Time New Roman" w:eastAsia="楷体" w:hAnsi="Time New Roman" w:hint="eastAsia"/>
                <w:iCs/>
                <w:sz w:val="18"/>
                <w:szCs w:val="18"/>
              </w:rPr>
            </w:pPr>
            <w:r w:rsidRPr="00476FCD">
              <w:rPr>
                <w:rFonts w:ascii="Time New Roman" w:eastAsia="楷体" w:hAnsi="Time New Roman" w:hint="eastAsia"/>
                <w:iCs/>
                <w:sz w:val="18"/>
                <w:szCs w:val="18"/>
              </w:rPr>
              <w:t>获得的</w:t>
            </w:r>
            <w:r w:rsidR="00400F0A">
              <w:rPr>
                <w:rFonts w:ascii="Time New Roman" w:eastAsia="楷体" w:hAnsi="Time New Roman"/>
                <w:iCs/>
                <w:sz w:val="18"/>
                <w:szCs w:val="18"/>
              </w:rPr>
              <w:br/>
            </w:r>
            <w:r w:rsidRPr="00476FCD">
              <w:rPr>
                <w:rFonts w:ascii="Time New Roman" w:eastAsia="楷体" w:hAnsi="Time New Roman" w:hint="eastAsia"/>
                <w:iCs/>
                <w:sz w:val="18"/>
                <w:szCs w:val="18"/>
              </w:rPr>
              <w:t>经常转移</w:t>
            </w:r>
          </w:p>
        </w:tc>
        <w:tc>
          <w:tcPr>
            <w:tcW w:w="1134" w:type="dxa"/>
            <w:tcBorders>
              <w:top w:val="single" w:sz="4" w:space="0" w:color="auto"/>
              <w:bottom w:val="single" w:sz="12" w:space="0" w:color="auto"/>
            </w:tcBorders>
            <w:shd w:val="clear" w:color="auto" w:fill="auto"/>
            <w:vAlign w:val="bottom"/>
            <w:hideMark/>
          </w:tcPr>
          <w:p w:rsidR="00F60DC2" w:rsidRPr="00476FCD" w:rsidRDefault="00F60DC2" w:rsidP="00C02BD1">
            <w:pPr>
              <w:spacing w:before="80" w:after="80" w:line="200" w:lineRule="exact"/>
              <w:ind w:right="113"/>
              <w:jc w:val="right"/>
              <w:rPr>
                <w:rFonts w:ascii="Time New Roman" w:eastAsia="楷体" w:hAnsi="Time New Roman" w:hint="eastAsia"/>
                <w:iCs/>
                <w:sz w:val="18"/>
                <w:szCs w:val="18"/>
              </w:rPr>
            </w:pPr>
            <w:r w:rsidRPr="00476FCD">
              <w:rPr>
                <w:rFonts w:ascii="Time New Roman" w:eastAsia="楷体" w:hAnsi="Time New Roman" w:hint="eastAsia"/>
                <w:iCs/>
                <w:sz w:val="18"/>
                <w:szCs w:val="18"/>
              </w:rPr>
              <w:t>已支付</w:t>
            </w:r>
            <w:r w:rsidR="00400F0A">
              <w:rPr>
                <w:rFonts w:ascii="Time New Roman" w:eastAsia="楷体" w:hAnsi="Time New Roman"/>
                <w:iCs/>
                <w:sz w:val="18"/>
                <w:szCs w:val="18"/>
              </w:rPr>
              <w:br/>
            </w:r>
            <w:r w:rsidRPr="00476FCD">
              <w:rPr>
                <w:rFonts w:ascii="Time New Roman" w:eastAsia="楷体" w:hAnsi="Time New Roman" w:hint="eastAsia"/>
                <w:iCs/>
                <w:sz w:val="18"/>
                <w:szCs w:val="18"/>
              </w:rPr>
              <w:t>经常转移</w:t>
            </w:r>
          </w:p>
        </w:tc>
        <w:tc>
          <w:tcPr>
            <w:tcW w:w="991" w:type="dxa"/>
            <w:tcBorders>
              <w:top w:val="single" w:sz="4" w:space="0" w:color="auto"/>
              <w:bottom w:val="single" w:sz="12" w:space="0" w:color="auto"/>
            </w:tcBorders>
            <w:shd w:val="clear" w:color="auto" w:fill="auto"/>
            <w:vAlign w:val="bottom"/>
            <w:hideMark/>
          </w:tcPr>
          <w:p w:rsidR="00F60DC2" w:rsidRPr="00476FCD" w:rsidRDefault="00F60DC2" w:rsidP="00C02BD1">
            <w:pPr>
              <w:spacing w:before="80" w:after="80" w:line="200" w:lineRule="exact"/>
              <w:ind w:right="113"/>
              <w:jc w:val="right"/>
              <w:rPr>
                <w:rFonts w:ascii="Time New Roman" w:eastAsia="楷体" w:hAnsi="Time New Roman" w:hint="eastAsia"/>
                <w:iCs/>
                <w:sz w:val="18"/>
                <w:szCs w:val="18"/>
              </w:rPr>
            </w:pPr>
            <w:r w:rsidRPr="00476FCD">
              <w:rPr>
                <w:rFonts w:ascii="Time New Roman" w:eastAsia="楷体" w:hAnsi="Time New Roman" w:hint="eastAsia"/>
                <w:iCs/>
                <w:sz w:val="18"/>
                <w:szCs w:val="18"/>
              </w:rPr>
              <w:t>综合影响</w:t>
            </w:r>
          </w:p>
        </w:tc>
      </w:tr>
      <w:tr w:rsidR="00F60DC2" w:rsidRPr="00476FCD" w:rsidTr="00C02BD1">
        <w:tc>
          <w:tcPr>
            <w:tcW w:w="763" w:type="dxa"/>
            <w:tcBorders>
              <w:top w:val="single" w:sz="12" w:space="0" w:color="auto"/>
            </w:tcBorders>
            <w:shd w:val="clear" w:color="auto" w:fill="auto"/>
            <w:hideMark/>
          </w:tcPr>
          <w:p w:rsidR="00F60DC2" w:rsidRPr="00476FCD" w:rsidRDefault="00F60DC2" w:rsidP="00C02BD1">
            <w:pPr>
              <w:spacing w:before="40" w:after="40" w:line="220" w:lineRule="exact"/>
              <w:ind w:right="113"/>
              <w:rPr>
                <w:rFonts w:ascii="Time New Roman" w:hAnsi="Time New Roman" w:hint="eastAsia"/>
                <w:bCs/>
                <w:sz w:val="18"/>
                <w:szCs w:val="18"/>
              </w:rPr>
            </w:pPr>
            <w:r w:rsidRPr="00476FCD">
              <w:rPr>
                <w:rFonts w:ascii="Time New Roman" w:hAnsi="Time New Roman"/>
                <w:bCs/>
                <w:sz w:val="18"/>
                <w:szCs w:val="18"/>
              </w:rPr>
              <w:t>2012</w:t>
            </w:r>
            <w:r w:rsidRPr="00476FCD">
              <w:rPr>
                <w:rFonts w:ascii="Time New Roman" w:hAnsi="Time New Roman" w:hint="eastAsia"/>
                <w:bCs/>
                <w:sz w:val="18"/>
                <w:szCs w:val="18"/>
              </w:rPr>
              <w:t>年</w:t>
            </w:r>
          </w:p>
        </w:tc>
        <w:tc>
          <w:tcPr>
            <w:tcW w:w="938" w:type="dxa"/>
            <w:tcBorders>
              <w:top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49.7</w:t>
            </w:r>
          </w:p>
        </w:tc>
        <w:tc>
          <w:tcPr>
            <w:tcW w:w="993" w:type="dxa"/>
            <w:tcBorders>
              <w:top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31.5</w:t>
            </w:r>
          </w:p>
        </w:tc>
        <w:tc>
          <w:tcPr>
            <w:tcW w:w="1275" w:type="dxa"/>
            <w:tcBorders>
              <w:top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26.9</w:t>
            </w:r>
          </w:p>
        </w:tc>
        <w:tc>
          <w:tcPr>
            <w:tcW w:w="1276" w:type="dxa"/>
            <w:tcBorders>
              <w:top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36.8</w:t>
            </w:r>
          </w:p>
        </w:tc>
        <w:tc>
          <w:tcPr>
            <w:tcW w:w="1134" w:type="dxa"/>
            <w:tcBorders>
              <w:top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14.5</w:t>
            </w:r>
          </w:p>
        </w:tc>
        <w:tc>
          <w:tcPr>
            <w:tcW w:w="991" w:type="dxa"/>
            <w:tcBorders>
              <w:top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46.0</w:t>
            </w:r>
          </w:p>
        </w:tc>
      </w:tr>
      <w:tr w:rsidR="00F60DC2" w:rsidRPr="00476FCD" w:rsidTr="00C02BD1">
        <w:tc>
          <w:tcPr>
            <w:tcW w:w="763" w:type="dxa"/>
            <w:shd w:val="clear" w:color="auto" w:fill="auto"/>
            <w:hideMark/>
          </w:tcPr>
          <w:p w:rsidR="00F60DC2" w:rsidRPr="00476FCD" w:rsidRDefault="00F60DC2" w:rsidP="00C02BD1">
            <w:pPr>
              <w:spacing w:before="40" w:after="40" w:line="220" w:lineRule="exact"/>
              <w:ind w:right="113"/>
              <w:rPr>
                <w:rFonts w:ascii="Time New Roman" w:hAnsi="Time New Roman" w:hint="eastAsia"/>
                <w:bCs/>
                <w:sz w:val="18"/>
                <w:szCs w:val="18"/>
              </w:rPr>
            </w:pPr>
            <w:r w:rsidRPr="00476FCD">
              <w:rPr>
                <w:rFonts w:ascii="Time New Roman" w:hAnsi="Time New Roman"/>
                <w:bCs/>
                <w:sz w:val="18"/>
                <w:szCs w:val="18"/>
              </w:rPr>
              <w:t>2013</w:t>
            </w:r>
            <w:r w:rsidRPr="00476FCD">
              <w:rPr>
                <w:rFonts w:ascii="Time New Roman" w:hAnsi="Time New Roman" w:hint="eastAsia"/>
                <w:bCs/>
                <w:sz w:val="18"/>
                <w:szCs w:val="18"/>
              </w:rPr>
              <w:t>年</w:t>
            </w:r>
          </w:p>
        </w:tc>
        <w:tc>
          <w:tcPr>
            <w:tcW w:w="938"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50.7</w:t>
            </w:r>
          </w:p>
        </w:tc>
        <w:tc>
          <w:tcPr>
            <w:tcW w:w="993"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31.9</w:t>
            </w:r>
          </w:p>
        </w:tc>
        <w:tc>
          <w:tcPr>
            <w:tcW w:w="1275"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27.2</w:t>
            </w:r>
          </w:p>
        </w:tc>
        <w:tc>
          <w:tcPr>
            <w:tcW w:w="1276"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37.2</w:t>
            </w:r>
          </w:p>
        </w:tc>
        <w:tc>
          <w:tcPr>
            <w:tcW w:w="1134"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14.6</w:t>
            </w:r>
          </w:p>
        </w:tc>
        <w:tc>
          <w:tcPr>
            <w:tcW w:w="991"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46.3</w:t>
            </w:r>
          </w:p>
        </w:tc>
      </w:tr>
      <w:tr w:rsidR="00F60DC2" w:rsidRPr="00476FCD" w:rsidTr="00C02BD1">
        <w:tc>
          <w:tcPr>
            <w:tcW w:w="763" w:type="dxa"/>
            <w:shd w:val="clear" w:color="auto" w:fill="auto"/>
            <w:hideMark/>
          </w:tcPr>
          <w:p w:rsidR="00F60DC2" w:rsidRPr="00476FCD" w:rsidRDefault="00F60DC2" w:rsidP="00C02BD1">
            <w:pPr>
              <w:spacing w:before="40" w:after="40" w:line="220" w:lineRule="exact"/>
              <w:ind w:right="113"/>
              <w:rPr>
                <w:rFonts w:ascii="Time New Roman" w:hAnsi="Time New Roman" w:hint="eastAsia"/>
                <w:bCs/>
                <w:sz w:val="18"/>
                <w:szCs w:val="18"/>
              </w:rPr>
            </w:pPr>
            <w:r w:rsidRPr="00476FCD">
              <w:rPr>
                <w:rFonts w:ascii="Time New Roman" w:hAnsi="Time New Roman"/>
                <w:bCs/>
                <w:sz w:val="18"/>
                <w:szCs w:val="18"/>
              </w:rPr>
              <w:t>2014</w:t>
            </w:r>
            <w:r w:rsidRPr="00476FCD">
              <w:rPr>
                <w:rFonts w:ascii="Time New Roman" w:hAnsi="Time New Roman" w:hint="eastAsia"/>
                <w:bCs/>
                <w:sz w:val="18"/>
                <w:szCs w:val="18"/>
              </w:rPr>
              <w:t>年</w:t>
            </w:r>
          </w:p>
        </w:tc>
        <w:tc>
          <w:tcPr>
            <w:tcW w:w="938"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51.1</w:t>
            </w:r>
          </w:p>
        </w:tc>
        <w:tc>
          <w:tcPr>
            <w:tcW w:w="993"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31.8</w:t>
            </w:r>
          </w:p>
        </w:tc>
        <w:tc>
          <w:tcPr>
            <w:tcW w:w="1275"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27.0</w:t>
            </w:r>
          </w:p>
        </w:tc>
        <w:tc>
          <w:tcPr>
            <w:tcW w:w="1276"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37.7</w:t>
            </w:r>
          </w:p>
        </w:tc>
        <w:tc>
          <w:tcPr>
            <w:tcW w:w="1134"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15.0</w:t>
            </w:r>
          </w:p>
        </w:tc>
        <w:tc>
          <w:tcPr>
            <w:tcW w:w="991"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47.1</w:t>
            </w:r>
          </w:p>
        </w:tc>
      </w:tr>
      <w:tr w:rsidR="00F60DC2" w:rsidRPr="00476FCD" w:rsidTr="00C02BD1">
        <w:tc>
          <w:tcPr>
            <w:tcW w:w="763" w:type="dxa"/>
            <w:shd w:val="clear" w:color="auto" w:fill="auto"/>
            <w:hideMark/>
          </w:tcPr>
          <w:p w:rsidR="00F60DC2" w:rsidRPr="00476FCD" w:rsidRDefault="00F60DC2" w:rsidP="00C02BD1">
            <w:pPr>
              <w:spacing w:before="40" w:after="40" w:line="220" w:lineRule="exact"/>
              <w:ind w:right="113"/>
              <w:rPr>
                <w:rFonts w:ascii="Time New Roman" w:hAnsi="Time New Roman" w:hint="eastAsia"/>
                <w:bCs/>
                <w:sz w:val="18"/>
                <w:szCs w:val="18"/>
              </w:rPr>
            </w:pPr>
            <w:r w:rsidRPr="00476FCD">
              <w:rPr>
                <w:rFonts w:ascii="Time New Roman" w:hAnsi="Time New Roman"/>
                <w:bCs/>
                <w:sz w:val="18"/>
                <w:szCs w:val="18"/>
              </w:rPr>
              <w:t>2015</w:t>
            </w:r>
            <w:r w:rsidRPr="00476FCD">
              <w:rPr>
                <w:rFonts w:ascii="Time New Roman" w:hAnsi="Time New Roman" w:hint="eastAsia"/>
                <w:bCs/>
                <w:sz w:val="18"/>
                <w:szCs w:val="18"/>
              </w:rPr>
              <w:t>年</w:t>
            </w:r>
          </w:p>
        </w:tc>
        <w:tc>
          <w:tcPr>
            <w:tcW w:w="938"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51.9</w:t>
            </w:r>
          </w:p>
        </w:tc>
        <w:tc>
          <w:tcPr>
            <w:tcW w:w="993"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32.3</w:t>
            </w:r>
          </w:p>
        </w:tc>
        <w:tc>
          <w:tcPr>
            <w:tcW w:w="1275"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27.3</w:t>
            </w:r>
          </w:p>
        </w:tc>
        <w:tc>
          <w:tcPr>
            <w:tcW w:w="1276"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37.8</w:t>
            </w:r>
          </w:p>
        </w:tc>
        <w:tc>
          <w:tcPr>
            <w:tcW w:w="1134"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15.4</w:t>
            </w:r>
          </w:p>
        </w:tc>
        <w:tc>
          <w:tcPr>
            <w:tcW w:w="991" w:type="dxa"/>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47.4</w:t>
            </w:r>
          </w:p>
        </w:tc>
      </w:tr>
      <w:tr w:rsidR="00F60DC2" w:rsidRPr="00476FCD" w:rsidTr="00C02BD1">
        <w:tc>
          <w:tcPr>
            <w:tcW w:w="763" w:type="dxa"/>
            <w:tcBorders>
              <w:bottom w:val="nil"/>
            </w:tcBorders>
            <w:shd w:val="clear" w:color="auto" w:fill="auto"/>
            <w:hideMark/>
          </w:tcPr>
          <w:p w:rsidR="00F60DC2" w:rsidRPr="00476FCD" w:rsidRDefault="00F60DC2" w:rsidP="00C02BD1">
            <w:pPr>
              <w:spacing w:before="40" w:after="40" w:line="220" w:lineRule="exact"/>
              <w:ind w:right="113"/>
              <w:rPr>
                <w:rFonts w:ascii="Time New Roman" w:hAnsi="Time New Roman" w:hint="eastAsia"/>
                <w:bCs/>
                <w:sz w:val="18"/>
                <w:szCs w:val="18"/>
              </w:rPr>
            </w:pPr>
            <w:r w:rsidRPr="00476FCD">
              <w:rPr>
                <w:rFonts w:ascii="Time New Roman" w:hAnsi="Time New Roman"/>
                <w:bCs/>
                <w:sz w:val="18"/>
                <w:szCs w:val="18"/>
              </w:rPr>
              <w:t>2016</w:t>
            </w:r>
            <w:r w:rsidRPr="00476FCD">
              <w:rPr>
                <w:rFonts w:ascii="Time New Roman" w:hAnsi="Time New Roman" w:hint="eastAsia"/>
                <w:bCs/>
                <w:sz w:val="18"/>
                <w:szCs w:val="18"/>
              </w:rPr>
              <w:t>年</w:t>
            </w:r>
          </w:p>
        </w:tc>
        <w:tc>
          <w:tcPr>
            <w:tcW w:w="938" w:type="dxa"/>
            <w:tcBorders>
              <w:bottom w:val="nil"/>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52.0</w:t>
            </w:r>
          </w:p>
        </w:tc>
        <w:tc>
          <w:tcPr>
            <w:tcW w:w="993" w:type="dxa"/>
            <w:tcBorders>
              <w:bottom w:val="nil"/>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32.3</w:t>
            </w:r>
          </w:p>
        </w:tc>
        <w:tc>
          <w:tcPr>
            <w:tcW w:w="1275" w:type="dxa"/>
            <w:tcBorders>
              <w:bottom w:val="nil"/>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27.2</w:t>
            </w:r>
          </w:p>
        </w:tc>
        <w:tc>
          <w:tcPr>
            <w:tcW w:w="1276" w:type="dxa"/>
            <w:tcBorders>
              <w:bottom w:val="nil"/>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37.9</w:t>
            </w:r>
          </w:p>
        </w:tc>
        <w:tc>
          <w:tcPr>
            <w:tcW w:w="1134" w:type="dxa"/>
            <w:tcBorders>
              <w:bottom w:val="nil"/>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15.8</w:t>
            </w:r>
          </w:p>
        </w:tc>
        <w:tc>
          <w:tcPr>
            <w:tcW w:w="991" w:type="dxa"/>
            <w:tcBorders>
              <w:bottom w:val="nil"/>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47.7</w:t>
            </w:r>
          </w:p>
        </w:tc>
      </w:tr>
      <w:tr w:rsidR="00F60DC2" w:rsidRPr="00476FCD" w:rsidTr="00C02BD1">
        <w:tc>
          <w:tcPr>
            <w:tcW w:w="763" w:type="dxa"/>
            <w:tcBorders>
              <w:top w:val="nil"/>
              <w:bottom w:val="single" w:sz="12" w:space="0" w:color="auto"/>
            </w:tcBorders>
            <w:shd w:val="clear" w:color="auto" w:fill="auto"/>
            <w:hideMark/>
          </w:tcPr>
          <w:p w:rsidR="00F60DC2" w:rsidRPr="00476FCD" w:rsidRDefault="00F60DC2" w:rsidP="00C02BD1">
            <w:pPr>
              <w:spacing w:before="40" w:after="40" w:line="220" w:lineRule="exact"/>
              <w:ind w:right="113"/>
              <w:rPr>
                <w:rFonts w:ascii="Time New Roman" w:hAnsi="Time New Roman" w:hint="eastAsia"/>
                <w:bCs/>
                <w:sz w:val="18"/>
                <w:szCs w:val="18"/>
              </w:rPr>
            </w:pPr>
            <w:r w:rsidRPr="00476FCD">
              <w:rPr>
                <w:rFonts w:ascii="Time New Roman" w:hAnsi="Time New Roman"/>
                <w:bCs/>
                <w:sz w:val="18"/>
                <w:szCs w:val="18"/>
              </w:rPr>
              <w:t>2017</w:t>
            </w:r>
            <w:r w:rsidRPr="00476FCD">
              <w:rPr>
                <w:rFonts w:ascii="Time New Roman" w:hAnsi="Time New Roman" w:hint="eastAsia"/>
                <w:bCs/>
                <w:sz w:val="18"/>
                <w:szCs w:val="18"/>
              </w:rPr>
              <w:t>年</w:t>
            </w:r>
          </w:p>
        </w:tc>
        <w:tc>
          <w:tcPr>
            <w:tcW w:w="938" w:type="dxa"/>
            <w:tcBorders>
              <w:top w:val="nil"/>
              <w:bottom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52.3</w:t>
            </w:r>
          </w:p>
        </w:tc>
        <w:tc>
          <w:tcPr>
            <w:tcW w:w="993" w:type="dxa"/>
            <w:tcBorders>
              <w:top w:val="nil"/>
              <w:bottom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32.7</w:t>
            </w:r>
          </w:p>
        </w:tc>
        <w:tc>
          <w:tcPr>
            <w:tcW w:w="1275" w:type="dxa"/>
            <w:tcBorders>
              <w:top w:val="nil"/>
              <w:bottom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27.7</w:t>
            </w:r>
          </w:p>
        </w:tc>
        <w:tc>
          <w:tcPr>
            <w:tcW w:w="1276" w:type="dxa"/>
            <w:tcBorders>
              <w:top w:val="nil"/>
              <w:bottom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37.4</w:t>
            </w:r>
          </w:p>
        </w:tc>
        <w:tc>
          <w:tcPr>
            <w:tcW w:w="1134" w:type="dxa"/>
            <w:tcBorders>
              <w:top w:val="nil"/>
              <w:bottom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15.4</w:t>
            </w:r>
          </w:p>
        </w:tc>
        <w:tc>
          <w:tcPr>
            <w:tcW w:w="991" w:type="dxa"/>
            <w:tcBorders>
              <w:top w:val="nil"/>
              <w:bottom w:val="single" w:sz="12" w:space="0" w:color="auto"/>
            </w:tcBorders>
            <w:shd w:val="clear" w:color="auto" w:fill="auto"/>
            <w:vAlign w:val="bottom"/>
            <w:hideMark/>
          </w:tcPr>
          <w:p w:rsidR="00F60DC2" w:rsidRPr="00476FCD" w:rsidRDefault="00F60DC2" w:rsidP="00C02BD1">
            <w:pPr>
              <w:spacing w:before="40" w:after="40" w:line="220" w:lineRule="exact"/>
              <w:ind w:right="113"/>
              <w:jc w:val="right"/>
              <w:rPr>
                <w:rFonts w:ascii="Time New Roman" w:hAnsi="Time New Roman" w:hint="eastAsia"/>
                <w:sz w:val="18"/>
                <w:szCs w:val="18"/>
              </w:rPr>
            </w:pPr>
            <w:r w:rsidRPr="00476FCD">
              <w:rPr>
                <w:rFonts w:ascii="Time New Roman" w:hAnsi="Time New Roman"/>
                <w:sz w:val="18"/>
                <w:szCs w:val="18"/>
              </w:rPr>
              <w:t>47.0</w:t>
            </w:r>
          </w:p>
        </w:tc>
      </w:tr>
    </w:tbl>
    <w:p w:rsidR="00C00759" w:rsidRPr="00C00759" w:rsidRDefault="00C00759" w:rsidP="00C00759">
      <w:pPr>
        <w:pStyle w:val="ac"/>
        <w:spacing w:before="120"/>
      </w:pPr>
      <w:r>
        <w:tab/>
      </w:r>
      <w:r>
        <w:tab/>
      </w:r>
      <w:r>
        <w:tab/>
      </w:r>
      <w:r w:rsidRPr="00F029FD">
        <w:rPr>
          <w:rFonts w:ascii="Time New Roman" w:eastAsia="楷体" w:hAnsi="Time New Roman" w:hint="eastAsia"/>
        </w:rPr>
        <w:t>资料来源</w:t>
      </w:r>
      <w:r>
        <w:rPr>
          <w:rFonts w:hint="eastAsia"/>
        </w:rPr>
        <w:t>：</w:t>
      </w:r>
      <w:r w:rsidRPr="00C00759">
        <w:rPr>
          <w:rFonts w:hint="eastAsia"/>
        </w:rPr>
        <w:t>芬兰统计局，</w:t>
      </w:r>
      <w:r w:rsidRPr="00C00759">
        <w:rPr>
          <w:rFonts w:hint="eastAsia"/>
        </w:rPr>
        <w:t>2017</w:t>
      </w:r>
      <w:r w:rsidRPr="00C00759">
        <w:rPr>
          <w:rFonts w:hint="eastAsia"/>
        </w:rPr>
        <w:t>年收入分配</w:t>
      </w:r>
      <w:proofErr w:type="gramStart"/>
      <w:r w:rsidRPr="00C00759">
        <w:rPr>
          <w:rFonts w:hint="eastAsia"/>
        </w:rPr>
        <w:t>总统计</w:t>
      </w:r>
      <w:proofErr w:type="gramEnd"/>
      <w:r w:rsidRPr="00C00759">
        <w:rPr>
          <w:rFonts w:hint="eastAsia"/>
        </w:rPr>
        <w:t>数据，芬兰统计局数据库。</w:t>
      </w:r>
    </w:p>
    <w:p w:rsidR="00E606ED" w:rsidRDefault="00E606ED" w:rsidP="00E606ED">
      <w:pPr>
        <w:pStyle w:val="H23GC"/>
      </w:pPr>
      <w:r>
        <w:rPr>
          <w:rFonts w:hint="eastAsia"/>
        </w:rPr>
        <w:tab/>
        <w:t>(c)</w:t>
      </w:r>
      <w:r>
        <w:rPr>
          <w:rFonts w:hint="eastAsia"/>
        </w:rPr>
        <w:tab/>
      </w:r>
      <w:r>
        <w:rPr>
          <w:rFonts w:hint="eastAsia"/>
        </w:rPr>
        <w:t>卫生</w:t>
      </w:r>
    </w:p>
    <w:p w:rsidR="00E606ED" w:rsidRDefault="00E606ED" w:rsidP="00E606ED">
      <w:pPr>
        <w:pStyle w:val="H23GC"/>
      </w:pPr>
      <w:r>
        <w:rPr>
          <w:rFonts w:hint="eastAsia"/>
        </w:rPr>
        <w:tab/>
      </w:r>
      <w:r>
        <w:rPr>
          <w:rFonts w:hint="eastAsia"/>
        </w:rPr>
        <w:tab/>
      </w:r>
      <w:r>
        <w:rPr>
          <w:rFonts w:hint="eastAsia"/>
        </w:rPr>
        <w:t>卫生服务</w:t>
      </w:r>
    </w:p>
    <w:p w:rsidR="00E606ED" w:rsidRDefault="00E606ED" w:rsidP="00E606ED">
      <w:pPr>
        <w:pStyle w:val="SingleTxtGC"/>
      </w:pPr>
      <w:r>
        <w:rPr>
          <w:rFonts w:hint="eastAsia"/>
        </w:rPr>
        <w:t>64.</w:t>
      </w:r>
      <w:r>
        <w:rPr>
          <w:rFonts w:hint="eastAsia"/>
        </w:rPr>
        <w:tab/>
      </w:r>
      <w:r>
        <w:rPr>
          <w:rFonts w:hint="eastAsia"/>
        </w:rPr>
        <w:t>芬兰卫生政策的主要目标是促进健康和预防疾病。社会事务和卫生部负责社会和卫生政策以及相关的立法起草工作。目前与卫生有关的重要项目包括社会福利和保健服务的服务结构改革以及社会福利和卫生保健国家发展计划</w:t>
      </w:r>
      <w:r>
        <w:rPr>
          <w:rFonts w:hint="eastAsia"/>
        </w:rPr>
        <w:t>(</w:t>
      </w:r>
      <w:proofErr w:type="spellStart"/>
      <w:r>
        <w:rPr>
          <w:rFonts w:hint="eastAsia"/>
        </w:rPr>
        <w:t>Kaste</w:t>
      </w:r>
      <w:proofErr w:type="spellEnd"/>
      <w:r>
        <w:rPr>
          <w:rFonts w:hint="eastAsia"/>
        </w:rPr>
        <w:t>方案</w:t>
      </w:r>
      <w:r>
        <w:rPr>
          <w:rFonts w:hint="eastAsia"/>
        </w:rPr>
        <w:t>)</w:t>
      </w:r>
      <w:r>
        <w:rPr>
          <w:rFonts w:hint="eastAsia"/>
        </w:rPr>
        <w:t>。</w:t>
      </w:r>
    </w:p>
    <w:p w:rsidR="00E606ED" w:rsidRDefault="00E606ED" w:rsidP="00E606ED">
      <w:pPr>
        <w:pStyle w:val="SingleTxtGC"/>
      </w:pPr>
      <w:r>
        <w:rPr>
          <w:rFonts w:hint="eastAsia"/>
        </w:rPr>
        <w:t>65.</w:t>
      </w:r>
      <w:r>
        <w:rPr>
          <w:rFonts w:hint="eastAsia"/>
        </w:rPr>
        <w:tab/>
      </w:r>
      <w:r>
        <w:rPr>
          <w:rFonts w:hint="eastAsia"/>
        </w:rPr>
        <w:t>芬兰人人有权获得充分的卫生和社会服务。在中央政府的支持下实施的市政社会福利和卫生保健制度构成了社会福利和卫生保健制度的基础。在芬兰，成年寻求庇护者有权获得急诊治疗和必要的治疗，而未成年寻求庇护者有权获得与城镇居民相同的医疗保健。服务不仅由公共部门提供，也由私营企业提供。芬兰的社会福利和卫生保健领域还有广泛的民间社会组织，提供免费和收费服务。</w:t>
      </w:r>
    </w:p>
    <w:p w:rsidR="00E606ED" w:rsidRDefault="00E606ED" w:rsidP="00E606ED">
      <w:pPr>
        <w:pStyle w:val="SingleTxtGC"/>
      </w:pPr>
      <w:r>
        <w:rPr>
          <w:rFonts w:hint="eastAsia"/>
        </w:rPr>
        <w:t>66.</w:t>
      </w:r>
      <w:r>
        <w:rPr>
          <w:rFonts w:hint="eastAsia"/>
        </w:rPr>
        <w:tab/>
      </w:r>
      <w:r>
        <w:rPr>
          <w:rFonts w:hint="eastAsia"/>
        </w:rPr>
        <w:t>保健服务分为基本保健服务和专科医疗服务。基本保健服务由市政保健中心提供，而专科医疗服务主要由医院提供。雇员的预防性保健以及</w:t>
      </w:r>
      <w:r>
        <w:rPr>
          <w:rFonts w:hint="eastAsia"/>
        </w:rPr>
        <w:t>(</w:t>
      </w:r>
      <w:r>
        <w:rPr>
          <w:rFonts w:hint="eastAsia"/>
        </w:rPr>
        <w:t>可能的情况下</w:t>
      </w:r>
      <w:r>
        <w:rPr>
          <w:rFonts w:hint="eastAsia"/>
        </w:rPr>
        <w:t>)</w:t>
      </w:r>
      <w:r>
        <w:rPr>
          <w:rFonts w:hint="eastAsia"/>
        </w:rPr>
        <w:t>医疗保健是其雇主的责任。同时，私人保健服务补充了市政保健服务。市政当局也可以从私营部门购买服务。</w:t>
      </w:r>
    </w:p>
    <w:p w:rsidR="00E606ED" w:rsidRDefault="00E606ED" w:rsidP="00E606ED">
      <w:pPr>
        <w:pStyle w:val="SingleTxtGC"/>
      </w:pPr>
      <w:r>
        <w:rPr>
          <w:rFonts w:hint="eastAsia"/>
        </w:rPr>
        <w:t>67.</w:t>
      </w:r>
      <w:r>
        <w:rPr>
          <w:rFonts w:hint="eastAsia"/>
        </w:rPr>
        <w:tab/>
      </w:r>
      <w:r>
        <w:rPr>
          <w:rFonts w:hint="eastAsia"/>
        </w:rPr>
        <w:t>卫生部门的其他主要机构包括：芬兰卫生和福利研究所，该研究所负责卫生服务的研究和发展以及该领域的其他专家服务；国家福利和卫生监督机构，该机构负责指导、监督和处理社会福利和卫生保健方面的许可证发放工作；芬兰药品管理机构，该机构负责制药部门的营销授权和监管、研究和发展以及药品信息的制作。除上述之外，行政区国家管理机构负责监督各区的卫生保健工作以及指导和监督保健专业人员。</w:t>
      </w:r>
    </w:p>
    <w:p w:rsidR="00E606ED" w:rsidRDefault="00E606ED" w:rsidP="00E606ED">
      <w:pPr>
        <w:pStyle w:val="H23GC"/>
      </w:pPr>
      <w:r>
        <w:rPr>
          <w:rFonts w:hint="eastAsia"/>
        </w:rPr>
        <w:tab/>
      </w:r>
      <w:r>
        <w:rPr>
          <w:rFonts w:hint="eastAsia"/>
        </w:rPr>
        <w:tab/>
      </w:r>
      <w:r>
        <w:rPr>
          <w:rFonts w:hint="eastAsia"/>
        </w:rPr>
        <w:t>婴儿死亡率、孕产妇死亡率和预期寿命</w:t>
      </w:r>
    </w:p>
    <w:p w:rsidR="00E606ED" w:rsidRDefault="00E606ED" w:rsidP="00E606ED">
      <w:pPr>
        <w:pStyle w:val="SingleTxtGC"/>
      </w:pPr>
      <w:r>
        <w:rPr>
          <w:rFonts w:hint="eastAsia"/>
        </w:rPr>
        <w:t>68.</w:t>
      </w:r>
      <w:r>
        <w:rPr>
          <w:rFonts w:hint="eastAsia"/>
        </w:rPr>
        <w:tab/>
      </w:r>
      <w:r>
        <w:rPr>
          <w:rFonts w:hint="eastAsia"/>
        </w:rPr>
        <w:t>婴儿死亡率表明每</w:t>
      </w:r>
      <w:r>
        <w:rPr>
          <w:rFonts w:hint="eastAsia"/>
        </w:rPr>
        <w:t>1,000</w:t>
      </w:r>
      <w:r>
        <w:rPr>
          <w:rFonts w:hint="eastAsia"/>
        </w:rPr>
        <w:t>名活产儿中在一岁以前死亡的人数。</w:t>
      </w:r>
      <w:r>
        <w:rPr>
          <w:rFonts w:hint="eastAsia"/>
        </w:rPr>
        <w:t>2018</w:t>
      </w:r>
      <w:r>
        <w:rPr>
          <w:rFonts w:hint="eastAsia"/>
        </w:rPr>
        <w:t>年，芬兰有</w:t>
      </w:r>
      <w:r>
        <w:rPr>
          <w:rFonts w:hint="eastAsia"/>
        </w:rPr>
        <w:t>101</w:t>
      </w:r>
      <w:r>
        <w:rPr>
          <w:rFonts w:hint="eastAsia"/>
        </w:rPr>
        <w:t>名一岁以下儿童死亡。婴儿死亡率为每</w:t>
      </w:r>
      <w:r>
        <w:rPr>
          <w:rFonts w:hint="eastAsia"/>
        </w:rPr>
        <w:t>1,000</w:t>
      </w:r>
      <w:r>
        <w:rPr>
          <w:rFonts w:hint="eastAsia"/>
        </w:rPr>
        <w:t>名活产儿中</w:t>
      </w:r>
      <w:r>
        <w:rPr>
          <w:rFonts w:hint="eastAsia"/>
        </w:rPr>
        <w:t>2.1</w:t>
      </w:r>
      <w:r>
        <w:rPr>
          <w:rFonts w:hint="eastAsia"/>
        </w:rPr>
        <w:t>人死亡。</w:t>
      </w:r>
    </w:p>
    <w:p w:rsidR="00E606ED" w:rsidRDefault="00E606ED">
      <w:pPr>
        <w:tabs>
          <w:tab w:val="clear" w:pos="431"/>
        </w:tabs>
        <w:overflowPunct/>
        <w:adjustRightInd/>
        <w:snapToGrid/>
        <w:spacing w:line="240" w:lineRule="auto"/>
        <w:jc w:val="left"/>
      </w:pPr>
      <w:r>
        <w:br w:type="page"/>
      </w:r>
    </w:p>
    <w:p w:rsidR="0074650F" w:rsidRPr="00C00759" w:rsidRDefault="00E606ED" w:rsidP="00E606ED">
      <w:pPr>
        <w:pStyle w:val="SingleTxtGC"/>
      </w:pPr>
      <w:r>
        <w:rPr>
          <w:rFonts w:hint="eastAsia"/>
        </w:rPr>
        <w:lastRenderedPageBreak/>
        <w:t>表</w:t>
      </w:r>
      <w:r>
        <w:rPr>
          <w:rFonts w:hint="eastAsia"/>
        </w:rPr>
        <w:t>6.</w:t>
      </w:r>
      <w:r>
        <w:br/>
      </w:r>
      <w:r w:rsidRPr="00E606ED">
        <w:rPr>
          <w:rFonts w:ascii="Time New Roman" w:eastAsia="黑体" w:hAnsi="Time New Roman" w:hint="eastAsia"/>
        </w:rPr>
        <w:t>2013-2017</w:t>
      </w:r>
      <w:r w:rsidRPr="00E606ED">
        <w:rPr>
          <w:rFonts w:ascii="Time New Roman" w:eastAsia="黑体" w:hAnsi="Time New Roman" w:hint="eastAsia"/>
        </w:rPr>
        <w:t>年</w:t>
      </w:r>
      <w:proofErr w:type="gramStart"/>
      <w:r w:rsidRPr="00E606ED">
        <w:rPr>
          <w:rFonts w:ascii="Time New Roman" w:eastAsia="黑体" w:hAnsi="Time New Roman" w:hint="eastAsia"/>
        </w:rPr>
        <w:t>孕</w:t>
      </w:r>
      <w:proofErr w:type="gramEnd"/>
      <w:r w:rsidRPr="00E606ED">
        <w:rPr>
          <w:rFonts w:ascii="Time New Roman" w:eastAsia="黑体" w:hAnsi="Time New Roman" w:hint="eastAsia"/>
        </w:rPr>
        <w:t>产妇死亡人数和</w:t>
      </w:r>
      <w:proofErr w:type="gramStart"/>
      <w:r w:rsidRPr="00E606ED">
        <w:rPr>
          <w:rFonts w:ascii="Time New Roman" w:eastAsia="黑体" w:hAnsi="Time New Roman" w:hint="eastAsia"/>
        </w:rPr>
        <w:t>孕产妇</w:t>
      </w:r>
      <w:proofErr w:type="gramEnd"/>
      <w:r w:rsidRPr="00E606ED">
        <w:rPr>
          <w:rFonts w:ascii="Time New Roman" w:eastAsia="黑体" w:hAnsi="Time New Roman" w:hint="eastAsia"/>
        </w:rPr>
        <w:t>死亡率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7"/>
        <w:gridCol w:w="4106"/>
        <w:gridCol w:w="2267"/>
      </w:tblGrid>
      <w:tr w:rsidR="00E44B7B" w:rsidRPr="0070507D" w:rsidTr="00E44B7B">
        <w:trPr>
          <w:tblHeader/>
        </w:trPr>
        <w:tc>
          <w:tcPr>
            <w:tcW w:w="997" w:type="dxa"/>
            <w:tcBorders>
              <w:top w:val="single" w:sz="4" w:space="0" w:color="auto"/>
              <w:bottom w:val="single" w:sz="12" w:space="0" w:color="auto"/>
            </w:tcBorders>
            <w:shd w:val="clear" w:color="auto" w:fill="auto"/>
            <w:vAlign w:val="bottom"/>
            <w:hideMark/>
          </w:tcPr>
          <w:p w:rsidR="00E44B7B" w:rsidRPr="0070507D" w:rsidRDefault="00E44B7B" w:rsidP="00C02BD1">
            <w:pPr>
              <w:pStyle w:val="a4"/>
              <w:ind w:right="0"/>
              <w:jc w:val="left"/>
            </w:pPr>
            <w:r w:rsidRPr="0070507D">
              <w:rPr>
                <w:rFonts w:hint="eastAsia"/>
              </w:rPr>
              <w:t>年份</w:t>
            </w:r>
          </w:p>
        </w:tc>
        <w:tc>
          <w:tcPr>
            <w:tcW w:w="4106" w:type="dxa"/>
            <w:tcBorders>
              <w:top w:val="single" w:sz="4" w:space="0" w:color="auto"/>
              <w:bottom w:val="single" w:sz="12" w:space="0" w:color="auto"/>
            </w:tcBorders>
            <w:shd w:val="clear" w:color="auto" w:fill="auto"/>
            <w:vAlign w:val="bottom"/>
            <w:hideMark/>
          </w:tcPr>
          <w:p w:rsidR="00E44B7B" w:rsidRPr="0070507D" w:rsidRDefault="00E44B7B" w:rsidP="00C02BD1">
            <w:pPr>
              <w:pStyle w:val="a4"/>
              <w:ind w:right="0"/>
              <w:jc w:val="right"/>
            </w:pPr>
            <w:proofErr w:type="gramStart"/>
            <w:r w:rsidRPr="0070507D">
              <w:rPr>
                <w:rFonts w:hint="eastAsia"/>
              </w:rPr>
              <w:t>孕</w:t>
            </w:r>
            <w:proofErr w:type="gramEnd"/>
            <w:r w:rsidRPr="0070507D">
              <w:rPr>
                <w:rFonts w:hint="eastAsia"/>
              </w:rPr>
              <w:t>产妇死亡率</w:t>
            </w:r>
            <w:r w:rsidRPr="0070507D">
              <w:rPr>
                <w:rFonts w:hint="eastAsia"/>
              </w:rPr>
              <w:t>(</w:t>
            </w:r>
            <w:r w:rsidRPr="0070507D">
              <w:rPr>
                <w:rFonts w:hint="eastAsia"/>
              </w:rPr>
              <w:t>每</w:t>
            </w:r>
            <w:r>
              <w:rPr>
                <w:rFonts w:hint="eastAsia"/>
              </w:rPr>
              <w:t>1</w:t>
            </w:r>
            <w:r w:rsidRPr="0070507D">
              <w:rPr>
                <w:rFonts w:hint="eastAsia"/>
              </w:rPr>
              <w:t>0</w:t>
            </w:r>
            <w:r w:rsidRPr="0070507D">
              <w:rPr>
                <w:rFonts w:hint="eastAsia"/>
              </w:rPr>
              <w:t>万活产儿</w:t>
            </w:r>
            <w:r w:rsidRPr="0070507D">
              <w:rPr>
                <w:rFonts w:hint="eastAsia"/>
              </w:rPr>
              <w:t>)</w:t>
            </w:r>
          </w:p>
        </w:tc>
        <w:tc>
          <w:tcPr>
            <w:tcW w:w="2267" w:type="dxa"/>
            <w:tcBorders>
              <w:top w:val="single" w:sz="4" w:space="0" w:color="auto"/>
              <w:bottom w:val="single" w:sz="12" w:space="0" w:color="auto"/>
            </w:tcBorders>
            <w:shd w:val="clear" w:color="auto" w:fill="auto"/>
            <w:vAlign w:val="bottom"/>
            <w:hideMark/>
          </w:tcPr>
          <w:p w:rsidR="00E44B7B" w:rsidRPr="0070507D" w:rsidRDefault="00E44B7B" w:rsidP="00C02BD1">
            <w:pPr>
              <w:pStyle w:val="a4"/>
              <w:ind w:right="0"/>
              <w:jc w:val="right"/>
            </w:pPr>
            <w:proofErr w:type="gramStart"/>
            <w:r w:rsidRPr="0070507D">
              <w:rPr>
                <w:rFonts w:hint="eastAsia"/>
              </w:rPr>
              <w:t>孕</w:t>
            </w:r>
            <w:proofErr w:type="gramEnd"/>
            <w:r w:rsidRPr="0070507D">
              <w:rPr>
                <w:rFonts w:hint="eastAsia"/>
              </w:rPr>
              <w:t>产妇死亡人数</w:t>
            </w:r>
          </w:p>
        </w:tc>
      </w:tr>
      <w:tr w:rsidR="00E44B7B" w:rsidRPr="0070507D" w:rsidTr="00E44B7B">
        <w:tc>
          <w:tcPr>
            <w:tcW w:w="997" w:type="dxa"/>
            <w:tcBorders>
              <w:top w:val="single" w:sz="12" w:space="0" w:color="auto"/>
            </w:tcBorders>
            <w:shd w:val="clear" w:color="auto" w:fill="auto"/>
            <w:hideMark/>
          </w:tcPr>
          <w:p w:rsidR="00E44B7B" w:rsidRPr="0070507D" w:rsidRDefault="00E44B7B" w:rsidP="00C02BD1">
            <w:pPr>
              <w:pStyle w:val="a3"/>
              <w:overflowPunct/>
              <w:ind w:right="0"/>
              <w:jc w:val="left"/>
            </w:pPr>
            <w:r>
              <w:t>2</w:t>
            </w:r>
            <w:r w:rsidRPr="0070507D">
              <w:t>0</w:t>
            </w:r>
            <w:r>
              <w:t>17</w:t>
            </w:r>
            <w:r w:rsidRPr="0070507D">
              <w:rPr>
                <w:rFonts w:hint="eastAsia"/>
              </w:rPr>
              <w:t>年</w:t>
            </w:r>
          </w:p>
        </w:tc>
        <w:tc>
          <w:tcPr>
            <w:tcW w:w="4106" w:type="dxa"/>
            <w:tcBorders>
              <w:top w:val="single" w:sz="12" w:space="0" w:color="auto"/>
            </w:tcBorders>
            <w:shd w:val="clear" w:color="auto" w:fill="auto"/>
            <w:vAlign w:val="bottom"/>
            <w:hideMark/>
          </w:tcPr>
          <w:p w:rsidR="00E44B7B" w:rsidRPr="0070507D" w:rsidRDefault="00E44B7B" w:rsidP="00C02BD1">
            <w:pPr>
              <w:pStyle w:val="a3"/>
              <w:overflowPunct/>
              <w:ind w:right="0"/>
              <w:jc w:val="right"/>
            </w:pPr>
            <w:r>
              <w:t>7</w:t>
            </w:r>
            <w:r w:rsidRPr="0070507D">
              <w:t>.</w:t>
            </w:r>
            <w:r>
              <w:t>9</w:t>
            </w:r>
          </w:p>
        </w:tc>
        <w:tc>
          <w:tcPr>
            <w:tcW w:w="2267" w:type="dxa"/>
            <w:tcBorders>
              <w:top w:val="single" w:sz="12" w:space="0" w:color="auto"/>
            </w:tcBorders>
            <w:shd w:val="clear" w:color="auto" w:fill="auto"/>
            <w:vAlign w:val="bottom"/>
            <w:hideMark/>
          </w:tcPr>
          <w:p w:rsidR="00E44B7B" w:rsidRPr="0070507D" w:rsidRDefault="00E44B7B" w:rsidP="00C02BD1">
            <w:pPr>
              <w:pStyle w:val="a3"/>
              <w:overflowPunct/>
              <w:ind w:right="0"/>
              <w:jc w:val="right"/>
            </w:pPr>
            <w:r>
              <w:t>4</w:t>
            </w:r>
          </w:p>
        </w:tc>
      </w:tr>
      <w:tr w:rsidR="00E44B7B" w:rsidRPr="0070507D" w:rsidTr="00E44B7B">
        <w:tc>
          <w:tcPr>
            <w:tcW w:w="997" w:type="dxa"/>
            <w:shd w:val="clear" w:color="auto" w:fill="auto"/>
            <w:hideMark/>
          </w:tcPr>
          <w:p w:rsidR="00E44B7B" w:rsidRPr="0070507D" w:rsidRDefault="00E44B7B" w:rsidP="00C02BD1">
            <w:pPr>
              <w:pStyle w:val="a3"/>
              <w:overflowPunct/>
              <w:ind w:right="0"/>
              <w:jc w:val="left"/>
            </w:pPr>
            <w:r>
              <w:t>2</w:t>
            </w:r>
            <w:r w:rsidRPr="0070507D">
              <w:t>0</w:t>
            </w:r>
            <w:r>
              <w:t>16</w:t>
            </w:r>
            <w:r w:rsidRPr="0070507D">
              <w:rPr>
                <w:rFonts w:hint="eastAsia"/>
              </w:rPr>
              <w:t>年</w:t>
            </w:r>
          </w:p>
        </w:tc>
        <w:tc>
          <w:tcPr>
            <w:tcW w:w="4106" w:type="dxa"/>
            <w:shd w:val="clear" w:color="auto" w:fill="auto"/>
            <w:vAlign w:val="bottom"/>
            <w:hideMark/>
          </w:tcPr>
          <w:p w:rsidR="00E44B7B" w:rsidRPr="0070507D" w:rsidRDefault="00E44B7B" w:rsidP="00C02BD1">
            <w:pPr>
              <w:pStyle w:val="a3"/>
              <w:overflowPunct/>
              <w:ind w:right="0"/>
              <w:jc w:val="right"/>
            </w:pPr>
            <w:r>
              <w:t>5</w:t>
            </w:r>
            <w:r w:rsidRPr="0070507D">
              <w:t>.</w:t>
            </w:r>
            <w:r>
              <w:t>7</w:t>
            </w:r>
          </w:p>
        </w:tc>
        <w:tc>
          <w:tcPr>
            <w:tcW w:w="2267" w:type="dxa"/>
            <w:shd w:val="clear" w:color="auto" w:fill="auto"/>
            <w:vAlign w:val="bottom"/>
            <w:hideMark/>
          </w:tcPr>
          <w:p w:rsidR="00E44B7B" w:rsidRPr="0070507D" w:rsidRDefault="00E44B7B" w:rsidP="00C02BD1">
            <w:pPr>
              <w:pStyle w:val="a3"/>
              <w:overflowPunct/>
              <w:ind w:right="0"/>
              <w:jc w:val="right"/>
            </w:pPr>
            <w:r>
              <w:t>3</w:t>
            </w:r>
          </w:p>
        </w:tc>
      </w:tr>
      <w:tr w:rsidR="00E44B7B" w:rsidRPr="0070507D" w:rsidTr="00E44B7B">
        <w:tc>
          <w:tcPr>
            <w:tcW w:w="997" w:type="dxa"/>
            <w:shd w:val="clear" w:color="auto" w:fill="auto"/>
            <w:hideMark/>
          </w:tcPr>
          <w:p w:rsidR="00E44B7B" w:rsidRPr="0070507D" w:rsidRDefault="00E44B7B" w:rsidP="00C02BD1">
            <w:pPr>
              <w:pStyle w:val="a3"/>
              <w:overflowPunct/>
              <w:ind w:right="0"/>
              <w:jc w:val="left"/>
            </w:pPr>
            <w:r>
              <w:t>2</w:t>
            </w:r>
            <w:r w:rsidRPr="0070507D">
              <w:t>0</w:t>
            </w:r>
            <w:r>
              <w:t>15</w:t>
            </w:r>
            <w:r w:rsidRPr="0070507D">
              <w:rPr>
                <w:rFonts w:hint="eastAsia"/>
              </w:rPr>
              <w:t>年</w:t>
            </w:r>
          </w:p>
        </w:tc>
        <w:tc>
          <w:tcPr>
            <w:tcW w:w="4106" w:type="dxa"/>
            <w:shd w:val="clear" w:color="auto" w:fill="auto"/>
            <w:vAlign w:val="bottom"/>
            <w:hideMark/>
          </w:tcPr>
          <w:p w:rsidR="00E44B7B" w:rsidRPr="0070507D" w:rsidRDefault="00E44B7B" w:rsidP="00C02BD1">
            <w:pPr>
              <w:pStyle w:val="a3"/>
              <w:overflowPunct/>
              <w:ind w:right="0"/>
              <w:jc w:val="right"/>
            </w:pPr>
            <w:r>
              <w:t>3</w:t>
            </w:r>
            <w:r w:rsidRPr="0070507D">
              <w:t>.</w:t>
            </w:r>
            <w:r>
              <w:t>6</w:t>
            </w:r>
          </w:p>
        </w:tc>
        <w:tc>
          <w:tcPr>
            <w:tcW w:w="2267" w:type="dxa"/>
            <w:shd w:val="clear" w:color="auto" w:fill="auto"/>
            <w:vAlign w:val="bottom"/>
            <w:hideMark/>
          </w:tcPr>
          <w:p w:rsidR="00E44B7B" w:rsidRPr="0070507D" w:rsidRDefault="00E44B7B" w:rsidP="00C02BD1">
            <w:pPr>
              <w:pStyle w:val="a3"/>
              <w:overflowPunct/>
              <w:ind w:right="0"/>
              <w:jc w:val="right"/>
            </w:pPr>
            <w:r>
              <w:t>2</w:t>
            </w:r>
          </w:p>
        </w:tc>
      </w:tr>
      <w:tr w:rsidR="00E44B7B" w:rsidRPr="0070507D" w:rsidTr="00E44B7B">
        <w:tc>
          <w:tcPr>
            <w:tcW w:w="997" w:type="dxa"/>
            <w:shd w:val="clear" w:color="auto" w:fill="auto"/>
            <w:hideMark/>
          </w:tcPr>
          <w:p w:rsidR="00E44B7B" w:rsidRPr="0070507D" w:rsidRDefault="00E44B7B" w:rsidP="00C02BD1">
            <w:pPr>
              <w:pStyle w:val="a3"/>
              <w:overflowPunct/>
              <w:ind w:right="0"/>
              <w:jc w:val="left"/>
            </w:pPr>
            <w:r>
              <w:t>2</w:t>
            </w:r>
            <w:r w:rsidRPr="0070507D">
              <w:t>0</w:t>
            </w:r>
            <w:r>
              <w:t>14</w:t>
            </w:r>
            <w:r w:rsidRPr="0070507D">
              <w:rPr>
                <w:rFonts w:hint="eastAsia"/>
              </w:rPr>
              <w:t>年</w:t>
            </w:r>
          </w:p>
        </w:tc>
        <w:tc>
          <w:tcPr>
            <w:tcW w:w="4106" w:type="dxa"/>
            <w:shd w:val="clear" w:color="auto" w:fill="auto"/>
            <w:vAlign w:val="bottom"/>
            <w:hideMark/>
          </w:tcPr>
          <w:p w:rsidR="00E44B7B" w:rsidRPr="0070507D" w:rsidRDefault="00E44B7B" w:rsidP="00C02BD1">
            <w:pPr>
              <w:pStyle w:val="a3"/>
              <w:overflowPunct/>
              <w:ind w:right="0"/>
              <w:jc w:val="right"/>
            </w:pPr>
            <w:r>
              <w:t>5</w:t>
            </w:r>
            <w:r w:rsidRPr="0070507D">
              <w:t>.</w:t>
            </w:r>
            <w:r>
              <w:t>2</w:t>
            </w:r>
          </w:p>
        </w:tc>
        <w:tc>
          <w:tcPr>
            <w:tcW w:w="2267" w:type="dxa"/>
            <w:shd w:val="clear" w:color="auto" w:fill="auto"/>
            <w:vAlign w:val="bottom"/>
            <w:hideMark/>
          </w:tcPr>
          <w:p w:rsidR="00E44B7B" w:rsidRPr="0070507D" w:rsidRDefault="00E44B7B" w:rsidP="00C02BD1">
            <w:pPr>
              <w:pStyle w:val="a3"/>
              <w:overflowPunct/>
              <w:ind w:right="0"/>
              <w:jc w:val="right"/>
            </w:pPr>
            <w:r>
              <w:t>3</w:t>
            </w:r>
          </w:p>
        </w:tc>
      </w:tr>
      <w:tr w:rsidR="00E44B7B" w:rsidRPr="0070507D" w:rsidTr="00E44B7B">
        <w:tc>
          <w:tcPr>
            <w:tcW w:w="997" w:type="dxa"/>
            <w:shd w:val="clear" w:color="auto" w:fill="auto"/>
            <w:hideMark/>
          </w:tcPr>
          <w:p w:rsidR="00E44B7B" w:rsidRPr="0070507D" w:rsidRDefault="00E44B7B" w:rsidP="00C02BD1">
            <w:pPr>
              <w:pStyle w:val="a3"/>
              <w:overflowPunct/>
              <w:ind w:right="0"/>
              <w:jc w:val="left"/>
            </w:pPr>
            <w:r>
              <w:t>2</w:t>
            </w:r>
            <w:r w:rsidRPr="0070507D">
              <w:t>0</w:t>
            </w:r>
            <w:r>
              <w:t>13</w:t>
            </w:r>
            <w:r w:rsidRPr="0070507D">
              <w:rPr>
                <w:rFonts w:hint="eastAsia"/>
              </w:rPr>
              <w:t>年</w:t>
            </w:r>
          </w:p>
        </w:tc>
        <w:tc>
          <w:tcPr>
            <w:tcW w:w="4106" w:type="dxa"/>
            <w:shd w:val="clear" w:color="auto" w:fill="auto"/>
            <w:vAlign w:val="bottom"/>
            <w:hideMark/>
          </w:tcPr>
          <w:p w:rsidR="00E44B7B" w:rsidRPr="0070507D" w:rsidRDefault="00E44B7B" w:rsidP="00C02BD1">
            <w:pPr>
              <w:pStyle w:val="a3"/>
              <w:overflowPunct/>
              <w:ind w:right="0"/>
              <w:jc w:val="right"/>
            </w:pPr>
            <w:r>
              <w:t>1</w:t>
            </w:r>
            <w:r w:rsidRPr="0070507D">
              <w:t>.</w:t>
            </w:r>
            <w:r>
              <w:t>7</w:t>
            </w:r>
          </w:p>
        </w:tc>
        <w:tc>
          <w:tcPr>
            <w:tcW w:w="2267" w:type="dxa"/>
            <w:shd w:val="clear" w:color="auto" w:fill="auto"/>
            <w:vAlign w:val="bottom"/>
            <w:hideMark/>
          </w:tcPr>
          <w:p w:rsidR="00E44B7B" w:rsidRPr="0070507D" w:rsidRDefault="00E44B7B" w:rsidP="00C02BD1">
            <w:pPr>
              <w:pStyle w:val="a3"/>
              <w:overflowPunct/>
              <w:ind w:right="0"/>
              <w:jc w:val="right"/>
            </w:pPr>
            <w:r>
              <w:t>1</w:t>
            </w:r>
          </w:p>
        </w:tc>
      </w:tr>
    </w:tbl>
    <w:p w:rsidR="00E44B7B" w:rsidRPr="00C00759" w:rsidRDefault="00E44B7B" w:rsidP="00E44B7B">
      <w:pPr>
        <w:pStyle w:val="ac"/>
        <w:spacing w:before="120"/>
      </w:pPr>
      <w:r>
        <w:tab/>
      </w:r>
      <w:r>
        <w:tab/>
      </w:r>
      <w:r>
        <w:tab/>
      </w:r>
      <w:r w:rsidRPr="00F029FD">
        <w:rPr>
          <w:rFonts w:ascii="Time New Roman" w:eastAsia="楷体" w:hAnsi="Time New Roman" w:hint="eastAsia"/>
        </w:rPr>
        <w:t>资料来源</w:t>
      </w:r>
      <w:r>
        <w:rPr>
          <w:rFonts w:hint="eastAsia"/>
        </w:rPr>
        <w:t>：</w:t>
      </w:r>
      <w:r w:rsidRPr="00E44B7B">
        <w:rPr>
          <w:rFonts w:hint="eastAsia"/>
        </w:rPr>
        <w:t>芬兰统计局，死亡原因。</w:t>
      </w:r>
    </w:p>
    <w:p w:rsidR="00E44B7B" w:rsidRDefault="00E44B7B" w:rsidP="00E44B7B">
      <w:pPr>
        <w:pStyle w:val="SingleTxtGC"/>
        <w:spacing w:before="120"/>
      </w:pPr>
      <w:r>
        <w:rPr>
          <w:rFonts w:hint="eastAsia"/>
        </w:rPr>
        <w:t>69.</w:t>
      </w:r>
      <w:r>
        <w:rPr>
          <w:rFonts w:hint="eastAsia"/>
        </w:rPr>
        <w:tab/>
        <w:t>2018</w:t>
      </w:r>
      <w:r>
        <w:rPr>
          <w:rFonts w:hint="eastAsia"/>
        </w:rPr>
        <w:t>年芬兰新生儿的预期寿命为</w:t>
      </w:r>
      <w:r>
        <w:rPr>
          <w:rFonts w:hint="eastAsia"/>
        </w:rPr>
        <w:t>81.6</w:t>
      </w:r>
      <w:r>
        <w:rPr>
          <w:rFonts w:hint="eastAsia"/>
        </w:rPr>
        <w:t>岁。男性预期寿命为</w:t>
      </w:r>
      <w:r>
        <w:rPr>
          <w:rFonts w:hint="eastAsia"/>
        </w:rPr>
        <w:t>78.9</w:t>
      </w:r>
      <w:r>
        <w:rPr>
          <w:rFonts w:hint="eastAsia"/>
        </w:rPr>
        <w:t>岁，女性为</w:t>
      </w:r>
      <w:r>
        <w:rPr>
          <w:rFonts w:hint="eastAsia"/>
        </w:rPr>
        <w:t>84.3</w:t>
      </w:r>
      <w:r>
        <w:rPr>
          <w:rFonts w:hint="eastAsia"/>
        </w:rPr>
        <w:t>岁。男性和女性的预期寿命都比上年略有增加。</w:t>
      </w:r>
    </w:p>
    <w:p w:rsidR="00E44B7B" w:rsidRDefault="00E44B7B" w:rsidP="00E44B7B">
      <w:pPr>
        <w:pStyle w:val="SingleTxtGC"/>
      </w:pPr>
      <w:r>
        <w:rPr>
          <w:rFonts w:hint="eastAsia"/>
        </w:rPr>
        <w:t>70.</w:t>
      </w:r>
      <w:r>
        <w:rPr>
          <w:rFonts w:hint="eastAsia"/>
        </w:rPr>
        <w:tab/>
      </w:r>
      <w:r>
        <w:rPr>
          <w:rFonts w:hint="eastAsia"/>
        </w:rPr>
        <w:t>死亡原因统计数据显示，</w:t>
      </w:r>
      <w:r>
        <w:rPr>
          <w:rFonts w:hint="eastAsia"/>
        </w:rPr>
        <w:t>2017</w:t>
      </w:r>
      <w:r>
        <w:rPr>
          <w:rFonts w:hint="eastAsia"/>
        </w:rPr>
        <w:t>年共有</w:t>
      </w:r>
      <w:r>
        <w:rPr>
          <w:rFonts w:hint="eastAsia"/>
        </w:rPr>
        <w:t>53,670</w:t>
      </w:r>
      <w:r>
        <w:rPr>
          <w:rFonts w:hint="eastAsia"/>
        </w:rPr>
        <w:t>人死亡。这一数字比上一年低</w:t>
      </w:r>
      <w:r>
        <w:rPr>
          <w:rFonts w:hint="eastAsia"/>
        </w:rPr>
        <w:t>0.5%</w:t>
      </w:r>
      <w:r>
        <w:rPr>
          <w:rFonts w:hint="eastAsia"/>
        </w:rPr>
        <w:t>。预期寿命的延长反映在死亡年龄分布的变化上：</w:t>
      </w:r>
      <w:r>
        <w:rPr>
          <w:rFonts w:hint="eastAsia"/>
        </w:rPr>
        <w:t>80</w:t>
      </w:r>
      <w:r>
        <w:rPr>
          <w:rFonts w:hint="eastAsia"/>
        </w:rPr>
        <w:t>岁以上人口的死亡率比上年有所上升，但</w:t>
      </w:r>
      <w:r>
        <w:rPr>
          <w:rFonts w:hint="eastAsia"/>
        </w:rPr>
        <w:t>80</w:t>
      </w:r>
      <w:r>
        <w:rPr>
          <w:rFonts w:hint="eastAsia"/>
        </w:rPr>
        <w:t>岁以下人口的死亡率基本保持不变。老年人死亡率升高反映在死亡原因上，主要是由于痴呆症和循环系统疾病造成的死亡人数增加。后者也是死亡的主要原因，占所有死亡的</w:t>
      </w:r>
      <w:r>
        <w:rPr>
          <w:rFonts w:hint="eastAsia"/>
        </w:rPr>
        <w:t>36%</w:t>
      </w:r>
      <w:r>
        <w:rPr>
          <w:rFonts w:hint="eastAsia"/>
        </w:rPr>
        <w:t>。</w:t>
      </w:r>
    </w:p>
    <w:p w:rsidR="00E44B7B" w:rsidRDefault="00E44B7B" w:rsidP="00E44B7B">
      <w:pPr>
        <w:pStyle w:val="H23GC"/>
      </w:pPr>
      <w:r>
        <w:rPr>
          <w:rFonts w:hint="eastAsia"/>
        </w:rPr>
        <w:tab/>
        <w:t>(d)</w:t>
      </w:r>
      <w:r>
        <w:rPr>
          <w:rFonts w:hint="eastAsia"/>
        </w:rPr>
        <w:tab/>
      </w:r>
      <w:r>
        <w:rPr>
          <w:rFonts w:hint="eastAsia"/>
        </w:rPr>
        <w:t>社会保障</w:t>
      </w:r>
    </w:p>
    <w:p w:rsidR="00E44B7B" w:rsidRDefault="00E44B7B" w:rsidP="00E44B7B">
      <w:pPr>
        <w:pStyle w:val="SingleTxtGC"/>
      </w:pPr>
      <w:r>
        <w:rPr>
          <w:rFonts w:hint="eastAsia"/>
        </w:rPr>
        <w:t>71.</w:t>
      </w:r>
      <w:r>
        <w:rPr>
          <w:rFonts w:hint="eastAsia"/>
        </w:rPr>
        <w:tab/>
      </w:r>
      <w:r>
        <w:rPr>
          <w:rFonts w:hint="eastAsia"/>
        </w:rPr>
        <w:t>社会保障包括基于居住地和就业的福利。养老金保障、卫生和社会服务、健康保险福利、育儿福利和家庭福利覆盖所有芬兰常住居民。到芬兰工作的人也有权享受基于居住地的福利。社会保障中完全基于就业的部分是与收入相关的养老金计划以及发生事故和职业病时的劳工赔偿保险计划。</w:t>
      </w:r>
    </w:p>
    <w:p w:rsidR="00E44B7B" w:rsidRDefault="00E44B7B" w:rsidP="00E44B7B">
      <w:pPr>
        <w:pStyle w:val="SingleTxtGC"/>
      </w:pPr>
      <w:r>
        <w:rPr>
          <w:rFonts w:hint="eastAsia"/>
        </w:rPr>
        <w:t>72.</w:t>
      </w:r>
      <w:r>
        <w:rPr>
          <w:rFonts w:hint="eastAsia"/>
        </w:rPr>
        <w:tab/>
      </w:r>
      <w:r>
        <w:rPr>
          <w:rFonts w:hint="eastAsia"/>
        </w:rPr>
        <w:t>社会事务和卫生部负责社会保障立法和社会保障的总体发展。还有一些组织也参与落实社会保障。芬兰制度的一个特点是，与收入相关的养老保险和劳工赔偿保险计划由私营保险公司管理。</w:t>
      </w:r>
    </w:p>
    <w:p w:rsidR="00E44B7B" w:rsidRDefault="00E44B7B" w:rsidP="00E44B7B">
      <w:pPr>
        <w:pStyle w:val="SingleTxtGC"/>
      </w:pPr>
      <w:r>
        <w:rPr>
          <w:rFonts w:hint="eastAsia"/>
        </w:rPr>
        <w:t>73.</w:t>
      </w:r>
      <w:r>
        <w:rPr>
          <w:rFonts w:hint="eastAsia"/>
        </w:rPr>
        <w:tab/>
      </w:r>
      <w:r>
        <w:rPr>
          <w:rFonts w:hint="eastAsia"/>
        </w:rPr>
        <w:t>芬兰社会保险机构</w:t>
      </w:r>
      <w:r>
        <w:rPr>
          <w:rFonts w:hint="eastAsia"/>
        </w:rPr>
        <w:t>(</w:t>
      </w:r>
      <w:proofErr w:type="spellStart"/>
      <w:r>
        <w:rPr>
          <w:rFonts w:hint="eastAsia"/>
        </w:rPr>
        <w:t>Kela</w:t>
      </w:r>
      <w:proofErr w:type="spellEnd"/>
      <w:r>
        <w:rPr>
          <w:rFonts w:hint="eastAsia"/>
        </w:rPr>
        <w:t>)</w:t>
      </w:r>
      <w:r>
        <w:rPr>
          <w:rFonts w:hint="eastAsia"/>
        </w:rPr>
        <w:t>在基本经济保障范围内提供基于居住地的社会保障福利和失业福利。</w:t>
      </w:r>
      <w:proofErr w:type="spellStart"/>
      <w:r>
        <w:rPr>
          <w:rFonts w:hint="eastAsia"/>
        </w:rPr>
        <w:t>Kela</w:t>
      </w:r>
      <w:proofErr w:type="spellEnd"/>
      <w:r>
        <w:rPr>
          <w:rFonts w:hint="eastAsia"/>
        </w:rPr>
        <w:t>根据公法设立的独立机构，受议会监督。与收入相关的失业福利由失业基金提供。雇员和自营职业者可以自愿加入这些基金。关于社会保障的决定以书面形式发出，对所收到的决定不满者可以对此提出上诉。</w:t>
      </w:r>
    </w:p>
    <w:p w:rsidR="00E44B7B" w:rsidRDefault="00E44B7B" w:rsidP="00E44B7B">
      <w:pPr>
        <w:pStyle w:val="SingleTxtGC"/>
      </w:pPr>
      <w:r>
        <w:rPr>
          <w:rFonts w:hint="eastAsia"/>
        </w:rPr>
        <w:t>74.</w:t>
      </w:r>
      <w:r>
        <w:rPr>
          <w:rFonts w:hint="eastAsia"/>
        </w:rPr>
        <w:tab/>
      </w:r>
      <w:r>
        <w:rPr>
          <w:rFonts w:hint="eastAsia"/>
        </w:rPr>
        <w:t>社会援助是社会福利下经济援助的最后手段。其组成部分是基本社会援助、补充性社会援助和预防性社会援助。自</w:t>
      </w:r>
      <w:r>
        <w:rPr>
          <w:rFonts w:hint="eastAsia"/>
        </w:rPr>
        <w:t>2017</w:t>
      </w:r>
      <w:r>
        <w:rPr>
          <w:rFonts w:hint="eastAsia"/>
        </w:rPr>
        <w:t>年以来，</w:t>
      </w:r>
      <w:proofErr w:type="spellStart"/>
      <w:r>
        <w:rPr>
          <w:rFonts w:hint="eastAsia"/>
        </w:rPr>
        <w:t>Kela</w:t>
      </w:r>
      <w:proofErr w:type="spellEnd"/>
      <w:r>
        <w:rPr>
          <w:rFonts w:hint="eastAsia"/>
        </w:rPr>
        <w:t>独立提供基本社会援助。基本社会援助的资金由市政当局和中央政府以同等数额提供。市政当局还负责提供补充性和预防性社会援助。</w:t>
      </w:r>
    </w:p>
    <w:p w:rsidR="00E44B7B" w:rsidRDefault="00E44B7B" w:rsidP="00E44B7B">
      <w:pPr>
        <w:pStyle w:val="SingleTxtGC"/>
      </w:pPr>
      <w:r>
        <w:rPr>
          <w:rFonts w:hint="eastAsia"/>
        </w:rPr>
        <w:t>75.</w:t>
      </w:r>
      <w:r>
        <w:rPr>
          <w:rFonts w:hint="eastAsia"/>
        </w:rPr>
        <w:tab/>
      </w:r>
      <w:r>
        <w:rPr>
          <w:rFonts w:hint="eastAsia"/>
        </w:rPr>
        <w:t>社会保障大部分由中央政府供资，中央政府全额资助家庭福利、住房福利和残疾抚恤金。中央政府还负责与市政当局一起提供劳动力市场补贴资金，并为与收入相关的失业津贴和基本失业津贴提供资金。中央政府通过向市政当局提供酌情裁处转款，为卫生和社会服务提供资金。关于养老金，中央政府为国家养老金供资，并参与资助自营职业者、自耕农和海员的养老金。中央政府还在医疗保险方面向国民健康保险基金提供资金。</w:t>
      </w:r>
    </w:p>
    <w:p w:rsidR="00E44B7B" w:rsidRDefault="00E44B7B" w:rsidP="00E44B7B">
      <w:pPr>
        <w:pStyle w:val="SingleTxtGC"/>
      </w:pPr>
      <w:r>
        <w:rPr>
          <w:rFonts w:hint="eastAsia"/>
        </w:rPr>
        <w:t>76.</w:t>
      </w:r>
      <w:r>
        <w:rPr>
          <w:rFonts w:hint="eastAsia"/>
        </w:rPr>
        <w:tab/>
      </w:r>
      <w:r>
        <w:rPr>
          <w:rFonts w:hint="eastAsia"/>
        </w:rPr>
        <w:t>市政当局的任务是利用向客户收取的费用和税收为卫生和社会服务供资。</w:t>
      </w:r>
    </w:p>
    <w:p w:rsidR="00E44B7B" w:rsidRDefault="00E44B7B" w:rsidP="00E44B7B">
      <w:pPr>
        <w:pStyle w:val="SingleTxtGC"/>
      </w:pPr>
      <w:r>
        <w:rPr>
          <w:rFonts w:hint="eastAsia"/>
        </w:rPr>
        <w:lastRenderedPageBreak/>
        <w:t>77.</w:t>
      </w:r>
      <w:r>
        <w:rPr>
          <w:rFonts w:hint="eastAsia"/>
        </w:rPr>
        <w:tab/>
      </w:r>
      <w:r>
        <w:rPr>
          <w:rFonts w:hint="eastAsia"/>
        </w:rPr>
        <w:t>雇主、雇员和自营职业者通过为与收入相关的失业津贴和基本失业津贴、与收入相关的养老金、国民健康保险和事故保险提供资金，为社会保障提供资金。这项资金以保险费的形式收取。</w:t>
      </w:r>
    </w:p>
    <w:p w:rsidR="00E44B7B" w:rsidRDefault="00E44B7B" w:rsidP="008541F5">
      <w:pPr>
        <w:pStyle w:val="H23GC"/>
      </w:pPr>
      <w:r>
        <w:rPr>
          <w:rFonts w:hint="eastAsia"/>
        </w:rPr>
        <w:tab/>
        <w:t>(e)</w:t>
      </w:r>
      <w:r>
        <w:rPr>
          <w:rFonts w:hint="eastAsia"/>
        </w:rPr>
        <w:tab/>
      </w:r>
      <w:r>
        <w:rPr>
          <w:rFonts w:hint="eastAsia"/>
        </w:rPr>
        <w:t>行政区政府改革以及卫生和社会服务改革</w:t>
      </w:r>
    </w:p>
    <w:p w:rsidR="00E44B7B" w:rsidRDefault="00E44B7B" w:rsidP="00E44B7B">
      <w:pPr>
        <w:pStyle w:val="SingleTxtGC"/>
      </w:pPr>
      <w:r>
        <w:rPr>
          <w:rFonts w:hint="eastAsia"/>
        </w:rPr>
        <w:t>78.</w:t>
      </w:r>
      <w:r>
        <w:rPr>
          <w:rFonts w:hint="eastAsia"/>
        </w:rPr>
        <w:tab/>
      </w:r>
      <w:r>
        <w:rPr>
          <w:rFonts w:hint="eastAsia"/>
        </w:rPr>
        <w:t>桑娜·马林总理政府的政府方案指出，政府将启动卫生和社会服务的结构调整，将组织这些服务的职责移交给</w:t>
      </w:r>
      <w:r>
        <w:rPr>
          <w:rFonts w:hint="eastAsia"/>
        </w:rPr>
        <w:t>18</w:t>
      </w:r>
      <w:r>
        <w:rPr>
          <w:rFonts w:hint="eastAsia"/>
        </w:rPr>
        <w:t>个县。公共部门将成为各县的主要服务提供方，私营部门和第三部门将作为补充服务提供方。卫生和社会服务改革的中心目标将是减少卫生和福利方面的不平等，保障人人享有平等和高质量的卫生和社会服务，改善服务的提供和获得，确保有熟练劳动力，应对社会变革的挑战以及抑制费用增加。</w:t>
      </w:r>
    </w:p>
    <w:p w:rsidR="00E44B7B" w:rsidRDefault="00E44B7B" w:rsidP="00E44B7B">
      <w:pPr>
        <w:pStyle w:val="SingleTxtGC"/>
      </w:pPr>
      <w:r>
        <w:rPr>
          <w:rFonts w:hint="eastAsia"/>
        </w:rPr>
        <w:t>79.</w:t>
      </w:r>
      <w:r>
        <w:rPr>
          <w:rFonts w:hint="eastAsia"/>
        </w:rPr>
        <w:tab/>
      </w:r>
      <w:r>
        <w:rPr>
          <w:rFonts w:hint="eastAsia"/>
        </w:rPr>
        <w:t>桑娜·马林总理政府的方案还指出有必要改革社会保障。改革社会保障的重点是确保社会公正，保护面临社会风险的人的收入保障。本质上，该制度需要变得更加可靠、全面和易于理解。将成立一个议会委员会，根据研究资料为改革做准备。准备工作将在广泛的基础上横向进行，利用各部门的专门知识。</w:t>
      </w:r>
    </w:p>
    <w:p w:rsidR="00E44B7B" w:rsidRDefault="00E44B7B" w:rsidP="008541F5">
      <w:pPr>
        <w:pStyle w:val="H23GC"/>
      </w:pPr>
      <w:r>
        <w:rPr>
          <w:rFonts w:hint="eastAsia"/>
        </w:rPr>
        <w:tab/>
        <w:t>(f)</w:t>
      </w:r>
      <w:r>
        <w:rPr>
          <w:rFonts w:hint="eastAsia"/>
        </w:rPr>
        <w:tab/>
      </w:r>
      <w:r>
        <w:rPr>
          <w:rFonts w:hint="eastAsia"/>
        </w:rPr>
        <w:t>幼儿保育和教育以及教育和培训</w:t>
      </w:r>
    </w:p>
    <w:p w:rsidR="00E44B7B" w:rsidRDefault="00E44B7B" w:rsidP="00E44B7B">
      <w:pPr>
        <w:pStyle w:val="SingleTxtGC"/>
      </w:pPr>
      <w:r>
        <w:rPr>
          <w:rFonts w:hint="eastAsia"/>
        </w:rPr>
        <w:t>80.</w:t>
      </w:r>
      <w:r>
        <w:rPr>
          <w:rFonts w:hint="eastAsia"/>
        </w:rPr>
        <w:tab/>
      </w:r>
      <w:r>
        <w:rPr>
          <w:rFonts w:hint="eastAsia"/>
        </w:rPr>
        <w:t>幼儿保育和教育是指一个系统的、以目标为导向的实体，由抚养、教育和保育组成，特别强调教育方法。幼儿保育和教育的目的是支持儿童的成长、发展和学习，并促进他们的福祉。在芬兰，每个孩子都有权获得每周</w:t>
      </w:r>
      <w:r>
        <w:rPr>
          <w:rFonts w:hint="eastAsia"/>
        </w:rPr>
        <w:t>20</w:t>
      </w:r>
      <w:r>
        <w:rPr>
          <w:rFonts w:hint="eastAsia"/>
        </w:rPr>
        <w:t>小时的幼儿保育和教育。如果父母或对儿童有监护权的其他人全职工作或全日制学习、从事创业活动或全职从事自己的工作，则应为其儿童提供全日制幼儿保育和教育。如果对儿童的发展、获得支助的需要或儿童的家庭条件是必要的，或符合儿童的最大利益，也应为儿童提供全日制幼儿保育和教育。《幼儿保育和教育法》</w:t>
      </w:r>
      <w:r>
        <w:rPr>
          <w:rFonts w:hint="eastAsia"/>
        </w:rPr>
        <w:t>(540/2018)</w:t>
      </w:r>
      <w:r>
        <w:rPr>
          <w:rFonts w:hint="eastAsia"/>
        </w:rPr>
        <w:t>目前正在修订中，使所有儿童享有获得幼儿保育和教育的主观权利，对获得幼儿保育和教育的权利没有任何限制。修订后的法律将于</w:t>
      </w:r>
      <w:r>
        <w:rPr>
          <w:rFonts w:hint="eastAsia"/>
        </w:rPr>
        <w:t>2020</w:t>
      </w:r>
      <w:r>
        <w:rPr>
          <w:rFonts w:hint="eastAsia"/>
        </w:rPr>
        <w:t>年</w:t>
      </w:r>
      <w:r>
        <w:rPr>
          <w:rFonts w:hint="eastAsia"/>
        </w:rPr>
        <w:t>8</w:t>
      </w:r>
      <w:r>
        <w:rPr>
          <w:rFonts w:hint="eastAsia"/>
        </w:rPr>
        <w:t>月</w:t>
      </w:r>
      <w:r>
        <w:rPr>
          <w:rFonts w:hint="eastAsia"/>
        </w:rPr>
        <w:t>1</w:t>
      </w:r>
      <w:r>
        <w:rPr>
          <w:rFonts w:hint="eastAsia"/>
        </w:rPr>
        <w:t>日生效。</w:t>
      </w:r>
    </w:p>
    <w:p w:rsidR="00E44B7B" w:rsidRDefault="00E44B7B" w:rsidP="00E44B7B">
      <w:pPr>
        <w:pStyle w:val="SingleTxtGC"/>
      </w:pPr>
      <w:r>
        <w:rPr>
          <w:rFonts w:hint="eastAsia"/>
        </w:rPr>
        <w:t>81.</w:t>
      </w:r>
      <w:r>
        <w:rPr>
          <w:rFonts w:hint="eastAsia"/>
        </w:rPr>
        <w:tab/>
      </w:r>
      <w:r>
        <w:rPr>
          <w:rFonts w:hint="eastAsia"/>
        </w:rPr>
        <w:t>接受教育和培训的权利是一项基本权利，其实现通过立法规定的获得免费的基础教育的权利和义务教育得到保障。公共当局应保证每个人根据自己的能力和特殊需要获得其他教育服务的平等机会，以及不受经济困难妨碍的自我发展机会。</w:t>
      </w:r>
    </w:p>
    <w:p w:rsidR="00E44B7B" w:rsidRDefault="00E44B7B" w:rsidP="00E44B7B">
      <w:pPr>
        <w:pStyle w:val="SingleTxtGC"/>
      </w:pPr>
      <w:r>
        <w:rPr>
          <w:rFonts w:hint="eastAsia"/>
        </w:rPr>
        <w:t>82.</w:t>
      </w:r>
      <w:r>
        <w:rPr>
          <w:rFonts w:hint="eastAsia"/>
        </w:rPr>
        <w:tab/>
      </w:r>
      <w:r>
        <w:rPr>
          <w:rFonts w:hint="eastAsia"/>
        </w:rPr>
        <w:t>芬兰的儿童被要求在义务教育开始前一年接受一年的学前教育或另一项可实现学前教育目标的活动。学前教育是幼儿教育的一部分，旨在提高儿童的学习能力。义务教育从孩子满七岁的那一年开始，到基础教育课程完成或义务教育开始十年后结束。基础教育，即综合学校，通常在九年内完成。基础教育应支持学生作为人和社会成员的成长，向他们提供生活所需的知识和技能，并促进社会文明和平等以及学生接受教育的先决条件。</w:t>
      </w:r>
    </w:p>
    <w:p w:rsidR="00E44B7B" w:rsidRDefault="00E44B7B" w:rsidP="00E44B7B">
      <w:pPr>
        <w:pStyle w:val="SingleTxtGC"/>
      </w:pPr>
      <w:r>
        <w:rPr>
          <w:rFonts w:hint="eastAsia"/>
        </w:rPr>
        <w:t>83.</w:t>
      </w:r>
      <w:r>
        <w:rPr>
          <w:rFonts w:hint="eastAsia"/>
        </w:rPr>
        <w:tab/>
      </w:r>
      <w:r>
        <w:rPr>
          <w:rFonts w:hint="eastAsia"/>
        </w:rPr>
        <w:t>完成义务教育后，学生可以过渡到中等教育，包括职业教育和普通高中教育。后者结束时进行大学入学考试。职业高中教育的学生结业时可获得职业高中学历、高级职业学历或专业职业学历。高等教育由大学和应用科学大学提供。大学还进行研究并提供研究生教育，而应用科学大学更实际地面向劳动世界的要求。</w:t>
      </w:r>
      <w:r>
        <w:rPr>
          <w:rFonts w:hint="eastAsia"/>
        </w:rPr>
        <w:t>2019</w:t>
      </w:r>
      <w:r>
        <w:rPr>
          <w:rFonts w:hint="eastAsia"/>
        </w:rPr>
        <w:t>年政府方案旨在确保完成基础教育的人都能继续获得高中学历。为了</w:t>
      </w:r>
      <w:r>
        <w:rPr>
          <w:rFonts w:hint="eastAsia"/>
        </w:rPr>
        <w:lastRenderedPageBreak/>
        <w:t>实现这一目标，需要将最低离校年龄提高到</w:t>
      </w:r>
      <w:r>
        <w:rPr>
          <w:rFonts w:hint="eastAsia"/>
        </w:rPr>
        <w:t>18</w:t>
      </w:r>
      <w:r>
        <w:rPr>
          <w:rFonts w:hint="eastAsia"/>
        </w:rPr>
        <w:t>岁，并为义务教育引入一系列可被列入高中学历范围内的学习和支持选择。除非取消高中教育费用，否则义务教育无法延长。这些关于延长义务教育的决定要求修改现行立法。</w:t>
      </w:r>
    </w:p>
    <w:p w:rsidR="00E44B7B" w:rsidRDefault="00E44B7B" w:rsidP="00E44B7B">
      <w:pPr>
        <w:pStyle w:val="SingleTxtGC"/>
      </w:pPr>
      <w:r>
        <w:rPr>
          <w:rFonts w:hint="eastAsia"/>
        </w:rPr>
        <w:t>84.</w:t>
      </w:r>
      <w:r>
        <w:rPr>
          <w:rFonts w:hint="eastAsia"/>
        </w:rPr>
        <w:tab/>
        <w:t>2017</w:t>
      </w:r>
      <w:r>
        <w:rPr>
          <w:rFonts w:hint="eastAsia"/>
        </w:rPr>
        <w:t>年，约</w:t>
      </w:r>
      <w:r>
        <w:rPr>
          <w:rFonts w:hint="eastAsia"/>
        </w:rPr>
        <w:t>72%</w:t>
      </w:r>
      <w:r>
        <w:rPr>
          <w:rFonts w:hint="eastAsia"/>
        </w:rPr>
        <w:t>的</w:t>
      </w:r>
      <w:r>
        <w:rPr>
          <w:rFonts w:hint="eastAsia"/>
        </w:rPr>
        <w:t>15</w:t>
      </w:r>
      <w:r>
        <w:rPr>
          <w:rFonts w:hint="eastAsia"/>
        </w:rPr>
        <w:t>岁及以上芬兰人参加了基础教育后学历考试，包括高中教育、职业高中教育、应用科学大学和大学考试。在</w:t>
      </w:r>
      <w:r>
        <w:rPr>
          <w:rFonts w:hint="eastAsia"/>
        </w:rPr>
        <w:t>15</w:t>
      </w:r>
      <w:r>
        <w:rPr>
          <w:rFonts w:hint="eastAsia"/>
        </w:rPr>
        <w:t>岁及以上的全部人口中，约</w:t>
      </w:r>
      <w:r>
        <w:rPr>
          <w:rFonts w:hint="eastAsia"/>
        </w:rPr>
        <w:t>40%</w:t>
      </w:r>
      <w:r>
        <w:rPr>
          <w:rFonts w:hint="eastAsia"/>
        </w:rPr>
        <w:t>获得了高中学历，约</w:t>
      </w:r>
      <w:r>
        <w:rPr>
          <w:rFonts w:hint="eastAsia"/>
        </w:rPr>
        <w:t>31%</w:t>
      </w:r>
      <w:r>
        <w:rPr>
          <w:rFonts w:hint="eastAsia"/>
        </w:rPr>
        <w:t>获得了高等教育学历。</w:t>
      </w:r>
    </w:p>
    <w:p w:rsidR="00E44B7B" w:rsidRDefault="00E44B7B" w:rsidP="00E44B7B">
      <w:pPr>
        <w:pStyle w:val="SingleTxtGC"/>
      </w:pPr>
      <w:r>
        <w:rPr>
          <w:rFonts w:hint="eastAsia"/>
        </w:rPr>
        <w:t>85.</w:t>
      </w:r>
      <w:r>
        <w:rPr>
          <w:rFonts w:hint="eastAsia"/>
        </w:rPr>
        <w:tab/>
      </w:r>
      <w:r>
        <w:rPr>
          <w:rFonts w:hint="eastAsia"/>
        </w:rPr>
        <w:t>在</w:t>
      </w:r>
      <w:r>
        <w:rPr>
          <w:rFonts w:hint="eastAsia"/>
        </w:rPr>
        <w:t>2017-2018</w:t>
      </w:r>
      <w:r>
        <w:rPr>
          <w:rFonts w:hint="eastAsia"/>
        </w:rPr>
        <w:t>学年，芬兰共有</w:t>
      </w:r>
      <w:r>
        <w:rPr>
          <w:rFonts w:hint="eastAsia"/>
        </w:rPr>
        <w:t>510</w:t>
      </w:r>
      <w:r>
        <w:rPr>
          <w:rFonts w:hint="eastAsia"/>
        </w:rPr>
        <w:t>名学生在基础教育阶段辍学。在春季学期完全没有接受义务教育的学生有</w:t>
      </w:r>
      <w:r>
        <w:rPr>
          <w:rFonts w:hint="eastAsia"/>
        </w:rPr>
        <w:t>64</w:t>
      </w:r>
      <w:r>
        <w:rPr>
          <w:rFonts w:hint="eastAsia"/>
        </w:rPr>
        <w:t>人，没有获得基础教育证书但因超过义务教育年龄而离校的学生有</w:t>
      </w:r>
      <w:r>
        <w:rPr>
          <w:rFonts w:hint="eastAsia"/>
        </w:rPr>
        <w:t>436</w:t>
      </w:r>
      <w:r>
        <w:rPr>
          <w:rFonts w:hint="eastAsia"/>
        </w:rPr>
        <w:t>人。女童占所有基础教育辍学者的</w:t>
      </w:r>
      <w:r>
        <w:rPr>
          <w:rFonts w:hint="eastAsia"/>
        </w:rPr>
        <w:t>37%</w:t>
      </w:r>
      <w:r>
        <w:rPr>
          <w:rFonts w:hint="eastAsia"/>
        </w:rPr>
        <w:t>，其中</w:t>
      </w:r>
      <w:r>
        <w:rPr>
          <w:rFonts w:hint="eastAsia"/>
        </w:rPr>
        <w:t>33</w:t>
      </w:r>
      <w:r>
        <w:rPr>
          <w:rFonts w:hint="eastAsia"/>
        </w:rPr>
        <w:t>名女童未能接受义务教育，</w:t>
      </w:r>
      <w:r>
        <w:rPr>
          <w:rFonts w:hint="eastAsia"/>
        </w:rPr>
        <w:t>157</w:t>
      </w:r>
      <w:r>
        <w:rPr>
          <w:rFonts w:hint="eastAsia"/>
        </w:rPr>
        <w:t>名女孩离校时未获得基础教育证书。</w:t>
      </w:r>
    </w:p>
    <w:p w:rsidR="00E44B7B" w:rsidRDefault="00E44B7B" w:rsidP="00E44B7B">
      <w:pPr>
        <w:pStyle w:val="SingleTxtGC"/>
      </w:pPr>
      <w:r>
        <w:rPr>
          <w:rFonts w:hint="eastAsia"/>
        </w:rPr>
        <w:t>86.</w:t>
      </w:r>
      <w:r>
        <w:rPr>
          <w:rFonts w:hint="eastAsia"/>
        </w:rPr>
        <w:tab/>
      </w:r>
      <w:r>
        <w:rPr>
          <w:rFonts w:hint="eastAsia"/>
        </w:rPr>
        <w:t>在学位教育方面，</w:t>
      </w:r>
      <w:r>
        <w:rPr>
          <w:rFonts w:hint="eastAsia"/>
        </w:rPr>
        <w:t>2016-2017</w:t>
      </w:r>
      <w:r>
        <w:rPr>
          <w:rFonts w:hint="eastAsia"/>
        </w:rPr>
        <w:t>学年，</w:t>
      </w:r>
      <w:r>
        <w:rPr>
          <w:rFonts w:hint="eastAsia"/>
        </w:rPr>
        <w:t>5.1%</w:t>
      </w:r>
      <w:r>
        <w:rPr>
          <w:rFonts w:hint="eastAsia"/>
        </w:rPr>
        <w:t>的学生辍学，没有继续接受任何其他学位教育。</w:t>
      </w:r>
      <w:r>
        <w:rPr>
          <w:rFonts w:hint="eastAsia"/>
        </w:rPr>
        <w:t>2016-2017</w:t>
      </w:r>
      <w:r>
        <w:rPr>
          <w:rFonts w:hint="eastAsia"/>
        </w:rPr>
        <w:t>学年，普通高中教育中的青年辍学率为</w:t>
      </w:r>
      <w:r>
        <w:rPr>
          <w:rFonts w:hint="eastAsia"/>
        </w:rPr>
        <w:t>3.1%</w:t>
      </w:r>
      <w:r>
        <w:rPr>
          <w:rFonts w:hint="eastAsia"/>
        </w:rPr>
        <w:t>，职业高中教育中的青年辍学率为</w:t>
      </w:r>
      <w:r>
        <w:rPr>
          <w:rFonts w:hint="eastAsia"/>
        </w:rPr>
        <w:t>7.4%</w:t>
      </w:r>
      <w:r>
        <w:rPr>
          <w:rFonts w:hint="eastAsia"/>
        </w:rPr>
        <w:t>，应用科学大学教育的辍学率为</w:t>
      </w:r>
      <w:r>
        <w:rPr>
          <w:rFonts w:hint="eastAsia"/>
        </w:rPr>
        <w:t>7.3%</w:t>
      </w:r>
      <w:r>
        <w:rPr>
          <w:rFonts w:hint="eastAsia"/>
        </w:rPr>
        <w:t>，大学</w:t>
      </w:r>
      <w:r>
        <w:rPr>
          <w:rFonts w:hint="eastAsia"/>
        </w:rPr>
        <w:t>(</w:t>
      </w:r>
      <w:r>
        <w:rPr>
          <w:rFonts w:hint="eastAsia"/>
        </w:rPr>
        <w:t>学士和硕士学位</w:t>
      </w:r>
      <w:r>
        <w:rPr>
          <w:rFonts w:hint="eastAsia"/>
        </w:rPr>
        <w:t>)</w:t>
      </w:r>
      <w:r>
        <w:rPr>
          <w:rFonts w:hint="eastAsia"/>
        </w:rPr>
        <w:t>教育的辍学率为</w:t>
      </w:r>
      <w:r>
        <w:rPr>
          <w:rFonts w:hint="eastAsia"/>
        </w:rPr>
        <w:t>5.9%</w:t>
      </w:r>
      <w:r>
        <w:rPr>
          <w:rFonts w:hint="eastAsia"/>
        </w:rPr>
        <w:t>。</w:t>
      </w:r>
    </w:p>
    <w:p w:rsidR="00E44B7B" w:rsidRDefault="00E44B7B" w:rsidP="00E44B7B">
      <w:pPr>
        <w:pStyle w:val="SingleTxtGC"/>
      </w:pPr>
      <w:r>
        <w:rPr>
          <w:rFonts w:hint="eastAsia"/>
        </w:rPr>
        <w:t>87.</w:t>
      </w:r>
      <w:r>
        <w:rPr>
          <w:rFonts w:hint="eastAsia"/>
        </w:rPr>
        <w:tab/>
      </w:r>
      <w:r>
        <w:rPr>
          <w:rFonts w:hint="eastAsia"/>
        </w:rPr>
        <w:t>根据</w:t>
      </w:r>
      <w:r>
        <w:rPr>
          <w:rFonts w:hint="eastAsia"/>
        </w:rPr>
        <w:t>2016</w:t>
      </w:r>
      <w:r>
        <w:rPr>
          <w:rFonts w:hint="eastAsia"/>
        </w:rPr>
        <w:t>年的统计数据，基础教育一至六年级的平均教学班级规模为每班</w:t>
      </w:r>
      <w:r>
        <w:rPr>
          <w:rFonts w:hint="eastAsia"/>
        </w:rPr>
        <w:t>19.4</w:t>
      </w:r>
      <w:r>
        <w:rPr>
          <w:rFonts w:hint="eastAsia"/>
        </w:rPr>
        <w:t>名学生。这个数字还包括学前教育班和跨年级班。排除这些班级后，平均每班人数为</w:t>
      </w:r>
      <w:r>
        <w:rPr>
          <w:rFonts w:hint="eastAsia"/>
        </w:rPr>
        <w:t>20.1</w:t>
      </w:r>
      <w:r>
        <w:rPr>
          <w:rFonts w:hint="eastAsia"/>
        </w:rPr>
        <w:t>名学生。班级平均人数从低年级到高年级有所增加，</w:t>
      </w:r>
      <w:r>
        <w:rPr>
          <w:rFonts w:hint="eastAsia"/>
        </w:rPr>
        <w:t>1</w:t>
      </w:r>
      <w:r>
        <w:rPr>
          <w:rFonts w:hint="eastAsia"/>
        </w:rPr>
        <w:t>年级班级人数最少</w:t>
      </w:r>
      <w:r>
        <w:rPr>
          <w:rFonts w:hint="eastAsia"/>
        </w:rPr>
        <w:t>(</w:t>
      </w:r>
      <w:r>
        <w:rPr>
          <w:rFonts w:hint="eastAsia"/>
        </w:rPr>
        <w:t>每班</w:t>
      </w:r>
      <w:r>
        <w:rPr>
          <w:rFonts w:hint="eastAsia"/>
        </w:rPr>
        <w:t>19.0</w:t>
      </w:r>
      <w:r>
        <w:rPr>
          <w:rFonts w:hint="eastAsia"/>
        </w:rPr>
        <w:t>名学生</w:t>
      </w:r>
      <w:r>
        <w:rPr>
          <w:rFonts w:hint="eastAsia"/>
        </w:rPr>
        <w:t>)</w:t>
      </w:r>
      <w:r>
        <w:rPr>
          <w:rFonts w:hint="eastAsia"/>
        </w:rPr>
        <w:t>，</w:t>
      </w:r>
      <w:r>
        <w:rPr>
          <w:rFonts w:hint="eastAsia"/>
        </w:rPr>
        <w:t>6</w:t>
      </w:r>
      <w:r>
        <w:rPr>
          <w:rFonts w:hint="eastAsia"/>
        </w:rPr>
        <w:t>年级人数最多</w:t>
      </w:r>
      <w:r>
        <w:rPr>
          <w:rFonts w:hint="eastAsia"/>
        </w:rPr>
        <w:t>(</w:t>
      </w:r>
      <w:r>
        <w:rPr>
          <w:rFonts w:hint="eastAsia"/>
        </w:rPr>
        <w:t>每班</w:t>
      </w:r>
      <w:r>
        <w:rPr>
          <w:rFonts w:hint="eastAsia"/>
        </w:rPr>
        <w:t>20.9</w:t>
      </w:r>
      <w:r>
        <w:rPr>
          <w:rFonts w:hint="eastAsia"/>
        </w:rPr>
        <w:t>名学生</w:t>
      </w:r>
      <w:r>
        <w:rPr>
          <w:rFonts w:hint="eastAsia"/>
        </w:rPr>
        <w:t>)</w:t>
      </w:r>
      <w:r>
        <w:rPr>
          <w:rFonts w:hint="eastAsia"/>
        </w:rPr>
        <w:t>。</w:t>
      </w:r>
    </w:p>
    <w:p w:rsidR="00E44B7B" w:rsidRDefault="00E44B7B" w:rsidP="00E44B7B">
      <w:pPr>
        <w:pStyle w:val="SingleTxtGC"/>
      </w:pPr>
      <w:r>
        <w:rPr>
          <w:rFonts w:hint="eastAsia"/>
        </w:rPr>
        <w:t>88.</w:t>
      </w:r>
      <w:r>
        <w:rPr>
          <w:rFonts w:hint="eastAsia"/>
        </w:rPr>
        <w:tab/>
      </w:r>
      <w:r>
        <w:rPr>
          <w:rFonts w:hint="eastAsia"/>
        </w:rPr>
        <w:t>自</w:t>
      </w:r>
      <w:r>
        <w:rPr>
          <w:rFonts w:hint="eastAsia"/>
        </w:rPr>
        <w:t>2010</w:t>
      </w:r>
      <w:r>
        <w:rPr>
          <w:rFonts w:hint="eastAsia"/>
        </w:rPr>
        <w:t>年以来，教学班级的平均规模基本保持不变，但</w:t>
      </w:r>
      <w:r>
        <w:rPr>
          <w:rFonts w:hint="eastAsia"/>
        </w:rPr>
        <w:t>1-2</w:t>
      </w:r>
      <w:r>
        <w:rPr>
          <w:rFonts w:hint="eastAsia"/>
        </w:rPr>
        <w:t>年级和学前教育的班级规模有所增加，</w:t>
      </w:r>
      <w:r>
        <w:rPr>
          <w:rFonts w:hint="eastAsia"/>
        </w:rPr>
        <w:t>3-6</w:t>
      </w:r>
      <w:r>
        <w:rPr>
          <w:rFonts w:hint="eastAsia"/>
        </w:rPr>
        <w:t>年级的班级规模有所减少。与</w:t>
      </w:r>
      <w:r>
        <w:rPr>
          <w:rFonts w:hint="eastAsia"/>
        </w:rPr>
        <w:t>2013</w:t>
      </w:r>
      <w:r>
        <w:rPr>
          <w:rFonts w:hint="eastAsia"/>
        </w:rPr>
        <w:t>年相比，</w:t>
      </w:r>
      <w:r>
        <w:rPr>
          <w:rFonts w:hint="eastAsia"/>
        </w:rPr>
        <w:t>1-6</w:t>
      </w:r>
      <w:r>
        <w:rPr>
          <w:rFonts w:hint="eastAsia"/>
        </w:rPr>
        <w:t>年级的教学班级规模平均增加了</w:t>
      </w:r>
      <w:r>
        <w:rPr>
          <w:rFonts w:hint="eastAsia"/>
        </w:rPr>
        <w:t>0.4</w:t>
      </w:r>
      <w:r>
        <w:rPr>
          <w:rFonts w:hint="eastAsia"/>
        </w:rPr>
        <w:t>名学生，而</w:t>
      </w:r>
      <w:r>
        <w:rPr>
          <w:rFonts w:hint="eastAsia"/>
        </w:rPr>
        <w:t>7-9</w:t>
      </w:r>
      <w:r>
        <w:rPr>
          <w:rFonts w:hint="eastAsia"/>
        </w:rPr>
        <w:t>年级的教学班级规模平均减少了</w:t>
      </w:r>
      <w:r>
        <w:rPr>
          <w:rFonts w:hint="eastAsia"/>
        </w:rPr>
        <w:t>0.6</w:t>
      </w:r>
      <w:r>
        <w:rPr>
          <w:rFonts w:hint="eastAsia"/>
        </w:rPr>
        <w:t>名学生。</w:t>
      </w:r>
    </w:p>
    <w:p w:rsidR="00E44B7B" w:rsidRDefault="00E44B7B" w:rsidP="00E44B7B">
      <w:pPr>
        <w:pStyle w:val="SingleTxtGC"/>
      </w:pPr>
      <w:r>
        <w:rPr>
          <w:rFonts w:hint="eastAsia"/>
        </w:rPr>
        <w:t>89.</w:t>
      </w:r>
      <w:r>
        <w:rPr>
          <w:rFonts w:hint="eastAsia"/>
        </w:rPr>
        <w:tab/>
      </w:r>
      <w:r>
        <w:rPr>
          <w:rFonts w:hint="eastAsia"/>
        </w:rPr>
        <w:t>做出了关于幼儿保育和教育人员配备的规定，要求</w:t>
      </w:r>
      <w:r>
        <w:rPr>
          <w:rFonts w:hint="eastAsia"/>
        </w:rPr>
        <w:t>3</w:t>
      </w:r>
      <w:r>
        <w:rPr>
          <w:rFonts w:hint="eastAsia"/>
        </w:rPr>
        <w:t>岁以下儿童日托的人员配备比例为</w:t>
      </w:r>
      <w:r>
        <w:rPr>
          <w:rFonts w:hint="eastAsia"/>
        </w:rPr>
        <w:t>1:4</w:t>
      </w:r>
      <w:r w:rsidR="00E47AAC">
        <w:rPr>
          <w:rFonts w:hint="eastAsia"/>
        </w:rPr>
        <w:t>，</w:t>
      </w:r>
      <w:r>
        <w:rPr>
          <w:rFonts w:hint="eastAsia"/>
        </w:rPr>
        <w:t>3</w:t>
      </w:r>
      <w:r>
        <w:rPr>
          <w:rFonts w:hint="eastAsia"/>
        </w:rPr>
        <w:t>岁及以上儿童为</w:t>
      </w:r>
      <w:r>
        <w:rPr>
          <w:rFonts w:hint="eastAsia"/>
        </w:rPr>
        <w:t>1:8</w:t>
      </w:r>
      <w:r>
        <w:rPr>
          <w:rFonts w:hint="eastAsia"/>
        </w:rPr>
        <w:t>。家庭日托照料人员照料的儿童不得超过四名全托儿童外加一名接受学前教育或第一年义务教育的儿童。</w:t>
      </w:r>
    </w:p>
    <w:p w:rsidR="00E44B7B" w:rsidRDefault="00E44B7B" w:rsidP="00E44B7B">
      <w:pPr>
        <w:pStyle w:val="SingleTxtGC"/>
      </w:pPr>
      <w:r>
        <w:rPr>
          <w:rFonts w:hint="eastAsia"/>
        </w:rPr>
        <w:t>90.</w:t>
      </w:r>
      <w:r>
        <w:rPr>
          <w:rFonts w:hint="eastAsia"/>
        </w:rPr>
        <w:tab/>
      </w:r>
      <w:r>
        <w:rPr>
          <w:rFonts w:hint="eastAsia"/>
        </w:rPr>
        <w:t>芬兰的识字率接近</w:t>
      </w:r>
      <w:r>
        <w:rPr>
          <w:rFonts w:hint="eastAsia"/>
        </w:rPr>
        <w:t>100%</w:t>
      </w:r>
      <w:r>
        <w:rPr>
          <w:rFonts w:hint="eastAsia"/>
        </w:rPr>
        <w:t>。</w:t>
      </w:r>
    </w:p>
    <w:p w:rsidR="00E44B7B" w:rsidRDefault="00E44B7B" w:rsidP="008541F5">
      <w:pPr>
        <w:pStyle w:val="H23GC"/>
      </w:pPr>
      <w:r>
        <w:rPr>
          <w:rFonts w:hint="eastAsia"/>
        </w:rPr>
        <w:tab/>
        <w:t>(g)</w:t>
      </w:r>
      <w:r>
        <w:rPr>
          <w:rFonts w:hint="eastAsia"/>
        </w:rPr>
        <w:tab/>
      </w:r>
      <w:r>
        <w:rPr>
          <w:rFonts w:hint="eastAsia"/>
        </w:rPr>
        <w:t>就业</w:t>
      </w:r>
    </w:p>
    <w:p w:rsidR="00E44B7B" w:rsidRDefault="00E44B7B" w:rsidP="00E44B7B">
      <w:pPr>
        <w:pStyle w:val="SingleTxtGC"/>
      </w:pPr>
      <w:r>
        <w:rPr>
          <w:rFonts w:hint="eastAsia"/>
        </w:rPr>
        <w:t>91.</w:t>
      </w:r>
      <w:r>
        <w:rPr>
          <w:rFonts w:hint="eastAsia"/>
        </w:rPr>
        <w:tab/>
      </w:r>
      <w:r>
        <w:rPr>
          <w:rFonts w:hint="eastAsia"/>
        </w:rPr>
        <w:t>芬兰的劳动年龄人口</w:t>
      </w:r>
      <w:r>
        <w:rPr>
          <w:rFonts w:hint="eastAsia"/>
        </w:rPr>
        <w:t>(15</w:t>
      </w:r>
      <w:r>
        <w:rPr>
          <w:rFonts w:hint="eastAsia"/>
        </w:rPr>
        <w:t>至</w:t>
      </w:r>
      <w:r>
        <w:rPr>
          <w:rFonts w:hint="eastAsia"/>
        </w:rPr>
        <w:t>74</w:t>
      </w:r>
      <w:r>
        <w:rPr>
          <w:rFonts w:hint="eastAsia"/>
        </w:rPr>
        <w:t>岁</w:t>
      </w:r>
      <w:r>
        <w:rPr>
          <w:rFonts w:hint="eastAsia"/>
        </w:rPr>
        <w:t>)</w:t>
      </w:r>
      <w:r>
        <w:rPr>
          <w:rFonts w:hint="eastAsia"/>
        </w:rPr>
        <w:t>目前继续增长，但是芬兰统计局预测这一数字最早将在</w:t>
      </w:r>
      <w:r>
        <w:rPr>
          <w:rFonts w:hint="eastAsia"/>
        </w:rPr>
        <w:t>2020</w:t>
      </w:r>
      <w:r>
        <w:rPr>
          <w:rFonts w:hint="eastAsia"/>
        </w:rPr>
        <w:t>年开始下降。这意味着在未来，芬兰人口中将有越来越多</w:t>
      </w:r>
      <w:proofErr w:type="gramStart"/>
      <w:r>
        <w:rPr>
          <w:rFonts w:hint="eastAsia"/>
        </w:rPr>
        <w:t>不</w:t>
      </w:r>
      <w:proofErr w:type="gramEnd"/>
      <w:r>
        <w:rPr>
          <w:rFonts w:hint="eastAsia"/>
        </w:rPr>
        <w:t>在业的青年和老年人。</w:t>
      </w:r>
      <w:r>
        <w:rPr>
          <w:rFonts w:hint="eastAsia"/>
        </w:rPr>
        <w:t>74</w:t>
      </w:r>
      <w:r>
        <w:rPr>
          <w:rFonts w:hint="eastAsia"/>
        </w:rPr>
        <w:t>岁以上人口的比例将增长最大，而</w:t>
      </w:r>
      <w:r>
        <w:rPr>
          <w:rFonts w:hint="eastAsia"/>
        </w:rPr>
        <w:t>15-64</w:t>
      </w:r>
      <w:r>
        <w:rPr>
          <w:rFonts w:hint="eastAsia"/>
        </w:rPr>
        <w:t>岁人口的比例将下降。</w:t>
      </w:r>
    </w:p>
    <w:p w:rsidR="00E44B7B" w:rsidRDefault="00E44B7B" w:rsidP="00E44B7B">
      <w:pPr>
        <w:pStyle w:val="SingleTxtGC"/>
      </w:pPr>
      <w:r>
        <w:rPr>
          <w:rFonts w:hint="eastAsia"/>
        </w:rPr>
        <w:t>92.</w:t>
      </w:r>
      <w:r>
        <w:rPr>
          <w:rFonts w:hint="eastAsia"/>
        </w:rPr>
        <w:tab/>
        <w:t>2019</w:t>
      </w:r>
      <w:r>
        <w:rPr>
          <w:rFonts w:hint="eastAsia"/>
        </w:rPr>
        <w:t>年</w:t>
      </w:r>
      <w:r>
        <w:rPr>
          <w:rFonts w:hint="eastAsia"/>
        </w:rPr>
        <w:t>8</w:t>
      </w:r>
      <w:r>
        <w:rPr>
          <w:rFonts w:hint="eastAsia"/>
        </w:rPr>
        <w:t>月，芬兰有</w:t>
      </w:r>
      <w:r>
        <w:rPr>
          <w:rFonts w:hint="eastAsia"/>
        </w:rPr>
        <w:t>2,598,000</w:t>
      </w:r>
      <w:r>
        <w:rPr>
          <w:rFonts w:hint="eastAsia"/>
        </w:rPr>
        <w:t>名就业人员</w:t>
      </w:r>
      <w:r>
        <w:rPr>
          <w:rFonts w:hint="eastAsia"/>
        </w:rPr>
        <w:t>(</w:t>
      </w:r>
      <w:r>
        <w:rPr>
          <w:rFonts w:hint="eastAsia"/>
        </w:rPr>
        <w:t>误差幅度为±</w:t>
      </w:r>
      <w:r>
        <w:rPr>
          <w:rFonts w:hint="eastAsia"/>
        </w:rPr>
        <w:t>34,000)</w:t>
      </w:r>
      <w:r>
        <w:rPr>
          <w:rFonts w:hint="eastAsia"/>
        </w:rPr>
        <w:t>，比上年增加了</w:t>
      </w:r>
      <w:r>
        <w:rPr>
          <w:rFonts w:hint="eastAsia"/>
        </w:rPr>
        <w:t>32,000</w:t>
      </w:r>
      <w:r>
        <w:rPr>
          <w:rFonts w:hint="eastAsia"/>
        </w:rPr>
        <w:t>人。与</w:t>
      </w:r>
      <w:r>
        <w:rPr>
          <w:rFonts w:hint="eastAsia"/>
        </w:rPr>
        <w:t>2018</w:t>
      </w:r>
      <w:r>
        <w:rPr>
          <w:rFonts w:hint="eastAsia"/>
        </w:rPr>
        <w:t>年</w:t>
      </w:r>
      <w:r>
        <w:rPr>
          <w:rFonts w:hint="eastAsia"/>
        </w:rPr>
        <w:t>8</w:t>
      </w:r>
      <w:r>
        <w:rPr>
          <w:rFonts w:hint="eastAsia"/>
        </w:rPr>
        <w:t>月相比，男性就业人数增加了</w:t>
      </w:r>
      <w:r>
        <w:rPr>
          <w:rFonts w:hint="eastAsia"/>
        </w:rPr>
        <w:t>5</w:t>
      </w:r>
      <w:r w:rsidR="00AE691A">
        <w:t>,</w:t>
      </w:r>
      <w:r>
        <w:rPr>
          <w:rFonts w:hint="eastAsia"/>
        </w:rPr>
        <w:t>000</w:t>
      </w:r>
      <w:r>
        <w:rPr>
          <w:rFonts w:hint="eastAsia"/>
        </w:rPr>
        <w:t>人，女性就业人数增加了</w:t>
      </w:r>
      <w:r>
        <w:rPr>
          <w:rFonts w:hint="eastAsia"/>
        </w:rPr>
        <w:t>27</w:t>
      </w:r>
      <w:r w:rsidR="00AE691A">
        <w:t>,</w:t>
      </w:r>
      <w:r>
        <w:rPr>
          <w:rFonts w:hint="eastAsia"/>
        </w:rPr>
        <w:t>000</w:t>
      </w:r>
      <w:r>
        <w:rPr>
          <w:rFonts w:hint="eastAsia"/>
        </w:rPr>
        <w:t>人。不同部门的就业趋势不同：初级生产和制造业的就业人数减少，而建筑业和服务业的就业人数有所增加。</w:t>
      </w:r>
    </w:p>
    <w:p w:rsidR="00E44B7B" w:rsidRDefault="00E44B7B" w:rsidP="00E44B7B">
      <w:pPr>
        <w:pStyle w:val="SingleTxtGC"/>
      </w:pPr>
      <w:r>
        <w:rPr>
          <w:rFonts w:hint="eastAsia"/>
        </w:rPr>
        <w:t>93.</w:t>
      </w:r>
      <w:r>
        <w:rPr>
          <w:rFonts w:hint="eastAsia"/>
        </w:rPr>
        <w:tab/>
        <w:t>8</w:t>
      </w:r>
      <w:r>
        <w:rPr>
          <w:rFonts w:hint="eastAsia"/>
        </w:rPr>
        <w:t>月份，就业率</w:t>
      </w:r>
      <w:r>
        <w:rPr>
          <w:rFonts w:hint="eastAsia"/>
        </w:rPr>
        <w:t>(</w:t>
      </w:r>
      <w:r>
        <w:rPr>
          <w:rFonts w:hint="eastAsia"/>
        </w:rPr>
        <w:t>即</w:t>
      </w:r>
      <w:r>
        <w:rPr>
          <w:rFonts w:hint="eastAsia"/>
        </w:rPr>
        <w:t>15</w:t>
      </w:r>
      <w:r>
        <w:rPr>
          <w:rFonts w:hint="eastAsia"/>
        </w:rPr>
        <w:t>至</w:t>
      </w:r>
      <w:r>
        <w:rPr>
          <w:rFonts w:hint="eastAsia"/>
        </w:rPr>
        <w:t>64</w:t>
      </w:r>
      <w:r>
        <w:rPr>
          <w:rFonts w:hint="eastAsia"/>
        </w:rPr>
        <w:t>岁就业人口的比例</w:t>
      </w:r>
      <w:r>
        <w:rPr>
          <w:rFonts w:hint="eastAsia"/>
        </w:rPr>
        <w:t>)</w:t>
      </w:r>
      <w:r>
        <w:rPr>
          <w:rFonts w:hint="eastAsia"/>
        </w:rPr>
        <w:t>为</w:t>
      </w:r>
      <w:r>
        <w:rPr>
          <w:rFonts w:hint="eastAsia"/>
        </w:rPr>
        <w:t>73.5%</w:t>
      </w:r>
      <w:r>
        <w:rPr>
          <w:rFonts w:hint="eastAsia"/>
        </w:rPr>
        <w:t>，而上年同期为</w:t>
      </w:r>
      <w:r>
        <w:rPr>
          <w:rFonts w:hint="eastAsia"/>
        </w:rPr>
        <w:t>72.6%</w:t>
      </w:r>
      <w:r>
        <w:rPr>
          <w:rFonts w:hint="eastAsia"/>
        </w:rPr>
        <w:t>。</w:t>
      </w:r>
      <w:r>
        <w:rPr>
          <w:rFonts w:hint="eastAsia"/>
        </w:rPr>
        <w:t>15</w:t>
      </w:r>
      <w:r>
        <w:rPr>
          <w:rFonts w:hint="eastAsia"/>
        </w:rPr>
        <w:t>至</w:t>
      </w:r>
      <w:r>
        <w:rPr>
          <w:rFonts w:hint="eastAsia"/>
        </w:rPr>
        <w:t>64</w:t>
      </w:r>
      <w:r>
        <w:rPr>
          <w:rFonts w:hint="eastAsia"/>
        </w:rPr>
        <w:t>岁男性的就业率比前一年下降了</w:t>
      </w:r>
      <w:r>
        <w:rPr>
          <w:rFonts w:hint="eastAsia"/>
        </w:rPr>
        <w:t>0.2</w:t>
      </w:r>
      <w:r>
        <w:rPr>
          <w:rFonts w:hint="eastAsia"/>
        </w:rPr>
        <w:t>个百分点，至</w:t>
      </w:r>
      <w:r>
        <w:rPr>
          <w:rFonts w:hint="eastAsia"/>
        </w:rPr>
        <w:t>74.2%</w:t>
      </w:r>
      <w:r>
        <w:rPr>
          <w:rFonts w:hint="eastAsia"/>
        </w:rPr>
        <w:t>，而同等年龄女性的就业率上升了</w:t>
      </w:r>
      <w:r>
        <w:rPr>
          <w:rFonts w:hint="eastAsia"/>
        </w:rPr>
        <w:t>2.0</w:t>
      </w:r>
      <w:r>
        <w:rPr>
          <w:rFonts w:hint="eastAsia"/>
        </w:rPr>
        <w:t>个百分点，至</w:t>
      </w:r>
      <w:r>
        <w:rPr>
          <w:rFonts w:hint="eastAsia"/>
        </w:rPr>
        <w:t>72.8%</w:t>
      </w:r>
      <w:r>
        <w:rPr>
          <w:rFonts w:hint="eastAsia"/>
        </w:rPr>
        <w:t>。</w:t>
      </w:r>
    </w:p>
    <w:p w:rsidR="00E44B7B" w:rsidRDefault="00E44B7B" w:rsidP="00E44B7B">
      <w:pPr>
        <w:pStyle w:val="SingleTxtGC"/>
      </w:pPr>
      <w:r>
        <w:rPr>
          <w:rFonts w:hint="eastAsia"/>
        </w:rPr>
        <w:lastRenderedPageBreak/>
        <w:t>94.</w:t>
      </w:r>
      <w:r>
        <w:rPr>
          <w:rFonts w:hint="eastAsia"/>
        </w:rPr>
        <w:tab/>
      </w:r>
      <w:r>
        <w:rPr>
          <w:rFonts w:hint="eastAsia"/>
        </w:rPr>
        <w:t>根据芬兰统计局的劳动力调查，</w:t>
      </w:r>
      <w:r>
        <w:rPr>
          <w:rFonts w:hint="eastAsia"/>
        </w:rPr>
        <w:t>2019</w:t>
      </w:r>
      <w:r>
        <w:rPr>
          <w:rFonts w:hint="eastAsia"/>
        </w:rPr>
        <w:t>年</w:t>
      </w:r>
      <w:r>
        <w:rPr>
          <w:rFonts w:hint="eastAsia"/>
        </w:rPr>
        <w:t>8</w:t>
      </w:r>
      <w:r>
        <w:rPr>
          <w:rFonts w:hint="eastAsia"/>
        </w:rPr>
        <w:t>月有</w:t>
      </w:r>
      <w:r>
        <w:rPr>
          <w:rFonts w:hint="eastAsia"/>
        </w:rPr>
        <w:t>170,000</w:t>
      </w:r>
      <w:r>
        <w:rPr>
          <w:rFonts w:hint="eastAsia"/>
        </w:rPr>
        <w:t>人失业</w:t>
      </w:r>
      <w:r>
        <w:rPr>
          <w:rFonts w:hint="eastAsia"/>
        </w:rPr>
        <w:t>(</w:t>
      </w:r>
      <w:r>
        <w:rPr>
          <w:rFonts w:hint="eastAsia"/>
        </w:rPr>
        <w:t>误差幅度为±</w:t>
      </w:r>
      <w:r>
        <w:rPr>
          <w:rFonts w:hint="eastAsia"/>
        </w:rPr>
        <w:t>18,000)</w:t>
      </w:r>
      <w:r>
        <w:rPr>
          <w:rFonts w:hint="eastAsia"/>
        </w:rPr>
        <w:t>，比上年减少</w:t>
      </w:r>
      <w:r>
        <w:rPr>
          <w:rFonts w:hint="eastAsia"/>
        </w:rPr>
        <w:t>17,000</w:t>
      </w:r>
      <w:r>
        <w:rPr>
          <w:rFonts w:hint="eastAsia"/>
        </w:rPr>
        <w:t>人。失业男子有</w:t>
      </w:r>
      <w:r>
        <w:rPr>
          <w:rFonts w:hint="eastAsia"/>
        </w:rPr>
        <w:t>94</w:t>
      </w:r>
      <w:r w:rsidR="00AE691A">
        <w:t>,</w:t>
      </w:r>
      <w:r>
        <w:rPr>
          <w:rFonts w:hint="eastAsia"/>
        </w:rPr>
        <w:t>000</w:t>
      </w:r>
      <w:r>
        <w:rPr>
          <w:rFonts w:hint="eastAsia"/>
        </w:rPr>
        <w:t>人，失业妇女有</w:t>
      </w:r>
      <w:r>
        <w:rPr>
          <w:rFonts w:hint="eastAsia"/>
        </w:rPr>
        <w:t>76</w:t>
      </w:r>
      <w:r w:rsidR="00AE691A">
        <w:t>,</w:t>
      </w:r>
      <w:r>
        <w:rPr>
          <w:rFonts w:hint="eastAsia"/>
        </w:rPr>
        <w:t>000</w:t>
      </w:r>
      <w:r>
        <w:rPr>
          <w:rFonts w:hint="eastAsia"/>
        </w:rPr>
        <w:t>人。过去两年来，失业率急剧下降。长期失业人数也有所减少。尽管如此，与欧洲其他国家相比，芬兰的失业率相当高。</w:t>
      </w:r>
    </w:p>
    <w:p w:rsidR="00E44B7B" w:rsidRDefault="00E44B7B" w:rsidP="00E44B7B">
      <w:pPr>
        <w:pStyle w:val="SingleTxtGC"/>
      </w:pPr>
      <w:r>
        <w:rPr>
          <w:rFonts w:hint="eastAsia"/>
        </w:rPr>
        <w:t>95.</w:t>
      </w:r>
      <w:r>
        <w:rPr>
          <w:rFonts w:hint="eastAsia"/>
        </w:rPr>
        <w:tab/>
        <w:t>8</w:t>
      </w:r>
      <w:r>
        <w:rPr>
          <w:rFonts w:hint="eastAsia"/>
        </w:rPr>
        <w:t>月份，失业率为</w:t>
      </w:r>
      <w:r>
        <w:rPr>
          <w:rFonts w:hint="eastAsia"/>
        </w:rPr>
        <w:t>6.1%</w:t>
      </w:r>
      <w:r>
        <w:rPr>
          <w:rFonts w:hint="eastAsia"/>
        </w:rPr>
        <w:t>，比上年低</w:t>
      </w:r>
      <w:r>
        <w:rPr>
          <w:rFonts w:hint="eastAsia"/>
        </w:rPr>
        <w:t>0.6</w:t>
      </w:r>
      <w:r>
        <w:rPr>
          <w:rFonts w:hint="eastAsia"/>
        </w:rPr>
        <w:t>个百分点。男性失业率为</w:t>
      </w:r>
      <w:r>
        <w:rPr>
          <w:rFonts w:hint="eastAsia"/>
        </w:rPr>
        <w:t>6.5%</w:t>
      </w:r>
      <w:r>
        <w:rPr>
          <w:rFonts w:hint="eastAsia"/>
        </w:rPr>
        <w:t>，比上年高</w:t>
      </w:r>
      <w:r>
        <w:rPr>
          <w:rFonts w:hint="eastAsia"/>
        </w:rPr>
        <w:t>0.2</w:t>
      </w:r>
      <w:r>
        <w:rPr>
          <w:rFonts w:hint="eastAsia"/>
        </w:rPr>
        <w:t>个百分点，而女性失业率下降了</w:t>
      </w:r>
      <w:r>
        <w:rPr>
          <w:rFonts w:hint="eastAsia"/>
        </w:rPr>
        <w:t>1.6</w:t>
      </w:r>
      <w:r>
        <w:rPr>
          <w:rFonts w:hint="eastAsia"/>
        </w:rPr>
        <w:t>个百分点，降至</w:t>
      </w:r>
      <w:r>
        <w:rPr>
          <w:rFonts w:hint="eastAsia"/>
        </w:rPr>
        <w:t>5.7%</w:t>
      </w:r>
      <w:r>
        <w:rPr>
          <w:rFonts w:hint="eastAsia"/>
        </w:rPr>
        <w:t>。</w:t>
      </w:r>
    </w:p>
    <w:p w:rsidR="00E44B7B" w:rsidRDefault="00E44B7B" w:rsidP="00E44B7B">
      <w:pPr>
        <w:pStyle w:val="SingleTxtGC"/>
      </w:pPr>
      <w:r>
        <w:rPr>
          <w:rFonts w:hint="eastAsia"/>
        </w:rPr>
        <w:t>96.</w:t>
      </w:r>
      <w:r>
        <w:rPr>
          <w:rFonts w:hint="eastAsia"/>
        </w:rPr>
        <w:tab/>
        <w:t>8</w:t>
      </w:r>
      <w:r>
        <w:rPr>
          <w:rFonts w:hint="eastAsia"/>
        </w:rPr>
        <w:t>月份，芬兰</w:t>
      </w:r>
      <w:r>
        <w:rPr>
          <w:rFonts w:hint="eastAsia"/>
        </w:rPr>
        <w:t>15</w:t>
      </w:r>
      <w:r>
        <w:rPr>
          <w:rFonts w:hint="eastAsia"/>
        </w:rPr>
        <w:t>岁至</w:t>
      </w:r>
      <w:r>
        <w:rPr>
          <w:rFonts w:hint="eastAsia"/>
        </w:rPr>
        <w:t>24</w:t>
      </w:r>
      <w:r>
        <w:rPr>
          <w:rFonts w:hint="eastAsia"/>
        </w:rPr>
        <w:t>岁的年轻人人数为</w:t>
      </w:r>
      <w:r>
        <w:rPr>
          <w:rFonts w:hint="eastAsia"/>
        </w:rPr>
        <w:t>612,000</w:t>
      </w:r>
      <w:r>
        <w:rPr>
          <w:rFonts w:hint="eastAsia"/>
        </w:rPr>
        <w:t>人。其中，就业人数为</w:t>
      </w:r>
      <w:r>
        <w:rPr>
          <w:rFonts w:hint="eastAsia"/>
        </w:rPr>
        <w:t>275,000</w:t>
      </w:r>
      <w:r>
        <w:rPr>
          <w:rFonts w:hint="eastAsia"/>
        </w:rPr>
        <w:t>人，失业人数为</w:t>
      </w:r>
      <w:r>
        <w:rPr>
          <w:rFonts w:hint="eastAsia"/>
        </w:rPr>
        <w:t>45,000</w:t>
      </w:r>
      <w:r>
        <w:rPr>
          <w:rFonts w:hint="eastAsia"/>
        </w:rPr>
        <w:t>人。因此，劳动力中的年轻人人数，即就业和失业人数总计</w:t>
      </w:r>
      <w:r>
        <w:rPr>
          <w:rFonts w:hint="eastAsia"/>
        </w:rPr>
        <w:t>320,000</w:t>
      </w:r>
      <w:r>
        <w:rPr>
          <w:rFonts w:hint="eastAsia"/>
        </w:rPr>
        <w:t>人。</w:t>
      </w:r>
      <w:r>
        <w:rPr>
          <w:rFonts w:hint="eastAsia"/>
        </w:rPr>
        <w:t>8</w:t>
      </w:r>
      <w:r>
        <w:rPr>
          <w:rFonts w:hint="eastAsia"/>
        </w:rPr>
        <w:t>月份，</w:t>
      </w:r>
      <w:r>
        <w:rPr>
          <w:rFonts w:hint="eastAsia"/>
        </w:rPr>
        <w:t>15</w:t>
      </w:r>
      <w:r>
        <w:rPr>
          <w:rFonts w:hint="eastAsia"/>
        </w:rPr>
        <w:t>至</w:t>
      </w:r>
      <w:r>
        <w:rPr>
          <w:rFonts w:hint="eastAsia"/>
        </w:rPr>
        <w:t>24</w:t>
      </w:r>
      <w:r>
        <w:rPr>
          <w:rFonts w:hint="eastAsia"/>
        </w:rPr>
        <w:t>岁年轻人的失业率，即失业人数占整个劳动力的比例为</w:t>
      </w:r>
      <w:r>
        <w:rPr>
          <w:rFonts w:hint="eastAsia"/>
        </w:rPr>
        <w:t>14.0%</w:t>
      </w:r>
      <w:r>
        <w:rPr>
          <w:rFonts w:hint="eastAsia"/>
        </w:rPr>
        <w:t>，比上年高</w:t>
      </w:r>
      <w:r>
        <w:rPr>
          <w:rFonts w:hint="eastAsia"/>
        </w:rPr>
        <w:t>0.4</w:t>
      </w:r>
      <w:r>
        <w:rPr>
          <w:rFonts w:hint="eastAsia"/>
        </w:rPr>
        <w:t>个百分点。年轻人失业率的趋势为</w:t>
      </w:r>
      <w:r>
        <w:rPr>
          <w:rFonts w:hint="eastAsia"/>
        </w:rPr>
        <w:t>17.0%</w:t>
      </w:r>
      <w:r>
        <w:rPr>
          <w:rFonts w:hint="eastAsia"/>
        </w:rPr>
        <w:t>。</w:t>
      </w:r>
      <w:r>
        <w:rPr>
          <w:rFonts w:hint="eastAsia"/>
        </w:rPr>
        <w:t>15</w:t>
      </w:r>
      <w:r>
        <w:rPr>
          <w:rFonts w:hint="eastAsia"/>
        </w:rPr>
        <w:t>至</w:t>
      </w:r>
      <w:r>
        <w:rPr>
          <w:rFonts w:hint="eastAsia"/>
        </w:rPr>
        <w:t>24</w:t>
      </w:r>
      <w:r>
        <w:rPr>
          <w:rFonts w:hint="eastAsia"/>
        </w:rPr>
        <w:t>岁年轻失业者占该年龄段总人口的</w:t>
      </w:r>
      <w:r>
        <w:rPr>
          <w:rFonts w:hint="eastAsia"/>
        </w:rPr>
        <w:t>7.3%</w:t>
      </w:r>
      <w:r>
        <w:rPr>
          <w:rFonts w:hint="eastAsia"/>
        </w:rPr>
        <w:t>。</w:t>
      </w:r>
    </w:p>
    <w:p w:rsidR="00E44B7B" w:rsidRDefault="00E44B7B" w:rsidP="00E44B7B">
      <w:pPr>
        <w:pStyle w:val="SingleTxtGC"/>
      </w:pPr>
      <w:r>
        <w:rPr>
          <w:rFonts w:hint="eastAsia"/>
        </w:rPr>
        <w:t>97.</w:t>
      </w:r>
      <w:r>
        <w:rPr>
          <w:rFonts w:hint="eastAsia"/>
        </w:rPr>
        <w:tab/>
      </w:r>
      <w:r>
        <w:rPr>
          <w:rFonts w:hint="eastAsia"/>
        </w:rPr>
        <w:t>芬兰临时就业在所有就业中所占比例高于欧盟平均水平，芬兰的非全</w:t>
      </w:r>
      <w:proofErr w:type="gramStart"/>
      <w:r>
        <w:rPr>
          <w:rFonts w:hint="eastAsia"/>
        </w:rPr>
        <w:t>时就业</w:t>
      </w:r>
      <w:proofErr w:type="gramEnd"/>
      <w:r>
        <w:rPr>
          <w:rFonts w:hint="eastAsia"/>
        </w:rPr>
        <w:t>比例低于欧盟平均水平。</w:t>
      </w:r>
    </w:p>
    <w:p w:rsidR="00E44B7B" w:rsidRDefault="00E44B7B" w:rsidP="00E44B7B">
      <w:pPr>
        <w:pStyle w:val="SingleTxtGC"/>
      </w:pPr>
      <w:r>
        <w:rPr>
          <w:rFonts w:hint="eastAsia"/>
        </w:rPr>
        <w:t>98.</w:t>
      </w:r>
      <w:r>
        <w:rPr>
          <w:rFonts w:hint="eastAsia"/>
        </w:rPr>
        <w:tab/>
      </w:r>
      <w:r>
        <w:rPr>
          <w:rFonts w:hint="eastAsia"/>
        </w:rPr>
        <w:t>根据经济事务和就业部的工作生活指标，大约</w:t>
      </w:r>
      <w:r>
        <w:rPr>
          <w:rFonts w:hint="eastAsia"/>
        </w:rPr>
        <w:t>90%</w:t>
      </w:r>
      <w:r>
        <w:rPr>
          <w:rFonts w:hint="eastAsia"/>
        </w:rPr>
        <w:t>的工资收入者加入了失业基金。这一比例在</w:t>
      </w:r>
      <w:proofErr w:type="gramStart"/>
      <w:r>
        <w:rPr>
          <w:rFonts w:hint="eastAsia"/>
        </w:rPr>
        <w:t>2000</w:t>
      </w:r>
      <w:proofErr w:type="gramEnd"/>
      <w:r>
        <w:rPr>
          <w:rFonts w:hint="eastAsia"/>
        </w:rPr>
        <w:t>年代有所上升。然而，在越来越多的情况下，失业者只有在加入失业基金且同时放弃工会成员资格时，才能寻求经济保障。</w:t>
      </w:r>
      <w:proofErr w:type="gramStart"/>
      <w:r>
        <w:rPr>
          <w:rFonts w:hint="eastAsia"/>
        </w:rPr>
        <w:t>2000</w:t>
      </w:r>
      <w:proofErr w:type="gramEnd"/>
      <w:r>
        <w:rPr>
          <w:rFonts w:hint="eastAsia"/>
        </w:rPr>
        <w:t>年代，工资收入者加入公会的比率实际上出现了小幅下降。在接受工作生活指标调查的工资收入者</w:t>
      </w:r>
      <w:r>
        <w:rPr>
          <w:rFonts w:hint="eastAsia"/>
        </w:rPr>
        <w:t>(</w:t>
      </w:r>
      <w:r>
        <w:rPr>
          <w:rFonts w:hint="eastAsia"/>
        </w:rPr>
        <w:t>每周工作至少</w:t>
      </w:r>
      <w:r>
        <w:rPr>
          <w:rFonts w:hint="eastAsia"/>
        </w:rPr>
        <w:t>10</w:t>
      </w:r>
      <w:r>
        <w:rPr>
          <w:rFonts w:hint="eastAsia"/>
        </w:rPr>
        <w:t>小时的人</w:t>
      </w:r>
      <w:r>
        <w:rPr>
          <w:rFonts w:hint="eastAsia"/>
        </w:rPr>
        <w:t>)</w:t>
      </w:r>
      <w:r>
        <w:rPr>
          <w:rFonts w:hint="eastAsia"/>
        </w:rPr>
        <w:t>中，</w:t>
      </w:r>
      <w:r>
        <w:rPr>
          <w:rFonts w:hint="eastAsia"/>
        </w:rPr>
        <w:t>2017</w:t>
      </w:r>
      <w:r>
        <w:rPr>
          <w:rFonts w:hint="eastAsia"/>
        </w:rPr>
        <w:t>年有</w:t>
      </w:r>
      <w:r>
        <w:rPr>
          <w:rFonts w:hint="eastAsia"/>
        </w:rPr>
        <w:t>73%</w:t>
      </w:r>
      <w:r>
        <w:rPr>
          <w:rFonts w:hint="eastAsia"/>
        </w:rPr>
        <w:t>是工会成员。然而，根据经济事务和就业部委托编写的报告，在公会可代表其利益的人中，加入公会的比率从</w:t>
      </w:r>
      <w:r>
        <w:rPr>
          <w:rFonts w:hint="eastAsia"/>
        </w:rPr>
        <w:t>2013</w:t>
      </w:r>
      <w:r>
        <w:rPr>
          <w:rFonts w:hint="eastAsia"/>
        </w:rPr>
        <w:t>年的</w:t>
      </w:r>
      <w:r>
        <w:rPr>
          <w:rFonts w:hint="eastAsia"/>
        </w:rPr>
        <w:t>65%</w:t>
      </w:r>
      <w:r w:rsidR="00F146E9">
        <w:rPr>
          <w:rFonts w:hint="eastAsia"/>
        </w:rPr>
        <w:t>降</w:t>
      </w:r>
      <w:r>
        <w:rPr>
          <w:rFonts w:hint="eastAsia"/>
        </w:rPr>
        <w:t>至</w:t>
      </w:r>
      <w:r>
        <w:rPr>
          <w:rFonts w:hint="eastAsia"/>
        </w:rPr>
        <w:t>2017</w:t>
      </w:r>
      <w:r>
        <w:rPr>
          <w:rFonts w:hint="eastAsia"/>
        </w:rPr>
        <w:t>年的</w:t>
      </w:r>
      <w:r>
        <w:rPr>
          <w:rFonts w:hint="eastAsia"/>
        </w:rPr>
        <w:t>59%</w:t>
      </w:r>
      <w:r>
        <w:rPr>
          <w:rFonts w:hint="eastAsia"/>
        </w:rPr>
        <w:t>。</w:t>
      </w:r>
    </w:p>
    <w:p w:rsidR="00E44B7B" w:rsidRDefault="00E44B7B" w:rsidP="00E44B7B">
      <w:pPr>
        <w:pStyle w:val="SingleTxtGC"/>
      </w:pPr>
      <w:r>
        <w:rPr>
          <w:rFonts w:hint="eastAsia"/>
        </w:rPr>
        <w:t>99.</w:t>
      </w:r>
      <w:r>
        <w:rPr>
          <w:rFonts w:hint="eastAsia"/>
        </w:rPr>
        <w:tab/>
      </w:r>
      <w:r>
        <w:rPr>
          <w:rFonts w:hint="eastAsia"/>
        </w:rPr>
        <w:t>妇女的平均收入比男子低</w:t>
      </w:r>
      <w:r>
        <w:rPr>
          <w:rFonts w:hint="eastAsia"/>
        </w:rPr>
        <w:t>16%</w:t>
      </w:r>
      <w:r>
        <w:rPr>
          <w:rFonts w:hint="eastAsia"/>
        </w:rPr>
        <w:t>。</w:t>
      </w:r>
      <w:r>
        <w:rPr>
          <w:rFonts w:hint="eastAsia"/>
        </w:rPr>
        <w:t>2018</w:t>
      </w:r>
      <w:r>
        <w:rPr>
          <w:rFonts w:hint="eastAsia"/>
        </w:rPr>
        <w:t>年，在整个劳动力市场中，妇女的收入相当于男子平均收入的</w:t>
      </w:r>
      <w:r>
        <w:rPr>
          <w:rFonts w:hint="eastAsia"/>
        </w:rPr>
        <w:t>84%</w:t>
      </w:r>
      <w:r>
        <w:rPr>
          <w:rFonts w:hint="eastAsia"/>
        </w:rPr>
        <w:t>。在不同部门中，男女收入差距不同：在中央政府的工作中，妇女的平均收入是男子的</w:t>
      </w:r>
      <w:r>
        <w:rPr>
          <w:rFonts w:hint="eastAsia"/>
        </w:rPr>
        <w:t>88%</w:t>
      </w:r>
      <w:r>
        <w:rPr>
          <w:rFonts w:hint="eastAsia"/>
        </w:rPr>
        <w:t>，这一数字在地方政府部门是</w:t>
      </w:r>
      <w:r>
        <w:rPr>
          <w:rFonts w:hint="eastAsia"/>
        </w:rPr>
        <w:t>87%</w:t>
      </w:r>
      <w:r>
        <w:rPr>
          <w:rFonts w:hint="eastAsia"/>
        </w:rPr>
        <w:t>，在私营部门是</w:t>
      </w:r>
      <w:r>
        <w:rPr>
          <w:rFonts w:hint="eastAsia"/>
        </w:rPr>
        <w:t>86%</w:t>
      </w:r>
      <w:r>
        <w:rPr>
          <w:rFonts w:hint="eastAsia"/>
        </w:rPr>
        <w:t>。</w:t>
      </w:r>
    </w:p>
    <w:p w:rsidR="00E44B7B" w:rsidRDefault="00E44B7B" w:rsidP="008541F5">
      <w:pPr>
        <w:pStyle w:val="SingleTxtGC"/>
        <w:tabs>
          <w:tab w:val="clear" w:pos="1565"/>
          <w:tab w:val="clear" w:pos="1996"/>
          <w:tab w:val="clear" w:pos="2427"/>
        </w:tabs>
      </w:pPr>
      <w:r>
        <w:rPr>
          <w:rFonts w:hint="eastAsia"/>
        </w:rPr>
        <w:t>100.</w:t>
      </w:r>
      <w:r>
        <w:rPr>
          <w:rFonts w:hint="eastAsia"/>
        </w:rPr>
        <w:tab/>
      </w:r>
      <w:r>
        <w:rPr>
          <w:rFonts w:hint="eastAsia"/>
        </w:rPr>
        <w:t>男女收入差距一直在缓慢缩小。在</w:t>
      </w:r>
      <w:proofErr w:type="gramStart"/>
      <w:r>
        <w:rPr>
          <w:rFonts w:hint="eastAsia"/>
        </w:rPr>
        <w:t>1980</w:t>
      </w:r>
      <w:proofErr w:type="gramEnd"/>
      <w:r>
        <w:rPr>
          <w:rFonts w:hint="eastAsia"/>
        </w:rPr>
        <w:t>年代末前，这一差距缩小地相对较快，此后缩小的速度有所放缓。</w:t>
      </w:r>
      <w:proofErr w:type="gramStart"/>
      <w:r>
        <w:rPr>
          <w:rFonts w:hint="eastAsia"/>
        </w:rPr>
        <w:t>1980</w:t>
      </w:r>
      <w:proofErr w:type="gramEnd"/>
      <w:r>
        <w:rPr>
          <w:rFonts w:hint="eastAsia"/>
        </w:rPr>
        <w:t>年代末以后，收入差距在相当一段时间内稳定保持在</w:t>
      </w:r>
      <w:r>
        <w:rPr>
          <w:rFonts w:hint="eastAsia"/>
        </w:rPr>
        <w:t>20%</w:t>
      </w:r>
      <w:r>
        <w:rPr>
          <w:rFonts w:hint="eastAsia"/>
        </w:rPr>
        <w:t>左右。自</w:t>
      </w:r>
      <w:r>
        <w:rPr>
          <w:rFonts w:hint="eastAsia"/>
        </w:rPr>
        <w:t>2006</w:t>
      </w:r>
      <w:r>
        <w:rPr>
          <w:rFonts w:hint="eastAsia"/>
        </w:rPr>
        <w:t>年实施同酬方案以来，差距缩小了约</w:t>
      </w:r>
      <w:r>
        <w:rPr>
          <w:rFonts w:hint="eastAsia"/>
        </w:rPr>
        <w:t>4</w:t>
      </w:r>
      <w:r>
        <w:rPr>
          <w:rFonts w:hint="eastAsia"/>
        </w:rPr>
        <w:t>个百分点。</w:t>
      </w:r>
    </w:p>
    <w:p w:rsidR="0074650F" w:rsidRPr="00E44B7B" w:rsidRDefault="00E44B7B" w:rsidP="008541F5">
      <w:pPr>
        <w:pStyle w:val="SingleTxtGC"/>
        <w:tabs>
          <w:tab w:val="clear" w:pos="1565"/>
          <w:tab w:val="clear" w:pos="1996"/>
          <w:tab w:val="clear" w:pos="2427"/>
        </w:tabs>
      </w:pPr>
      <w:r>
        <w:rPr>
          <w:rFonts w:hint="eastAsia"/>
        </w:rPr>
        <w:t>101.</w:t>
      </w:r>
      <w:r>
        <w:rPr>
          <w:rFonts w:hint="eastAsia"/>
        </w:rPr>
        <w:tab/>
      </w:r>
      <w:r>
        <w:rPr>
          <w:rFonts w:hint="eastAsia"/>
        </w:rPr>
        <w:t>妇女和男子在不同的部门和不同的工作岗位上工作。许多以女性为主的部门比以男性为主的部门工资低。在地方政府部门和私营服务部门工作的女性工资收入者的平均收入低于在制造业和中央政府工作的男性。地方政府部门的工作者中约</w:t>
      </w:r>
      <w:r>
        <w:rPr>
          <w:rFonts w:hint="eastAsia"/>
        </w:rPr>
        <w:t>80%</w:t>
      </w:r>
      <w:r>
        <w:rPr>
          <w:rFonts w:hint="eastAsia"/>
        </w:rPr>
        <w:t>是妇女，她们收入的变化情况在很大程度上代表了整个劳动力市场中妇女的平均收入。与妇女相比，男子的收入变化更好，平均而言，男子比妇女在更年轻的时候达到收入峰值。由于休的家事假比男子长等原因，妇女的收入增长较慢。临时就业和非全</w:t>
      </w:r>
      <w:proofErr w:type="gramStart"/>
      <w:r>
        <w:rPr>
          <w:rFonts w:hint="eastAsia"/>
        </w:rPr>
        <w:t>时就业</w:t>
      </w:r>
      <w:proofErr w:type="gramEnd"/>
      <w:r>
        <w:rPr>
          <w:rFonts w:hint="eastAsia"/>
        </w:rPr>
        <w:t>也有所增加，这些工作大多由妇女从事。应该指出，教育并不是芬兰男子收入更高的原因。妇女的受教育程度高于男子，但无论受教育程度如何，妇女的平均收入都低于男子。</w:t>
      </w:r>
    </w:p>
    <w:p w:rsidR="002E74B5" w:rsidRDefault="002E74B5" w:rsidP="002E74B5">
      <w:pPr>
        <w:pStyle w:val="H1GC"/>
      </w:pPr>
      <w:r>
        <w:rPr>
          <w:rFonts w:hint="eastAsia"/>
        </w:rPr>
        <w:lastRenderedPageBreak/>
        <w:tab/>
        <w:t>B.</w:t>
      </w:r>
      <w:r>
        <w:rPr>
          <w:rFonts w:hint="eastAsia"/>
        </w:rPr>
        <w:tab/>
      </w:r>
      <w:r>
        <w:rPr>
          <w:rFonts w:hint="eastAsia"/>
        </w:rPr>
        <w:t>芬兰的宪法、政治和法律架构</w:t>
      </w:r>
    </w:p>
    <w:p w:rsidR="002E74B5" w:rsidRDefault="002E74B5" w:rsidP="002E74B5">
      <w:pPr>
        <w:pStyle w:val="H23GC"/>
      </w:pPr>
      <w:r>
        <w:rPr>
          <w:rFonts w:hint="eastAsia"/>
        </w:rPr>
        <w:tab/>
        <w:t>(a)</w:t>
      </w:r>
      <w:r>
        <w:rPr>
          <w:rFonts w:hint="eastAsia"/>
        </w:rPr>
        <w:tab/>
      </w:r>
      <w:r>
        <w:rPr>
          <w:rFonts w:hint="eastAsia"/>
        </w:rPr>
        <w:t>立宪共和国</w:t>
      </w:r>
    </w:p>
    <w:p w:rsidR="002E74B5" w:rsidRDefault="002E74B5" w:rsidP="002E74B5">
      <w:pPr>
        <w:pStyle w:val="SingleTxtGC"/>
        <w:tabs>
          <w:tab w:val="clear" w:pos="1565"/>
          <w:tab w:val="clear" w:pos="1996"/>
          <w:tab w:val="clear" w:pos="2427"/>
        </w:tabs>
      </w:pPr>
      <w:r>
        <w:rPr>
          <w:rFonts w:hint="eastAsia"/>
        </w:rPr>
        <w:t>102.</w:t>
      </w:r>
      <w:r>
        <w:rPr>
          <w:rFonts w:hint="eastAsia"/>
        </w:rPr>
        <w:tab/>
      </w:r>
      <w:r>
        <w:rPr>
          <w:rFonts w:hint="eastAsia"/>
        </w:rPr>
        <w:t>芬兰是一个立宪共和国，其政府形式为代议民主制。从</w:t>
      </w:r>
      <w:proofErr w:type="gramStart"/>
      <w:r>
        <w:rPr>
          <w:rFonts w:hint="eastAsia"/>
        </w:rPr>
        <w:t>1300</w:t>
      </w:r>
      <w:proofErr w:type="gramEnd"/>
      <w:r>
        <w:rPr>
          <w:rFonts w:hint="eastAsia"/>
        </w:rPr>
        <w:t>年代开始，芬兰一直是瑞典王国的组成部分，直到</w:t>
      </w:r>
      <w:r>
        <w:rPr>
          <w:rFonts w:hint="eastAsia"/>
        </w:rPr>
        <w:t>1809</w:t>
      </w:r>
      <w:r>
        <w:rPr>
          <w:rFonts w:hint="eastAsia"/>
        </w:rPr>
        <w:t>年被俄罗斯帝国并吞，成为芬兰大公国，设有自己的四级议会。</w:t>
      </w:r>
      <w:r>
        <w:rPr>
          <w:rFonts w:hint="eastAsia"/>
        </w:rPr>
        <w:t>1906</w:t>
      </w:r>
      <w:r>
        <w:rPr>
          <w:rFonts w:hint="eastAsia"/>
        </w:rPr>
        <w:t>年，芬兰成为第一个赋予女性选举权的欧洲国家，并成立了一院制议会。芬兰于</w:t>
      </w:r>
      <w:r>
        <w:rPr>
          <w:rFonts w:hint="eastAsia"/>
        </w:rPr>
        <w:t>1917</w:t>
      </w:r>
      <w:r>
        <w:rPr>
          <w:rFonts w:hint="eastAsia"/>
        </w:rPr>
        <w:t>年宣布独立。</w:t>
      </w:r>
    </w:p>
    <w:p w:rsidR="002E74B5" w:rsidRDefault="002E74B5" w:rsidP="002E74B5">
      <w:pPr>
        <w:pStyle w:val="SingleTxtGC"/>
        <w:tabs>
          <w:tab w:val="clear" w:pos="1565"/>
          <w:tab w:val="clear" w:pos="1996"/>
          <w:tab w:val="clear" w:pos="2427"/>
        </w:tabs>
      </w:pPr>
      <w:r>
        <w:rPr>
          <w:rFonts w:hint="eastAsia"/>
        </w:rPr>
        <w:t>103.</w:t>
      </w:r>
      <w:r>
        <w:rPr>
          <w:rFonts w:hint="eastAsia"/>
        </w:rPr>
        <w:tab/>
      </w:r>
      <w:r>
        <w:rPr>
          <w:rFonts w:hint="eastAsia"/>
        </w:rPr>
        <w:t>芬兰于</w:t>
      </w:r>
      <w:r>
        <w:rPr>
          <w:rFonts w:hint="eastAsia"/>
        </w:rPr>
        <w:t>1995</w:t>
      </w:r>
      <w:r>
        <w:rPr>
          <w:rFonts w:hint="eastAsia"/>
        </w:rPr>
        <w:t>年</w:t>
      </w:r>
      <w:r>
        <w:rPr>
          <w:rFonts w:hint="eastAsia"/>
        </w:rPr>
        <w:t>1</w:t>
      </w:r>
      <w:r>
        <w:rPr>
          <w:rFonts w:hint="eastAsia"/>
        </w:rPr>
        <w:t>月</w:t>
      </w:r>
      <w:r>
        <w:rPr>
          <w:rFonts w:hint="eastAsia"/>
        </w:rPr>
        <w:t>1</w:t>
      </w:r>
      <w:r>
        <w:rPr>
          <w:rFonts w:hint="eastAsia"/>
        </w:rPr>
        <w:t>日加入欧洲联盟。欧盟的基本价值观是民主、人权和法治，而芬兰社会也正是以上述原则为基础。欧盟成员国已将权力从国家机构让渡到欧盟机构，并在欧洲一体化的诸多领域以及涉及第三国和国际组织的问题上统一了政策。《欧洲联盟基本权利宪章》于</w:t>
      </w:r>
      <w:r>
        <w:rPr>
          <w:rFonts w:hint="eastAsia"/>
        </w:rPr>
        <w:t>2009</w:t>
      </w:r>
      <w:r>
        <w:rPr>
          <w:rFonts w:hint="eastAsia"/>
        </w:rPr>
        <w:t>年</w:t>
      </w:r>
      <w:r>
        <w:rPr>
          <w:rFonts w:hint="eastAsia"/>
        </w:rPr>
        <w:t>12</w:t>
      </w:r>
      <w:r>
        <w:rPr>
          <w:rFonts w:hint="eastAsia"/>
        </w:rPr>
        <w:t>月具有了法律约束力。芬兰在法律上和政治上致力于按照欧盟诸条约、《欧盟基本权利宪章》、欧盟二级法律以及欧盟法院判例法所规定的方式，履行本国与欧盟成员国身份有关的义务和责任。</w:t>
      </w:r>
    </w:p>
    <w:p w:rsidR="002E74B5" w:rsidRDefault="002E74B5" w:rsidP="002E74B5">
      <w:pPr>
        <w:pStyle w:val="SingleTxtGC"/>
        <w:tabs>
          <w:tab w:val="clear" w:pos="1565"/>
          <w:tab w:val="clear" w:pos="1996"/>
          <w:tab w:val="clear" w:pos="2427"/>
        </w:tabs>
      </w:pPr>
      <w:r>
        <w:rPr>
          <w:rFonts w:hint="eastAsia"/>
        </w:rPr>
        <w:t>104.</w:t>
      </w:r>
      <w:r>
        <w:rPr>
          <w:rFonts w:hint="eastAsia"/>
        </w:rPr>
        <w:tab/>
      </w:r>
      <w:r>
        <w:rPr>
          <w:rFonts w:hint="eastAsia"/>
        </w:rPr>
        <w:t>《芬兰宪法》系以法治以及立法、行政和司法三权分立为基础。</w:t>
      </w:r>
    </w:p>
    <w:p w:rsidR="002E74B5" w:rsidRDefault="002E74B5" w:rsidP="002E74B5">
      <w:pPr>
        <w:pStyle w:val="SingleTxtGC"/>
        <w:tabs>
          <w:tab w:val="clear" w:pos="1565"/>
          <w:tab w:val="clear" w:pos="1996"/>
          <w:tab w:val="clear" w:pos="2427"/>
        </w:tabs>
      </w:pPr>
      <w:r>
        <w:rPr>
          <w:rFonts w:hint="eastAsia"/>
        </w:rPr>
        <w:t>105.</w:t>
      </w:r>
      <w:r>
        <w:rPr>
          <w:rFonts w:hint="eastAsia"/>
        </w:rPr>
        <w:tab/>
      </w:r>
      <w:r>
        <w:rPr>
          <w:rFonts w:hint="eastAsia"/>
        </w:rPr>
        <w:t>根据《芬兰宪法》，政府权力由共和国总统和政府行使。总理由议会选举产生，并由共和国总统任命。共和国总统还根据总理的提议任命其他部长。各部部长须为芬兰公民，且以诚实和能干著称。</w:t>
      </w:r>
    </w:p>
    <w:p w:rsidR="002E74B5" w:rsidRDefault="002E74B5" w:rsidP="00FF1E74">
      <w:pPr>
        <w:pStyle w:val="H23GC"/>
      </w:pPr>
      <w:r>
        <w:rPr>
          <w:rFonts w:hint="eastAsia"/>
        </w:rPr>
        <w:tab/>
        <w:t>(b)</w:t>
      </w:r>
      <w:r>
        <w:rPr>
          <w:rFonts w:hint="eastAsia"/>
        </w:rPr>
        <w:tab/>
      </w:r>
      <w:r>
        <w:rPr>
          <w:rFonts w:hint="eastAsia"/>
        </w:rPr>
        <w:t>共和国总统</w:t>
      </w:r>
    </w:p>
    <w:p w:rsidR="002E74B5" w:rsidRDefault="002E74B5" w:rsidP="002E74B5">
      <w:pPr>
        <w:pStyle w:val="SingleTxtGC"/>
        <w:tabs>
          <w:tab w:val="clear" w:pos="1565"/>
          <w:tab w:val="clear" w:pos="1996"/>
          <w:tab w:val="clear" w:pos="2427"/>
        </w:tabs>
      </w:pPr>
      <w:r>
        <w:rPr>
          <w:rFonts w:hint="eastAsia"/>
        </w:rPr>
        <w:t>106.</w:t>
      </w:r>
      <w:r>
        <w:rPr>
          <w:rFonts w:hint="eastAsia"/>
        </w:rPr>
        <w:tab/>
      </w:r>
      <w:r>
        <w:rPr>
          <w:rFonts w:hint="eastAsia"/>
        </w:rPr>
        <w:t>共和国总统在政府的配合之下掌管芬兰外交政策，决定芬兰与外国的关系和在国际组织中的活动，以及谈判事宜。共和国总统是芬兰国防军的最高统帅。共和国总统的职责和权限由《芬兰宪法》予以规定。</w:t>
      </w:r>
    </w:p>
    <w:p w:rsidR="002E74B5" w:rsidRDefault="002E74B5" w:rsidP="002E74B5">
      <w:pPr>
        <w:pStyle w:val="SingleTxtGC"/>
        <w:tabs>
          <w:tab w:val="clear" w:pos="1565"/>
          <w:tab w:val="clear" w:pos="1996"/>
          <w:tab w:val="clear" w:pos="2427"/>
        </w:tabs>
      </w:pPr>
      <w:r>
        <w:rPr>
          <w:rFonts w:hint="eastAsia"/>
        </w:rPr>
        <w:t>107.</w:t>
      </w:r>
      <w:r>
        <w:rPr>
          <w:rFonts w:hint="eastAsia"/>
        </w:rPr>
        <w:tab/>
      </w:r>
      <w:r>
        <w:rPr>
          <w:rFonts w:hint="eastAsia"/>
        </w:rPr>
        <w:t>共和国总统由直接普选产生，须为土生土长的芬兰公民。总统当选后任期六年，连任不得超过两届。总统候选人可由在最近一次议会选举中至少赢得一个席位的登记在册政党提名，也可由至少</w:t>
      </w:r>
      <w:r>
        <w:rPr>
          <w:rFonts w:hint="eastAsia"/>
        </w:rPr>
        <w:t>20,000</w:t>
      </w:r>
      <w:r>
        <w:rPr>
          <w:rFonts w:hint="eastAsia"/>
        </w:rPr>
        <w:t>名拥有投票权者建立的选民协会提名。第一轮选举中得票半数以上的候选人当选为总统。若没有任何候选人获得上述多数选票，则须在两周之后在票数最高的两名候选人之间举行第二轮选举。在第二轮选举中得票最多的候选人当选为总统。万一出现得票数相同的情况，选举结果由抽签决定。</w:t>
      </w:r>
    </w:p>
    <w:p w:rsidR="002E74B5" w:rsidRDefault="002E74B5" w:rsidP="00FF1E74">
      <w:pPr>
        <w:pStyle w:val="H23GC"/>
      </w:pPr>
      <w:r>
        <w:rPr>
          <w:rFonts w:hint="eastAsia"/>
        </w:rPr>
        <w:tab/>
        <w:t>(c)</w:t>
      </w:r>
      <w:r>
        <w:rPr>
          <w:rFonts w:hint="eastAsia"/>
        </w:rPr>
        <w:tab/>
      </w:r>
      <w:r>
        <w:rPr>
          <w:rFonts w:hint="eastAsia"/>
        </w:rPr>
        <w:t>议会</w:t>
      </w:r>
    </w:p>
    <w:p w:rsidR="002E74B5" w:rsidRDefault="002E74B5" w:rsidP="002E74B5">
      <w:pPr>
        <w:pStyle w:val="SingleTxtGC"/>
        <w:tabs>
          <w:tab w:val="clear" w:pos="1565"/>
          <w:tab w:val="clear" w:pos="1996"/>
          <w:tab w:val="clear" w:pos="2427"/>
        </w:tabs>
      </w:pPr>
      <w:r>
        <w:rPr>
          <w:rFonts w:hint="eastAsia"/>
        </w:rPr>
        <w:t>108.</w:t>
      </w:r>
      <w:r>
        <w:rPr>
          <w:rFonts w:hint="eastAsia"/>
        </w:rPr>
        <w:tab/>
      </w:r>
      <w:r>
        <w:rPr>
          <w:rFonts w:hint="eastAsia"/>
        </w:rPr>
        <w:t>根据《芬兰宪法》，芬兰的国家权力归属于人民，而人民由议会代表。芬兰设有一个一院制议会，由</w:t>
      </w:r>
      <w:r>
        <w:rPr>
          <w:rFonts w:hint="eastAsia"/>
        </w:rPr>
        <w:t>200</w:t>
      </w:r>
      <w:r>
        <w:rPr>
          <w:rFonts w:hint="eastAsia"/>
        </w:rPr>
        <w:t>位议员组成。议会行使立法权，并决定国家财政事宜。政府须拥有议会的信任。</w:t>
      </w:r>
    </w:p>
    <w:p w:rsidR="002E74B5" w:rsidRDefault="002E74B5" w:rsidP="002E74B5">
      <w:pPr>
        <w:pStyle w:val="SingleTxtGC"/>
        <w:tabs>
          <w:tab w:val="clear" w:pos="1565"/>
          <w:tab w:val="clear" w:pos="1996"/>
          <w:tab w:val="clear" w:pos="2427"/>
        </w:tabs>
      </w:pPr>
      <w:r>
        <w:rPr>
          <w:rFonts w:hint="eastAsia"/>
        </w:rPr>
        <w:t>109.</w:t>
      </w:r>
      <w:r>
        <w:rPr>
          <w:rFonts w:hint="eastAsia"/>
        </w:rPr>
        <w:tab/>
      </w:r>
      <w:r>
        <w:rPr>
          <w:rFonts w:hint="eastAsia"/>
        </w:rPr>
        <w:t>议会最重要的任务是颁布法律。议会可根据政府的提议、议员的动议或公民的倡议颁布法律。</w:t>
      </w:r>
    </w:p>
    <w:p w:rsidR="002E74B5" w:rsidRDefault="002E74B5" w:rsidP="002E74B5">
      <w:pPr>
        <w:pStyle w:val="SingleTxtGC"/>
        <w:tabs>
          <w:tab w:val="clear" w:pos="1565"/>
          <w:tab w:val="clear" w:pos="1996"/>
          <w:tab w:val="clear" w:pos="2427"/>
        </w:tabs>
      </w:pPr>
      <w:r>
        <w:rPr>
          <w:rFonts w:hint="eastAsia"/>
        </w:rPr>
        <w:t>110.</w:t>
      </w:r>
      <w:r>
        <w:rPr>
          <w:rFonts w:hint="eastAsia"/>
        </w:rPr>
        <w:tab/>
      </w:r>
      <w:r>
        <w:rPr>
          <w:rFonts w:hint="eastAsia"/>
        </w:rPr>
        <w:t>议会选举每四年进行一次，全国分为若干选区。一位议员选自奥兰。</w:t>
      </w:r>
      <w:r>
        <w:rPr>
          <w:rFonts w:hint="eastAsia"/>
        </w:rPr>
        <w:t>18</w:t>
      </w:r>
      <w:r>
        <w:rPr>
          <w:rFonts w:hint="eastAsia"/>
        </w:rPr>
        <w:t>岁及以上芬兰公民拥有投票权。芬兰的选举制度系以直接、不记名和按比例原则为基础。所有选民必须亲自投票，且必须将票投到选举主管部门。芬兰的选举制度是投票支持个人和投票支持政党相结合，投票支持政党和投票支持候选人使用的是同一个号码。</w:t>
      </w:r>
    </w:p>
    <w:p w:rsidR="002E74B5" w:rsidRDefault="002E74B5" w:rsidP="002E74B5">
      <w:pPr>
        <w:pStyle w:val="SingleTxtGC"/>
        <w:tabs>
          <w:tab w:val="clear" w:pos="1565"/>
          <w:tab w:val="clear" w:pos="1996"/>
          <w:tab w:val="clear" w:pos="2427"/>
        </w:tabs>
      </w:pPr>
      <w:r>
        <w:rPr>
          <w:rFonts w:hint="eastAsia"/>
        </w:rPr>
        <w:lastRenderedPageBreak/>
        <w:t>111.</w:t>
      </w:r>
      <w:r>
        <w:rPr>
          <w:rFonts w:hint="eastAsia"/>
        </w:rPr>
        <w:tab/>
        <w:t>2019</w:t>
      </w:r>
      <w:r>
        <w:rPr>
          <w:rFonts w:hint="eastAsia"/>
        </w:rPr>
        <w:t>年选举的结果是，八个政党和一个选民协会获得了议会席位。其中的五个政党组阁了政府。芬兰还有其他在议会当中没有代表的较小政党。由至少</w:t>
      </w:r>
      <w:r>
        <w:rPr>
          <w:rFonts w:hint="eastAsia"/>
        </w:rPr>
        <w:t>100</w:t>
      </w:r>
      <w:r>
        <w:rPr>
          <w:rFonts w:hint="eastAsia"/>
        </w:rPr>
        <w:t>名有权在相关选区内投票的选民组成的选民协会也可提名候选人参选议会席位。候选人当中，女性占</w:t>
      </w:r>
      <w:r>
        <w:rPr>
          <w:rFonts w:hint="eastAsia"/>
        </w:rPr>
        <w:t>42%</w:t>
      </w:r>
      <w:r>
        <w:rPr>
          <w:rFonts w:hint="eastAsia"/>
        </w:rPr>
        <w:t>；当选的议员当中，女性占</w:t>
      </w:r>
      <w:r>
        <w:rPr>
          <w:rFonts w:hint="eastAsia"/>
        </w:rPr>
        <w:t>47%</w:t>
      </w:r>
      <w:r>
        <w:rPr>
          <w:rFonts w:hint="eastAsia"/>
        </w:rPr>
        <w:t>。</w:t>
      </w:r>
    </w:p>
    <w:p w:rsidR="002E74B5" w:rsidRDefault="002E74B5" w:rsidP="002E74B5">
      <w:pPr>
        <w:pStyle w:val="SingleTxtGC"/>
        <w:tabs>
          <w:tab w:val="clear" w:pos="1565"/>
          <w:tab w:val="clear" w:pos="1996"/>
          <w:tab w:val="clear" w:pos="2427"/>
        </w:tabs>
      </w:pPr>
      <w:r>
        <w:rPr>
          <w:rFonts w:hint="eastAsia"/>
        </w:rPr>
        <w:t>112.</w:t>
      </w:r>
      <w:r>
        <w:rPr>
          <w:rFonts w:hint="eastAsia"/>
        </w:rPr>
        <w:tab/>
        <w:t>2019</w:t>
      </w:r>
      <w:r>
        <w:rPr>
          <w:rFonts w:hint="eastAsia"/>
        </w:rPr>
        <w:t>年议会选举中的选民投票率为</w:t>
      </w:r>
      <w:r>
        <w:rPr>
          <w:rFonts w:hint="eastAsia"/>
        </w:rPr>
        <w:t>72.1%</w:t>
      </w:r>
      <w:r>
        <w:rPr>
          <w:rFonts w:hint="eastAsia"/>
        </w:rPr>
        <w:t>。</w:t>
      </w:r>
      <w:r>
        <w:rPr>
          <w:rFonts w:hint="eastAsia"/>
        </w:rPr>
        <w:t>2017</w:t>
      </w:r>
      <w:r>
        <w:rPr>
          <w:rFonts w:hint="eastAsia"/>
        </w:rPr>
        <w:t>年，全国市镇选举中的选民投票率是</w:t>
      </w:r>
      <w:r>
        <w:rPr>
          <w:rFonts w:hint="eastAsia"/>
        </w:rPr>
        <w:t>58.9%</w:t>
      </w:r>
      <w:r>
        <w:rPr>
          <w:rFonts w:hint="eastAsia"/>
        </w:rPr>
        <w:t>。芬兰大选中的选民投票率长期落后于经合组织平均水平。选民投票率明显取决于社会经济地位和年龄。年轻人和社会经济地位较低者投票和参与政党活动的可能性要低得多。移民在候选人和当选官员中的代表性也明显不足。</w:t>
      </w:r>
    </w:p>
    <w:p w:rsidR="002E74B5" w:rsidRDefault="002E74B5" w:rsidP="00FF1E74">
      <w:pPr>
        <w:pStyle w:val="H23GC"/>
      </w:pPr>
      <w:r>
        <w:rPr>
          <w:rFonts w:hint="eastAsia"/>
        </w:rPr>
        <w:tab/>
        <w:t>(d)</w:t>
      </w:r>
      <w:r>
        <w:rPr>
          <w:rFonts w:hint="eastAsia"/>
        </w:rPr>
        <w:tab/>
      </w:r>
      <w:r>
        <w:rPr>
          <w:rFonts w:hint="eastAsia"/>
        </w:rPr>
        <w:t>政府</w:t>
      </w:r>
    </w:p>
    <w:p w:rsidR="002E74B5" w:rsidRDefault="002E74B5" w:rsidP="002E74B5">
      <w:pPr>
        <w:pStyle w:val="SingleTxtGC"/>
        <w:tabs>
          <w:tab w:val="clear" w:pos="1565"/>
          <w:tab w:val="clear" w:pos="1996"/>
          <w:tab w:val="clear" w:pos="2427"/>
        </w:tabs>
      </w:pPr>
      <w:r>
        <w:rPr>
          <w:rFonts w:hint="eastAsia"/>
        </w:rPr>
        <w:t>113.</w:t>
      </w:r>
      <w:r>
        <w:rPr>
          <w:rFonts w:hint="eastAsia"/>
        </w:rPr>
        <w:tab/>
      </w:r>
      <w:r>
        <w:rPr>
          <w:rFonts w:hint="eastAsia"/>
        </w:rPr>
        <w:t>目前，政府由</w:t>
      </w:r>
      <w:r>
        <w:rPr>
          <w:rFonts w:hint="eastAsia"/>
        </w:rPr>
        <w:t>12</w:t>
      </w:r>
      <w:r>
        <w:rPr>
          <w:rFonts w:hint="eastAsia"/>
        </w:rPr>
        <w:t>个部组成。各部负责筹备各自领域政府权限范围内的事务，并负责政府职能的妥善运转。政府的全体会议由总理主持。总理还主持依法设立的部级委员会。</w:t>
      </w:r>
    </w:p>
    <w:p w:rsidR="002E74B5" w:rsidRDefault="002E74B5" w:rsidP="002E74B5">
      <w:pPr>
        <w:pStyle w:val="SingleTxtGC"/>
        <w:tabs>
          <w:tab w:val="clear" w:pos="1565"/>
          <w:tab w:val="clear" w:pos="1996"/>
          <w:tab w:val="clear" w:pos="2427"/>
        </w:tabs>
      </w:pPr>
      <w:r>
        <w:rPr>
          <w:rFonts w:hint="eastAsia"/>
        </w:rPr>
        <w:t>114.</w:t>
      </w:r>
      <w:r>
        <w:rPr>
          <w:rFonts w:hint="eastAsia"/>
        </w:rPr>
        <w:tab/>
      </w:r>
      <w:r>
        <w:rPr>
          <w:rFonts w:hint="eastAsia"/>
        </w:rPr>
        <w:t>总理府是一个由总理领导的部。总理府负责监督政府政治计划的落实情况，并协助总理全面管理政府职能。总理府使总理和政府得以在任何情况下均能有效地行动。总理府的职责包括协调芬兰的欧盟政策和所有权政策，并负责领导其辖下的国有公司。该部还负责提供政府通信服务、协调国家行政部门内部通信活动，并负责政府的态势感知、准备和安全服务以及事件和紧急情况管理的相关协调工作。最近，总理府受命负责协调国家为支持决策而开展的部门研究工作的各项目标。</w:t>
      </w:r>
    </w:p>
    <w:p w:rsidR="002E74B5" w:rsidRDefault="002E74B5" w:rsidP="00FF1E74">
      <w:pPr>
        <w:pStyle w:val="H23GC"/>
      </w:pPr>
      <w:r>
        <w:rPr>
          <w:rFonts w:hint="eastAsia"/>
        </w:rPr>
        <w:tab/>
        <w:t>(e)</w:t>
      </w:r>
      <w:r>
        <w:rPr>
          <w:rFonts w:hint="eastAsia"/>
        </w:rPr>
        <w:tab/>
      </w:r>
      <w:r>
        <w:rPr>
          <w:rFonts w:hint="eastAsia"/>
        </w:rPr>
        <w:t>全民公投</w:t>
      </w:r>
    </w:p>
    <w:p w:rsidR="002E74B5" w:rsidRDefault="002E74B5" w:rsidP="002E74B5">
      <w:pPr>
        <w:pStyle w:val="SingleTxtGC"/>
        <w:tabs>
          <w:tab w:val="clear" w:pos="1565"/>
          <w:tab w:val="clear" w:pos="1996"/>
          <w:tab w:val="clear" w:pos="2427"/>
        </w:tabs>
      </w:pPr>
      <w:r>
        <w:rPr>
          <w:rFonts w:hint="eastAsia"/>
        </w:rPr>
        <w:t>115.</w:t>
      </w:r>
      <w:r>
        <w:rPr>
          <w:rFonts w:hint="eastAsia"/>
        </w:rPr>
        <w:tab/>
      </w:r>
      <w:r>
        <w:rPr>
          <w:rFonts w:hint="eastAsia"/>
        </w:rPr>
        <w:t>根据《芬兰宪法》第</w:t>
      </w:r>
      <w:r>
        <w:rPr>
          <w:rFonts w:hint="eastAsia"/>
        </w:rPr>
        <w:t>53</w:t>
      </w:r>
      <w:r>
        <w:rPr>
          <w:rFonts w:hint="eastAsia"/>
        </w:rPr>
        <w:t>条，组织征询性全民公投的决定须由一项法令</w:t>
      </w:r>
      <w:proofErr w:type="gramStart"/>
      <w:r>
        <w:rPr>
          <w:rFonts w:hint="eastAsia"/>
        </w:rPr>
        <w:t>作出</w:t>
      </w:r>
      <w:proofErr w:type="gramEnd"/>
      <w:r>
        <w:rPr>
          <w:rFonts w:hint="eastAsia"/>
        </w:rPr>
        <w:t>，其中还须规定举行全民公投的时间以及拟向选民提供的投票选择。芬兰举行过两次全国公投，一次是在</w:t>
      </w:r>
      <w:r>
        <w:rPr>
          <w:rFonts w:hint="eastAsia"/>
        </w:rPr>
        <w:t>1931</w:t>
      </w:r>
      <w:r>
        <w:rPr>
          <w:rFonts w:hint="eastAsia"/>
        </w:rPr>
        <w:t>年就废除《禁止法》举行公投，一次是在</w:t>
      </w:r>
      <w:r>
        <w:rPr>
          <w:rFonts w:hint="eastAsia"/>
        </w:rPr>
        <w:t>1994</w:t>
      </w:r>
      <w:r>
        <w:rPr>
          <w:rFonts w:hint="eastAsia"/>
        </w:rPr>
        <w:t>年就芬兰加入欧洲联盟举行公投。</w:t>
      </w:r>
    </w:p>
    <w:p w:rsidR="002E74B5" w:rsidRDefault="002E74B5" w:rsidP="00FF1E74">
      <w:pPr>
        <w:pStyle w:val="H23GC"/>
      </w:pPr>
      <w:r>
        <w:rPr>
          <w:rFonts w:hint="eastAsia"/>
        </w:rPr>
        <w:tab/>
        <w:t>(f)</w:t>
      </w:r>
      <w:r>
        <w:rPr>
          <w:rFonts w:hint="eastAsia"/>
        </w:rPr>
        <w:tab/>
      </w:r>
      <w:r>
        <w:rPr>
          <w:rFonts w:hint="eastAsia"/>
        </w:rPr>
        <w:t>公民倡议</w:t>
      </w:r>
    </w:p>
    <w:p w:rsidR="002E74B5" w:rsidRDefault="002E74B5" w:rsidP="002E74B5">
      <w:pPr>
        <w:pStyle w:val="SingleTxtGC"/>
        <w:tabs>
          <w:tab w:val="clear" w:pos="1565"/>
          <w:tab w:val="clear" w:pos="1996"/>
          <w:tab w:val="clear" w:pos="2427"/>
        </w:tabs>
      </w:pPr>
      <w:r>
        <w:rPr>
          <w:rFonts w:hint="eastAsia"/>
        </w:rPr>
        <w:t>116.</w:t>
      </w:r>
      <w:r>
        <w:rPr>
          <w:rFonts w:hint="eastAsia"/>
        </w:rPr>
        <w:tab/>
      </w:r>
      <w:r>
        <w:rPr>
          <w:rFonts w:hint="eastAsia"/>
        </w:rPr>
        <w:t>拥有投票权的任何芬兰公民均可组织公民倡议。《公民倡议法》</w:t>
      </w:r>
      <w:r>
        <w:rPr>
          <w:rFonts w:hint="eastAsia"/>
        </w:rPr>
        <w:t>(12/2012)</w:t>
      </w:r>
      <w:r>
        <w:rPr>
          <w:rFonts w:hint="eastAsia"/>
        </w:rPr>
        <w:t>规定了公民倡议的形式要求。倡议可或由一项法案草案构成，或由一项提出起草法律的提案构成。倡议也可涉及修订或废除某部现行法律。若一项公民倡议在六个月内获得至少</w:t>
      </w:r>
      <w:r>
        <w:rPr>
          <w:rFonts w:hint="eastAsia"/>
        </w:rPr>
        <w:t>50,000</w:t>
      </w:r>
      <w:r>
        <w:rPr>
          <w:rFonts w:hint="eastAsia"/>
        </w:rPr>
        <w:t>份支持声明，议会将对之进行审议。议会可完全自行决定通过、修改或驳回一项倡议。议会驳回一项倡议，并不妨碍就同一主题组织一项新倡议。可在由司法部维护的免费网上服务网站</w:t>
      </w:r>
      <w:proofErr w:type="spellStart"/>
      <w:r>
        <w:rPr>
          <w:rFonts w:hint="eastAsia"/>
        </w:rPr>
        <w:t>kansalaisaloite.fi</w:t>
      </w:r>
      <w:proofErr w:type="spellEnd"/>
      <w:r>
        <w:rPr>
          <w:rFonts w:hint="eastAsia"/>
        </w:rPr>
        <w:t>上组织和支持公民倡议。公民倡议的目的在于支持和促进公民的参与，加强使人口群体得以积极参与和影响社会发展的民间社会。</w:t>
      </w:r>
    </w:p>
    <w:p w:rsidR="002E74B5" w:rsidRDefault="002E74B5" w:rsidP="00FF1E74">
      <w:pPr>
        <w:pStyle w:val="H23GC"/>
      </w:pPr>
      <w:r>
        <w:rPr>
          <w:rFonts w:hint="eastAsia"/>
        </w:rPr>
        <w:tab/>
        <w:t>(g)</w:t>
      </w:r>
      <w:r>
        <w:rPr>
          <w:rFonts w:hint="eastAsia"/>
        </w:rPr>
        <w:tab/>
      </w:r>
      <w:r>
        <w:rPr>
          <w:rFonts w:hint="eastAsia"/>
        </w:rPr>
        <w:t>奥兰的特殊地位</w:t>
      </w:r>
    </w:p>
    <w:p w:rsidR="002E74B5" w:rsidRDefault="002E74B5" w:rsidP="002E74B5">
      <w:pPr>
        <w:pStyle w:val="SingleTxtGC"/>
        <w:tabs>
          <w:tab w:val="clear" w:pos="1565"/>
          <w:tab w:val="clear" w:pos="1996"/>
          <w:tab w:val="clear" w:pos="2427"/>
        </w:tabs>
      </w:pPr>
      <w:r>
        <w:rPr>
          <w:rFonts w:hint="eastAsia"/>
        </w:rPr>
        <w:t>117.</w:t>
      </w:r>
      <w:r>
        <w:rPr>
          <w:rFonts w:hint="eastAsia"/>
        </w:rPr>
        <w:tab/>
      </w:r>
      <w:r>
        <w:rPr>
          <w:rFonts w:hint="eastAsia"/>
        </w:rPr>
        <w:t>奥兰是芬兰一个瑞典语非军事化自治区。</w:t>
      </w:r>
    </w:p>
    <w:p w:rsidR="002E74B5" w:rsidRDefault="002E74B5" w:rsidP="002E74B5">
      <w:pPr>
        <w:pStyle w:val="SingleTxtGC"/>
        <w:tabs>
          <w:tab w:val="clear" w:pos="1565"/>
          <w:tab w:val="clear" w:pos="1996"/>
          <w:tab w:val="clear" w:pos="2427"/>
        </w:tabs>
      </w:pPr>
      <w:r>
        <w:rPr>
          <w:rFonts w:hint="eastAsia"/>
        </w:rPr>
        <w:t>118.</w:t>
      </w:r>
      <w:r>
        <w:rPr>
          <w:rFonts w:hint="eastAsia"/>
        </w:rPr>
        <w:tab/>
      </w:r>
      <w:r>
        <w:rPr>
          <w:rFonts w:hint="eastAsia"/>
        </w:rPr>
        <w:t>奥兰于</w:t>
      </w:r>
      <w:r>
        <w:rPr>
          <w:rFonts w:hint="eastAsia"/>
        </w:rPr>
        <w:t>1856</w:t>
      </w:r>
      <w:r>
        <w:rPr>
          <w:rFonts w:hint="eastAsia"/>
        </w:rPr>
        <w:t>年实行非军事化，并于</w:t>
      </w:r>
      <w:r>
        <w:rPr>
          <w:rFonts w:hint="eastAsia"/>
        </w:rPr>
        <w:t>1921</w:t>
      </w:r>
      <w:r>
        <w:rPr>
          <w:rFonts w:hint="eastAsia"/>
        </w:rPr>
        <w:t>年成为中立区。鉴于奥兰省是芬兰主权统治之下的一个自治区，芬兰保障其地位不变。奥兰的非军事化和中立地位系基于多项国际文书所载规定。</w:t>
      </w:r>
    </w:p>
    <w:p w:rsidR="002E74B5" w:rsidRDefault="002E74B5" w:rsidP="002E74B5">
      <w:pPr>
        <w:pStyle w:val="SingleTxtGC"/>
        <w:tabs>
          <w:tab w:val="clear" w:pos="1565"/>
          <w:tab w:val="clear" w:pos="1996"/>
          <w:tab w:val="clear" w:pos="2427"/>
        </w:tabs>
      </w:pPr>
      <w:r>
        <w:rPr>
          <w:rFonts w:hint="eastAsia"/>
        </w:rPr>
        <w:lastRenderedPageBreak/>
        <w:t>119.</w:t>
      </w:r>
      <w:r>
        <w:rPr>
          <w:rFonts w:hint="eastAsia"/>
        </w:rPr>
        <w:tab/>
      </w:r>
      <w:r>
        <w:rPr>
          <w:rFonts w:hint="eastAsia"/>
        </w:rPr>
        <w:t>芬兰共和国于</w:t>
      </w:r>
      <w:r>
        <w:rPr>
          <w:rFonts w:hint="eastAsia"/>
        </w:rPr>
        <w:t>1917</w:t>
      </w:r>
      <w:r>
        <w:rPr>
          <w:rFonts w:hint="eastAsia"/>
        </w:rPr>
        <w:t>年援引民族自决权宣布独立时，奥兰居民也援引同样的原则要求将奥兰重新并入原来的祖国，即瑞典。但是，芬兰未作好接受奥兰居民并入瑞典要求的准备，而是希望给予奥兰一定程度的国内自治。于是，芬兰议会于</w:t>
      </w:r>
      <w:r>
        <w:rPr>
          <w:rFonts w:hint="eastAsia"/>
        </w:rPr>
        <w:t>1920</w:t>
      </w:r>
      <w:r>
        <w:rPr>
          <w:rFonts w:hint="eastAsia"/>
        </w:rPr>
        <w:t>年颁布《自治法》</w:t>
      </w:r>
      <w:r>
        <w:rPr>
          <w:rFonts w:hint="eastAsia"/>
        </w:rPr>
        <w:t>(1144/1991)</w:t>
      </w:r>
      <w:r>
        <w:rPr>
          <w:rFonts w:hint="eastAsia"/>
        </w:rPr>
        <w:t>。但奥兰居民并未接受该法。由于奥兰问题具有国际性，此事被提交新成立的国际联盟解决。</w:t>
      </w:r>
      <w:r>
        <w:rPr>
          <w:rFonts w:hint="eastAsia"/>
        </w:rPr>
        <w:t>1921</w:t>
      </w:r>
      <w:r>
        <w:rPr>
          <w:rFonts w:hint="eastAsia"/>
        </w:rPr>
        <w:t>年，国际联盟理事会</w:t>
      </w:r>
      <w:proofErr w:type="gramStart"/>
      <w:r>
        <w:rPr>
          <w:rFonts w:hint="eastAsia"/>
        </w:rPr>
        <w:t>作出</w:t>
      </w:r>
      <w:proofErr w:type="gramEnd"/>
      <w:r>
        <w:rPr>
          <w:rFonts w:hint="eastAsia"/>
        </w:rPr>
        <w:t>折中决定，宣布芬兰对奥兰拥有主权，但要求芬兰承诺保障奥兰人口的瑞典语文化和瑞典语语言，还要保障当地风俗和广泛自治。</w:t>
      </w:r>
    </w:p>
    <w:p w:rsidR="002E74B5" w:rsidRDefault="002E74B5" w:rsidP="002E74B5">
      <w:pPr>
        <w:pStyle w:val="SingleTxtGC"/>
        <w:tabs>
          <w:tab w:val="clear" w:pos="1565"/>
          <w:tab w:val="clear" w:pos="1996"/>
          <w:tab w:val="clear" w:pos="2427"/>
        </w:tabs>
      </w:pPr>
      <w:r>
        <w:rPr>
          <w:rFonts w:hint="eastAsia"/>
        </w:rPr>
        <w:t>120.</w:t>
      </w:r>
      <w:r>
        <w:rPr>
          <w:rFonts w:hint="eastAsia"/>
        </w:rPr>
        <w:tab/>
      </w:r>
      <w:r>
        <w:rPr>
          <w:rFonts w:hint="eastAsia"/>
        </w:rPr>
        <w:t>国际保障下的自治使奥兰居民有权就省内事务颁布法律并行使预算权。奥兰群岛的立法机构是奥兰议会。奥兰议会的</w:t>
      </w:r>
      <w:r>
        <w:rPr>
          <w:rFonts w:hint="eastAsia"/>
        </w:rPr>
        <w:t>30</w:t>
      </w:r>
      <w:r>
        <w:rPr>
          <w:rFonts w:hint="eastAsia"/>
        </w:rPr>
        <w:t>位议员系经普选产生。奥兰议会任命奥兰政府，即该省的行政机构。</w:t>
      </w:r>
    </w:p>
    <w:p w:rsidR="002E74B5" w:rsidRDefault="002E74B5" w:rsidP="002E74B5">
      <w:pPr>
        <w:pStyle w:val="SingleTxtGC"/>
        <w:tabs>
          <w:tab w:val="clear" w:pos="1565"/>
          <w:tab w:val="clear" w:pos="1996"/>
          <w:tab w:val="clear" w:pos="2427"/>
        </w:tabs>
      </w:pPr>
      <w:r>
        <w:rPr>
          <w:rFonts w:hint="eastAsia"/>
        </w:rPr>
        <w:t>121.</w:t>
      </w:r>
      <w:r>
        <w:rPr>
          <w:rFonts w:hint="eastAsia"/>
        </w:rPr>
        <w:tab/>
      </w:r>
      <w:r>
        <w:rPr>
          <w:rFonts w:hint="eastAsia"/>
        </w:rPr>
        <w:t>该省的自治权由《奥兰自治法》予以规定。芬兰议会可对该法进行修订，但必须经奥兰议会同意，且必须按照颁布宪制性法律的程序进行。换言之，奥兰省和国家之间在权力划分上的任何变化，均必须经双方同意。现行的《奥兰自治法》是颁布的第三部相关法律，于</w:t>
      </w:r>
      <w:r>
        <w:rPr>
          <w:rFonts w:hint="eastAsia"/>
        </w:rPr>
        <w:t>1993</w:t>
      </w:r>
      <w:r>
        <w:rPr>
          <w:rFonts w:hint="eastAsia"/>
        </w:rPr>
        <w:t>年</w:t>
      </w:r>
      <w:r>
        <w:rPr>
          <w:rFonts w:hint="eastAsia"/>
        </w:rPr>
        <w:t>1</w:t>
      </w:r>
      <w:r>
        <w:rPr>
          <w:rFonts w:hint="eastAsia"/>
        </w:rPr>
        <w:t>月</w:t>
      </w:r>
      <w:r>
        <w:rPr>
          <w:rFonts w:hint="eastAsia"/>
        </w:rPr>
        <w:t>1</w:t>
      </w:r>
      <w:r>
        <w:rPr>
          <w:rFonts w:hint="eastAsia"/>
        </w:rPr>
        <w:t>日生效。</w:t>
      </w:r>
    </w:p>
    <w:p w:rsidR="002E74B5" w:rsidRDefault="002E74B5" w:rsidP="002E74B5">
      <w:pPr>
        <w:pStyle w:val="SingleTxtGC"/>
        <w:tabs>
          <w:tab w:val="clear" w:pos="1565"/>
          <w:tab w:val="clear" w:pos="1996"/>
          <w:tab w:val="clear" w:pos="2427"/>
        </w:tabs>
      </w:pPr>
      <w:r>
        <w:rPr>
          <w:rFonts w:hint="eastAsia"/>
        </w:rPr>
        <w:t>122.</w:t>
      </w:r>
      <w:r>
        <w:rPr>
          <w:rFonts w:hint="eastAsia"/>
        </w:rPr>
        <w:tab/>
      </w:r>
      <w:r>
        <w:rPr>
          <w:rFonts w:hint="eastAsia"/>
        </w:rPr>
        <w:t>《奥兰自治法》列出了奥兰省拥有立法权的领域。上述领域中最重要的是教育、文化和保存史前文物、健康和医疗保健、移民融入、环境事务、促进商业和经济生活、内部交通、市政管理、警务服务、邮政服务，以及广播和电视。在歧视问题上，立法权由国家和奥兰省分担。</w:t>
      </w:r>
    </w:p>
    <w:p w:rsidR="002E74B5" w:rsidRDefault="002E74B5" w:rsidP="002E74B5">
      <w:pPr>
        <w:pStyle w:val="SingleTxtGC"/>
        <w:tabs>
          <w:tab w:val="clear" w:pos="1565"/>
          <w:tab w:val="clear" w:pos="1996"/>
          <w:tab w:val="clear" w:pos="2427"/>
        </w:tabs>
      </w:pPr>
      <w:r>
        <w:rPr>
          <w:rFonts w:hint="eastAsia"/>
        </w:rPr>
        <w:t>123.</w:t>
      </w:r>
      <w:r>
        <w:rPr>
          <w:rFonts w:hint="eastAsia"/>
        </w:rPr>
        <w:tab/>
      </w:r>
      <w:r>
        <w:rPr>
          <w:rFonts w:hint="eastAsia"/>
        </w:rPr>
        <w:t>在奥兰不具备立法权的领域内，国家法律在该省像在芬兰其他地区一样适用。上述领域包括外交服务、芬兰国内居住权、相当广泛的民法和刑法、法院、海关，以及国家税收。为了在奥兰不具备立法权的事务中也能促进该省的利益，奥兰选举自己的代表出任芬兰议会议员。</w:t>
      </w:r>
    </w:p>
    <w:p w:rsidR="002E74B5" w:rsidRDefault="002E74B5" w:rsidP="002E74B5">
      <w:pPr>
        <w:pStyle w:val="SingleTxtGC"/>
        <w:tabs>
          <w:tab w:val="clear" w:pos="1565"/>
          <w:tab w:val="clear" w:pos="1996"/>
          <w:tab w:val="clear" w:pos="2427"/>
        </w:tabs>
      </w:pPr>
      <w:r>
        <w:rPr>
          <w:rFonts w:hint="eastAsia"/>
        </w:rPr>
        <w:t>124.</w:t>
      </w:r>
      <w:r>
        <w:rPr>
          <w:rFonts w:hint="eastAsia"/>
        </w:rPr>
        <w:tab/>
      </w:r>
      <w:r>
        <w:rPr>
          <w:rFonts w:hint="eastAsia"/>
        </w:rPr>
        <w:t>外交政策属于国家的权限范围，因而奥兰不能从事例如签署国际条约等行为。但是，这并不意味着该省在国际事务中完全没有影响力。在芬兰国家签署的国际条约所载条款与《奥兰自治法》相抵触或是涉及到该省权限范围内之事务的情况下，未经奥兰议会批准，不得在奥兰执行该条款。</w:t>
      </w:r>
    </w:p>
    <w:p w:rsidR="002E74B5" w:rsidRDefault="002E74B5" w:rsidP="002E74B5">
      <w:pPr>
        <w:pStyle w:val="SingleTxtGC"/>
        <w:tabs>
          <w:tab w:val="clear" w:pos="1565"/>
          <w:tab w:val="clear" w:pos="1996"/>
          <w:tab w:val="clear" w:pos="2427"/>
        </w:tabs>
      </w:pPr>
      <w:r>
        <w:rPr>
          <w:rFonts w:hint="eastAsia"/>
        </w:rPr>
        <w:t>125.</w:t>
      </w:r>
      <w:r>
        <w:rPr>
          <w:rFonts w:hint="eastAsia"/>
        </w:rPr>
        <w:tab/>
      </w:r>
      <w:r>
        <w:rPr>
          <w:rFonts w:hint="eastAsia"/>
        </w:rPr>
        <w:t>根据《奥兰自治法》，该省的官方语言仅为瑞典语。《芬兰语言法》</w:t>
      </w:r>
      <w:r>
        <w:rPr>
          <w:rFonts w:hint="eastAsia"/>
        </w:rPr>
        <w:t>(432/2003)</w:t>
      </w:r>
      <w:r>
        <w:rPr>
          <w:rFonts w:hint="eastAsia"/>
        </w:rPr>
        <w:t>不适用于奥兰。但是，《奥兰自治法》规定，在奥兰，芬兰公民有权在法庭上使用芬兰语，也有权在与自己有关的事务中与其他国家官员使用芬兰语。</w:t>
      </w:r>
    </w:p>
    <w:p w:rsidR="002E74B5" w:rsidRDefault="002E74B5" w:rsidP="002E74B5">
      <w:pPr>
        <w:pStyle w:val="SingleTxtGC"/>
        <w:tabs>
          <w:tab w:val="clear" w:pos="1565"/>
          <w:tab w:val="clear" w:pos="1996"/>
          <w:tab w:val="clear" w:pos="2427"/>
        </w:tabs>
      </w:pPr>
      <w:r>
        <w:rPr>
          <w:rFonts w:hint="eastAsia"/>
        </w:rPr>
        <w:t>126.</w:t>
      </w:r>
      <w:r>
        <w:rPr>
          <w:rFonts w:hint="eastAsia"/>
        </w:rPr>
        <w:tab/>
      </w:r>
      <w:r>
        <w:rPr>
          <w:rFonts w:hint="eastAsia"/>
        </w:rPr>
        <w:t>芬兰国家在奥兰的代表是省长，而省长由共和国总统在与奥兰议会议长就此商定后任命。省长最重要的职责是，以多种方式促进当地自治政府机构与国家最高代表之间的有效对话和建设性互动，从而维护该省与国家之间的良好关系。</w:t>
      </w:r>
    </w:p>
    <w:p w:rsidR="002E74B5" w:rsidRDefault="002E74B5" w:rsidP="002E74B5">
      <w:pPr>
        <w:pStyle w:val="SingleTxtGC"/>
        <w:tabs>
          <w:tab w:val="clear" w:pos="1565"/>
          <w:tab w:val="clear" w:pos="1996"/>
          <w:tab w:val="clear" w:pos="2427"/>
        </w:tabs>
      </w:pPr>
      <w:r>
        <w:rPr>
          <w:rFonts w:hint="eastAsia"/>
        </w:rPr>
        <w:t>127.</w:t>
      </w:r>
      <w:r>
        <w:rPr>
          <w:rFonts w:hint="eastAsia"/>
        </w:rPr>
        <w:tab/>
      </w:r>
      <w:r>
        <w:rPr>
          <w:rFonts w:hint="eastAsia"/>
        </w:rPr>
        <w:t>国际联盟</w:t>
      </w:r>
      <w:r>
        <w:rPr>
          <w:rFonts w:hint="eastAsia"/>
        </w:rPr>
        <w:t>1921</w:t>
      </w:r>
      <w:r>
        <w:rPr>
          <w:rFonts w:hint="eastAsia"/>
        </w:rPr>
        <w:t>年决定在保留瑞典语和当地风俗方面为奥兰居民所提供的保障，其中一项内容是在奥兰推行了定居权。</w:t>
      </w:r>
      <w:proofErr w:type="gramStart"/>
      <w:r>
        <w:rPr>
          <w:rFonts w:hint="eastAsia"/>
        </w:rPr>
        <w:t>凡父母</w:t>
      </w:r>
      <w:proofErr w:type="gramEnd"/>
      <w:r>
        <w:rPr>
          <w:rFonts w:hint="eastAsia"/>
        </w:rPr>
        <w:t>至少一方享有定居权者，在出生之际均可获得定居权。移居至该省且在此居住了至少五年并拥有令人满意的瑞典语技能者，可通过申请获得定居权。该项权利只可赋予芬兰公民。定居权是在奥兰议会选举中拥有投票权和参选权、在该省拥有和持有不动产权以及在该省从业的一项要件。</w:t>
      </w:r>
    </w:p>
    <w:p w:rsidR="002E74B5" w:rsidRDefault="002E74B5" w:rsidP="002E74B5">
      <w:pPr>
        <w:pStyle w:val="SingleTxtGC"/>
        <w:tabs>
          <w:tab w:val="clear" w:pos="1565"/>
          <w:tab w:val="clear" w:pos="1996"/>
          <w:tab w:val="clear" w:pos="2427"/>
        </w:tabs>
      </w:pPr>
      <w:r>
        <w:rPr>
          <w:rFonts w:hint="eastAsia"/>
        </w:rPr>
        <w:t>128.</w:t>
      </w:r>
      <w:r>
        <w:rPr>
          <w:rFonts w:hint="eastAsia"/>
        </w:rPr>
        <w:tab/>
      </w:r>
      <w:r>
        <w:rPr>
          <w:rFonts w:hint="eastAsia"/>
        </w:rPr>
        <w:t>和芬兰一样，奥兰自</w:t>
      </w:r>
      <w:r>
        <w:rPr>
          <w:rFonts w:hint="eastAsia"/>
        </w:rPr>
        <w:t>1995</w:t>
      </w:r>
      <w:r>
        <w:rPr>
          <w:rFonts w:hint="eastAsia"/>
        </w:rPr>
        <w:t>年以来一直是欧盟成员。但是，奥兰被视为一个“第三领地”，欧盟关于统一所有间接税的指令对之并不适用。正因如此，奥</w:t>
      </w:r>
      <w:r>
        <w:rPr>
          <w:rFonts w:hint="eastAsia"/>
        </w:rPr>
        <w:lastRenderedPageBreak/>
        <w:t>兰是欧盟关税同盟的成员，但却不是欧盟税收同盟的成员。欧盟一级法的组成内容、关于芬兰加入欧盟的条约所附的一项议定书使这种安排成为可能。根据该议定书，奥兰可在不歧视的基础上，限制在无定居</w:t>
      </w:r>
      <w:proofErr w:type="gramStart"/>
      <w:r>
        <w:rPr>
          <w:rFonts w:hint="eastAsia"/>
        </w:rPr>
        <w:t>权情况</w:t>
      </w:r>
      <w:proofErr w:type="gramEnd"/>
      <w:r>
        <w:rPr>
          <w:rFonts w:hint="eastAsia"/>
        </w:rPr>
        <w:t>下获得该省不动产的权利。奥兰还可以限制在无定居</w:t>
      </w:r>
      <w:proofErr w:type="gramStart"/>
      <w:r>
        <w:rPr>
          <w:rFonts w:hint="eastAsia"/>
        </w:rPr>
        <w:t>权情况</w:t>
      </w:r>
      <w:proofErr w:type="gramEnd"/>
      <w:r>
        <w:rPr>
          <w:rFonts w:hint="eastAsia"/>
        </w:rPr>
        <w:t>下在该省开业的权利和从业的权利。上述议定书进一步确认了奥兰在国际法下的地位。</w:t>
      </w:r>
    </w:p>
    <w:p w:rsidR="002E74B5" w:rsidRDefault="002E74B5" w:rsidP="002E74B5">
      <w:pPr>
        <w:pStyle w:val="SingleTxtGC"/>
        <w:tabs>
          <w:tab w:val="clear" w:pos="1565"/>
          <w:tab w:val="clear" w:pos="1996"/>
          <w:tab w:val="clear" w:pos="2427"/>
        </w:tabs>
      </w:pPr>
      <w:r>
        <w:rPr>
          <w:rFonts w:hint="eastAsia"/>
        </w:rPr>
        <w:t>129.</w:t>
      </w:r>
      <w:r>
        <w:rPr>
          <w:rFonts w:hint="eastAsia"/>
        </w:rPr>
        <w:tab/>
      </w:r>
      <w:r>
        <w:rPr>
          <w:rFonts w:hint="eastAsia"/>
        </w:rPr>
        <w:t>奥兰自</w:t>
      </w:r>
      <w:r>
        <w:rPr>
          <w:rFonts w:hint="eastAsia"/>
        </w:rPr>
        <w:t>1970</w:t>
      </w:r>
      <w:r>
        <w:rPr>
          <w:rFonts w:hint="eastAsia"/>
        </w:rPr>
        <w:t>年以来一直是北欧理事会的成员。</w:t>
      </w:r>
    </w:p>
    <w:p w:rsidR="002E74B5" w:rsidRDefault="002E74B5" w:rsidP="002E74B5">
      <w:pPr>
        <w:pStyle w:val="SingleTxtGC"/>
        <w:tabs>
          <w:tab w:val="clear" w:pos="1565"/>
          <w:tab w:val="clear" w:pos="1996"/>
          <w:tab w:val="clear" w:pos="2427"/>
        </w:tabs>
      </w:pPr>
      <w:r>
        <w:rPr>
          <w:rFonts w:hint="eastAsia"/>
        </w:rPr>
        <w:t>130.</w:t>
      </w:r>
      <w:r>
        <w:rPr>
          <w:rFonts w:hint="eastAsia"/>
        </w:rPr>
        <w:tab/>
      </w:r>
      <w:r>
        <w:rPr>
          <w:rFonts w:hint="eastAsia"/>
        </w:rPr>
        <w:t>奥兰由大约</w:t>
      </w:r>
      <w:r>
        <w:rPr>
          <w:rFonts w:hint="eastAsia"/>
        </w:rPr>
        <w:t>6,757</w:t>
      </w:r>
      <w:r>
        <w:rPr>
          <w:rFonts w:hint="eastAsia"/>
        </w:rPr>
        <w:t>个面积为</w:t>
      </w:r>
      <w:r>
        <w:rPr>
          <w:rFonts w:hint="eastAsia"/>
        </w:rPr>
        <w:t>0.25</w:t>
      </w:r>
      <w:r>
        <w:rPr>
          <w:rFonts w:hint="eastAsia"/>
        </w:rPr>
        <w:t>公顷或更大的岛屿组成。上述岛屿中约有</w:t>
      </w:r>
      <w:r>
        <w:rPr>
          <w:rFonts w:hint="eastAsia"/>
        </w:rPr>
        <w:t>60%</w:t>
      </w:r>
      <w:r>
        <w:rPr>
          <w:rFonts w:hint="eastAsia"/>
        </w:rPr>
        <w:t>有人居住。最大的岛屿是奥兰主岛，约占全省陆地面积的</w:t>
      </w:r>
      <w:r>
        <w:rPr>
          <w:rFonts w:hint="eastAsia"/>
        </w:rPr>
        <w:t>70%</w:t>
      </w:r>
      <w:r>
        <w:rPr>
          <w:rFonts w:hint="eastAsia"/>
        </w:rPr>
        <w:t>。主岛上的距离从北到南不超过</w:t>
      </w:r>
      <w:r>
        <w:rPr>
          <w:rFonts w:hint="eastAsia"/>
        </w:rPr>
        <w:t>50</w:t>
      </w:r>
      <w:r>
        <w:rPr>
          <w:rFonts w:hint="eastAsia"/>
        </w:rPr>
        <w:t>公里，从东到西不超过</w:t>
      </w:r>
      <w:r>
        <w:rPr>
          <w:rFonts w:hint="eastAsia"/>
        </w:rPr>
        <w:t>45</w:t>
      </w:r>
      <w:r>
        <w:rPr>
          <w:rFonts w:hint="eastAsia"/>
        </w:rPr>
        <w:t>公里</w:t>
      </w:r>
      <w:r>
        <w:rPr>
          <w:rFonts w:hint="eastAsia"/>
        </w:rPr>
        <w:t>(</w:t>
      </w:r>
      <w:r>
        <w:rPr>
          <w:rFonts w:hint="eastAsia"/>
        </w:rPr>
        <w:t>见附件一，奥兰地图</w:t>
      </w:r>
      <w:r>
        <w:rPr>
          <w:rFonts w:hint="eastAsia"/>
        </w:rPr>
        <w:t>)</w:t>
      </w:r>
      <w:r>
        <w:rPr>
          <w:rFonts w:hint="eastAsia"/>
        </w:rPr>
        <w:t>。</w:t>
      </w:r>
    </w:p>
    <w:p w:rsidR="002E74B5" w:rsidRDefault="002E74B5" w:rsidP="002E74B5">
      <w:pPr>
        <w:pStyle w:val="SingleTxtGC"/>
        <w:tabs>
          <w:tab w:val="clear" w:pos="1565"/>
          <w:tab w:val="clear" w:pos="1996"/>
          <w:tab w:val="clear" w:pos="2427"/>
        </w:tabs>
      </w:pPr>
      <w:r>
        <w:rPr>
          <w:rFonts w:hint="eastAsia"/>
        </w:rPr>
        <w:t>131.</w:t>
      </w:r>
      <w:r>
        <w:rPr>
          <w:rFonts w:hint="eastAsia"/>
        </w:rPr>
        <w:tab/>
      </w:r>
      <w:r>
        <w:rPr>
          <w:rFonts w:hint="eastAsia"/>
        </w:rPr>
        <w:t>该省总面积为</w:t>
      </w:r>
      <w:r>
        <w:rPr>
          <w:rFonts w:hint="eastAsia"/>
        </w:rPr>
        <w:t>13,324</w:t>
      </w:r>
      <w:r>
        <w:rPr>
          <w:rFonts w:hint="eastAsia"/>
        </w:rPr>
        <w:t>平方公里，其中水域面积为</w:t>
      </w:r>
      <w:r>
        <w:rPr>
          <w:rFonts w:hint="eastAsia"/>
        </w:rPr>
        <w:t>11,771</w:t>
      </w:r>
      <w:r>
        <w:rPr>
          <w:rFonts w:hint="eastAsia"/>
        </w:rPr>
        <w:t>平方公里，陆地面积为</w:t>
      </w:r>
      <w:r>
        <w:rPr>
          <w:rFonts w:hint="eastAsia"/>
        </w:rPr>
        <w:t>1,553</w:t>
      </w:r>
      <w:r>
        <w:rPr>
          <w:rFonts w:hint="eastAsia"/>
        </w:rPr>
        <w:t>平方公里。</w:t>
      </w:r>
    </w:p>
    <w:p w:rsidR="002E74B5" w:rsidRDefault="002E74B5" w:rsidP="002E74B5">
      <w:pPr>
        <w:pStyle w:val="SingleTxtGC"/>
        <w:tabs>
          <w:tab w:val="clear" w:pos="1565"/>
          <w:tab w:val="clear" w:pos="1996"/>
          <w:tab w:val="clear" w:pos="2427"/>
        </w:tabs>
      </w:pPr>
      <w:r>
        <w:rPr>
          <w:rFonts w:hint="eastAsia"/>
        </w:rPr>
        <w:t>132.</w:t>
      </w:r>
      <w:r>
        <w:rPr>
          <w:rFonts w:hint="eastAsia"/>
        </w:rPr>
        <w:tab/>
      </w:r>
      <w:r>
        <w:rPr>
          <w:rFonts w:hint="eastAsia"/>
        </w:rPr>
        <w:t>陆地面积分为森林</w:t>
      </w:r>
      <w:r>
        <w:rPr>
          <w:rFonts w:hint="eastAsia"/>
        </w:rPr>
        <w:t>60%</w:t>
      </w:r>
      <w:r>
        <w:rPr>
          <w:rFonts w:hint="eastAsia"/>
        </w:rPr>
        <w:t>、耕地</w:t>
      </w:r>
      <w:r>
        <w:rPr>
          <w:rFonts w:hint="eastAsia"/>
        </w:rPr>
        <w:t>9%</w:t>
      </w:r>
      <w:r>
        <w:rPr>
          <w:rFonts w:hint="eastAsia"/>
        </w:rPr>
        <w:t>、牧场</w:t>
      </w:r>
      <w:r>
        <w:rPr>
          <w:rFonts w:hint="eastAsia"/>
        </w:rPr>
        <w:t>3%</w:t>
      </w:r>
      <w:r>
        <w:rPr>
          <w:rFonts w:hint="eastAsia"/>
        </w:rPr>
        <w:t>和其他</w:t>
      </w:r>
      <w:r>
        <w:rPr>
          <w:rFonts w:hint="eastAsia"/>
        </w:rPr>
        <w:t>27%</w:t>
      </w:r>
      <w:r>
        <w:rPr>
          <w:rFonts w:hint="eastAsia"/>
        </w:rPr>
        <w:t>。</w:t>
      </w:r>
    </w:p>
    <w:p w:rsidR="002E74B5" w:rsidRDefault="002E74B5" w:rsidP="002E74B5">
      <w:pPr>
        <w:pStyle w:val="SingleTxtGC"/>
        <w:tabs>
          <w:tab w:val="clear" w:pos="1565"/>
          <w:tab w:val="clear" w:pos="1996"/>
          <w:tab w:val="clear" w:pos="2427"/>
        </w:tabs>
      </w:pPr>
      <w:r>
        <w:rPr>
          <w:rFonts w:hint="eastAsia"/>
        </w:rPr>
        <w:t>133.</w:t>
      </w:r>
      <w:r>
        <w:rPr>
          <w:rFonts w:hint="eastAsia"/>
        </w:rPr>
        <w:tab/>
      </w:r>
      <w:r>
        <w:rPr>
          <w:rFonts w:hint="eastAsia"/>
        </w:rPr>
        <w:t>奥兰在</w:t>
      </w:r>
      <w:r>
        <w:rPr>
          <w:rFonts w:hint="eastAsia"/>
        </w:rPr>
        <w:t>2018</w:t>
      </w:r>
      <w:r>
        <w:rPr>
          <w:rFonts w:hint="eastAsia"/>
        </w:rPr>
        <w:t>年底的人口为</w:t>
      </w:r>
      <w:r>
        <w:rPr>
          <w:rFonts w:hint="eastAsia"/>
        </w:rPr>
        <w:t>29,789</w:t>
      </w:r>
      <w:r>
        <w:rPr>
          <w:rFonts w:hint="eastAsia"/>
        </w:rPr>
        <w:t>人，其中</w:t>
      </w:r>
      <w:r>
        <w:rPr>
          <w:rFonts w:hint="eastAsia"/>
        </w:rPr>
        <w:t>14,919</w:t>
      </w:r>
      <w:r>
        <w:rPr>
          <w:rFonts w:hint="eastAsia"/>
        </w:rPr>
        <w:t>人是女性，</w:t>
      </w:r>
      <w:r>
        <w:rPr>
          <w:rFonts w:hint="eastAsia"/>
        </w:rPr>
        <w:t>14,870</w:t>
      </w:r>
      <w:r>
        <w:rPr>
          <w:rFonts w:hint="eastAsia"/>
        </w:rPr>
        <w:t>人是男性。省内唯一的城市玛丽港人口为</w:t>
      </w:r>
      <w:r>
        <w:rPr>
          <w:rFonts w:hint="eastAsia"/>
        </w:rPr>
        <w:t>11,743</w:t>
      </w:r>
      <w:r>
        <w:rPr>
          <w:rFonts w:hint="eastAsia"/>
        </w:rPr>
        <w:t>人。农村人口数量为</w:t>
      </w:r>
      <w:r>
        <w:rPr>
          <w:rFonts w:hint="eastAsia"/>
        </w:rPr>
        <w:t>15,973</w:t>
      </w:r>
      <w:r>
        <w:rPr>
          <w:rFonts w:hint="eastAsia"/>
        </w:rPr>
        <w:t>人，岛</w:t>
      </w:r>
      <w:proofErr w:type="gramStart"/>
      <w:r>
        <w:rPr>
          <w:rFonts w:hint="eastAsia"/>
        </w:rPr>
        <w:t>居人口</w:t>
      </w:r>
      <w:proofErr w:type="gramEnd"/>
      <w:r>
        <w:rPr>
          <w:rFonts w:hint="eastAsia"/>
        </w:rPr>
        <w:t>为</w:t>
      </w:r>
      <w:r>
        <w:rPr>
          <w:rFonts w:hint="eastAsia"/>
        </w:rPr>
        <w:t>2,073</w:t>
      </w:r>
      <w:r>
        <w:rPr>
          <w:rFonts w:hint="eastAsia"/>
        </w:rPr>
        <w:t>人。人口密度为每平方公里</w:t>
      </w:r>
      <w:r>
        <w:rPr>
          <w:rFonts w:hint="eastAsia"/>
        </w:rPr>
        <w:t>19</w:t>
      </w:r>
      <w:r>
        <w:rPr>
          <w:rFonts w:hint="eastAsia"/>
        </w:rPr>
        <w:t>人。</w:t>
      </w:r>
    </w:p>
    <w:p w:rsidR="0074650F" w:rsidRPr="002E74B5" w:rsidRDefault="002E74B5" w:rsidP="002E74B5">
      <w:pPr>
        <w:pStyle w:val="SingleTxtGC"/>
        <w:rPr>
          <w:rFonts w:ascii="Time New Roman" w:eastAsia="黑体" w:hAnsi="Time New Roman" w:hint="eastAsia"/>
        </w:rPr>
      </w:pPr>
      <w:r>
        <w:rPr>
          <w:rFonts w:hint="eastAsia"/>
        </w:rPr>
        <w:t>表</w:t>
      </w:r>
      <w:r>
        <w:rPr>
          <w:rFonts w:hint="eastAsia"/>
        </w:rPr>
        <w:t>7.</w:t>
      </w:r>
      <w:r>
        <w:br/>
      </w:r>
      <w:r w:rsidRPr="002E74B5">
        <w:rPr>
          <w:rFonts w:ascii="Time New Roman" w:eastAsia="黑体" w:hAnsi="Time New Roman" w:hint="eastAsia"/>
        </w:rPr>
        <w:t>2018</w:t>
      </w:r>
      <w:r w:rsidRPr="002E74B5">
        <w:rPr>
          <w:rFonts w:ascii="Time New Roman" w:eastAsia="黑体" w:hAnsi="Time New Roman" w:hint="eastAsia"/>
        </w:rPr>
        <w:t>年奥兰人口年龄分布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0"/>
        <w:gridCol w:w="1842"/>
        <w:gridCol w:w="1843"/>
        <w:gridCol w:w="1925"/>
      </w:tblGrid>
      <w:tr w:rsidR="006A3039" w:rsidRPr="00B917A0" w:rsidTr="00C02BD1">
        <w:trPr>
          <w:tblHeader/>
        </w:trPr>
        <w:tc>
          <w:tcPr>
            <w:tcW w:w="1760" w:type="dxa"/>
            <w:tcBorders>
              <w:top w:val="single" w:sz="4" w:space="0" w:color="auto"/>
              <w:bottom w:val="single" w:sz="12" w:space="0" w:color="auto"/>
            </w:tcBorders>
            <w:shd w:val="clear" w:color="auto" w:fill="auto"/>
            <w:vAlign w:val="bottom"/>
          </w:tcPr>
          <w:p w:rsidR="006A3039" w:rsidRPr="00B917A0" w:rsidRDefault="006A3039" w:rsidP="00C02BD1">
            <w:pPr>
              <w:pStyle w:val="a4"/>
              <w:ind w:right="0"/>
              <w:jc w:val="left"/>
              <w:rPr>
                <w:lang w:eastAsia="fi-FI"/>
              </w:rPr>
            </w:pPr>
            <w:r w:rsidRPr="00B917A0">
              <w:t>年龄</w:t>
            </w:r>
          </w:p>
        </w:tc>
        <w:tc>
          <w:tcPr>
            <w:tcW w:w="1842" w:type="dxa"/>
            <w:tcBorders>
              <w:top w:val="single" w:sz="4" w:space="0" w:color="auto"/>
              <w:bottom w:val="single" w:sz="12" w:space="0" w:color="auto"/>
            </w:tcBorders>
            <w:shd w:val="clear" w:color="auto" w:fill="auto"/>
            <w:vAlign w:val="bottom"/>
          </w:tcPr>
          <w:p w:rsidR="006A3039" w:rsidRPr="00B917A0" w:rsidRDefault="006A3039" w:rsidP="00C02BD1">
            <w:pPr>
              <w:pStyle w:val="a4"/>
              <w:ind w:right="0"/>
              <w:jc w:val="right"/>
              <w:rPr>
                <w:lang w:eastAsia="fi-FI"/>
              </w:rPr>
            </w:pPr>
            <w:r w:rsidRPr="00B917A0">
              <w:rPr>
                <w:lang w:eastAsia="fi-FI"/>
              </w:rPr>
              <w:t>0–</w:t>
            </w:r>
            <w:r>
              <w:rPr>
                <w:lang w:eastAsia="fi-FI"/>
              </w:rPr>
              <w:t>14</w:t>
            </w:r>
            <w:r w:rsidRPr="00B917A0">
              <w:t>岁</w:t>
            </w:r>
          </w:p>
        </w:tc>
        <w:tc>
          <w:tcPr>
            <w:tcW w:w="1843" w:type="dxa"/>
            <w:tcBorders>
              <w:top w:val="single" w:sz="4" w:space="0" w:color="auto"/>
              <w:bottom w:val="single" w:sz="12" w:space="0" w:color="auto"/>
            </w:tcBorders>
            <w:shd w:val="clear" w:color="auto" w:fill="auto"/>
            <w:vAlign w:val="bottom"/>
          </w:tcPr>
          <w:p w:rsidR="006A3039" w:rsidRPr="00B917A0" w:rsidRDefault="006A3039" w:rsidP="00C02BD1">
            <w:pPr>
              <w:pStyle w:val="a4"/>
              <w:ind w:right="0"/>
              <w:jc w:val="right"/>
              <w:rPr>
                <w:lang w:eastAsia="fi-FI"/>
              </w:rPr>
            </w:pPr>
            <w:r>
              <w:rPr>
                <w:lang w:eastAsia="fi-FI"/>
              </w:rPr>
              <w:t>15</w:t>
            </w:r>
            <w:r w:rsidRPr="00B917A0">
              <w:rPr>
                <w:lang w:eastAsia="fi-FI"/>
              </w:rPr>
              <w:t>–</w:t>
            </w:r>
            <w:r>
              <w:rPr>
                <w:lang w:eastAsia="fi-FI"/>
              </w:rPr>
              <w:t>64</w:t>
            </w:r>
            <w:r w:rsidRPr="00B917A0">
              <w:t>岁</w:t>
            </w:r>
          </w:p>
        </w:tc>
        <w:tc>
          <w:tcPr>
            <w:tcW w:w="1925" w:type="dxa"/>
            <w:tcBorders>
              <w:top w:val="single" w:sz="4" w:space="0" w:color="auto"/>
              <w:bottom w:val="single" w:sz="12" w:space="0" w:color="auto"/>
            </w:tcBorders>
            <w:shd w:val="clear" w:color="auto" w:fill="auto"/>
            <w:vAlign w:val="bottom"/>
          </w:tcPr>
          <w:p w:rsidR="006A3039" w:rsidRPr="00B917A0" w:rsidRDefault="006A3039" w:rsidP="00C02BD1">
            <w:pPr>
              <w:pStyle w:val="a4"/>
              <w:ind w:right="0"/>
              <w:jc w:val="right"/>
              <w:rPr>
                <w:lang w:eastAsia="fi-FI"/>
              </w:rPr>
            </w:pPr>
            <w:r>
              <w:rPr>
                <w:lang w:eastAsia="fi-FI"/>
              </w:rPr>
              <w:t>65</w:t>
            </w:r>
            <w:r w:rsidRPr="00B917A0">
              <w:t>岁以上</w:t>
            </w:r>
          </w:p>
        </w:tc>
      </w:tr>
      <w:tr w:rsidR="006A3039" w:rsidRPr="00B917A0" w:rsidTr="00C02BD1">
        <w:tc>
          <w:tcPr>
            <w:tcW w:w="1760" w:type="dxa"/>
            <w:tcBorders>
              <w:top w:val="single" w:sz="12" w:space="0" w:color="auto"/>
            </w:tcBorders>
            <w:shd w:val="clear" w:color="auto" w:fill="auto"/>
          </w:tcPr>
          <w:p w:rsidR="006A3039" w:rsidRPr="00B917A0" w:rsidRDefault="006A3039" w:rsidP="00C02BD1">
            <w:pPr>
              <w:pStyle w:val="a3"/>
              <w:overflowPunct/>
              <w:ind w:right="0"/>
              <w:jc w:val="left"/>
              <w:rPr>
                <w:bCs/>
                <w:lang w:eastAsia="fi-FI"/>
              </w:rPr>
            </w:pPr>
            <w:r>
              <w:rPr>
                <w:bCs/>
                <w:lang w:eastAsia="fi-FI"/>
              </w:rPr>
              <w:t>%</w:t>
            </w:r>
          </w:p>
        </w:tc>
        <w:tc>
          <w:tcPr>
            <w:tcW w:w="1842" w:type="dxa"/>
            <w:tcBorders>
              <w:top w:val="single" w:sz="12" w:space="0" w:color="auto"/>
            </w:tcBorders>
            <w:shd w:val="clear" w:color="auto" w:fill="auto"/>
            <w:vAlign w:val="bottom"/>
          </w:tcPr>
          <w:p w:rsidR="006A3039" w:rsidRPr="00B917A0" w:rsidRDefault="006A3039" w:rsidP="00C02BD1">
            <w:pPr>
              <w:pStyle w:val="a3"/>
              <w:overflowPunct/>
              <w:ind w:right="0"/>
              <w:jc w:val="right"/>
              <w:rPr>
                <w:lang w:eastAsia="fi-FI"/>
              </w:rPr>
            </w:pPr>
            <w:r>
              <w:rPr>
                <w:lang w:eastAsia="fi-FI"/>
              </w:rPr>
              <w:t>16.6</w:t>
            </w:r>
          </w:p>
        </w:tc>
        <w:tc>
          <w:tcPr>
            <w:tcW w:w="1843" w:type="dxa"/>
            <w:tcBorders>
              <w:top w:val="single" w:sz="12" w:space="0" w:color="auto"/>
            </w:tcBorders>
            <w:shd w:val="clear" w:color="auto" w:fill="auto"/>
            <w:vAlign w:val="bottom"/>
          </w:tcPr>
          <w:p w:rsidR="006A3039" w:rsidRPr="00B917A0" w:rsidRDefault="006A3039" w:rsidP="00C02BD1">
            <w:pPr>
              <w:pStyle w:val="a3"/>
              <w:overflowPunct/>
              <w:ind w:right="0"/>
              <w:jc w:val="right"/>
              <w:rPr>
                <w:lang w:eastAsia="fi-FI"/>
              </w:rPr>
            </w:pPr>
            <w:r>
              <w:rPr>
                <w:lang w:eastAsia="fi-FI"/>
              </w:rPr>
              <w:t>61.2</w:t>
            </w:r>
          </w:p>
        </w:tc>
        <w:tc>
          <w:tcPr>
            <w:tcW w:w="1925" w:type="dxa"/>
            <w:tcBorders>
              <w:top w:val="single" w:sz="12" w:space="0" w:color="auto"/>
            </w:tcBorders>
            <w:shd w:val="clear" w:color="auto" w:fill="auto"/>
            <w:vAlign w:val="bottom"/>
          </w:tcPr>
          <w:p w:rsidR="006A3039" w:rsidRPr="00B917A0" w:rsidRDefault="006A3039" w:rsidP="00C02BD1">
            <w:pPr>
              <w:pStyle w:val="a3"/>
              <w:overflowPunct/>
              <w:ind w:right="0"/>
              <w:jc w:val="right"/>
              <w:rPr>
                <w:lang w:eastAsia="fi-FI"/>
              </w:rPr>
            </w:pPr>
            <w:r>
              <w:rPr>
                <w:lang w:eastAsia="fi-FI"/>
              </w:rPr>
              <w:t>22.2</w:t>
            </w:r>
          </w:p>
        </w:tc>
      </w:tr>
    </w:tbl>
    <w:p w:rsidR="0074650F" w:rsidRDefault="007C3B64" w:rsidP="006527E4">
      <w:pPr>
        <w:pStyle w:val="ac"/>
        <w:spacing w:before="120" w:after="120"/>
      </w:pPr>
      <w:r>
        <w:tab/>
      </w:r>
      <w:r>
        <w:tab/>
      </w:r>
      <w:r>
        <w:tab/>
      </w:r>
      <w:r w:rsidR="00CB0EC7" w:rsidRPr="00CB0EC7">
        <w:rPr>
          <w:rFonts w:ascii="Time New Roman" w:eastAsia="楷体" w:hAnsi="Time New Roman" w:hint="eastAsia"/>
        </w:rPr>
        <w:t>资料</w:t>
      </w:r>
      <w:r w:rsidRPr="00CB0EC7">
        <w:rPr>
          <w:rFonts w:ascii="Time New Roman" w:eastAsia="楷体" w:hAnsi="Time New Roman" w:hint="eastAsia"/>
        </w:rPr>
        <w:t>来源</w:t>
      </w:r>
      <w:r w:rsidRPr="007C3B64">
        <w:rPr>
          <w:rFonts w:hint="eastAsia"/>
        </w:rPr>
        <w:t>：奥兰统计与研究所</w:t>
      </w:r>
      <w:r w:rsidR="00537A98">
        <w:rPr>
          <w:rFonts w:hint="eastAsia"/>
        </w:rPr>
        <w:t>。</w:t>
      </w:r>
    </w:p>
    <w:p w:rsidR="00537A98" w:rsidRDefault="00537A98" w:rsidP="006527E4">
      <w:pPr>
        <w:pStyle w:val="SingleTxtGC"/>
        <w:tabs>
          <w:tab w:val="clear" w:pos="1565"/>
          <w:tab w:val="clear" w:pos="1996"/>
          <w:tab w:val="clear" w:pos="2427"/>
        </w:tabs>
      </w:pPr>
      <w:r>
        <w:rPr>
          <w:rFonts w:hint="eastAsia"/>
        </w:rPr>
        <w:t>134.</w:t>
      </w:r>
      <w:r>
        <w:rPr>
          <w:rFonts w:hint="eastAsia"/>
        </w:rPr>
        <w:tab/>
      </w:r>
      <w:r>
        <w:rPr>
          <w:rFonts w:hint="eastAsia"/>
        </w:rPr>
        <w:t>奥兰省略低于</w:t>
      </w:r>
      <w:r>
        <w:rPr>
          <w:rFonts w:hint="eastAsia"/>
        </w:rPr>
        <w:t>37%</w:t>
      </w:r>
      <w:r>
        <w:rPr>
          <w:rFonts w:hint="eastAsia"/>
        </w:rPr>
        <w:t>的人口系来自省外。约有</w:t>
      </w:r>
      <w:r>
        <w:rPr>
          <w:rFonts w:hint="eastAsia"/>
        </w:rPr>
        <w:t>19%</w:t>
      </w:r>
      <w:r>
        <w:rPr>
          <w:rFonts w:hint="eastAsia"/>
        </w:rPr>
        <w:t>系从芬兰大陆移居至奥兰，约有</w:t>
      </w:r>
      <w:r>
        <w:rPr>
          <w:rFonts w:hint="eastAsia"/>
        </w:rPr>
        <w:t>9%</w:t>
      </w:r>
      <w:r>
        <w:rPr>
          <w:rFonts w:hint="eastAsia"/>
        </w:rPr>
        <w:t>系来自瑞典。总之，该省是在</w:t>
      </w:r>
      <w:r>
        <w:rPr>
          <w:rFonts w:hint="eastAsia"/>
        </w:rPr>
        <w:t>105</w:t>
      </w:r>
      <w:r>
        <w:rPr>
          <w:rFonts w:hint="eastAsia"/>
        </w:rPr>
        <w:t>个不同国家出生者的家园。该省人口中约有</w:t>
      </w:r>
      <w:r>
        <w:rPr>
          <w:rFonts w:hint="eastAsia"/>
        </w:rPr>
        <w:t>87%</w:t>
      </w:r>
      <w:r>
        <w:rPr>
          <w:rFonts w:hint="eastAsia"/>
        </w:rPr>
        <w:t>母语是瑞典语，</w:t>
      </w:r>
      <w:r>
        <w:rPr>
          <w:rFonts w:hint="eastAsia"/>
        </w:rPr>
        <w:t>5%</w:t>
      </w:r>
      <w:r>
        <w:rPr>
          <w:rFonts w:hint="eastAsia"/>
        </w:rPr>
        <w:t>母语是芬兰语，约有</w:t>
      </w:r>
      <w:r>
        <w:rPr>
          <w:rFonts w:hint="eastAsia"/>
        </w:rPr>
        <w:t>8%</w:t>
      </w:r>
      <w:r>
        <w:rPr>
          <w:rFonts w:hint="eastAsia"/>
        </w:rPr>
        <w:t>母语是其他语言。</w:t>
      </w:r>
    </w:p>
    <w:p w:rsidR="00537A98" w:rsidRDefault="00537A98" w:rsidP="006527E4">
      <w:pPr>
        <w:pStyle w:val="SingleTxtGC"/>
        <w:tabs>
          <w:tab w:val="clear" w:pos="1565"/>
          <w:tab w:val="clear" w:pos="1996"/>
          <w:tab w:val="clear" w:pos="2427"/>
        </w:tabs>
      </w:pPr>
      <w:r>
        <w:rPr>
          <w:rFonts w:hint="eastAsia"/>
        </w:rPr>
        <w:t>135.</w:t>
      </w:r>
      <w:r>
        <w:rPr>
          <w:rFonts w:hint="eastAsia"/>
        </w:rPr>
        <w:tab/>
        <w:t>2017</w:t>
      </w:r>
      <w:r>
        <w:rPr>
          <w:rFonts w:hint="eastAsia"/>
        </w:rPr>
        <w:t>年，奥兰的平均预期寿命是</w:t>
      </w:r>
      <w:r>
        <w:rPr>
          <w:rFonts w:hint="eastAsia"/>
        </w:rPr>
        <w:t>83.5</w:t>
      </w:r>
      <w:r>
        <w:rPr>
          <w:rFonts w:hint="eastAsia"/>
        </w:rPr>
        <w:t>岁。就女性而言，平均预期寿命是</w:t>
      </w:r>
      <w:r>
        <w:rPr>
          <w:rFonts w:hint="eastAsia"/>
        </w:rPr>
        <w:t>85.9</w:t>
      </w:r>
      <w:r>
        <w:rPr>
          <w:rFonts w:hint="eastAsia"/>
        </w:rPr>
        <w:t>岁；就男性而言，</w:t>
      </w:r>
      <w:r>
        <w:rPr>
          <w:rFonts w:hint="eastAsia"/>
        </w:rPr>
        <w:t>81.2</w:t>
      </w:r>
      <w:r>
        <w:rPr>
          <w:rFonts w:hint="eastAsia"/>
        </w:rPr>
        <w:t>岁。</w:t>
      </w:r>
    </w:p>
    <w:p w:rsidR="00537A98" w:rsidRDefault="00537A98" w:rsidP="006527E4">
      <w:pPr>
        <w:pStyle w:val="SingleTxtGC"/>
        <w:tabs>
          <w:tab w:val="clear" w:pos="1565"/>
          <w:tab w:val="clear" w:pos="1996"/>
          <w:tab w:val="clear" w:pos="2427"/>
        </w:tabs>
      </w:pPr>
      <w:r>
        <w:rPr>
          <w:rFonts w:hint="eastAsia"/>
        </w:rPr>
        <w:t>136.</w:t>
      </w:r>
      <w:r>
        <w:rPr>
          <w:rFonts w:hint="eastAsia"/>
        </w:rPr>
        <w:tab/>
        <w:t>2018</w:t>
      </w:r>
      <w:r>
        <w:rPr>
          <w:rFonts w:hint="eastAsia"/>
        </w:rPr>
        <w:t>年，</w:t>
      </w:r>
      <w:r>
        <w:rPr>
          <w:rFonts w:hint="eastAsia"/>
        </w:rPr>
        <w:t>3.5%</w:t>
      </w:r>
      <w:r>
        <w:rPr>
          <w:rFonts w:hint="eastAsia"/>
        </w:rPr>
        <w:t>的奥兰居民失业。</w:t>
      </w:r>
      <w:r>
        <w:rPr>
          <w:rFonts w:hint="eastAsia"/>
        </w:rPr>
        <w:t>2017</w:t>
      </w:r>
      <w:r>
        <w:rPr>
          <w:rFonts w:hint="eastAsia"/>
        </w:rPr>
        <w:t>年的总体就业率为</w:t>
      </w:r>
      <w:r>
        <w:rPr>
          <w:rFonts w:hint="eastAsia"/>
        </w:rPr>
        <w:t>80.2%</w:t>
      </w:r>
      <w:r>
        <w:rPr>
          <w:rFonts w:hint="eastAsia"/>
        </w:rPr>
        <w:t>。女性就业率为</w:t>
      </w:r>
      <w:r>
        <w:rPr>
          <w:rFonts w:hint="eastAsia"/>
        </w:rPr>
        <w:t>80.9%</w:t>
      </w:r>
      <w:r>
        <w:rPr>
          <w:rFonts w:hint="eastAsia"/>
        </w:rPr>
        <w:t>，男性为</w:t>
      </w:r>
      <w:r>
        <w:rPr>
          <w:rFonts w:hint="eastAsia"/>
        </w:rPr>
        <w:t>79.5%</w:t>
      </w:r>
      <w:r>
        <w:rPr>
          <w:rFonts w:hint="eastAsia"/>
        </w:rPr>
        <w:t>。</w:t>
      </w:r>
    </w:p>
    <w:p w:rsidR="00537A98" w:rsidRDefault="00537A98" w:rsidP="006527E4">
      <w:pPr>
        <w:pStyle w:val="SingleTxtGC"/>
        <w:tabs>
          <w:tab w:val="clear" w:pos="1565"/>
          <w:tab w:val="clear" w:pos="1996"/>
          <w:tab w:val="clear" w:pos="2427"/>
        </w:tabs>
      </w:pPr>
      <w:r>
        <w:rPr>
          <w:rFonts w:hint="eastAsia"/>
        </w:rPr>
        <w:t>137.</w:t>
      </w:r>
      <w:r>
        <w:rPr>
          <w:rFonts w:hint="eastAsia"/>
        </w:rPr>
        <w:tab/>
      </w:r>
      <w:r>
        <w:rPr>
          <w:rFonts w:hint="eastAsia"/>
        </w:rPr>
        <w:t>按当前价格计算，奥兰</w:t>
      </w:r>
      <w:r>
        <w:rPr>
          <w:rFonts w:hint="eastAsia"/>
        </w:rPr>
        <w:t>2016</w:t>
      </w:r>
      <w:r>
        <w:rPr>
          <w:rFonts w:hint="eastAsia"/>
        </w:rPr>
        <w:t>年的本地生产总值约为</w:t>
      </w:r>
      <w:r>
        <w:rPr>
          <w:rFonts w:hint="eastAsia"/>
        </w:rPr>
        <w:t>13</w:t>
      </w:r>
      <w:r>
        <w:rPr>
          <w:rFonts w:hint="eastAsia"/>
        </w:rPr>
        <w:t>亿欧元，人均约达到</w:t>
      </w:r>
      <w:r>
        <w:rPr>
          <w:rFonts w:hint="eastAsia"/>
        </w:rPr>
        <w:t>43,800</w:t>
      </w:r>
      <w:r>
        <w:rPr>
          <w:rFonts w:hint="eastAsia"/>
        </w:rPr>
        <w:t>欧元。</w:t>
      </w:r>
      <w:r>
        <w:rPr>
          <w:rFonts w:hint="eastAsia"/>
        </w:rPr>
        <w:t>2016</w:t>
      </w:r>
      <w:r>
        <w:rPr>
          <w:rFonts w:hint="eastAsia"/>
        </w:rPr>
        <w:t>年，航运业约占奥</w:t>
      </w:r>
      <w:proofErr w:type="gramStart"/>
      <w:r>
        <w:rPr>
          <w:rFonts w:hint="eastAsia"/>
        </w:rPr>
        <w:t>兰本</w:t>
      </w:r>
      <w:proofErr w:type="gramEnd"/>
      <w:r>
        <w:rPr>
          <w:rFonts w:hint="eastAsia"/>
        </w:rPr>
        <w:t>地生产总值的</w:t>
      </w:r>
      <w:r>
        <w:rPr>
          <w:rFonts w:hint="eastAsia"/>
        </w:rPr>
        <w:t>20%</w:t>
      </w:r>
      <w:r>
        <w:rPr>
          <w:rFonts w:hint="eastAsia"/>
        </w:rPr>
        <w:t>和就业的</w:t>
      </w:r>
      <w:r>
        <w:rPr>
          <w:rFonts w:hint="eastAsia"/>
        </w:rPr>
        <w:t>6%</w:t>
      </w:r>
      <w:r>
        <w:rPr>
          <w:rFonts w:hint="eastAsia"/>
        </w:rPr>
        <w:t>以上，而所有旅游业约占本地生产总值的</w:t>
      </w:r>
      <w:r>
        <w:rPr>
          <w:rFonts w:hint="eastAsia"/>
        </w:rPr>
        <w:t>19%</w:t>
      </w:r>
      <w:r>
        <w:rPr>
          <w:rFonts w:hint="eastAsia"/>
        </w:rPr>
        <w:t>。</w:t>
      </w:r>
    </w:p>
    <w:p w:rsidR="00537A98" w:rsidRDefault="00537A98" w:rsidP="006527E4">
      <w:pPr>
        <w:pStyle w:val="H23GC"/>
      </w:pPr>
      <w:r>
        <w:rPr>
          <w:rFonts w:hint="eastAsia"/>
        </w:rPr>
        <w:tab/>
        <w:t>(h)</w:t>
      </w:r>
      <w:r>
        <w:rPr>
          <w:rFonts w:hint="eastAsia"/>
        </w:rPr>
        <w:tab/>
      </w:r>
      <w:r>
        <w:rPr>
          <w:rFonts w:hint="eastAsia"/>
        </w:rPr>
        <w:t>市镇自治</w:t>
      </w:r>
    </w:p>
    <w:p w:rsidR="00537A98" w:rsidRDefault="00537A98" w:rsidP="006527E4">
      <w:pPr>
        <w:pStyle w:val="SingleTxtGC"/>
        <w:tabs>
          <w:tab w:val="clear" w:pos="1565"/>
          <w:tab w:val="clear" w:pos="1996"/>
          <w:tab w:val="clear" w:pos="2427"/>
        </w:tabs>
      </w:pPr>
      <w:r>
        <w:rPr>
          <w:rFonts w:hint="eastAsia"/>
        </w:rPr>
        <w:t>138.</w:t>
      </w:r>
      <w:r>
        <w:rPr>
          <w:rFonts w:hint="eastAsia"/>
        </w:rPr>
        <w:tab/>
      </w:r>
      <w:r>
        <w:rPr>
          <w:rFonts w:hint="eastAsia"/>
        </w:rPr>
        <w:t>根据《芬兰宪法》，市镇当局拥有极大的自治权。上述自治权来自市镇居民的自治。芬兰市镇当局的自治权处在全世界最广泛之列。芬兰于</w:t>
      </w:r>
      <w:r>
        <w:rPr>
          <w:rFonts w:hint="eastAsia"/>
        </w:rPr>
        <w:t>1991</w:t>
      </w:r>
      <w:r>
        <w:rPr>
          <w:rFonts w:hint="eastAsia"/>
        </w:rPr>
        <w:t>年开始执行欧洲委员会的《欧洲地方自治宪章》。该宪章在芬兰有着牢固的地位，被用来支持地方自治。芬兰总共有</w:t>
      </w:r>
      <w:r>
        <w:rPr>
          <w:rFonts w:hint="eastAsia"/>
        </w:rPr>
        <w:t>310</w:t>
      </w:r>
      <w:r>
        <w:rPr>
          <w:rFonts w:hint="eastAsia"/>
        </w:rPr>
        <w:t>个市镇，其中有</w:t>
      </w:r>
      <w:r>
        <w:rPr>
          <w:rFonts w:hint="eastAsia"/>
        </w:rPr>
        <w:t>107</w:t>
      </w:r>
      <w:r>
        <w:rPr>
          <w:rFonts w:hint="eastAsia"/>
        </w:rPr>
        <w:t>个自称为城市，有</w:t>
      </w:r>
      <w:r>
        <w:rPr>
          <w:rFonts w:hint="eastAsia"/>
        </w:rPr>
        <w:t>203</w:t>
      </w:r>
      <w:r>
        <w:rPr>
          <w:rFonts w:hint="eastAsia"/>
        </w:rPr>
        <w:t>个自称为市镇。地方政府的一般基础以及赋予市镇的职责和义务由一部法律予以规定。市镇自治涵盖一般领域、组织自由、中央政府不干涉市镇决策，以及以适当财政资源保障市镇履行法定职责的原则。</w:t>
      </w:r>
    </w:p>
    <w:p w:rsidR="00537A98" w:rsidRDefault="00537A98" w:rsidP="006527E4">
      <w:pPr>
        <w:pStyle w:val="SingleTxtGC"/>
        <w:tabs>
          <w:tab w:val="clear" w:pos="1565"/>
          <w:tab w:val="clear" w:pos="1996"/>
          <w:tab w:val="clear" w:pos="2427"/>
        </w:tabs>
      </w:pPr>
      <w:r>
        <w:rPr>
          <w:rFonts w:hint="eastAsia"/>
        </w:rPr>
        <w:lastRenderedPageBreak/>
        <w:t>139.</w:t>
      </w:r>
      <w:r>
        <w:rPr>
          <w:rFonts w:hint="eastAsia"/>
        </w:rPr>
        <w:tab/>
      </w:r>
      <w:r>
        <w:rPr>
          <w:rFonts w:hint="eastAsia"/>
        </w:rPr>
        <w:t>市镇的决策权由本地的委员会行使。市镇委员会在其制定的市镇战略中决定市镇活动和财政方面的长期目标。本地委员会的委员和副委员在每四年举行一次的市镇选举当中选举产生。市镇居民和市镇服务的用户有权参与市镇活动并施加影响。本地委员会须提供多样且切实的参与机会。市镇居民以及设在市镇当中的公司和基金会有权在涉及市镇活动的事务中提交倡议。</w:t>
      </w:r>
      <w:r>
        <w:rPr>
          <w:rFonts w:hint="eastAsia"/>
        </w:rPr>
        <w:t>2015</w:t>
      </w:r>
      <w:r>
        <w:rPr>
          <w:rFonts w:hint="eastAsia"/>
        </w:rPr>
        <w:t>年对《地方政府法》所作修订作为新的公民参与必设机构，推出了老年人委员会、残疾人委员会和青年人委员会。</w:t>
      </w:r>
    </w:p>
    <w:p w:rsidR="00537A98" w:rsidRDefault="00537A98" w:rsidP="006527E4">
      <w:pPr>
        <w:pStyle w:val="SingleTxtGC"/>
        <w:tabs>
          <w:tab w:val="clear" w:pos="1565"/>
          <w:tab w:val="clear" w:pos="1996"/>
          <w:tab w:val="clear" w:pos="2427"/>
        </w:tabs>
      </w:pPr>
      <w:r>
        <w:rPr>
          <w:rFonts w:hint="eastAsia"/>
        </w:rPr>
        <w:t>140.</w:t>
      </w:r>
      <w:r>
        <w:rPr>
          <w:rFonts w:hint="eastAsia"/>
        </w:rPr>
        <w:tab/>
      </w:r>
      <w:r>
        <w:rPr>
          <w:rFonts w:hint="eastAsia"/>
        </w:rPr>
        <w:t>一般来说，市镇当局负责为其居民组织社会和医疗保健服务。市镇当局有义务为所有义务教育年龄居民组织基础教育。此外，市镇当局还要负责广泛的教育和文化服务、体育和运动服务、绿地和道路基础设施，以及消防和救援服务。</w:t>
      </w:r>
    </w:p>
    <w:p w:rsidR="00537A98" w:rsidRDefault="00537A98" w:rsidP="006527E4">
      <w:pPr>
        <w:pStyle w:val="SingleTxtGC"/>
        <w:tabs>
          <w:tab w:val="clear" w:pos="1565"/>
          <w:tab w:val="clear" w:pos="1996"/>
          <w:tab w:val="clear" w:pos="2427"/>
        </w:tabs>
      </w:pPr>
      <w:r>
        <w:rPr>
          <w:rFonts w:hint="eastAsia"/>
        </w:rPr>
        <w:t>141.</w:t>
      </w:r>
      <w:r>
        <w:rPr>
          <w:rFonts w:hint="eastAsia"/>
        </w:rPr>
        <w:tab/>
      </w:r>
      <w:r>
        <w:rPr>
          <w:rFonts w:hint="eastAsia"/>
        </w:rPr>
        <w:t>《芬兰宪法》保障市镇当局征税的权利。税收收入来自所得税以及公司税和房地产税。所得税税率可由市镇当局自行确定。</w:t>
      </w:r>
      <w:r>
        <w:rPr>
          <w:rFonts w:hint="eastAsia"/>
        </w:rPr>
        <w:t>2018</w:t>
      </w:r>
      <w:r>
        <w:rPr>
          <w:rFonts w:hint="eastAsia"/>
        </w:rPr>
        <w:t>年，税收收入约占所有收入的</w:t>
      </w:r>
      <w:r>
        <w:rPr>
          <w:rFonts w:hint="eastAsia"/>
        </w:rPr>
        <w:t>58%</w:t>
      </w:r>
      <w:r>
        <w:rPr>
          <w:rFonts w:hint="eastAsia"/>
        </w:rPr>
        <w:t>。市镇当局通过单独和与他方合作开展活动并通过市镇公司获得营运收入。市镇当局还会收到中央政府向地方政府的转拨款项。中央政府向地方政府转拨款项的</w:t>
      </w:r>
      <w:proofErr w:type="gramStart"/>
      <w:r>
        <w:rPr>
          <w:rFonts w:hint="eastAsia"/>
        </w:rPr>
        <w:t>一</w:t>
      </w:r>
      <w:proofErr w:type="gramEnd"/>
      <w:r>
        <w:rPr>
          <w:rFonts w:hint="eastAsia"/>
        </w:rPr>
        <w:t>大要因是均等计划，目的在于为国内部分地区组织服务提供支持。上述地区因人口结构或发病率等原因，服务需求可能高于其他地区。中央政府的转拨款</w:t>
      </w:r>
      <w:proofErr w:type="gramStart"/>
      <w:r>
        <w:rPr>
          <w:rFonts w:hint="eastAsia"/>
        </w:rPr>
        <w:t>项平均</w:t>
      </w:r>
      <w:proofErr w:type="gramEnd"/>
      <w:r>
        <w:rPr>
          <w:rFonts w:hint="eastAsia"/>
        </w:rPr>
        <w:t>占市镇收入基础的</w:t>
      </w:r>
      <w:r>
        <w:rPr>
          <w:rFonts w:hint="eastAsia"/>
        </w:rPr>
        <w:t>22%</w:t>
      </w:r>
      <w:r>
        <w:rPr>
          <w:rFonts w:hint="eastAsia"/>
        </w:rPr>
        <w:t>。除拥有稳固的收入基础外，市镇当局可从金融市场借贷，为其投资活动供资。市镇当局须按照《地方政府法》</w:t>
      </w:r>
      <w:r>
        <w:rPr>
          <w:rFonts w:hint="eastAsia"/>
        </w:rPr>
        <w:t>(410/2015)</w:t>
      </w:r>
      <w:r>
        <w:rPr>
          <w:rFonts w:hint="eastAsia"/>
        </w:rPr>
        <w:t>的规定平衡其财政。</w:t>
      </w:r>
    </w:p>
    <w:p w:rsidR="00537A98" w:rsidRDefault="00537A98" w:rsidP="006527E4">
      <w:pPr>
        <w:pStyle w:val="SingleTxtGC"/>
        <w:tabs>
          <w:tab w:val="clear" w:pos="1565"/>
          <w:tab w:val="clear" w:pos="1996"/>
          <w:tab w:val="clear" w:pos="2427"/>
        </w:tabs>
      </w:pPr>
      <w:r>
        <w:rPr>
          <w:rFonts w:hint="eastAsia"/>
        </w:rPr>
        <w:t>142.</w:t>
      </w:r>
      <w:r>
        <w:rPr>
          <w:rFonts w:hint="eastAsia"/>
        </w:rPr>
        <w:tab/>
      </w:r>
      <w:r>
        <w:rPr>
          <w:rFonts w:hint="eastAsia"/>
        </w:rPr>
        <w:t>近年来，市镇当局在促进人口的健康和福祉以及维护并加强人口、经济和运营活力方面的重要性有所增强。</w:t>
      </w:r>
    </w:p>
    <w:p w:rsidR="00537A98" w:rsidRDefault="00537A98" w:rsidP="00041F03">
      <w:pPr>
        <w:pStyle w:val="H23GC"/>
      </w:pPr>
      <w:r>
        <w:rPr>
          <w:rFonts w:hint="eastAsia"/>
        </w:rPr>
        <w:tab/>
        <w:t>(</w:t>
      </w:r>
      <w:proofErr w:type="spellStart"/>
      <w:r>
        <w:rPr>
          <w:rFonts w:hint="eastAsia"/>
        </w:rPr>
        <w:t>i</w:t>
      </w:r>
      <w:proofErr w:type="spellEnd"/>
      <w:r>
        <w:rPr>
          <w:rFonts w:hint="eastAsia"/>
        </w:rPr>
        <w:t>)</w:t>
      </w:r>
      <w:r>
        <w:rPr>
          <w:rFonts w:hint="eastAsia"/>
        </w:rPr>
        <w:tab/>
      </w:r>
      <w:r>
        <w:rPr>
          <w:rFonts w:hint="eastAsia"/>
        </w:rPr>
        <w:t>萨米家园</w:t>
      </w:r>
    </w:p>
    <w:p w:rsidR="00537A98" w:rsidRDefault="00537A98" w:rsidP="006527E4">
      <w:pPr>
        <w:pStyle w:val="SingleTxtGC"/>
        <w:tabs>
          <w:tab w:val="clear" w:pos="1565"/>
          <w:tab w:val="clear" w:pos="1996"/>
          <w:tab w:val="clear" w:pos="2427"/>
        </w:tabs>
      </w:pPr>
      <w:r>
        <w:rPr>
          <w:rFonts w:hint="eastAsia"/>
        </w:rPr>
        <w:t>143.</w:t>
      </w:r>
      <w:r>
        <w:rPr>
          <w:rFonts w:hint="eastAsia"/>
        </w:rPr>
        <w:tab/>
      </w:r>
      <w:r>
        <w:rPr>
          <w:rFonts w:hint="eastAsia"/>
        </w:rPr>
        <w:t>《萨米议会法》第</w:t>
      </w:r>
      <w:r>
        <w:rPr>
          <w:rFonts w:hint="eastAsia"/>
        </w:rPr>
        <w:t>4</w:t>
      </w:r>
      <w:r>
        <w:rPr>
          <w:rFonts w:hint="eastAsia"/>
        </w:rPr>
        <w:t>条界定了萨米人的原住区域，即萨米家园。其范围涵盖埃农泰基厄、伊纳里和乌茨约基等市镇版图，以及苏丹屈莱境内的拉普兰</w:t>
      </w:r>
      <w:proofErr w:type="gramStart"/>
      <w:r>
        <w:rPr>
          <w:rFonts w:hint="eastAsia"/>
        </w:rPr>
        <w:t>驯鹿主</w:t>
      </w:r>
      <w:proofErr w:type="gramEnd"/>
      <w:r>
        <w:rPr>
          <w:rFonts w:hint="eastAsia"/>
        </w:rPr>
        <w:t>协会地区。根据《芬兰宪法》第</w:t>
      </w:r>
      <w:r>
        <w:rPr>
          <w:rFonts w:hint="eastAsia"/>
        </w:rPr>
        <w:t>121</w:t>
      </w:r>
      <w:r>
        <w:rPr>
          <w:rFonts w:hint="eastAsia"/>
        </w:rPr>
        <w:t>条第</w:t>
      </w:r>
      <w:r>
        <w:rPr>
          <w:rFonts w:hint="eastAsia"/>
        </w:rPr>
        <w:t>4</w:t>
      </w:r>
      <w:r>
        <w:rPr>
          <w:rFonts w:hint="eastAsia"/>
        </w:rPr>
        <w:t>款，萨米人在其原住区域内享有按照某部法律的规定实行语言和文化自治的保障。</w:t>
      </w:r>
    </w:p>
    <w:p w:rsidR="00537A98" w:rsidRDefault="00537A98" w:rsidP="006527E4">
      <w:pPr>
        <w:pStyle w:val="SingleTxtGC"/>
        <w:tabs>
          <w:tab w:val="clear" w:pos="1565"/>
          <w:tab w:val="clear" w:pos="1996"/>
          <w:tab w:val="clear" w:pos="2427"/>
        </w:tabs>
      </w:pPr>
      <w:r>
        <w:rPr>
          <w:rFonts w:hint="eastAsia"/>
        </w:rPr>
        <w:t>144.</w:t>
      </w:r>
      <w:r>
        <w:rPr>
          <w:rFonts w:hint="eastAsia"/>
        </w:rPr>
        <w:tab/>
      </w:r>
      <w:r>
        <w:rPr>
          <w:rFonts w:hint="eastAsia"/>
        </w:rPr>
        <w:t>《斯科尔特法》专门界定了斯科尔特区域，其中第</w:t>
      </w:r>
      <w:r>
        <w:rPr>
          <w:rFonts w:hint="eastAsia"/>
        </w:rPr>
        <w:t>2</w:t>
      </w:r>
      <w:r>
        <w:rPr>
          <w:rFonts w:hint="eastAsia"/>
        </w:rPr>
        <w:t>条就此</w:t>
      </w:r>
      <w:proofErr w:type="gramStart"/>
      <w:r>
        <w:rPr>
          <w:rFonts w:hint="eastAsia"/>
        </w:rPr>
        <w:t>作出</w:t>
      </w:r>
      <w:proofErr w:type="gramEnd"/>
      <w:r>
        <w:rPr>
          <w:rFonts w:hint="eastAsia"/>
        </w:rPr>
        <w:t>了详细说明。在斯科尔特区域内，斯科尔特</w:t>
      </w:r>
      <w:proofErr w:type="gramStart"/>
      <w:r>
        <w:rPr>
          <w:rFonts w:hint="eastAsia"/>
        </w:rPr>
        <w:t>萨</w:t>
      </w:r>
      <w:proofErr w:type="gramEnd"/>
      <w:r>
        <w:rPr>
          <w:rFonts w:hint="eastAsia"/>
        </w:rPr>
        <w:t>米人在从事传统贸易和</w:t>
      </w:r>
      <w:proofErr w:type="gramStart"/>
      <w:r>
        <w:rPr>
          <w:rFonts w:hint="eastAsia"/>
        </w:rPr>
        <w:t>践行</w:t>
      </w:r>
      <w:proofErr w:type="gramEnd"/>
      <w:r>
        <w:rPr>
          <w:rFonts w:hint="eastAsia"/>
        </w:rPr>
        <w:t>更广泛的萨米文化方面享有特定权利。</w:t>
      </w:r>
    </w:p>
    <w:p w:rsidR="00537A98" w:rsidRDefault="00537A98" w:rsidP="00041F03">
      <w:pPr>
        <w:pStyle w:val="H23GC"/>
      </w:pPr>
      <w:r>
        <w:rPr>
          <w:rFonts w:hint="eastAsia"/>
        </w:rPr>
        <w:tab/>
        <w:t>(j)</w:t>
      </w:r>
      <w:r>
        <w:rPr>
          <w:rFonts w:hint="eastAsia"/>
        </w:rPr>
        <w:tab/>
      </w:r>
      <w:r>
        <w:rPr>
          <w:rFonts w:hint="eastAsia"/>
        </w:rPr>
        <w:t>委员会</w:t>
      </w:r>
    </w:p>
    <w:p w:rsidR="00537A98" w:rsidRDefault="00537A98" w:rsidP="00041F03">
      <w:pPr>
        <w:pStyle w:val="H23GC"/>
      </w:pPr>
      <w:r>
        <w:rPr>
          <w:rFonts w:hint="eastAsia"/>
        </w:rPr>
        <w:tab/>
      </w:r>
      <w:r>
        <w:rPr>
          <w:rFonts w:hint="eastAsia"/>
        </w:rPr>
        <w:tab/>
      </w:r>
      <w:r>
        <w:rPr>
          <w:rFonts w:hint="eastAsia"/>
        </w:rPr>
        <w:t>民族关系咨询委员会</w:t>
      </w:r>
    </w:p>
    <w:p w:rsidR="00537A98" w:rsidRDefault="00537A98" w:rsidP="006527E4">
      <w:pPr>
        <w:pStyle w:val="SingleTxtGC"/>
        <w:tabs>
          <w:tab w:val="clear" w:pos="1565"/>
          <w:tab w:val="clear" w:pos="1996"/>
          <w:tab w:val="clear" w:pos="2427"/>
        </w:tabs>
      </w:pPr>
      <w:r>
        <w:rPr>
          <w:rFonts w:hint="eastAsia"/>
        </w:rPr>
        <w:t>145.</w:t>
      </w:r>
      <w:r>
        <w:rPr>
          <w:rFonts w:hint="eastAsia"/>
        </w:rPr>
        <w:tab/>
      </w:r>
      <w:r>
        <w:rPr>
          <w:rFonts w:hint="eastAsia"/>
        </w:rPr>
        <w:t>芬兰政府将于今年春天任命第七届</w:t>
      </w:r>
      <w:r>
        <w:rPr>
          <w:rFonts w:hint="eastAsia"/>
        </w:rPr>
        <w:t>(2020-2024</w:t>
      </w:r>
      <w:r>
        <w:rPr>
          <w:rFonts w:hint="eastAsia"/>
        </w:rPr>
        <w:t>年</w:t>
      </w:r>
      <w:r>
        <w:rPr>
          <w:rFonts w:hint="eastAsia"/>
        </w:rPr>
        <w:t>)</w:t>
      </w:r>
      <w:r>
        <w:rPr>
          <w:rFonts w:hint="eastAsia"/>
        </w:rPr>
        <w:t>任期四年的民族关系咨询委员会。该咨询委员会在司法部支持下工作，与移民，族裔、文化和宗教少数群体，公权机关，政治党派以及民间社会组织开展对话。合作与讨论的目的在于建立信任并建设开放的芬兰。该委员会汇集了来自全国、区域和地方各级的从公职人员到民间社会代表的移民问题专家，并形成了一个促进不同人口群体之间开展对话的移民、融合和平等问题专家网络。除全国性的咨询委员会外，还有七个区域性的民族关系咨询委员会。</w:t>
      </w:r>
    </w:p>
    <w:p w:rsidR="00537A98" w:rsidRDefault="00537A98" w:rsidP="000069D3">
      <w:pPr>
        <w:pStyle w:val="H23GC"/>
      </w:pPr>
      <w:r>
        <w:rPr>
          <w:rFonts w:hint="eastAsia"/>
        </w:rPr>
        <w:lastRenderedPageBreak/>
        <w:tab/>
      </w:r>
      <w:r>
        <w:rPr>
          <w:rFonts w:hint="eastAsia"/>
        </w:rPr>
        <w:tab/>
      </w:r>
      <w:r>
        <w:rPr>
          <w:rFonts w:hint="eastAsia"/>
        </w:rPr>
        <w:t>语言事务咨询委员会</w:t>
      </w:r>
    </w:p>
    <w:p w:rsidR="00537A98" w:rsidRDefault="00537A98" w:rsidP="006527E4">
      <w:pPr>
        <w:pStyle w:val="SingleTxtGC"/>
        <w:tabs>
          <w:tab w:val="clear" w:pos="1565"/>
          <w:tab w:val="clear" w:pos="1996"/>
          <w:tab w:val="clear" w:pos="2427"/>
        </w:tabs>
      </w:pPr>
      <w:r>
        <w:rPr>
          <w:rFonts w:hint="eastAsia"/>
        </w:rPr>
        <w:t>146.</w:t>
      </w:r>
      <w:r>
        <w:rPr>
          <w:rFonts w:hint="eastAsia"/>
        </w:rPr>
        <w:tab/>
      </w:r>
      <w:r>
        <w:rPr>
          <w:rFonts w:hint="eastAsia"/>
        </w:rPr>
        <w:t>《关于实施〈语言法〉的政府令》</w:t>
      </w:r>
      <w:r>
        <w:rPr>
          <w:rFonts w:hint="eastAsia"/>
        </w:rPr>
        <w:t>(433/2004)</w:t>
      </w:r>
      <w:r>
        <w:rPr>
          <w:rFonts w:hint="eastAsia"/>
        </w:rPr>
        <w:t>就语言事务咨询委员会</w:t>
      </w:r>
      <w:proofErr w:type="gramStart"/>
      <w:r>
        <w:rPr>
          <w:rFonts w:hint="eastAsia"/>
        </w:rPr>
        <w:t>作出</w:t>
      </w:r>
      <w:proofErr w:type="gramEnd"/>
      <w:r>
        <w:rPr>
          <w:rFonts w:hint="eastAsia"/>
        </w:rPr>
        <w:t>了规定。该委员会是一个专家机构，协同司法部运营，代表着社会不同群体。该委员会的任务是监督《语言法》及相关法律的实施和适用以及语言条件的发展。该咨询委员会由政府任命，一届任期四年。该委员会本届任期自</w:t>
      </w:r>
      <w:r>
        <w:rPr>
          <w:rFonts w:hint="eastAsia"/>
        </w:rPr>
        <w:t>2016</w:t>
      </w:r>
      <w:r>
        <w:rPr>
          <w:rFonts w:hint="eastAsia"/>
        </w:rPr>
        <w:t>年</w:t>
      </w:r>
      <w:r>
        <w:rPr>
          <w:rFonts w:hint="eastAsia"/>
        </w:rPr>
        <w:t>4</w:t>
      </w:r>
      <w:r>
        <w:rPr>
          <w:rFonts w:hint="eastAsia"/>
        </w:rPr>
        <w:t>月</w:t>
      </w:r>
      <w:r>
        <w:rPr>
          <w:rFonts w:hint="eastAsia"/>
        </w:rPr>
        <w:t>1</w:t>
      </w:r>
      <w:r>
        <w:rPr>
          <w:rFonts w:hint="eastAsia"/>
        </w:rPr>
        <w:t>日始，至</w:t>
      </w:r>
      <w:r>
        <w:rPr>
          <w:rFonts w:hint="eastAsia"/>
        </w:rPr>
        <w:t>2020</w:t>
      </w:r>
      <w:r>
        <w:rPr>
          <w:rFonts w:hint="eastAsia"/>
        </w:rPr>
        <w:t>年</w:t>
      </w:r>
      <w:r>
        <w:rPr>
          <w:rFonts w:hint="eastAsia"/>
        </w:rPr>
        <w:t>3</w:t>
      </w:r>
      <w:r>
        <w:rPr>
          <w:rFonts w:hint="eastAsia"/>
        </w:rPr>
        <w:t>月</w:t>
      </w:r>
      <w:r>
        <w:rPr>
          <w:rFonts w:hint="eastAsia"/>
        </w:rPr>
        <w:t>31</w:t>
      </w:r>
      <w:r>
        <w:rPr>
          <w:rFonts w:hint="eastAsia"/>
        </w:rPr>
        <w:t>日终。</w:t>
      </w:r>
    </w:p>
    <w:p w:rsidR="00537A98" w:rsidRDefault="00537A98" w:rsidP="006527E4">
      <w:pPr>
        <w:pStyle w:val="SingleTxtGC"/>
        <w:tabs>
          <w:tab w:val="clear" w:pos="1565"/>
          <w:tab w:val="clear" w:pos="1996"/>
          <w:tab w:val="clear" w:pos="2427"/>
        </w:tabs>
      </w:pPr>
      <w:r>
        <w:rPr>
          <w:rFonts w:hint="eastAsia"/>
        </w:rPr>
        <w:t>147.</w:t>
      </w:r>
      <w:r>
        <w:rPr>
          <w:rFonts w:hint="eastAsia"/>
        </w:rPr>
        <w:tab/>
      </w:r>
      <w:r>
        <w:rPr>
          <w:rFonts w:hint="eastAsia"/>
        </w:rPr>
        <w:t>该咨询委员会职责如下：</w:t>
      </w:r>
    </w:p>
    <w:p w:rsidR="00537A98" w:rsidRDefault="00537A98" w:rsidP="000069D3">
      <w:pPr>
        <w:pStyle w:val="Bullet1GC"/>
      </w:pPr>
      <w:r>
        <w:rPr>
          <w:rFonts w:hint="eastAsia"/>
        </w:rPr>
        <w:t>就语言事务组织年度磋商会议，以推动政府与各语言群体之间开展对话；</w:t>
      </w:r>
    </w:p>
    <w:p w:rsidR="00537A98" w:rsidRDefault="00537A98" w:rsidP="000069D3">
      <w:pPr>
        <w:pStyle w:val="Bullet1GC"/>
      </w:pPr>
      <w:r>
        <w:rPr>
          <w:rFonts w:hint="eastAsia"/>
        </w:rPr>
        <w:t>协助司法部编写拟予提交议会的语言相关法律施行情况政府报告；</w:t>
      </w:r>
    </w:p>
    <w:p w:rsidR="00537A98" w:rsidRDefault="00537A98" w:rsidP="000069D3">
      <w:pPr>
        <w:pStyle w:val="Bullet1GC"/>
      </w:pPr>
      <w:r>
        <w:rPr>
          <w:rFonts w:hint="eastAsia"/>
        </w:rPr>
        <w:t>对影响语言条件和语言权利落实的改革进行监督。</w:t>
      </w:r>
    </w:p>
    <w:p w:rsidR="00537A98" w:rsidRDefault="00537A98" w:rsidP="000069D3">
      <w:pPr>
        <w:pStyle w:val="H23GC"/>
      </w:pPr>
      <w:r>
        <w:rPr>
          <w:rFonts w:hint="eastAsia"/>
        </w:rPr>
        <w:tab/>
      </w:r>
      <w:r>
        <w:rPr>
          <w:rFonts w:hint="eastAsia"/>
        </w:rPr>
        <w:tab/>
      </w:r>
      <w:r>
        <w:rPr>
          <w:rFonts w:hint="eastAsia"/>
        </w:rPr>
        <w:t>不歧视和平等委员会</w:t>
      </w:r>
    </w:p>
    <w:p w:rsidR="00537A98" w:rsidRDefault="00537A98" w:rsidP="006527E4">
      <w:pPr>
        <w:pStyle w:val="SingleTxtGC"/>
        <w:tabs>
          <w:tab w:val="clear" w:pos="1565"/>
          <w:tab w:val="clear" w:pos="1996"/>
          <w:tab w:val="clear" w:pos="2427"/>
        </w:tabs>
      </w:pPr>
      <w:r>
        <w:rPr>
          <w:rFonts w:hint="eastAsia"/>
        </w:rPr>
        <w:t>148.</w:t>
      </w:r>
      <w:r>
        <w:rPr>
          <w:rFonts w:hint="eastAsia"/>
        </w:rPr>
        <w:tab/>
      </w:r>
      <w:r>
        <w:rPr>
          <w:rFonts w:hint="eastAsia"/>
        </w:rPr>
        <w:t>不歧视和平等委员会是一个自主、独立的机构，协同不歧视问题监察员办公室运营，并为监察员提供支持，而监察员同时也主持该委员会并规划该委员会的活动。该委员会由政府任命，一届任期三年。第一届不歧视和平等委员会于</w:t>
      </w:r>
      <w:r>
        <w:rPr>
          <w:rFonts w:hint="eastAsia"/>
        </w:rPr>
        <w:t>2016</w:t>
      </w:r>
      <w:r>
        <w:rPr>
          <w:rFonts w:hint="eastAsia"/>
        </w:rPr>
        <w:t>年</w:t>
      </w:r>
      <w:r>
        <w:rPr>
          <w:rFonts w:hint="eastAsia"/>
        </w:rPr>
        <w:t>10</w:t>
      </w:r>
      <w:r>
        <w:rPr>
          <w:rFonts w:hint="eastAsia"/>
        </w:rPr>
        <w:t>月</w:t>
      </w:r>
      <w:r>
        <w:rPr>
          <w:rFonts w:hint="eastAsia"/>
        </w:rPr>
        <w:t>15</w:t>
      </w:r>
      <w:r>
        <w:rPr>
          <w:rFonts w:hint="eastAsia"/>
        </w:rPr>
        <w:t>日开始活动。该委员会的成员包括对于防止歧视具有关键作用的民间社会行为体和主管部门。</w:t>
      </w:r>
    </w:p>
    <w:p w:rsidR="00537A98" w:rsidRDefault="00537A98" w:rsidP="006527E4">
      <w:pPr>
        <w:pStyle w:val="SingleTxtGC"/>
        <w:tabs>
          <w:tab w:val="clear" w:pos="1565"/>
          <w:tab w:val="clear" w:pos="1996"/>
          <w:tab w:val="clear" w:pos="2427"/>
        </w:tabs>
      </w:pPr>
      <w:r>
        <w:rPr>
          <w:rFonts w:hint="eastAsia"/>
        </w:rPr>
        <w:t>149.</w:t>
      </w:r>
      <w:r>
        <w:rPr>
          <w:rFonts w:hint="eastAsia"/>
        </w:rPr>
        <w:tab/>
      </w:r>
      <w:r>
        <w:rPr>
          <w:rFonts w:hint="eastAsia"/>
        </w:rPr>
        <w:t>该委员会的任务是：从总体上促进不歧视和平等；充当对预防歧视具有关键作用的各行为体和主管部门之间开展对话和分享信息的渠道；考虑与不歧视和平等有关的问题。该委员会的活动旨在通过更好地就不歧视和平等相关时事性问题分享信息和进行</w:t>
      </w:r>
      <w:proofErr w:type="gramStart"/>
      <w:r>
        <w:rPr>
          <w:rFonts w:hint="eastAsia"/>
        </w:rPr>
        <w:t>考量</w:t>
      </w:r>
      <w:proofErr w:type="gramEnd"/>
      <w:r>
        <w:rPr>
          <w:rFonts w:hint="eastAsia"/>
        </w:rPr>
        <w:t>，加强不歧视问题监察员的能力。该委员会还为在预防歧视方面具有关键作用的民间社会行为体阐明自己的意见和结论提供了一条途径。该委员会的职权范围涵盖基于《不歧视法》</w:t>
      </w:r>
      <w:r>
        <w:rPr>
          <w:rFonts w:hint="eastAsia"/>
        </w:rPr>
        <w:t>(1325/2014)</w:t>
      </w:r>
      <w:r>
        <w:rPr>
          <w:rFonts w:hint="eastAsia"/>
        </w:rPr>
        <w:t>提及的任何和所有歧视理由的歧视。基于性和性别认同的歧视属于性别平等委员会的职权范围。</w:t>
      </w:r>
    </w:p>
    <w:p w:rsidR="00537A98" w:rsidRDefault="00537A98" w:rsidP="000069D3">
      <w:pPr>
        <w:pStyle w:val="H23GC"/>
      </w:pPr>
      <w:r>
        <w:rPr>
          <w:rFonts w:hint="eastAsia"/>
        </w:rPr>
        <w:tab/>
      </w:r>
      <w:r>
        <w:rPr>
          <w:rFonts w:hint="eastAsia"/>
        </w:rPr>
        <w:tab/>
      </w:r>
      <w:r>
        <w:rPr>
          <w:rFonts w:hint="eastAsia"/>
        </w:rPr>
        <w:t>性别平等委员会</w:t>
      </w:r>
    </w:p>
    <w:p w:rsidR="00537A98" w:rsidRDefault="00537A98" w:rsidP="006527E4">
      <w:pPr>
        <w:pStyle w:val="SingleTxtGC"/>
        <w:tabs>
          <w:tab w:val="clear" w:pos="1565"/>
          <w:tab w:val="clear" w:pos="1996"/>
          <w:tab w:val="clear" w:pos="2427"/>
        </w:tabs>
      </w:pPr>
      <w:r>
        <w:rPr>
          <w:rFonts w:hint="eastAsia"/>
        </w:rPr>
        <w:t>150.</w:t>
      </w:r>
      <w:r>
        <w:rPr>
          <w:rFonts w:hint="eastAsia"/>
        </w:rPr>
        <w:tab/>
      </w:r>
      <w:r>
        <w:rPr>
          <w:rFonts w:hint="eastAsia"/>
        </w:rPr>
        <w:t>性别平等委员会是由政府为议会任期任命的一个议会委员会。该委员会以顾问身份为中央政府服务。该委员会的委员由在议会当中有代表的政党提名，而其顾问委员则由民间社会组织提名。该委员会协同社会事务与卫生部运转，设有秘书长、规划干事和部门秘书。</w:t>
      </w:r>
    </w:p>
    <w:p w:rsidR="00537A98" w:rsidRDefault="00537A98" w:rsidP="006527E4">
      <w:pPr>
        <w:pStyle w:val="SingleTxtGC"/>
        <w:tabs>
          <w:tab w:val="clear" w:pos="1565"/>
          <w:tab w:val="clear" w:pos="1996"/>
          <w:tab w:val="clear" w:pos="2427"/>
        </w:tabs>
      </w:pPr>
      <w:r>
        <w:rPr>
          <w:rFonts w:hint="eastAsia"/>
        </w:rPr>
        <w:t>151.</w:t>
      </w:r>
      <w:r>
        <w:rPr>
          <w:rFonts w:hint="eastAsia"/>
        </w:rPr>
        <w:tab/>
      </w:r>
      <w:r>
        <w:rPr>
          <w:rFonts w:hint="eastAsia"/>
        </w:rPr>
        <w:t>该委员会起草倡议和提案并提供表述，以制定影响性别平等的法律及其他措施。该委员会还与各主管部门、民间社会组织及其他机构协作，推动就性别平等问题开展研究和利用相关研究结果，并监测国际舞台上的性别平等事宜发展动态。</w:t>
      </w:r>
    </w:p>
    <w:p w:rsidR="00537A98" w:rsidRDefault="00537A98" w:rsidP="000069D3">
      <w:pPr>
        <w:pStyle w:val="H23GC"/>
      </w:pPr>
      <w:r>
        <w:rPr>
          <w:rFonts w:hint="eastAsia"/>
        </w:rPr>
        <w:tab/>
      </w:r>
      <w:r>
        <w:rPr>
          <w:rFonts w:hint="eastAsia"/>
        </w:rPr>
        <w:tab/>
      </w:r>
      <w:r>
        <w:rPr>
          <w:rFonts w:hint="eastAsia"/>
        </w:rPr>
        <w:t>国家罗姆人事务咨询委员会</w:t>
      </w:r>
    </w:p>
    <w:p w:rsidR="00537A98" w:rsidRDefault="00537A98" w:rsidP="006527E4">
      <w:pPr>
        <w:pStyle w:val="SingleTxtGC"/>
        <w:tabs>
          <w:tab w:val="clear" w:pos="1565"/>
          <w:tab w:val="clear" w:pos="1996"/>
          <w:tab w:val="clear" w:pos="2427"/>
        </w:tabs>
      </w:pPr>
      <w:r>
        <w:rPr>
          <w:rFonts w:hint="eastAsia"/>
        </w:rPr>
        <w:t>152.</w:t>
      </w:r>
      <w:r>
        <w:rPr>
          <w:rFonts w:hint="eastAsia"/>
        </w:rPr>
        <w:tab/>
      </w:r>
      <w:r>
        <w:rPr>
          <w:rFonts w:hint="eastAsia"/>
        </w:rPr>
        <w:t>国家罗姆人事务咨询委员会协同社会事务与卫生部运转。该委员会设立于</w:t>
      </w:r>
      <w:r>
        <w:rPr>
          <w:rFonts w:hint="eastAsia"/>
        </w:rPr>
        <w:t>1956</w:t>
      </w:r>
      <w:r>
        <w:rPr>
          <w:rFonts w:hint="eastAsia"/>
        </w:rPr>
        <w:t>年，由政府任命，一届任期三年。该委员会由一位主席、一位副主席和最多</w:t>
      </w:r>
      <w:r>
        <w:rPr>
          <w:rFonts w:hint="eastAsia"/>
        </w:rPr>
        <w:t>16</w:t>
      </w:r>
      <w:r>
        <w:rPr>
          <w:rFonts w:hint="eastAsia"/>
        </w:rPr>
        <w:t>位其他成员组成。根据《关于国家罗姆人事务咨询委员会和区域罗姆人事务咨询委员会的法令》第</w:t>
      </w:r>
      <w:r>
        <w:rPr>
          <w:rFonts w:hint="eastAsia"/>
        </w:rPr>
        <w:t>3</w:t>
      </w:r>
      <w:r>
        <w:rPr>
          <w:rFonts w:hint="eastAsia"/>
        </w:rPr>
        <w:t>条第</w:t>
      </w:r>
      <w:r>
        <w:rPr>
          <w:rFonts w:hint="eastAsia"/>
        </w:rPr>
        <w:t>3</w:t>
      </w:r>
      <w:r>
        <w:rPr>
          <w:rFonts w:hint="eastAsia"/>
        </w:rPr>
        <w:t>款，该委员会的主席或副主席</w:t>
      </w:r>
      <w:proofErr w:type="gramStart"/>
      <w:r>
        <w:rPr>
          <w:rFonts w:hint="eastAsia"/>
        </w:rPr>
        <w:t>须代表</w:t>
      </w:r>
      <w:proofErr w:type="gramEnd"/>
      <w:r>
        <w:rPr>
          <w:rFonts w:hint="eastAsia"/>
        </w:rPr>
        <w:t>罗姆人</w:t>
      </w:r>
      <w:r>
        <w:rPr>
          <w:rFonts w:hint="eastAsia"/>
        </w:rPr>
        <w:lastRenderedPageBreak/>
        <w:t>口。该委员会还有半数委员也代表罗姆人口。上述委员由国内最重要的罗姆组织以及区域罗姆人事务咨询委员会提名。其他委员至少要代表社会事务与卫生部、教育文化部、内政部、经济事务与就业部、外交部以及环境部。此外，一位委员可由芬兰地方和区域当局协会提名，一位委员可由芬兰国家教育署提名。该委员会监测罗姆人的社会参与和生活条件方面的发展情况以促进平等，并就罗姆事务向当局提供表述。</w:t>
      </w:r>
    </w:p>
    <w:p w:rsidR="00537A98" w:rsidRDefault="00537A98" w:rsidP="006527E4">
      <w:pPr>
        <w:pStyle w:val="SingleTxtGC"/>
        <w:tabs>
          <w:tab w:val="clear" w:pos="1565"/>
          <w:tab w:val="clear" w:pos="1996"/>
          <w:tab w:val="clear" w:pos="2427"/>
        </w:tabs>
      </w:pPr>
      <w:r>
        <w:rPr>
          <w:rFonts w:hint="eastAsia"/>
        </w:rPr>
        <w:t>153.</w:t>
      </w:r>
      <w:r>
        <w:rPr>
          <w:rFonts w:hint="eastAsia"/>
        </w:rPr>
        <w:tab/>
      </w:r>
      <w:r>
        <w:rPr>
          <w:rFonts w:hint="eastAsia"/>
        </w:rPr>
        <w:t>国家罗姆人事务咨询委员会职责如下：</w:t>
      </w:r>
    </w:p>
    <w:p w:rsidR="00537A98" w:rsidRDefault="00537A98" w:rsidP="000E3060">
      <w:pPr>
        <w:pStyle w:val="Bullet1GC"/>
      </w:pPr>
      <w:r>
        <w:rPr>
          <w:rFonts w:hint="eastAsia"/>
        </w:rPr>
        <w:t>通过采取主动和提出提议，改善罗姆人口的社会和经济地位，并促进其文化和就业；</w:t>
      </w:r>
    </w:p>
    <w:p w:rsidR="00537A98" w:rsidRDefault="00537A98" w:rsidP="000E3060">
      <w:pPr>
        <w:pStyle w:val="Bullet1GC"/>
      </w:pPr>
      <w:r>
        <w:rPr>
          <w:rFonts w:hint="eastAsia"/>
        </w:rPr>
        <w:t>努力消除歧视；</w:t>
      </w:r>
    </w:p>
    <w:p w:rsidR="00537A98" w:rsidRDefault="00537A98" w:rsidP="000E3060">
      <w:pPr>
        <w:pStyle w:val="Bullet1GC"/>
      </w:pPr>
      <w:r>
        <w:rPr>
          <w:rFonts w:hint="eastAsia"/>
        </w:rPr>
        <w:t>推广罗姆人的语言和文化；</w:t>
      </w:r>
    </w:p>
    <w:p w:rsidR="00537A98" w:rsidRDefault="00537A98" w:rsidP="000E3060">
      <w:pPr>
        <w:pStyle w:val="Bullet1GC"/>
      </w:pPr>
      <w:r>
        <w:rPr>
          <w:rFonts w:hint="eastAsia"/>
        </w:rPr>
        <w:t>为区域罗姆人事务咨询委员会的活动提供支持；</w:t>
      </w:r>
    </w:p>
    <w:p w:rsidR="00537A98" w:rsidRDefault="00537A98" w:rsidP="000E3060">
      <w:pPr>
        <w:pStyle w:val="Bullet1GC"/>
      </w:pPr>
      <w:r>
        <w:rPr>
          <w:rFonts w:hint="eastAsia"/>
        </w:rPr>
        <w:t>参与北欧及其他国际合作，以促进罗姆人的权利并改善其境况。</w:t>
      </w:r>
    </w:p>
    <w:p w:rsidR="00537A98" w:rsidRDefault="00537A98" w:rsidP="000E3060">
      <w:pPr>
        <w:pStyle w:val="H23GC"/>
      </w:pPr>
      <w:r>
        <w:rPr>
          <w:rFonts w:hint="eastAsia"/>
        </w:rPr>
        <w:tab/>
      </w:r>
      <w:r>
        <w:rPr>
          <w:rFonts w:hint="eastAsia"/>
        </w:rPr>
        <w:tab/>
      </w:r>
      <w:r>
        <w:rPr>
          <w:rFonts w:hint="eastAsia"/>
        </w:rPr>
        <w:t>民间社会政策咨询委员会</w:t>
      </w:r>
    </w:p>
    <w:p w:rsidR="00537A98" w:rsidRDefault="00537A98" w:rsidP="006527E4">
      <w:pPr>
        <w:pStyle w:val="SingleTxtGC"/>
        <w:tabs>
          <w:tab w:val="clear" w:pos="1565"/>
          <w:tab w:val="clear" w:pos="1996"/>
          <w:tab w:val="clear" w:pos="2427"/>
        </w:tabs>
      </w:pPr>
      <w:r>
        <w:rPr>
          <w:rFonts w:hint="eastAsia"/>
        </w:rPr>
        <w:t>154.</w:t>
      </w:r>
      <w:r>
        <w:rPr>
          <w:rFonts w:hint="eastAsia"/>
        </w:rPr>
        <w:tab/>
        <w:t>2017</w:t>
      </w:r>
      <w:r>
        <w:rPr>
          <w:rFonts w:hint="eastAsia"/>
        </w:rPr>
        <w:t>年</w:t>
      </w:r>
      <w:r>
        <w:rPr>
          <w:rFonts w:hint="eastAsia"/>
        </w:rPr>
        <w:t>2</w:t>
      </w:r>
      <w:r>
        <w:rPr>
          <w:rFonts w:hint="eastAsia"/>
        </w:rPr>
        <w:t>月</w:t>
      </w:r>
      <w:r>
        <w:rPr>
          <w:rFonts w:hint="eastAsia"/>
        </w:rPr>
        <w:t>9</w:t>
      </w:r>
      <w:r>
        <w:rPr>
          <w:rFonts w:hint="eastAsia"/>
        </w:rPr>
        <w:t>日，政府任命了新一届民间社会政策咨询委员会，任期为</w:t>
      </w:r>
      <w:r>
        <w:rPr>
          <w:rFonts w:hint="eastAsia"/>
        </w:rPr>
        <w:t>2017</w:t>
      </w:r>
      <w:r>
        <w:rPr>
          <w:rFonts w:hint="eastAsia"/>
        </w:rPr>
        <w:t>年至</w:t>
      </w:r>
      <w:r>
        <w:rPr>
          <w:rFonts w:hint="eastAsia"/>
        </w:rPr>
        <w:t>2021</w:t>
      </w:r>
      <w:r>
        <w:rPr>
          <w:rFonts w:hint="eastAsia"/>
        </w:rPr>
        <w:t>年。该咨询委员会的任务是促进民间社会和公权机关间的合作与互动。这是该咨询委员会的第三届任期。</w:t>
      </w:r>
    </w:p>
    <w:p w:rsidR="00537A98" w:rsidRDefault="00537A98" w:rsidP="006527E4">
      <w:pPr>
        <w:pStyle w:val="SingleTxtGC"/>
        <w:tabs>
          <w:tab w:val="clear" w:pos="1565"/>
          <w:tab w:val="clear" w:pos="1996"/>
          <w:tab w:val="clear" w:pos="2427"/>
        </w:tabs>
      </w:pPr>
      <w:r>
        <w:rPr>
          <w:rFonts w:hint="eastAsia"/>
        </w:rPr>
        <w:t>155.</w:t>
      </w:r>
      <w:r>
        <w:rPr>
          <w:rFonts w:hint="eastAsia"/>
        </w:rPr>
        <w:tab/>
      </w:r>
      <w:r>
        <w:rPr>
          <w:rFonts w:hint="eastAsia"/>
        </w:rPr>
        <w:t>该委员会由一位主席、一位副主席和不超过</w:t>
      </w:r>
      <w:r>
        <w:rPr>
          <w:rFonts w:hint="eastAsia"/>
        </w:rPr>
        <w:t>19</w:t>
      </w:r>
      <w:r>
        <w:rPr>
          <w:rFonts w:hint="eastAsia"/>
        </w:rPr>
        <w:t>位委员组成。除主席和副主席外，每一位委员都有自己的副手。该委员会由民间社会、研究机构、各部和市镇的代表组成。在该委员会有代表的各部是外交部、司法部、教育文化部、内政部、社会事务与卫生部、经济事务与就业部、财政部以及环境部。民间社会在该委员会的代表来自芬兰主要的体育和运动组织、儿童和青年组织、教育和文化组织、卫生和社会福利组织、环境和社区组织、人权和平等组织、少数群体和移民组织，以及企业家组织。上述每种组织提名一位委员。该委员会还包括一位从事促进公民参与活动的代表、一位开展公民社会研究的代表，以及一位芬兰地方和区域当局协会的代表。</w:t>
      </w:r>
    </w:p>
    <w:p w:rsidR="00537A98" w:rsidRDefault="00537A98" w:rsidP="006527E4">
      <w:pPr>
        <w:pStyle w:val="SingleTxtGC"/>
        <w:tabs>
          <w:tab w:val="clear" w:pos="1565"/>
          <w:tab w:val="clear" w:pos="1996"/>
          <w:tab w:val="clear" w:pos="2427"/>
        </w:tabs>
      </w:pPr>
      <w:r>
        <w:rPr>
          <w:rFonts w:hint="eastAsia"/>
        </w:rPr>
        <w:t>156.</w:t>
      </w:r>
      <w:r>
        <w:rPr>
          <w:rFonts w:hint="eastAsia"/>
        </w:rPr>
        <w:tab/>
      </w:r>
      <w:r>
        <w:rPr>
          <w:rFonts w:hint="eastAsia"/>
        </w:rPr>
        <w:t>民间社会政策咨询委员会职责如下：</w:t>
      </w:r>
    </w:p>
    <w:p w:rsidR="00537A98" w:rsidRDefault="00537A98" w:rsidP="000E3060">
      <w:pPr>
        <w:pStyle w:val="Bullet1GC"/>
      </w:pPr>
      <w:r>
        <w:rPr>
          <w:rFonts w:hint="eastAsia"/>
        </w:rPr>
        <w:t>促进民间社会与当局之间的协作和互动；</w:t>
      </w:r>
    </w:p>
    <w:p w:rsidR="00537A98" w:rsidRDefault="00537A98" w:rsidP="000E3060">
      <w:pPr>
        <w:pStyle w:val="Bullet1GC"/>
      </w:pPr>
      <w:r>
        <w:rPr>
          <w:rFonts w:hint="eastAsia"/>
        </w:rPr>
        <w:t>监测民间社会运营环境的变化，以及国际上和欧洲联盟在这方面的发展动态；</w:t>
      </w:r>
    </w:p>
    <w:p w:rsidR="00537A98" w:rsidRDefault="00537A98" w:rsidP="000E3060">
      <w:pPr>
        <w:pStyle w:val="Bullet1GC"/>
      </w:pPr>
      <w:r>
        <w:rPr>
          <w:rFonts w:hint="eastAsia"/>
        </w:rPr>
        <w:t>编写倡议和提案并提供表述，以促进对民间社会政策具有重要意义的领域的发展；</w:t>
      </w:r>
    </w:p>
    <w:p w:rsidR="00537A98" w:rsidRDefault="00537A98" w:rsidP="000E3060">
      <w:pPr>
        <w:pStyle w:val="Bullet1GC"/>
      </w:pPr>
      <w:r>
        <w:rPr>
          <w:rFonts w:hint="eastAsia"/>
        </w:rPr>
        <w:t>对各部的民间社会组织战略和公民磋商程序进行评估；</w:t>
      </w:r>
    </w:p>
    <w:p w:rsidR="00537A98" w:rsidRDefault="00537A98" w:rsidP="000E3060">
      <w:pPr>
        <w:pStyle w:val="Bullet1GC"/>
      </w:pPr>
      <w:r>
        <w:rPr>
          <w:rFonts w:hint="eastAsia"/>
        </w:rPr>
        <w:t>评估公权机关民间社会组织相关决定的一致性和</w:t>
      </w:r>
      <w:proofErr w:type="gramStart"/>
      <w:r>
        <w:rPr>
          <w:rFonts w:hint="eastAsia"/>
        </w:rPr>
        <w:t>可</w:t>
      </w:r>
      <w:proofErr w:type="gramEnd"/>
      <w:r>
        <w:rPr>
          <w:rFonts w:hint="eastAsia"/>
        </w:rPr>
        <w:t>预见性，并编写旨在提高其一致性和</w:t>
      </w:r>
      <w:proofErr w:type="gramStart"/>
      <w:r>
        <w:rPr>
          <w:rFonts w:hint="eastAsia"/>
        </w:rPr>
        <w:t>可</w:t>
      </w:r>
      <w:proofErr w:type="gramEnd"/>
      <w:r>
        <w:rPr>
          <w:rFonts w:hint="eastAsia"/>
        </w:rPr>
        <w:t>预见性的倡议；</w:t>
      </w:r>
    </w:p>
    <w:p w:rsidR="00537A98" w:rsidRDefault="00537A98" w:rsidP="000E3060">
      <w:pPr>
        <w:pStyle w:val="Bullet1GC"/>
      </w:pPr>
      <w:r>
        <w:rPr>
          <w:rFonts w:hint="eastAsia"/>
        </w:rPr>
        <w:t>发起调查、研究和开发项目，促进就民间社会开展研究活动并利用相关研究报告，并传播研究结果的相关信息。</w:t>
      </w:r>
    </w:p>
    <w:p w:rsidR="00537A98" w:rsidRDefault="00537A98" w:rsidP="000E3060">
      <w:pPr>
        <w:pStyle w:val="H23GC"/>
      </w:pPr>
      <w:r>
        <w:rPr>
          <w:rFonts w:hint="eastAsia"/>
        </w:rPr>
        <w:lastRenderedPageBreak/>
        <w:tab/>
      </w:r>
      <w:r>
        <w:rPr>
          <w:rFonts w:hint="eastAsia"/>
        </w:rPr>
        <w:tab/>
      </w:r>
      <w:r>
        <w:rPr>
          <w:rFonts w:hint="eastAsia"/>
        </w:rPr>
        <w:t>残疾人权利咨询委员会</w:t>
      </w:r>
    </w:p>
    <w:p w:rsidR="00537A98" w:rsidRDefault="00537A98" w:rsidP="006527E4">
      <w:pPr>
        <w:pStyle w:val="SingleTxtGC"/>
        <w:tabs>
          <w:tab w:val="clear" w:pos="1565"/>
          <w:tab w:val="clear" w:pos="1996"/>
          <w:tab w:val="clear" w:pos="2427"/>
        </w:tabs>
      </w:pPr>
      <w:r>
        <w:rPr>
          <w:rFonts w:hint="eastAsia"/>
        </w:rPr>
        <w:t>157.</w:t>
      </w:r>
      <w:r>
        <w:rPr>
          <w:rFonts w:hint="eastAsia"/>
        </w:rPr>
        <w:tab/>
      </w:r>
      <w:r>
        <w:rPr>
          <w:rFonts w:hint="eastAsia"/>
        </w:rPr>
        <w:t>残疾人权利咨询委员会的职责由法令</w:t>
      </w:r>
      <w:r>
        <w:rPr>
          <w:rFonts w:hint="eastAsia"/>
        </w:rPr>
        <w:t>(</w:t>
      </w:r>
      <w:r>
        <w:rPr>
          <w:rFonts w:hint="eastAsia"/>
        </w:rPr>
        <w:t>《关于残疾人权利咨询委员会的第</w:t>
      </w:r>
      <w:r>
        <w:rPr>
          <w:rFonts w:hint="eastAsia"/>
        </w:rPr>
        <w:t>908/2016</w:t>
      </w:r>
      <w:r>
        <w:rPr>
          <w:rFonts w:hint="eastAsia"/>
        </w:rPr>
        <w:t>号政府法令》</w:t>
      </w:r>
      <w:r>
        <w:rPr>
          <w:rFonts w:hint="eastAsia"/>
        </w:rPr>
        <w:t>)</w:t>
      </w:r>
      <w:r>
        <w:rPr>
          <w:rFonts w:hint="eastAsia"/>
        </w:rPr>
        <w:t>予以规定。根据该法令，该委员会的任务是：促进和协调联合国《残疾人权利公约》在国内的实施；在政府工作的方方面面虑及残疾人权利问题；拟定任期行动方案，确定国家在该公约实施方面的目标、促进实施工作的措施以及后续措施；从该委员会委员当中指定一人，代表残疾人参与该公约第三十三条所述协调中心的活动。该委员会是联合国《残疾人权利公约》第三十三条第一款所规定的国内协调机制。</w:t>
      </w:r>
    </w:p>
    <w:p w:rsidR="00537A98" w:rsidRDefault="00537A98" w:rsidP="006527E4">
      <w:pPr>
        <w:pStyle w:val="SingleTxtGC"/>
        <w:tabs>
          <w:tab w:val="clear" w:pos="1565"/>
          <w:tab w:val="clear" w:pos="1996"/>
          <w:tab w:val="clear" w:pos="2427"/>
        </w:tabs>
      </w:pPr>
      <w:r>
        <w:rPr>
          <w:rFonts w:hint="eastAsia"/>
        </w:rPr>
        <w:t>158.</w:t>
      </w:r>
      <w:r>
        <w:rPr>
          <w:rFonts w:hint="eastAsia"/>
        </w:rPr>
        <w:tab/>
      </w:r>
      <w:r>
        <w:rPr>
          <w:rFonts w:hint="eastAsia"/>
        </w:rPr>
        <w:t>该咨询委员会由部委、残疾人及其所有亲属、劳动力市场组织、市镇和省份以及研究机构的代表组成，成员包括主席、副主席和</w:t>
      </w:r>
      <w:r>
        <w:rPr>
          <w:rFonts w:hint="eastAsia"/>
        </w:rPr>
        <w:t>16</w:t>
      </w:r>
      <w:r>
        <w:rPr>
          <w:rFonts w:hint="eastAsia"/>
        </w:rPr>
        <w:t>位委员。该咨询委员会设有一位秘书长和一位协调员。政府规定该咨询委员会一届任期为一年。</w:t>
      </w:r>
    </w:p>
    <w:p w:rsidR="00537A98" w:rsidRDefault="00537A98" w:rsidP="00B01550">
      <w:pPr>
        <w:pStyle w:val="H23GC"/>
      </w:pPr>
      <w:r>
        <w:rPr>
          <w:rFonts w:hint="eastAsia"/>
        </w:rPr>
        <w:tab/>
      </w:r>
      <w:r>
        <w:rPr>
          <w:rFonts w:hint="eastAsia"/>
        </w:rPr>
        <w:tab/>
      </w:r>
      <w:r>
        <w:rPr>
          <w:rFonts w:hint="eastAsia"/>
        </w:rPr>
        <w:t>打击暴力侵害妇女行为和家庭暴力委员会</w:t>
      </w:r>
    </w:p>
    <w:p w:rsidR="00537A98" w:rsidRDefault="00537A98" w:rsidP="006527E4">
      <w:pPr>
        <w:pStyle w:val="SingleTxtGC"/>
        <w:tabs>
          <w:tab w:val="clear" w:pos="1565"/>
          <w:tab w:val="clear" w:pos="1996"/>
          <w:tab w:val="clear" w:pos="2427"/>
        </w:tabs>
      </w:pPr>
      <w:r>
        <w:rPr>
          <w:rFonts w:hint="eastAsia"/>
        </w:rPr>
        <w:t>159.</w:t>
      </w:r>
      <w:r>
        <w:rPr>
          <w:rFonts w:hint="eastAsia"/>
        </w:rPr>
        <w:tab/>
      </w:r>
      <w:r>
        <w:rPr>
          <w:rFonts w:hint="eastAsia"/>
        </w:rPr>
        <w:t>关于《欧洲委员会预防和打击暴力侵害妇女行为及家庭暴力公约》</w:t>
      </w:r>
      <w:r>
        <w:rPr>
          <w:rFonts w:hint="eastAsia"/>
        </w:rPr>
        <w:t>(</w:t>
      </w:r>
      <w:r>
        <w:rPr>
          <w:rFonts w:hint="eastAsia"/>
        </w:rPr>
        <w:t>《伊斯坦布尔公约》</w:t>
      </w:r>
      <w:r>
        <w:rPr>
          <w:rFonts w:hint="eastAsia"/>
        </w:rPr>
        <w:t>)</w:t>
      </w:r>
      <w:r>
        <w:rPr>
          <w:rFonts w:hint="eastAsia"/>
        </w:rPr>
        <w:t>所述协调机构，请参见有关打击暴力侵害妇女行为和家庭暴力委员会的第</w:t>
      </w:r>
      <w:r>
        <w:rPr>
          <w:rFonts w:hint="eastAsia"/>
        </w:rPr>
        <w:t>220</w:t>
      </w:r>
      <w:r>
        <w:rPr>
          <w:rFonts w:hint="eastAsia"/>
        </w:rPr>
        <w:t>段。</w:t>
      </w:r>
    </w:p>
    <w:p w:rsidR="00537A98" w:rsidRDefault="00537A98" w:rsidP="00B01550">
      <w:pPr>
        <w:pStyle w:val="H23GC"/>
      </w:pPr>
      <w:r>
        <w:rPr>
          <w:rFonts w:hint="eastAsia"/>
        </w:rPr>
        <w:tab/>
        <w:t>(k)</w:t>
      </w:r>
      <w:r>
        <w:rPr>
          <w:rFonts w:hint="eastAsia"/>
        </w:rPr>
        <w:tab/>
      </w:r>
      <w:r>
        <w:rPr>
          <w:rFonts w:hint="eastAsia"/>
        </w:rPr>
        <w:t>民间社会组织</w:t>
      </w:r>
    </w:p>
    <w:p w:rsidR="00537A98" w:rsidRDefault="00537A98" w:rsidP="006527E4">
      <w:pPr>
        <w:pStyle w:val="SingleTxtGC"/>
        <w:tabs>
          <w:tab w:val="clear" w:pos="1565"/>
          <w:tab w:val="clear" w:pos="1996"/>
          <w:tab w:val="clear" w:pos="2427"/>
        </w:tabs>
      </w:pPr>
      <w:r>
        <w:rPr>
          <w:rFonts w:hint="eastAsia"/>
        </w:rPr>
        <w:t>160.</w:t>
      </w:r>
      <w:r>
        <w:rPr>
          <w:rFonts w:hint="eastAsia"/>
        </w:rPr>
        <w:tab/>
      </w:r>
      <w:r>
        <w:rPr>
          <w:rFonts w:hint="eastAsia"/>
        </w:rPr>
        <w:t>《芬兰宪法》保障结社自由。行使结社自由的相关规定载于《社团法》</w:t>
      </w:r>
      <w:r>
        <w:rPr>
          <w:rFonts w:hint="eastAsia"/>
        </w:rPr>
        <w:t>(503/1989)</w:t>
      </w:r>
      <w:r>
        <w:rPr>
          <w:rFonts w:hint="eastAsia"/>
        </w:rPr>
        <w:t>。可为共同实现某个非营利性目的而组建社团。上述目的不得违反法律，也不得有悖妥当行为。非营利性社团不得以获取利润或其他直接经济收益为目的，也不得以经济活动为主要活动。《社团法》所指非营利性社团包括政治党派、劳动力市场组织、体育俱乐部和娱乐俱乐部，以及社会、卫生和慈善组织。</w:t>
      </w:r>
    </w:p>
    <w:p w:rsidR="00537A98" w:rsidRDefault="00537A98" w:rsidP="006527E4">
      <w:pPr>
        <w:pStyle w:val="SingleTxtGC"/>
        <w:tabs>
          <w:tab w:val="clear" w:pos="1565"/>
          <w:tab w:val="clear" w:pos="1996"/>
          <w:tab w:val="clear" w:pos="2427"/>
        </w:tabs>
      </w:pPr>
      <w:r>
        <w:rPr>
          <w:rFonts w:hint="eastAsia"/>
        </w:rPr>
        <w:t>161.</w:t>
      </w:r>
      <w:r>
        <w:rPr>
          <w:rFonts w:hint="eastAsia"/>
        </w:rPr>
        <w:tab/>
      </w:r>
      <w:r>
        <w:rPr>
          <w:rFonts w:hint="eastAsia"/>
        </w:rPr>
        <w:t>由芬兰专利和注册</w:t>
      </w:r>
      <w:proofErr w:type="gramStart"/>
      <w:r>
        <w:rPr>
          <w:rFonts w:hint="eastAsia"/>
        </w:rPr>
        <w:t>局维护</w:t>
      </w:r>
      <w:proofErr w:type="gramEnd"/>
      <w:r>
        <w:rPr>
          <w:rFonts w:hint="eastAsia"/>
        </w:rPr>
        <w:t>的社团登记册含有约</w:t>
      </w:r>
      <w:r>
        <w:rPr>
          <w:rFonts w:hint="eastAsia"/>
        </w:rPr>
        <w:t>106,000</w:t>
      </w:r>
      <w:r>
        <w:rPr>
          <w:rFonts w:hint="eastAsia"/>
        </w:rPr>
        <w:t>个社团。社团可以注册，也可未经注册而运营。社团一经录入社团登记册，即成为独立的法人，获得了法定资格。登记注册不是强制性的，但却可能</w:t>
      </w:r>
      <w:proofErr w:type="gramStart"/>
      <w:r>
        <w:rPr>
          <w:rFonts w:hint="eastAsia"/>
        </w:rPr>
        <w:t>是例如</w:t>
      </w:r>
      <w:proofErr w:type="gramEnd"/>
      <w:r>
        <w:rPr>
          <w:rFonts w:hint="eastAsia"/>
        </w:rPr>
        <w:t>获得公共资金的一项要件。芬兰盛行组建社团的领域包括体育和运动、社会福利和卫生，以及教育和文化。</w:t>
      </w:r>
    </w:p>
    <w:p w:rsidR="00537A98" w:rsidRDefault="00537A98" w:rsidP="006527E4">
      <w:pPr>
        <w:pStyle w:val="SingleTxtGC"/>
        <w:tabs>
          <w:tab w:val="clear" w:pos="1565"/>
          <w:tab w:val="clear" w:pos="1996"/>
          <w:tab w:val="clear" w:pos="2427"/>
        </w:tabs>
      </w:pPr>
      <w:r>
        <w:rPr>
          <w:rFonts w:hint="eastAsia"/>
        </w:rPr>
        <w:t>162.</w:t>
      </w:r>
      <w:r>
        <w:rPr>
          <w:rFonts w:hint="eastAsia"/>
        </w:rPr>
        <w:tab/>
      </w:r>
      <w:r>
        <w:rPr>
          <w:rFonts w:hint="eastAsia"/>
        </w:rPr>
        <w:t>入册社团可由至少三名</w:t>
      </w:r>
      <w:r>
        <w:rPr>
          <w:rFonts w:hint="eastAsia"/>
        </w:rPr>
        <w:t>15</w:t>
      </w:r>
      <w:r>
        <w:rPr>
          <w:rFonts w:hint="eastAsia"/>
        </w:rPr>
        <w:t>岁或以上自然人以及</w:t>
      </w:r>
      <w:r>
        <w:rPr>
          <w:rFonts w:hint="eastAsia"/>
        </w:rPr>
        <w:t>/</w:t>
      </w:r>
      <w:r>
        <w:rPr>
          <w:rFonts w:hint="eastAsia"/>
        </w:rPr>
        <w:t>或是具有法定资格的公司组建。入册社团须有章程，其中载有该社团的规则。该章程的签署人须为具有表决权的社团成员。</w:t>
      </w:r>
    </w:p>
    <w:p w:rsidR="00537A98" w:rsidRDefault="00537A98" w:rsidP="006527E4">
      <w:pPr>
        <w:pStyle w:val="SingleTxtGC"/>
        <w:tabs>
          <w:tab w:val="clear" w:pos="1565"/>
          <w:tab w:val="clear" w:pos="1996"/>
          <w:tab w:val="clear" w:pos="2427"/>
        </w:tabs>
      </w:pPr>
      <w:r>
        <w:rPr>
          <w:rFonts w:hint="eastAsia"/>
        </w:rPr>
        <w:t>163.</w:t>
      </w:r>
      <w:r>
        <w:rPr>
          <w:rFonts w:hint="eastAsia"/>
        </w:rPr>
        <w:tab/>
      </w:r>
      <w:r>
        <w:rPr>
          <w:rFonts w:hint="eastAsia"/>
        </w:rPr>
        <w:t>《社团法》禁止出于军事目的组建社团。此外，任何涉及使用火器的社团均须获得许可。</w:t>
      </w:r>
    </w:p>
    <w:p w:rsidR="00537A98" w:rsidRDefault="00537A98" w:rsidP="006527E4">
      <w:pPr>
        <w:pStyle w:val="SingleTxtGC"/>
        <w:tabs>
          <w:tab w:val="clear" w:pos="1565"/>
          <w:tab w:val="clear" w:pos="1996"/>
          <w:tab w:val="clear" w:pos="2427"/>
        </w:tabs>
      </w:pPr>
      <w:r>
        <w:rPr>
          <w:rFonts w:hint="eastAsia"/>
        </w:rPr>
        <w:t>164.</w:t>
      </w:r>
      <w:r>
        <w:rPr>
          <w:rFonts w:hint="eastAsia"/>
        </w:rPr>
        <w:tab/>
      </w:r>
      <w:r>
        <w:rPr>
          <w:rFonts w:hint="eastAsia"/>
        </w:rPr>
        <w:t>芬兰的结社自由也适用于外国的自然人和法人。外国人可在芬兰组建和加入社团，也可担任执行委员会成员和经授权代表协会签字的人员。</w:t>
      </w:r>
    </w:p>
    <w:p w:rsidR="00537A98" w:rsidRDefault="00537A98" w:rsidP="006527E4">
      <w:pPr>
        <w:pStyle w:val="SingleTxtGC"/>
        <w:tabs>
          <w:tab w:val="clear" w:pos="1565"/>
          <w:tab w:val="clear" w:pos="1996"/>
          <w:tab w:val="clear" w:pos="2427"/>
        </w:tabs>
      </w:pPr>
      <w:r>
        <w:rPr>
          <w:rFonts w:hint="eastAsia"/>
        </w:rPr>
        <w:t>165.</w:t>
      </w:r>
      <w:r>
        <w:rPr>
          <w:rFonts w:hint="eastAsia"/>
        </w:rPr>
        <w:tab/>
      </w:r>
      <w:r>
        <w:rPr>
          <w:rFonts w:hint="eastAsia"/>
        </w:rPr>
        <w:t>社团主席须常居芬兰，除非芬兰专利和注册局已批准对上述规定实行克减。此外，以对国家事务施加影响为主要目的</w:t>
      </w:r>
      <w:proofErr w:type="gramStart"/>
      <w:r>
        <w:rPr>
          <w:rFonts w:hint="eastAsia"/>
        </w:rPr>
        <w:t>的</w:t>
      </w:r>
      <w:proofErr w:type="gramEnd"/>
      <w:r>
        <w:rPr>
          <w:rFonts w:hint="eastAsia"/>
        </w:rPr>
        <w:t>社团，其成员只能是芬兰公民、在芬兰居住的外国人，以及其成员或是其直接或间接子社团的成员是芬兰公民或在芬兰居住的外国人的社团。社团执行委员会须保有一份社团成员名单，其中载有每位成员的姓名和住址。</w:t>
      </w:r>
    </w:p>
    <w:p w:rsidR="00537A98" w:rsidRDefault="00537A98" w:rsidP="006527E4">
      <w:pPr>
        <w:pStyle w:val="SingleTxtGC"/>
        <w:tabs>
          <w:tab w:val="clear" w:pos="1565"/>
          <w:tab w:val="clear" w:pos="1996"/>
          <w:tab w:val="clear" w:pos="2427"/>
        </w:tabs>
      </w:pPr>
      <w:r>
        <w:rPr>
          <w:rFonts w:hint="eastAsia"/>
        </w:rPr>
        <w:lastRenderedPageBreak/>
        <w:t>166.</w:t>
      </w:r>
      <w:r>
        <w:rPr>
          <w:rFonts w:hint="eastAsia"/>
        </w:rPr>
        <w:tab/>
      </w:r>
      <w:r>
        <w:rPr>
          <w:rFonts w:hint="eastAsia"/>
        </w:rPr>
        <w:t>若社团严重违犯法律，或是严重违背良俗，或是严重违反其规则当中所确立的宗旨，可由检察官、芬兰国家警务署或是该社团的成员提起诉讼，进而宣布将其取缔。若自某社团最后一次向社团登记册提交通知已过去至少二十年，注册主管部门可下令将其注销，否则没有理由想当然地认为该社团的活动还会继续。</w:t>
      </w:r>
    </w:p>
    <w:p w:rsidR="00537A98" w:rsidRDefault="00537A98" w:rsidP="006527E4">
      <w:pPr>
        <w:pStyle w:val="SingleTxtGC"/>
        <w:tabs>
          <w:tab w:val="clear" w:pos="1565"/>
          <w:tab w:val="clear" w:pos="1996"/>
          <w:tab w:val="clear" w:pos="2427"/>
        </w:tabs>
      </w:pPr>
      <w:r>
        <w:rPr>
          <w:rFonts w:hint="eastAsia"/>
        </w:rPr>
        <w:t>167.</w:t>
      </w:r>
      <w:r>
        <w:rPr>
          <w:rFonts w:hint="eastAsia"/>
        </w:rPr>
        <w:tab/>
      </w:r>
      <w:r>
        <w:rPr>
          <w:rFonts w:hint="eastAsia"/>
        </w:rPr>
        <w:t>若非营利性社团完全、仅仅出于物质、精神、教育或社会意义上的公益目的运营，其活动不仅仅针对某个专门群体，且其参与人员</w:t>
      </w:r>
      <w:proofErr w:type="gramStart"/>
      <w:r>
        <w:rPr>
          <w:rFonts w:hint="eastAsia"/>
        </w:rPr>
        <w:t>不</w:t>
      </w:r>
      <w:proofErr w:type="gramEnd"/>
      <w:r>
        <w:rPr>
          <w:rFonts w:hint="eastAsia"/>
        </w:rPr>
        <w:t>从中获得经济收益，则可赋予该</w:t>
      </w:r>
      <w:proofErr w:type="gramStart"/>
      <w:r>
        <w:rPr>
          <w:rFonts w:hint="eastAsia"/>
        </w:rPr>
        <w:t>社团公益</w:t>
      </w:r>
      <w:proofErr w:type="gramEnd"/>
      <w:r>
        <w:rPr>
          <w:rFonts w:hint="eastAsia"/>
        </w:rPr>
        <w:t>社团地位。就《所得税法》</w:t>
      </w:r>
      <w:r>
        <w:rPr>
          <w:rFonts w:hint="eastAsia"/>
        </w:rPr>
        <w:t>(1535/1992)</w:t>
      </w:r>
      <w:r>
        <w:rPr>
          <w:rFonts w:hint="eastAsia"/>
        </w:rPr>
        <w:t>第</w:t>
      </w:r>
      <w:r>
        <w:rPr>
          <w:rFonts w:hint="eastAsia"/>
        </w:rPr>
        <w:t>23</w:t>
      </w:r>
      <w:r>
        <w:rPr>
          <w:rFonts w:hint="eastAsia"/>
        </w:rPr>
        <w:t>条所述内容而言，获得公益地位的社团所开展的商业活动可免予缴纳所得税。此外，从事</w:t>
      </w:r>
      <w:proofErr w:type="gramStart"/>
      <w:r>
        <w:rPr>
          <w:rFonts w:hint="eastAsia"/>
        </w:rPr>
        <w:t>经总体</w:t>
      </w:r>
      <w:proofErr w:type="gramEnd"/>
      <w:r>
        <w:rPr>
          <w:rFonts w:hint="eastAsia"/>
        </w:rPr>
        <w:t>评估对社会有益的广泛、稳定、永久性活动的公益机构，可能有资格按照《某些非营利性社团税务减免法》</w:t>
      </w:r>
      <w:r>
        <w:rPr>
          <w:rFonts w:hint="eastAsia"/>
        </w:rPr>
        <w:t>(680/1976)</w:t>
      </w:r>
      <w:r>
        <w:rPr>
          <w:rFonts w:hint="eastAsia"/>
        </w:rPr>
        <w:t>规定的方式享受免税和减税。非营利性社团也可能有资格成为公益机构。</w:t>
      </w:r>
    </w:p>
    <w:p w:rsidR="00537A98" w:rsidRDefault="00537A98" w:rsidP="00B01550">
      <w:pPr>
        <w:pStyle w:val="H23GC"/>
      </w:pPr>
      <w:r>
        <w:rPr>
          <w:rFonts w:hint="eastAsia"/>
        </w:rPr>
        <w:tab/>
        <w:t>(l)</w:t>
      </w:r>
      <w:r>
        <w:rPr>
          <w:rFonts w:hint="eastAsia"/>
        </w:rPr>
        <w:tab/>
      </w:r>
      <w:r>
        <w:rPr>
          <w:rFonts w:hint="eastAsia"/>
        </w:rPr>
        <w:t>政府活动的公开性</w:t>
      </w:r>
    </w:p>
    <w:p w:rsidR="00537A98" w:rsidRDefault="00537A98" w:rsidP="006527E4">
      <w:pPr>
        <w:pStyle w:val="SingleTxtGC"/>
        <w:tabs>
          <w:tab w:val="clear" w:pos="1565"/>
          <w:tab w:val="clear" w:pos="1996"/>
          <w:tab w:val="clear" w:pos="2427"/>
        </w:tabs>
      </w:pPr>
      <w:r>
        <w:rPr>
          <w:rFonts w:hint="eastAsia"/>
        </w:rPr>
        <w:t>168.</w:t>
      </w:r>
      <w:r>
        <w:rPr>
          <w:rFonts w:hint="eastAsia"/>
        </w:rPr>
        <w:tab/>
      </w:r>
      <w:r>
        <w:rPr>
          <w:rFonts w:hint="eastAsia"/>
        </w:rPr>
        <w:t>《政府活动公开法》</w:t>
      </w:r>
      <w:r>
        <w:rPr>
          <w:rFonts w:hint="eastAsia"/>
        </w:rPr>
        <w:t>(621/1999)</w:t>
      </w:r>
      <w:r>
        <w:rPr>
          <w:rFonts w:hint="eastAsia"/>
        </w:rPr>
        <w:t>规定官方文件和数据的发布和保密问题，以及文件的公开问题和相关程序。根据该法，人人有权查阅公共领域的官方文件。官方文件应予公布，除非另有特别规定。该法要求事务筹备工作公开，并规定当局有责任促进其活动公开。该法还规定当局有责任促进公众获取相关信息。此外，该法还载有关于保密的主要规定。某部特定法律也含有关于保密的规定。《政府活动公开法》还就当局妥善管理信息的责任</w:t>
      </w:r>
      <w:proofErr w:type="gramStart"/>
      <w:r>
        <w:rPr>
          <w:rFonts w:hint="eastAsia"/>
        </w:rPr>
        <w:t>作出</w:t>
      </w:r>
      <w:proofErr w:type="gramEnd"/>
      <w:r>
        <w:rPr>
          <w:rFonts w:hint="eastAsia"/>
        </w:rPr>
        <w:t>规定，包括数据安全相关规定。自</w:t>
      </w:r>
      <w:r>
        <w:rPr>
          <w:rFonts w:hint="eastAsia"/>
        </w:rPr>
        <w:t>2020</w:t>
      </w:r>
      <w:r>
        <w:rPr>
          <w:rFonts w:hint="eastAsia"/>
        </w:rPr>
        <w:t>年初开始，当局的信息管理和信息安全问题由新的《公共行政机关信息管理法》</w:t>
      </w:r>
      <w:r>
        <w:rPr>
          <w:rFonts w:hint="eastAsia"/>
        </w:rPr>
        <w:t>(906/2019)</w:t>
      </w:r>
      <w:r>
        <w:rPr>
          <w:rFonts w:hint="eastAsia"/>
        </w:rPr>
        <w:t>予以规定。</w:t>
      </w:r>
    </w:p>
    <w:p w:rsidR="00537A98" w:rsidRDefault="00537A98" w:rsidP="006527E4">
      <w:pPr>
        <w:pStyle w:val="SingleTxtGC"/>
        <w:tabs>
          <w:tab w:val="clear" w:pos="1565"/>
          <w:tab w:val="clear" w:pos="1996"/>
          <w:tab w:val="clear" w:pos="2427"/>
        </w:tabs>
      </w:pPr>
      <w:r>
        <w:rPr>
          <w:rFonts w:hint="eastAsia"/>
        </w:rPr>
        <w:t>169.</w:t>
      </w:r>
      <w:r>
        <w:rPr>
          <w:rFonts w:hint="eastAsia"/>
        </w:rPr>
        <w:tab/>
      </w:r>
      <w:r>
        <w:rPr>
          <w:rFonts w:hint="eastAsia"/>
        </w:rPr>
        <w:t>芬兰已批准欧洲委员会《关于获取官方文件的公约》</w:t>
      </w:r>
      <w:r>
        <w:rPr>
          <w:rFonts w:hint="eastAsia"/>
        </w:rPr>
        <w:t>(CETS No. 205)</w:t>
      </w:r>
      <w:r>
        <w:rPr>
          <w:rFonts w:hint="eastAsia"/>
        </w:rPr>
        <w:t>。</w:t>
      </w:r>
    </w:p>
    <w:p w:rsidR="00537A98" w:rsidRDefault="00537A98" w:rsidP="00B01550">
      <w:pPr>
        <w:pStyle w:val="H23GC"/>
      </w:pPr>
      <w:r>
        <w:rPr>
          <w:rFonts w:hint="eastAsia"/>
        </w:rPr>
        <w:tab/>
        <w:t>(m)</w:t>
      </w:r>
      <w:r>
        <w:rPr>
          <w:rFonts w:hint="eastAsia"/>
        </w:rPr>
        <w:tab/>
      </w:r>
      <w:r>
        <w:rPr>
          <w:rFonts w:hint="eastAsia"/>
        </w:rPr>
        <w:t>民主服务</w:t>
      </w:r>
    </w:p>
    <w:p w:rsidR="00537A98" w:rsidRDefault="00537A98" w:rsidP="006527E4">
      <w:pPr>
        <w:pStyle w:val="SingleTxtGC"/>
        <w:tabs>
          <w:tab w:val="clear" w:pos="1565"/>
          <w:tab w:val="clear" w:pos="1996"/>
          <w:tab w:val="clear" w:pos="2427"/>
        </w:tabs>
      </w:pPr>
      <w:r>
        <w:rPr>
          <w:rFonts w:hint="eastAsia"/>
        </w:rPr>
        <w:t>170.</w:t>
      </w:r>
      <w:r>
        <w:rPr>
          <w:rFonts w:hint="eastAsia"/>
        </w:rPr>
        <w:tab/>
      </w:r>
      <w:r>
        <w:rPr>
          <w:rFonts w:hint="eastAsia"/>
        </w:rPr>
        <w:t>司法部维护着若干使公民和利益攸关方得以参与事务筹备工作并为决策</w:t>
      </w:r>
      <w:proofErr w:type="gramStart"/>
      <w:r>
        <w:rPr>
          <w:rFonts w:hint="eastAsia"/>
        </w:rPr>
        <w:t>作出</w:t>
      </w:r>
      <w:proofErr w:type="gramEnd"/>
      <w:r>
        <w:rPr>
          <w:rFonts w:hint="eastAsia"/>
        </w:rPr>
        <w:t>贡献的网上民主服务。上述服务使当局和决策者得以了解公民和利益攸关方对筹备当中的事务的看法。上述</w:t>
      </w:r>
      <w:proofErr w:type="gramStart"/>
      <w:r>
        <w:rPr>
          <w:rFonts w:hint="eastAsia"/>
        </w:rPr>
        <w:t>民主服务</w:t>
      </w:r>
      <w:proofErr w:type="gramEnd"/>
      <w:r>
        <w:rPr>
          <w:rFonts w:hint="eastAsia"/>
        </w:rPr>
        <w:t>系在综合网站</w:t>
      </w:r>
      <w:proofErr w:type="spellStart"/>
      <w:r>
        <w:rPr>
          <w:rFonts w:hint="eastAsia"/>
        </w:rPr>
        <w:t>demokratia.fi</w:t>
      </w:r>
      <w:proofErr w:type="spellEnd"/>
      <w:r>
        <w:rPr>
          <w:rFonts w:hint="eastAsia"/>
        </w:rPr>
        <w:t>上提供。该网站上还含有大量有关公民参与和民主的背景信息和知识资源。</w:t>
      </w:r>
    </w:p>
    <w:p w:rsidR="00537A98" w:rsidRDefault="00537A98" w:rsidP="006527E4">
      <w:pPr>
        <w:pStyle w:val="SingleTxtGC"/>
        <w:tabs>
          <w:tab w:val="clear" w:pos="1565"/>
          <w:tab w:val="clear" w:pos="1996"/>
          <w:tab w:val="clear" w:pos="2427"/>
        </w:tabs>
      </w:pPr>
      <w:r>
        <w:rPr>
          <w:rFonts w:hint="eastAsia"/>
        </w:rPr>
        <w:t>171.</w:t>
      </w:r>
      <w:r>
        <w:rPr>
          <w:rFonts w:hint="eastAsia"/>
        </w:rPr>
        <w:tab/>
      </w:r>
      <w:proofErr w:type="spellStart"/>
      <w:r>
        <w:rPr>
          <w:rFonts w:hint="eastAsia"/>
        </w:rPr>
        <w:t>Otakantaa.fi</w:t>
      </w:r>
      <w:proofErr w:type="spellEnd"/>
      <w:r>
        <w:rPr>
          <w:rFonts w:hint="eastAsia"/>
        </w:rPr>
        <w:t>是一项网上服务，旨在提高广大公众、民间社会组织和当局之间对话和接触的有效性。该服务为公民参与和获取信息提供便利，与此同时还增强形成和</w:t>
      </w:r>
      <w:proofErr w:type="gramStart"/>
      <w:r>
        <w:rPr>
          <w:rFonts w:hint="eastAsia"/>
        </w:rPr>
        <w:t>作出</w:t>
      </w:r>
      <w:proofErr w:type="gramEnd"/>
      <w:r>
        <w:rPr>
          <w:rFonts w:hint="eastAsia"/>
        </w:rPr>
        <w:t>决策时的透明度并提高决策质量。在综合网站上提供的其他</w:t>
      </w:r>
      <w:proofErr w:type="gramStart"/>
      <w:r>
        <w:rPr>
          <w:rFonts w:hint="eastAsia"/>
        </w:rPr>
        <w:t>民主服务</w:t>
      </w:r>
      <w:proofErr w:type="gramEnd"/>
      <w:r>
        <w:rPr>
          <w:rFonts w:hint="eastAsia"/>
        </w:rPr>
        <w:t>有</w:t>
      </w:r>
      <w:proofErr w:type="spellStart"/>
      <w:r>
        <w:rPr>
          <w:rFonts w:hint="eastAsia"/>
        </w:rPr>
        <w:t>kansalaisaloite.fi</w:t>
      </w:r>
      <w:proofErr w:type="spellEnd"/>
      <w:r>
        <w:rPr>
          <w:rFonts w:hint="eastAsia"/>
        </w:rPr>
        <w:t>、</w:t>
      </w:r>
      <w:proofErr w:type="spellStart"/>
      <w:r>
        <w:rPr>
          <w:rFonts w:hint="eastAsia"/>
        </w:rPr>
        <w:t>kuntalaisaloite.fi</w:t>
      </w:r>
      <w:proofErr w:type="spellEnd"/>
      <w:r>
        <w:rPr>
          <w:rFonts w:hint="eastAsia"/>
        </w:rPr>
        <w:t>、</w:t>
      </w:r>
      <w:proofErr w:type="spellStart"/>
      <w:r>
        <w:rPr>
          <w:rFonts w:hint="eastAsia"/>
        </w:rPr>
        <w:t>lausuntopalvelu.fi</w:t>
      </w:r>
      <w:proofErr w:type="spellEnd"/>
      <w:r>
        <w:rPr>
          <w:rFonts w:hint="eastAsia"/>
        </w:rPr>
        <w:t>、</w:t>
      </w:r>
      <w:proofErr w:type="spellStart"/>
      <w:r>
        <w:rPr>
          <w:rFonts w:hint="eastAsia"/>
        </w:rPr>
        <w:t>nuortenideat.fi</w:t>
      </w:r>
      <w:proofErr w:type="spellEnd"/>
      <w:r>
        <w:rPr>
          <w:rFonts w:hint="eastAsia"/>
        </w:rPr>
        <w:t>和</w:t>
      </w:r>
      <w:proofErr w:type="spellStart"/>
      <w:r>
        <w:rPr>
          <w:rFonts w:hint="eastAsia"/>
        </w:rPr>
        <w:t>demokratia.fi</w:t>
      </w:r>
      <w:proofErr w:type="spellEnd"/>
      <w:r>
        <w:rPr>
          <w:rFonts w:hint="eastAsia"/>
        </w:rPr>
        <w:t>。</w:t>
      </w:r>
    </w:p>
    <w:p w:rsidR="00537A98" w:rsidRDefault="00537A98" w:rsidP="00B01550">
      <w:pPr>
        <w:pStyle w:val="H23GC"/>
      </w:pPr>
      <w:r>
        <w:rPr>
          <w:rFonts w:hint="eastAsia"/>
        </w:rPr>
        <w:tab/>
        <w:t>(n)</w:t>
      </w:r>
      <w:r>
        <w:rPr>
          <w:rFonts w:hint="eastAsia"/>
        </w:rPr>
        <w:tab/>
      </w:r>
      <w:r>
        <w:rPr>
          <w:rFonts w:hint="eastAsia"/>
        </w:rPr>
        <w:t>媒体</w:t>
      </w:r>
    </w:p>
    <w:p w:rsidR="00537A98" w:rsidRDefault="00537A98" w:rsidP="00B01550">
      <w:pPr>
        <w:pStyle w:val="H23GC"/>
      </w:pPr>
      <w:r>
        <w:rPr>
          <w:rFonts w:hint="eastAsia"/>
        </w:rPr>
        <w:tab/>
      </w:r>
      <w:r>
        <w:rPr>
          <w:rFonts w:hint="eastAsia"/>
        </w:rPr>
        <w:tab/>
      </w:r>
      <w:r>
        <w:rPr>
          <w:rFonts w:hint="eastAsia"/>
        </w:rPr>
        <w:t>媒体当中的表达自由</w:t>
      </w:r>
    </w:p>
    <w:p w:rsidR="00537A98" w:rsidRDefault="00537A98" w:rsidP="006527E4">
      <w:pPr>
        <w:pStyle w:val="SingleTxtGC"/>
        <w:tabs>
          <w:tab w:val="clear" w:pos="1565"/>
          <w:tab w:val="clear" w:pos="1996"/>
          <w:tab w:val="clear" w:pos="2427"/>
        </w:tabs>
      </w:pPr>
      <w:r>
        <w:rPr>
          <w:rFonts w:hint="eastAsia"/>
        </w:rPr>
        <w:t>172.</w:t>
      </w:r>
      <w:r>
        <w:rPr>
          <w:rFonts w:hint="eastAsia"/>
        </w:rPr>
        <w:tab/>
      </w:r>
      <w:r>
        <w:rPr>
          <w:rFonts w:hint="eastAsia"/>
        </w:rPr>
        <w:t>根据《芬兰宪法》，人人有权在不受任何人事先阻止的情况下表达、传播和接收信息、观点及其他资讯。这项基本原则在诸如《大众媒体行使表达自由法》</w:t>
      </w:r>
      <w:r>
        <w:rPr>
          <w:rFonts w:hint="eastAsia"/>
        </w:rPr>
        <w:t>(460/2003)</w:t>
      </w:r>
      <w:r>
        <w:rPr>
          <w:rFonts w:hint="eastAsia"/>
        </w:rPr>
        <w:t>等法律以及政策建议和指导准则中得到了一致的详细阐述。</w:t>
      </w:r>
    </w:p>
    <w:p w:rsidR="00537A98" w:rsidRDefault="00537A98" w:rsidP="006527E4">
      <w:pPr>
        <w:pStyle w:val="SingleTxtGC"/>
        <w:tabs>
          <w:tab w:val="clear" w:pos="1565"/>
          <w:tab w:val="clear" w:pos="1996"/>
          <w:tab w:val="clear" w:pos="2427"/>
        </w:tabs>
      </w:pPr>
      <w:r>
        <w:rPr>
          <w:rFonts w:hint="eastAsia"/>
        </w:rPr>
        <w:t>173.</w:t>
      </w:r>
      <w:r>
        <w:rPr>
          <w:rFonts w:hint="eastAsia"/>
        </w:rPr>
        <w:tab/>
      </w:r>
      <w:r>
        <w:rPr>
          <w:rFonts w:hint="eastAsia"/>
        </w:rPr>
        <w:t>就表达自由而言，芬兰是世界上领先的国家之一。在无国界记者组织的“世界新闻自由排名”当中，芬兰位居第二。这背后的原因包括：有机会查阅官方文件；信息源保护标准高；致力于为所有公民提供快速的因特网接入机会。芬</w:t>
      </w:r>
      <w:r>
        <w:rPr>
          <w:rFonts w:hint="eastAsia"/>
        </w:rPr>
        <w:lastRenderedPageBreak/>
        <w:t>兰没有任何事先审查制度。相反，法律保障人人有权在不经任何人事先阻止的情况下接收</w:t>
      </w:r>
      <w:proofErr w:type="gramStart"/>
      <w:r>
        <w:rPr>
          <w:rFonts w:hint="eastAsia"/>
        </w:rPr>
        <w:t>讯息</w:t>
      </w:r>
      <w:proofErr w:type="gramEnd"/>
      <w:r>
        <w:rPr>
          <w:rFonts w:hint="eastAsia"/>
        </w:rPr>
        <w:t>。但是，在公开发布的</w:t>
      </w:r>
      <w:proofErr w:type="gramStart"/>
      <w:r>
        <w:rPr>
          <w:rFonts w:hint="eastAsia"/>
        </w:rPr>
        <w:t>讯息</w:t>
      </w:r>
      <w:proofErr w:type="gramEnd"/>
      <w:r>
        <w:rPr>
          <w:rFonts w:hint="eastAsia"/>
        </w:rPr>
        <w:t>被证明违法的情况下，对表达自由的行使可能会在事后受到挑战。</w:t>
      </w:r>
    </w:p>
    <w:p w:rsidR="00537A98" w:rsidRDefault="00537A98" w:rsidP="006527E4">
      <w:pPr>
        <w:pStyle w:val="SingleTxtGC"/>
        <w:tabs>
          <w:tab w:val="clear" w:pos="1565"/>
          <w:tab w:val="clear" w:pos="1996"/>
          <w:tab w:val="clear" w:pos="2427"/>
        </w:tabs>
      </w:pPr>
      <w:r>
        <w:rPr>
          <w:rFonts w:hint="eastAsia"/>
        </w:rPr>
        <w:t>174.</w:t>
      </w:r>
      <w:r>
        <w:rPr>
          <w:rFonts w:hint="eastAsia"/>
        </w:rPr>
        <w:tab/>
      </w:r>
      <w:r>
        <w:rPr>
          <w:rFonts w:hint="eastAsia"/>
        </w:rPr>
        <w:t>大众媒体委员会是由大众传播领域内的出版人和记者建立的一个自我管理委员会，其宗旨是阐释良好专业实践并捍卫言论和出版自由。该委员会还触及记者获取信息的方法问题。该委员会不行使法律管辖权或公权力。但是，其决定得到严格的奉行和遵守。凡认为报刊、广播或电视违反了良好专业实践者，均可提请该委员会予以关注。该委员会还可受理有关网上材料的投诉，只要该材料被视为系在网上媒体中发布。芬兰的大多数媒体均已签署该委员会的《基本协议》。根据上述协议，该委员会可直接处理与其有关的任何投诉。在某些涉及重要原则的情况下，该委员会也可独立地启动调查。</w:t>
      </w:r>
    </w:p>
    <w:p w:rsidR="00537A98" w:rsidRDefault="00537A98" w:rsidP="00047A2A">
      <w:pPr>
        <w:pStyle w:val="H23GC"/>
      </w:pPr>
      <w:r>
        <w:rPr>
          <w:rFonts w:hint="eastAsia"/>
        </w:rPr>
        <w:tab/>
      </w:r>
      <w:r>
        <w:rPr>
          <w:rFonts w:hint="eastAsia"/>
        </w:rPr>
        <w:tab/>
      </w:r>
      <w:r>
        <w:rPr>
          <w:rFonts w:hint="eastAsia"/>
        </w:rPr>
        <w:t>芬兰广播公司</w:t>
      </w:r>
    </w:p>
    <w:p w:rsidR="00537A98" w:rsidRDefault="00537A98" w:rsidP="006527E4">
      <w:pPr>
        <w:pStyle w:val="SingleTxtGC"/>
        <w:tabs>
          <w:tab w:val="clear" w:pos="1565"/>
          <w:tab w:val="clear" w:pos="1996"/>
          <w:tab w:val="clear" w:pos="2427"/>
        </w:tabs>
      </w:pPr>
      <w:r>
        <w:rPr>
          <w:rFonts w:hint="eastAsia"/>
        </w:rPr>
        <w:t>175.</w:t>
      </w:r>
      <w:r>
        <w:rPr>
          <w:rFonts w:hint="eastAsia"/>
        </w:rPr>
        <w:tab/>
      </w:r>
      <w:r>
        <w:rPr>
          <w:rFonts w:hint="eastAsia"/>
        </w:rPr>
        <w:t>芬兰广播公司的活动由《芬兰广播公司法》</w:t>
      </w:r>
      <w:r>
        <w:rPr>
          <w:rFonts w:hint="eastAsia"/>
        </w:rPr>
        <w:t>(1380/1993)</w:t>
      </w:r>
      <w:r>
        <w:rPr>
          <w:rFonts w:hint="eastAsia"/>
        </w:rPr>
        <w:t>予以规定。该法规定了芬兰广播公司在公共服务节目相关活动中的指导原则和特殊职责。公共服务节目相关活动须在广播当中对芬兰</w:t>
      </w:r>
      <w:proofErr w:type="gramStart"/>
      <w:r>
        <w:rPr>
          <w:rFonts w:hint="eastAsia"/>
        </w:rPr>
        <w:t>语公民</w:t>
      </w:r>
      <w:proofErr w:type="gramEnd"/>
      <w:r>
        <w:rPr>
          <w:rFonts w:hint="eastAsia"/>
        </w:rPr>
        <w:t>和瑞典</w:t>
      </w:r>
      <w:proofErr w:type="gramStart"/>
      <w:r>
        <w:rPr>
          <w:rFonts w:hint="eastAsia"/>
        </w:rPr>
        <w:t>语公民</w:t>
      </w:r>
      <w:proofErr w:type="gramEnd"/>
      <w:r>
        <w:rPr>
          <w:rFonts w:hint="eastAsia"/>
        </w:rPr>
        <w:t>一视同仁，以萨米语、罗姆语和手语提供服务，在适用情况下还要以国内其他语言群体的语言提供服务，支持容忍、平等对待、平等和文化多样性，为上述群体和特殊群体提供节目，促进文化互动，并不断制作旨在供国际发行的作品。芬兰广播公司系由个人和公司缴纳的</w:t>
      </w:r>
      <w:proofErr w:type="gramStart"/>
      <w:r>
        <w:rPr>
          <w:rFonts w:hint="eastAsia"/>
        </w:rPr>
        <w:t>芬兰广播公司税供资</w:t>
      </w:r>
      <w:proofErr w:type="gramEnd"/>
      <w:r>
        <w:rPr>
          <w:rFonts w:hint="eastAsia"/>
        </w:rPr>
        <w:t>。</w:t>
      </w:r>
      <w:r>
        <w:rPr>
          <w:rFonts w:hint="eastAsia"/>
        </w:rPr>
        <w:t>2019</w:t>
      </w:r>
      <w:r>
        <w:rPr>
          <w:rFonts w:hint="eastAsia"/>
        </w:rPr>
        <w:t>年，其资金达到</w:t>
      </w:r>
      <w:r>
        <w:rPr>
          <w:rFonts w:hint="eastAsia"/>
        </w:rPr>
        <w:t>519,134,000</w:t>
      </w:r>
      <w:r>
        <w:rPr>
          <w:rFonts w:hint="eastAsia"/>
        </w:rPr>
        <w:t>欧元。</w:t>
      </w:r>
    </w:p>
    <w:p w:rsidR="00537A98" w:rsidRDefault="00537A98" w:rsidP="006527E4">
      <w:pPr>
        <w:pStyle w:val="SingleTxtGC"/>
        <w:tabs>
          <w:tab w:val="clear" w:pos="1565"/>
          <w:tab w:val="clear" w:pos="1996"/>
          <w:tab w:val="clear" w:pos="2427"/>
        </w:tabs>
      </w:pPr>
      <w:r>
        <w:rPr>
          <w:rFonts w:hint="eastAsia"/>
        </w:rPr>
        <w:t>176.</w:t>
      </w:r>
      <w:r>
        <w:rPr>
          <w:rFonts w:hint="eastAsia"/>
        </w:rPr>
        <w:tab/>
      </w:r>
      <w:r>
        <w:rPr>
          <w:rFonts w:hint="eastAsia"/>
        </w:rPr>
        <w:t>以瑞典</w:t>
      </w:r>
      <w:proofErr w:type="gramStart"/>
      <w:r>
        <w:rPr>
          <w:rFonts w:hint="eastAsia"/>
        </w:rPr>
        <w:t>语提供</w:t>
      </w:r>
      <w:proofErr w:type="gramEnd"/>
      <w:r>
        <w:rPr>
          <w:rFonts w:hint="eastAsia"/>
        </w:rPr>
        <w:t>的服务由芬兰广播公司瑞典语频道这一实体承担。芬兰广播公司萨米电台是芬兰唯一</w:t>
      </w:r>
      <w:proofErr w:type="gramStart"/>
      <w:r>
        <w:rPr>
          <w:rFonts w:hint="eastAsia"/>
        </w:rPr>
        <w:t>一个</w:t>
      </w:r>
      <w:proofErr w:type="gramEnd"/>
      <w:r>
        <w:rPr>
          <w:rFonts w:hint="eastAsia"/>
        </w:rPr>
        <w:t>以所有三种萨米语言</w:t>
      </w:r>
      <w:r>
        <w:rPr>
          <w:rFonts w:hint="eastAsia"/>
        </w:rPr>
        <w:t>(</w:t>
      </w:r>
      <w:r>
        <w:rPr>
          <w:rFonts w:hint="eastAsia"/>
        </w:rPr>
        <w:t>北萨米语、斯科尔特萨米语和伊纳里萨米语</w:t>
      </w:r>
      <w:r>
        <w:rPr>
          <w:rFonts w:hint="eastAsia"/>
        </w:rPr>
        <w:t>)</w:t>
      </w:r>
      <w:r>
        <w:rPr>
          <w:rFonts w:hint="eastAsia"/>
        </w:rPr>
        <w:t>制作新闻和时事内容、儿童和青年节目、针对萨米人的祈祷节目的制作方。芬兰广播公司还以手语、罗姆语、俄语和英语播报新闻。</w:t>
      </w:r>
    </w:p>
    <w:p w:rsidR="00537A98" w:rsidRDefault="00537A98" w:rsidP="00047A2A">
      <w:pPr>
        <w:pStyle w:val="H23GC"/>
      </w:pPr>
      <w:r>
        <w:rPr>
          <w:rFonts w:hint="eastAsia"/>
        </w:rPr>
        <w:tab/>
      </w:r>
      <w:r>
        <w:rPr>
          <w:rFonts w:hint="eastAsia"/>
        </w:rPr>
        <w:tab/>
      </w:r>
      <w:r>
        <w:rPr>
          <w:rFonts w:hint="eastAsia"/>
        </w:rPr>
        <w:t>报纸补贴</w:t>
      </w:r>
    </w:p>
    <w:p w:rsidR="00537A98" w:rsidRDefault="00537A98" w:rsidP="006527E4">
      <w:pPr>
        <w:pStyle w:val="SingleTxtGC"/>
        <w:tabs>
          <w:tab w:val="clear" w:pos="1565"/>
          <w:tab w:val="clear" w:pos="1996"/>
          <w:tab w:val="clear" w:pos="2427"/>
        </w:tabs>
      </w:pPr>
      <w:r>
        <w:rPr>
          <w:rFonts w:hint="eastAsia"/>
        </w:rPr>
        <w:t>177.</w:t>
      </w:r>
      <w:r>
        <w:rPr>
          <w:rFonts w:hint="eastAsia"/>
        </w:rPr>
        <w:tab/>
      </w:r>
      <w:r>
        <w:rPr>
          <w:rFonts w:hint="eastAsia"/>
        </w:rPr>
        <w:t>《关于向报纸提供补贴的政府法令》</w:t>
      </w:r>
      <w:r>
        <w:rPr>
          <w:rFonts w:hint="eastAsia"/>
        </w:rPr>
        <w:t>(389/2008)</w:t>
      </w:r>
      <w:r>
        <w:rPr>
          <w:rFonts w:hint="eastAsia"/>
        </w:rPr>
        <w:t>就为促进以瑞典语、萨米语、卡累利阿語、罗姆语以及手语出版报纸和网上杂志提供补贴</w:t>
      </w:r>
      <w:proofErr w:type="gramStart"/>
      <w:r>
        <w:rPr>
          <w:rFonts w:hint="eastAsia"/>
        </w:rPr>
        <w:t>作出</w:t>
      </w:r>
      <w:proofErr w:type="gramEnd"/>
      <w:r>
        <w:rPr>
          <w:rFonts w:hint="eastAsia"/>
        </w:rPr>
        <w:t>了规定。也可为制作瑞典</w:t>
      </w:r>
      <w:proofErr w:type="gramStart"/>
      <w:r>
        <w:rPr>
          <w:rFonts w:hint="eastAsia"/>
        </w:rPr>
        <w:t>语新闻</w:t>
      </w:r>
      <w:proofErr w:type="gramEnd"/>
      <w:r>
        <w:rPr>
          <w:rFonts w:hint="eastAsia"/>
        </w:rPr>
        <w:t>节目以及与芬兰语或瑞典语报纸或杂志一起制作和出版萨米</w:t>
      </w:r>
      <w:proofErr w:type="gramStart"/>
      <w:r>
        <w:rPr>
          <w:rFonts w:hint="eastAsia"/>
        </w:rPr>
        <w:t>语内容</w:t>
      </w:r>
      <w:proofErr w:type="gramEnd"/>
      <w:r>
        <w:rPr>
          <w:rFonts w:hint="eastAsia"/>
        </w:rPr>
        <w:t>提供财政援助。可见，上述法令旨在促进表达自由以及传播的多样化和多元化。</w:t>
      </w:r>
      <w:r>
        <w:rPr>
          <w:rFonts w:hint="eastAsia"/>
        </w:rPr>
        <w:t>2019</w:t>
      </w:r>
      <w:r>
        <w:rPr>
          <w:rFonts w:hint="eastAsia"/>
        </w:rPr>
        <w:t>年，向报纸提供的补贴达到</w:t>
      </w:r>
      <w:r>
        <w:rPr>
          <w:rFonts w:hint="eastAsia"/>
        </w:rPr>
        <w:t>500,000</w:t>
      </w:r>
      <w:r>
        <w:rPr>
          <w:rFonts w:hint="eastAsia"/>
        </w:rPr>
        <w:t>欧元。</w:t>
      </w:r>
    </w:p>
    <w:p w:rsidR="00537A98" w:rsidRDefault="00537A98" w:rsidP="00047A2A">
      <w:pPr>
        <w:pStyle w:val="H23GC"/>
      </w:pPr>
      <w:r>
        <w:rPr>
          <w:rFonts w:hint="eastAsia"/>
        </w:rPr>
        <w:tab/>
        <w:t>(o)</w:t>
      </w:r>
      <w:r>
        <w:rPr>
          <w:rFonts w:hint="eastAsia"/>
        </w:rPr>
        <w:tab/>
      </w:r>
      <w:r>
        <w:rPr>
          <w:rFonts w:hint="eastAsia"/>
        </w:rPr>
        <w:t>法院</w:t>
      </w:r>
    </w:p>
    <w:p w:rsidR="00537A98" w:rsidRDefault="00537A98" w:rsidP="006527E4">
      <w:pPr>
        <w:pStyle w:val="SingleTxtGC"/>
        <w:tabs>
          <w:tab w:val="clear" w:pos="1565"/>
          <w:tab w:val="clear" w:pos="1996"/>
          <w:tab w:val="clear" w:pos="2427"/>
        </w:tabs>
      </w:pPr>
      <w:r>
        <w:rPr>
          <w:rFonts w:hint="eastAsia"/>
        </w:rPr>
        <w:t>178.</w:t>
      </w:r>
      <w:r>
        <w:rPr>
          <w:rFonts w:hint="eastAsia"/>
        </w:rPr>
        <w:tab/>
      </w:r>
      <w:r>
        <w:rPr>
          <w:rFonts w:hint="eastAsia"/>
        </w:rPr>
        <w:t>根据《芬兰宪法》第</w:t>
      </w:r>
      <w:r>
        <w:rPr>
          <w:rFonts w:hint="eastAsia"/>
        </w:rPr>
        <w:t>3</w:t>
      </w:r>
      <w:r>
        <w:rPr>
          <w:rFonts w:hint="eastAsia"/>
        </w:rPr>
        <w:t>条第</w:t>
      </w:r>
      <w:r>
        <w:rPr>
          <w:rFonts w:hint="eastAsia"/>
        </w:rPr>
        <w:t>3</w:t>
      </w:r>
      <w:r>
        <w:rPr>
          <w:rFonts w:hint="eastAsia"/>
        </w:rPr>
        <w:t>款：司法权力由独立的法院行使；最高法院和最高行政法院是最高审级。不得设立临时法院。芬兰的法院系统分为两个独立的法院系列：普通法院和行政法院。上述两个法院系列由特定的特别法院予以补充。</w:t>
      </w:r>
    </w:p>
    <w:p w:rsidR="00537A98" w:rsidRDefault="00537A98" w:rsidP="00047A2A">
      <w:pPr>
        <w:pStyle w:val="H23GC"/>
      </w:pPr>
      <w:r>
        <w:rPr>
          <w:rFonts w:hint="eastAsia"/>
        </w:rPr>
        <w:tab/>
      </w:r>
      <w:r>
        <w:rPr>
          <w:rFonts w:hint="eastAsia"/>
        </w:rPr>
        <w:tab/>
      </w:r>
      <w:r>
        <w:rPr>
          <w:rFonts w:hint="eastAsia"/>
        </w:rPr>
        <w:t>地区法院、上诉法院和最高法院</w:t>
      </w:r>
    </w:p>
    <w:p w:rsidR="00537A98" w:rsidRDefault="00537A98" w:rsidP="006527E4">
      <w:pPr>
        <w:pStyle w:val="SingleTxtGC"/>
        <w:tabs>
          <w:tab w:val="clear" w:pos="1565"/>
          <w:tab w:val="clear" w:pos="1996"/>
          <w:tab w:val="clear" w:pos="2427"/>
        </w:tabs>
      </w:pPr>
      <w:r>
        <w:rPr>
          <w:rFonts w:hint="eastAsia"/>
        </w:rPr>
        <w:t>179.</w:t>
      </w:r>
      <w:r>
        <w:rPr>
          <w:rFonts w:hint="eastAsia"/>
        </w:rPr>
        <w:tab/>
      </w:r>
      <w:r>
        <w:rPr>
          <w:rFonts w:hint="eastAsia"/>
        </w:rPr>
        <w:t>芬兰地区法院受理刑事案件、民事案件和申请事宜。芬兰有</w:t>
      </w:r>
      <w:r>
        <w:rPr>
          <w:rFonts w:hint="eastAsia"/>
        </w:rPr>
        <w:t>20</w:t>
      </w:r>
      <w:r>
        <w:rPr>
          <w:rFonts w:hint="eastAsia"/>
        </w:rPr>
        <w:t>个地区法院。地区法院由首席法官主持，而其他法官的头衔是地区法官。在某些情况下，地区法院也可能有非专职法官。案件或在传唤当事各方到场的庭审当中审理和解</w:t>
      </w:r>
      <w:r>
        <w:rPr>
          <w:rFonts w:hint="eastAsia"/>
        </w:rPr>
        <w:lastRenderedPageBreak/>
        <w:t>决，或在书面程序中仅以文件为基础裁定。在简单的案件中，可由实习地区法官和经过培训的法院工作人员</w:t>
      </w:r>
      <w:proofErr w:type="gramStart"/>
      <w:r>
        <w:rPr>
          <w:rFonts w:hint="eastAsia"/>
        </w:rPr>
        <w:t>作出</w:t>
      </w:r>
      <w:proofErr w:type="gramEnd"/>
      <w:r>
        <w:rPr>
          <w:rFonts w:hint="eastAsia"/>
        </w:rPr>
        <w:t>裁定。</w:t>
      </w:r>
    </w:p>
    <w:p w:rsidR="00537A98" w:rsidRDefault="00537A98" w:rsidP="006527E4">
      <w:pPr>
        <w:pStyle w:val="SingleTxtGC"/>
        <w:tabs>
          <w:tab w:val="clear" w:pos="1565"/>
          <w:tab w:val="clear" w:pos="1996"/>
          <w:tab w:val="clear" w:pos="2427"/>
        </w:tabs>
      </w:pPr>
      <w:r>
        <w:rPr>
          <w:rFonts w:hint="eastAsia"/>
        </w:rPr>
        <w:t>180.</w:t>
      </w:r>
      <w:r>
        <w:rPr>
          <w:rFonts w:hint="eastAsia"/>
        </w:rPr>
        <w:tab/>
      </w:r>
      <w:r>
        <w:rPr>
          <w:rFonts w:hint="eastAsia"/>
        </w:rPr>
        <w:t>此类也可由法院受理的民事和申请事宜可能须要调解。争议可能涉及例如协议、继承事宜或是损害赔偿主张。此外，与子女监护权、接触权和抚养费有关的争议也可通过调解解决。</w:t>
      </w:r>
    </w:p>
    <w:p w:rsidR="00537A98" w:rsidRDefault="00537A98" w:rsidP="006527E4">
      <w:pPr>
        <w:pStyle w:val="SingleTxtGC"/>
        <w:tabs>
          <w:tab w:val="clear" w:pos="1565"/>
          <w:tab w:val="clear" w:pos="1996"/>
          <w:tab w:val="clear" w:pos="2427"/>
        </w:tabs>
      </w:pPr>
      <w:r>
        <w:rPr>
          <w:rFonts w:hint="eastAsia"/>
        </w:rPr>
        <w:t>181.</w:t>
      </w:r>
      <w:r>
        <w:rPr>
          <w:rFonts w:hint="eastAsia"/>
        </w:rPr>
        <w:tab/>
      </w:r>
      <w:r>
        <w:rPr>
          <w:rFonts w:hint="eastAsia"/>
        </w:rPr>
        <w:t>在很多类型的案件当中，也可采用其他替代性争议解决办法。举例来说，消费者咨询处和消费者争议委员会处理与消费者保护有关的争议，而刑事事宜则另有一个调解程序。</w:t>
      </w:r>
    </w:p>
    <w:p w:rsidR="0074650F" w:rsidRPr="003F1848" w:rsidRDefault="00537A98" w:rsidP="00047A2A">
      <w:pPr>
        <w:pStyle w:val="SingleTxtGC"/>
        <w:tabs>
          <w:tab w:val="clear" w:pos="1565"/>
          <w:tab w:val="clear" w:pos="1996"/>
          <w:tab w:val="clear" w:pos="2427"/>
        </w:tabs>
        <w:rPr>
          <w:rFonts w:ascii="Time New Roman" w:eastAsia="黑体" w:hAnsi="Time New Roman" w:hint="eastAsia"/>
        </w:rPr>
      </w:pPr>
      <w:r>
        <w:rPr>
          <w:rFonts w:hint="eastAsia"/>
        </w:rPr>
        <w:t>表</w:t>
      </w:r>
      <w:r>
        <w:rPr>
          <w:rFonts w:hint="eastAsia"/>
        </w:rPr>
        <w:t>8.</w:t>
      </w:r>
      <w:r w:rsidR="00047A2A">
        <w:br/>
      </w:r>
      <w:r w:rsidRPr="003F1848">
        <w:rPr>
          <w:rFonts w:ascii="Time New Roman" w:eastAsia="黑体" w:hAnsi="Time New Roman" w:hint="eastAsia"/>
        </w:rPr>
        <w:t>地区法院受理的案件</w:t>
      </w:r>
      <w:r w:rsidRPr="003F1848">
        <w:rPr>
          <w:rFonts w:ascii="Time New Roman" w:eastAsia="黑体" w:hAnsi="Time New Roman" w:hint="eastAsia"/>
        </w:rPr>
        <w:t>(2006</w:t>
      </w:r>
      <w:r w:rsidR="00047A2A" w:rsidRPr="003F1848">
        <w:rPr>
          <w:rFonts w:ascii="Time New Roman" w:eastAsia="黑体" w:hAnsi="Time New Roman" w:hint="eastAsia"/>
        </w:rPr>
        <w:t>-</w:t>
      </w:r>
      <w:r w:rsidRPr="003F1848">
        <w:rPr>
          <w:rFonts w:ascii="Time New Roman" w:eastAsia="黑体" w:hAnsi="Time New Roman" w:hint="eastAsia"/>
        </w:rPr>
        <w:t>2018</w:t>
      </w:r>
      <w:r w:rsidRPr="003F1848">
        <w:rPr>
          <w:rFonts w:ascii="Time New Roman" w:eastAsia="黑体" w:hAnsi="Time New Roman" w:hint="eastAsia"/>
        </w:rPr>
        <w:t>年</w:t>
      </w:r>
      <w:r w:rsidRPr="003F1848">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1"/>
        <w:gridCol w:w="1879"/>
        <w:gridCol w:w="1878"/>
        <w:gridCol w:w="1942"/>
      </w:tblGrid>
      <w:tr w:rsidR="00C47EF8" w:rsidRPr="00B917A0" w:rsidTr="00C02BD1">
        <w:trPr>
          <w:tblHeader/>
        </w:trPr>
        <w:tc>
          <w:tcPr>
            <w:tcW w:w="1671" w:type="dxa"/>
            <w:tcBorders>
              <w:top w:val="single" w:sz="4" w:space="0" w:color="auto"/>
              <w:bottom w:val="single" w:sz="12" w:space="0" w:color="auto"/>
            </w:tcBorders>
            <w:shd w:val="clear" w:color="auto" w:fill="auto"/>
            <w:vAlign w:val="bottom"/>
            <w:hideMark/>
          </w:tcPr>
          <w:p w:rsidR="00C47EF8" w:rsidRPr="00B917A0" w:rsidRDefault="00C47EF8" w:rsidP="00C02BD1">
            <w:pPr>
              <w:pStyle w:val="a4"/>
              <w:ind w:right="0"/>
              <w:jc w:val="left"/>
            </w:pPr>
            <w:r w:rsidRPr="00B917A0">
              <w:rPr>
                <w:rFonts w:hint="eastAsia"/>
              </w:rPr>
              <w:t>年份</w:t>
            </w:r>
            <w:r>
              <w:rPr>
                <w:rFonts w:hint="eastAsia"/>
              </w:rPr>
              <w:t>/</w:t>
            </w:r>
            <w:r w:rsidRPr="00B917A0">
              <w:rPr>
                <w:rFonts w:hint="eastAsia"/>
              </w:rPr>
              <w:t>案件</w:t>
            </w:r>
          </w:p>
        </w:tc>
        <w:tc>
          <w:tcPr>
            <w:tcW w:w="1879" w:type="dxa"/>
            <w:tcBorders>
              <w:top w:val="single" w:sz="4" w:space="0" w:color="auto"/>
              <w:bottom w:val="single" w:sz="12" w:space="0" w:color="auto"/>
            </w:tcBorders>
            <w:shd w:val="clear" w:color="auto" w:fill="auto"/>
            <w:vAlign w:val="bottom"/>
            <w:hideMark/>
          </w:tcPr>
          <w:p w:rsidR="00C47EF8" w:rsidRPr="00B917A0" w:rsidRDefault="00C47EF8" w:rsidP="00C02BD1">
            <w:pPr>
              <w:pStyle w:val="a4"/>
              <w:ind w:right="0"/>
              <w:jc w:val="right"/>
            </w:pPr>
            <w:r w:rsidRPr="00B917A0">
              <w:rPr>
                <w:rFonts w:hint="eastAsia"/>
              </w:rPr>
              <w:t>收到案件</w:t>
            </w:r>
          </w:p>
        </w:tc>
        <w:tc>
          <w:tcPr>
            <w:tcW w:w="1878" w:type="dxa"/>
            <w:tcBorders>
              <w:top w:val="single" w:sz="4" w:space="0" w:color="auto"/>
              <w:bottom w:val="single" w:sz="12" w:space="0" w:color="auto"/>
            </w:tcBorders>
            <w:shd w:val="clear" w:color="auto" w:fill="auto"/>
            <w:vAlign w:val="bottom"/>
            <w:hideMark/>
          </w:tcPr>
          <w:p w:rsidR="00C47EF8" w:rsidRPr="00B917A0" w:rsidRDefault="00C47EF8" w:rsidP="00C02BD1">
            <w:pPr>
              <w:pStyle w:val="a4"/>
              <w:ind w:right="0"/>
              <w:jc w:val="right"/>
            </w:pPr>
            <w:r w:rsidRPr="00B917A0">
              <w:rPr>
                <w:rFonts w:hint="eastAsia"/>
              </w:rPr>
              <w:t>审结案件</w:t>
            </w:r>
          </w:p>
        </w:tc>
        <w:tc>
          <w:tcPr>
            <w:tcW w:w="1942" w:type="dxa"/>
            <w:tcBorders>
              <w:top w:val="single" w:sz="4" w:space="0" w:color="auto"/>
              <w:bottom w:val="single" w:sz="12" w:space="0" w:color="auto"/>
            </w:tcBorders>
            <w:shd w:val="clear" w:color="auto" w:fill="auto"/>
            <w:vAlign w:val="bottom"/>
            <w:hideMark/>
          </w:tcPr>
          <w:p w:rsidR="00C47EF8" w:rsidRPr="00B917A0" w:rsidRDefault="00C47EF8" w:rsidP="00C02BD1">
            <w:pPr>
              <w:pStyle w:val="a4"/>
              <w:ind w:right="0"/>
              <w:jc w:val="right"/>
            </w:pPr>
            <w:r w:rsidRPr="00B917A0">
              <w:rPr>
                <w:rFonts w:hint="eastAsia"/>
              </w:rPr>
              <w:t>待决案件</w:t>
            </w:r>
          </w:p>
        </w:tc>
      </w:tr>
      <w:tr w:rsidR="00C47EF8" w:rsidRPr="00B917A0" w:rsidTr="00C02BD1">
        <w:tc>
          <w:tcPr>
            <w:tcW w:w="1671" w:type="dxa"/>
            <w:tcBorders>
              <w:top w:val="single" w:sz="12" w:space="0" w:color="auto"/>
            </w:tcBorders>
            <w:shd w:val="clear" w:color="auto" w:fill="auto"/>
            <w:hideMark/>
          </w:tcPr>
          <w:p w:rsidR="00C47EF8" w:rsidRPr="00B917A0" w:rsidRDefault="00C47EF8" w:rsidP="00C02BD1">
            <w:pPr>
              <w:pStyle w:val="a3"/>
              <w:overflowPunct/>
              <w:ind w:right="0"/>
              <w:jc w:val="left"/>
            </w:pPr>
            <w:r>
              <w:t>2</w:t>
            </w:r>
            <w:r w:rsidRPr="00B917A0">
              <w:t>00</w:t>
            </w:r>
            <w:r>
              <w:t>6</w:t>
            </w:r>
          </w:p>
        </w:tc>
        <w:tc>
          <w:tcPr>
            <w:tcW w:w="1879" w:type="dxa"/>
            <w:tcBorders>
              <w:top w:val="single" w:sz="12" w:space="0" w:color="auto"/>
            </w:tcBorders>
            <w:shd w:val="clear" w:color="auto" w:fill="auto"/>
            <w:vAlign w:val="bottom"/>
            <w:hideMark/>
          </w:tcPr>
          <w:p w:rsidR="00C47EF8" w:rsidRPr="00B917A0" w:rsidRDefault="00C47EF8" w:rsidP="00C02BD1">
            <w:pPr>
              <w:pStyle w:val="a3"/>
              <w:overflowPunct/>
              <w:ind w:right="0"/>
              <w:jc w:val="right"/>
            </w:pPr>
            <w:r>
              <w:t>814</w:t>
            </w:r>
            <w:r w:rsidRPr="00B917A0">
              <w:t xml:space="preserve"> </w:t>
            </w:r>
            <w:r>
              <w:t>213</w:t>
            </w:r>
          </w:p>
        </w:tc>
        <w:tc>
          <w:tcPr>
            <w:tcW w:w="1878" w:type="dxa"/>
            <w:tcBorders>
              <w:top w:val="single" w:sz="12" w:space="0" w:color="auto"/>
            </w:tcBorders>
            <w:shd w:val="clear" w:color="auto" w:fill="auto"/>
            <w:vAlign w:val="bottom"/>
            <w:hideMark/>
          </w:tcPr>
          <w:p w:rsidR="00C47EF8" w:rsidRPr="00B917A0" w:rsidRDefault="00C47EF8" w:rsidP="00C02BD1">
            <w:pPr>
              <w:pStyle w:val="a3"/>
              <w:overflowPunct/>
              <w:ind w:right="0"/>
              <w:jc w:val="right"/>
            </w:pPr>
            <w:r>
              <w:t>8</w:t>
            </w:r>
            <w:r w:rsidRPr="00B917A0">
              <w:t>0</w:t>
            </w:r>
            <w:r>
              <w:t>5</w:t>
            </w:r>
            <w:r w:rsidRPr="00B917A0">
              <w:t xml:space="preserve"> </w:t>
            </w:r>
            <w:r>
              <w:t>982</w:t>
            </w:r>
          </w:p>
        </w:tc>
        <w:tc>
          <w:tcPr>
            <w:tcW w:w="1942" w:type="dxa"/>
            <w:tcBorders>
              <w:top w:val="single" w:sz="12" w:space="0" w:color="auto"/>
            </w:tcBorders>
            <w:shd w:val="clear" w:color="auto" w:fill="auto"/>
            <w:vAlign w:val="bottom"/>
            <w:hideMark/>
          </w:tcPr>
          <w:p w:rsidR="00C47EF8" w:rsidRPr="00B917A0" w:rsidRDefault="00C47EF8" w:rsidP="00C02BD1">
            <w:pPr>
              <w:pStyle w:val="a3"/>
              <w:overflowPunct/>
              <w:ind w:right="0"/>
              <w:jc w:val="right"/>
            </w:pPr>
            <w:r>
              <w:t>89</w:t>
            </w:r>
            <w:r w:rsidRPr="00B917A0">
              <w:t xml:space="preserve"> </w:t>
            </w:r>
            <w:r>
              <w:t>882</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00</w:t>
            </w:r>
            <w:r>
              <w:t>7</w:t>
            </w:r>
          </w:p>
        </w:tc>
        <w:tc>
          <w:tcPr>
            <w:tcW w:w="1879" w:type="dxa"/>
            <w:shd w:val="clear" w:color="auto" w:fill="auto"/>
            <w:vAlign w:val="bottom"/>
            <w:hideMark/>
          </w:tcPr>
          <w:p w:rsidR="00C47EF8" w:rsidRPr="00B917A0" w:rsidRDefault="00C47EF8" w:rsidP="00C02BD1">
            <w:pPr>
              <w:pStyle w:val="a3"/>
              <w:overflowPunct/>
              <w:ind w:right="0"/>
              <w:jc w:val="right"/>
            </w:pPr>
            <w:r>
              <w:t>687</w:t>
            </w:r>
            <w:r w:rsidRPr="00B917A0">
              <w:t xml:space="preserve"> </w:t>
            </w:r>
            <w:r>
              <w:t>442</w:t>
            </w:r>
          </w:p>
        </w:tc>
        <w:tc>
          <w:tcPr>
            <w:tcW w:w="1878" w:type="dxa"/>
            <w:shd w:val="clear" w:color="auto" w:fill="auto"/>
            <w:vAlign w:val="bottom"/>
            <w:hideMark/>
          </w:tcPr>
          <w:p w:rsidR="00C47EF8" w:rsidRPr="00B917A0" w:rsidRDefault="00C47EF8" w:rsidP="00C02BD1">
            <w:pPr>
              <w:pStyle w:val="a3"/>
              <w:overflowPunct/>
              <w:ind w:right="0"/>
              <w:jc w:val="right"/>
            </w:pPr>
            <w:r>
              <w:t>687</w:t>
            </w:r>
            <w:r w:rsidRPr="00B917A0">
              <w:t xml:space="preserve"> </w:t>
            </w:r>
            <w:r>
              <w:t>249</w:t>
            </w:r>
          </w:p>
        </w:tc>
        <w:tc>
          <w:tcPr>
            <w:tcW w:w="1942" w:type="dxa"/>
            <w:shd w:val="clear" w:color="auto" w:fill="auto"/>
            <w:vAlign w:val="bottom"/>
            <w:hideMark/>
          </w:tcPr>
          <w:p w:rsidR="00C47EF8" w:rsidRPr="00B917A0" w:rsidRDefault="00C47EF8" w:rsidP="00C02BD1">
            <w:pPr>
              <w:pStyle w:val="a3"/>
              <w:overflowPunct/>
              <w:ind w:right="0"/>
              <w:jc w:val="right"/>
            </w:pPr>
            <w:r>
              <w:t>88</w:t>
            </w:r>
            <w:r w:rsidRPr="00B917A0">
              <w:t xml:space="preserve"> </w:t>
            </w:r>
            <w:r>
              <w:t>887</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00</w:t>
            </w:r>
            <w:r>
              <w:t>8</w:t>
            </w:r>
          </w:p>
        </w:tc>
        <w:tc>
          <w:tcPr>
            <w:tcW w:w="1879" w:type="dxa"/>
            <w:shd w:val="clear" w:color="auto" w:fill="auto"/>
            <w:vAlign w:val="bottom"/>
            <w:hideMark/>
          </w:tcPr>
          <w:p w:rsidR="00C47EF8" w:rsidRPr="00B917A0" w:rsidRDefault="00C47EF8" w:rsidP="00C02BD1">
            <w:pPr>
              <w:pStyle w:val="a3"/>
              <w:overflowPunct/>
              <w:ind w:right="0"/>
              <w:jc w:val="right"/>
            </w:pPr>
            <w:r>
              <w:t>7</w:t>
            </w:r>
            <w:r w:rsidRPr="00B917A0">
              <w:t>0</w:t>
            </w:r>
            <w:r>
              <w:t>7</w:t>
            </w:r>
            <w:r w:rsidRPr="00B917A0">
              <w:t xml:space="preserve"> </w:t>
            </w:r>
            <w:r>
              <w:t>847</w:t>
            </w:r>
          </w:p>
        </w:tc>
        <w:tc>
          <w:tcPr>
            <w:tcW w:w="1878" w:type="dxa"/>
            <w:shd w:val="clear" w:color="auto" w:fill="auto"/>
            <w:vAlign w:val="bottom"/>
            <w:hideMark/>
          </w:tcPr>
          <w:p w:rsidR="00C47EF8" w:rsidRPr="00B917A0" w:rsidRDefault="00C47EF8" w:rsidP="00C02BD1">
            <w:pPr>
              <w:pStyle w:val="a3"/>
              <w:overflowPunct/>
              <w:ind w:right="0"/>
              <w:jc w:val="right"/>
            </w:pPr>
            <w:r>
              <w:t>693</w:t>
            </w:r>
            <w:r w:rsidRPr="00B917A0">
              <w:t xml:space="preserve"> </w:t>
            </w:r>
            <w:r>
              <w:t>111</w:t>
            </w:r>
          </w:p>
        </w:tc>
        <w:tc>
          <w:tcPr>
            <w:tcW w:w="1942" w:type="dxa"/>
            <w:shd w:val="clear" w:color="auto" w:fill="auto"/>
            <w:vAlign w:val="bottom"/>
            <w:hideMark/>
          </w:tcPr>
          <w:p w:rsidR="00C47EF8" w:rsidRPr="00B917A0" w:rsidRDefault="00C47EF8" w:rsidP="00C02BD1">
            <w:pPr>
              <w:pStyle w:val="a3"/>
              <w:overflowPunct/>
              <w:ind w:right="0"/>
              <w:jc w:val="right"/>
            </w:pPr>
            <w:r>
              <w:t>1</w:t>
            </w:r>
            <w:r w:rsidRPr="00B917A0">
              <w:t>0</w:t>
            </w:r>
            <w:r>
              <w:t>1</w:t>
            </w:r>
            <w:r w:rsidRPr="00B917A0">
              <w:t xml:space="preserve"> </w:t>
            </w:r>
            <w:r>
              <w:t>941</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00</w:t>
            </w:r>
            <w:r>
              <w:t>9</w:t>
            </w:r>
          </w:p>
        </w:tc>
        <w:tc>
          <w:tcPr>
            <w:tcW w:w="1879" w:type="dxa"/>
            <w:shd w:val="clear" w:color="auto" w:fill="auto"/>
            <w:vAlign w:val="bottom"/>
            <w:hideMark/>
          </w:tcPr>
          <w:p w:rsidR="00C47EF8" w:rsidRPr="00B917A0" w:rsidRDefault="00C47EF8" w:rsidP="00C02BD1">
            <w:pPr>
              <w:pStyle w:val="a3"/>
              <w:overflowPunct/>
              <w:ind w:right="0"/>
              <w:jc w:val="right"/>
            </w:pPr>
            <w:r>
              <w:t>75</w:t>
            </w:r>
            <w:r w:rsidRPr="00B917A0">
              <w:t xml:space="preserve">0 </w:t>
            </w:r>
            <w:r>
              <w:t>151</w:t>
            </w:r>
          </w:p>
        </w:tc>
        <w:tc>
          <w:tcPr>
            <w:tcW w:w="1878" w:type="dxa"/>
            <w:shd w:val="clear" w:color="auto" w:fill="auto"/>
            <w:vAlign w:val="bottom"/>
            <w:hideMark/>
          </w:tcPr>
          <w:p w:rsidR="00C47EF8" w:rsidRPr="00B917A0" w:rsidRDefault="00C47EF8" w:rsidP="00C02BD1">
            <w:pPr>
              <w:pStyle w:val="a3"/>
              <w:overflowPunct/>
              <w:ind w:right="0"/>
              <w:jc w:val="right"/>
            </w:pPr>
            <w:r>
              <w:t>731</w:t>
            </w:r>
            <w:r w:rsidRPr="00B917A0">
              <w:t xml:space="preserve"> </w:t>
            </w:r>
            <w:r>
              <w:t>658</w:t>
            </w:r>
          </w:p>
        </w:tc>
        <w:tc>
          <w:tcPr>
            <w:tcW w:w="1942" w:type="dxa"/>
            <w:shd w:val="clear" w:color="auto" w:fill="auto"/>
            <w:vAlign w:val="bottom"/>
            <w:hideMark/>
          </w:tcPr>
          <w:p w:rsidR="00C47EF8" w:rsidRPr="00B917A0" w:rsidRDefault="00C47EF8" w:rsidP="00C02BD1">
            <w:pPr>
              <w:pStyle w:val="a3"/>
              <w:overflowPunct/>
              <w:ind w:right="0"/>
              <w:jc w:val="right"/>
            </w:pPr>
            <w:r>
              <w:t>118</w:t>
            </w:r>
            <w:r w:rsidRPr="00B917A0">
              <w:t xml:space="preserve"> </w:t>
            </w:r>
            <w:r>
              <w:t>765</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w:t>
            </w:r>
            <w:r w:rsidRPr="00B917A0">
              <w:t>0</w:t>
            </w:r>
          </w:p>
        </w:tc>
        <w:tc>
          <w:tcPr>
            <w:tcW w:w="1879" w:type="dxa"/>
            <w:shd w:val="clear" w:color="auto" w:fill="auto"/>
            <w:vAlign w:val="bottom"/>
            <w:hideMark/>
          </w:tcPr>
          <w:p w:rsidR="00C47EF8" w:rsidRPr="00B917A0" w:rsidRDefault="00C47EF8" w:rsidP="00C02BD1">
            <w:pPr>
              <w:pStyle w:val="a3"/>
              <w:overflowPunct/>
              <w:ind w:right="0"/>
              <w:jc w:val="right"/>
            </w:pPr>
            <w:r>
              <w:t>444</w:t>
            </w:r>
            <w:r w:rsidRPr="00B917A0">
              <w:t xml:space="preserve"> </w:t>
            </w:r>
            <w:r>
              <w:t>516</w:t>
            </w:r>
          </w:p>
        </w:tc>
        <w:tc>
          <w:tcPr>
            <w:tcW w:w="1878" w:type="dxa"/>
            <w:shd w:val="clear" w:color="auto" w:fill="auto"/>
            <w:vAlign w:val="bottom"/>
            <w:hideMark/>
          </w:tcPr>
          <w:p w:rsidR="00C47EF8" w:rsidRPr="00B917A0" w:rsidRDefault="00C47EF8" w:rsidP="00C02BD1">
            <w:pPr>
              <w:pStyle w:val="a3"/>
              <w:overflowPunct/>
              <w:ind w:right="0"/>
              <w:jc w:val="right"/>
            </w:pPr>
            <w:r>
              <w:t>443</w:t>
            </w:r>
            <w:r w:rsidRPr="00B917A0">
              <w:t xml:space="preserve"> </w:t>
            </w:r>
            <w:r>
              <w:t>874</w:t>
            </w:r>
          </w:p>
        </w:tc>
        <w:tc>
          <w:tcPr>
            <w:tcW w:w="1942" w:type="dxa"/>
            <w:shd w:val="clear" w:color="auto" w:fill="auto"/>
            <w:vAlign w:val="bottom"/>
            <w:hideMark/>
          </w:tcPr>
          <w:p w:rsidR="00C47EF8" w:rsidRPr="00B917A0" w:rsidRDefault="00C47EF8" w:rsidP="00C02BD1">
            <w:pPr>
              <w:pStyle w:val="a3"/>
              <w:overflowPunct/>
              <w:ind w:right="0"/>
              <w:jc w:val="right"/>
            </w:pPr>
            <w:r>
              <w:t>1</w:t>
            </w:r>
            <w:r w:rsidRPr="00B917A0">
              <w:t>0</w:t>
            </w:r>
            <w:r>
              <w:t>6</w:t>
            </w:r>
            <w:r w:rsidRPr="00B917A0">
              <w:t xml:space="preserve"> </w:t>
            </w:r>
            <w:r>
              <w:t>436</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11</w:t>
            </w:r>
          </w:p>
        </w:tc>
        <w:tc>
          <w:tcPr>
            <w:tcW w:w="1879" w:type="dxa"/>
            <w:shd w:val="clear" w:color="auto" w:fill="auto"/>
            <w:vAlign w:val="bottom"/>
            <w:hideMark/>
          </w:tcPr>
          <w:p w:rsidR="00C47EF8" w:rsidRPr="00B917A0" w:rsidRDefault="00C47EF8" w:rsidP="00C02BD1">
            <w:pPr>
              <w:pStyle w:val="a3"/>
              <w:overflowPunct/>
              <w:ind w:right="0"/>
              <w:jc w:val="right"/>
            </w:pPr>
            <w:r>
              <w:t>483</w:t>
            </w:r>
            <w:r w:rsidRPr="00B917A0">
              <w:t xml:space="preserve"> </w:t>
            </w:r>
            <w:r>
              <w:t>836</w:t>
            </w:r>
          </w:p>
        </w:tc>
        <w:tc>
          <w:tcPr>
            <w:tcW w:w="1878" w:type="dxa"/>
            <w:shd w:val="clear" w:color="auto" w:fill="auto"/>
            <w:vAlign w:val="bottom"/>
            <w:hideMark/>
          </w:tcPr>
          <w:p w:rsidR="00C47EF8" w:rsidRPr="00B917A0" w:rsidRDefault="00C47EF8" w:rsidP="00C02BD1">
            <w:pPr>
              <w:pStyle w:val="a3"/>
              <w:overflowPunct/>
              <w:ind w:right="0"/>
              <w:jc w:val="right"/>
            </w:pPr>
            <w:r>
              <w:t>476</w:t>
            </w:r>
            <w:r w:rsidRPr="00B917A0">
              <w:t xml:space="preserve"> </w:t>
            </w:r>
            <w:r>
              <w:t>913</w:t>
            </w:r>
          </w:p>
        </w:tc>
        <w:tc>
          <w:tcPr>
            <w:tcW w:w="1942" w:type="dxa"/>
            <w:shd w:val="clear" w:color="auto" w:fill="auto"/>
            <w:vAlign w:val="bottom"/>
            <w:hideMark/>
          </w:tcPr>
          <w:p w:rsidR="00C47EF8" w:rsidRPr="00B917A0" w:rsidRDefault="00C47EF8" w:rsidP="00C02BD1">
            <w:pPr>
              <w:pStyle w:val="a3"/>
              <w:overflowPunct/>
              <w:ind w:right="0"/>
              <w:jc w:val="right"/>
            </w:pPr>
            <w:r>
              <w:t>111</w:t>
            </w:r>
            <w:r w:rsidRPr="00B917A0">
              <w:t xml:space="preserve"> </w:t>
            </w:r>
            <w:r>
              <w:t>871</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12</w:t>
            </w:r>
          </w:p>
        </w:tc>
        <w:tc>
          <w:tcPr>
            <w:tcW w:w="1879" w:type="dxa"/>
            <w:shd w:val="clear" w:color="auto" w:fill="auto"/>
            <w:vAlign w:val="bottom"/>
            <w:hideMark/>
          </w:tcPr>
          <w:p w:rsidR="00C47EF8" w:rsidRPr="00B917A0" w:rsidRDefault="00C47EF8" w:rsidP="00C02BD1">
            <w:pPr>
              <w:pStyle w:val="a3"/>
              <w:overflowPunct/>
              <w:ind w:right="0"/>
              <w:jc w:val="right"/>
            </w:pPr>
            <w:r>
              <w:t>581</w:t>
            </w:r>
            <w:r w:rsidRPr="00B917A0">
              <w:t xml:space="preserve"> </w:t>
            </w:r>
            <w:r>
              <w:t>891</w:t>
            </w:r>
          </w:p>
        </w:tc>
        <w:tc>
          <w:tcPr>
            <w:tcW w:w="1878" w:type="dxa"/>
            <w:shd w:val="clear" w:color="auto" w:fill="auto"/>
            <w:vAlign w:val="bottom"/>
            <w:hideMark/>
          </w:tcPr>
          <w:p w:rsidR="00C47EF8" w:rsidRPr="00B917A0" w:rsidRDefault="00C47EF8" w:rsidP="00C02BD1">
            <w:pPr>
              <w:pStyle w:val="a3"/>
              <w:overflowPunct/>
              <w:ind w:right="0"/>
              <w:jc w:val="right"/>
            </w:pPr>
            <w:r>
              <w:t>55</w:t>
            </w:r>
            <w:r w:rsidRPr="00B917A0">
              <w:t xml:space="preserve">0 </w:t>
            </w:r>
            <w:r>
              <w:t>963</w:t>
            </w:r>
          </w:p>
        </w:tc>
        <w:tc>
          <w:tcPr>
            <w:tcW w:w="1942" w:type="dxa"/>
            <w:shd w:val="clear" w:color="auto" w:fill="auto"/>
            <w:vAlign w:val="bottom"/>
            <w:hideMark/>
          </w:tcPr>
          <w:p w:rsidR="00C47EF8" w:rsidRPr="00B917A0" w:rsidRDefault="00C47EF8" w:rsidP="00C02BD1">
            <w:pPr>
              <w:pStyle w:val="a3"/>
              <w:overflowPunct/>
              <w:ind w:right="0"/>
              <w:jc w:val="right"/>
            </w:pPr>
            <w:r>
              <w:t>141</w:t>
            </w:r>
            <w:r w:rsidRPr="00B917A0">
              <w:t xml:space="preserve"> </w:t>
            </w:r>
            <w:r>
              <w:t>719</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13</w:t>
            </w:r>
          </w:p>
        </w:tc>
        <w:tc>
          <w:tcPr>
            <w:tcW w:w="1879" w:type="dxa"/>
            <w:shd w:val="clear" w:color="auto" w:fill="auto"/>
            <w:vAlign w:val="bottom"/>
            <w:hideMark/>
          </w:tcPr>
          <w:p w:rsidR="00C47EF8" w:rsidRPr="00B917A0" w:rsidRDefault="00C47EF8" w:rsidP="00C02BD1">
            <w:pPr>
              <w:pStyle w:val="a3"/>
              <w:overflowPunct/>
              <w:ind w:right="0"/>
              <w:jc w:val="right"/>
            </w:pPr>
            <w:r>
              <w:t>57</w:t>
            </w:r>
            <w:r w:rsidRPr="00B917A0">
              <w:t xml:space="preserve">0 </w:t>
            </w:r>
            <w:r>
              <w:t>831</w:t>
            </w:r>
          </w:p>
        </w:tc>
        <w:tc>
          <w:tcPr>
            <w:tcW w:w="1878" w:type="dxa"/>
            <w:shd w:val="clear" w:color="auto" w:fill="auto"/>
            <w:vAlign w:val="bottom"/>
            <w:hideMark/>
          </w:tcPr>
          <w:p w:rsidR="00C47EF8" w:rsidRPr="00B917A0" w:rsidRDefault="00C47EF8" w:rsidP="00C02BD1">
            <w:pPr>
              <w:pStyle w:val="a3"/>
              <w:overflowPunct/>
              <w:ind w:right="0"/>
              <w:jc w:val="right"/>
            </w:pPr>
            <w:r>
              <w:t>57</w:t>
            </w:r>
            <w:r w:rsidRPr="00B917A0">
              <w:t xml:space="preserve">0 </w:t>
            </w:r>
            <w:r>
              <w:t>725</w:t>
            </w:r>
          </w:p>
        </w:tc>
        <w:tc>
          <w:tcPr>
            <w:tcW w:w="1942" w:type="dxa"/>
            <w:shd w:val="clear" w:color="auto" w:fill="auto"/>
            <w:vAlign w:val="bottom"/>
            <w:hideMark/>
          </w:tcPr>
          <w:p w:rsidR="00C47EF8" w:rsidRPr="00B917A0" w:rsidRDefault="00C47EF8" w:rsidP="00C02BD1">
            <w:pPr>
              <w:pStyle w:val="a3"/>
              <w:overflowPunct/>
              <w:ind w:right="0"/>
              <w:jc w:val="right"/>
            </w:pPr>
            <w:r>
              <w:t>139</w:t>
            </w:r>
            <w:r w:rsidRPr="00B917A0">
              <w:t xml:space="preserve"> </w:t>
            </w:r>
            <w:r>
              <w:t>764</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14</w:t>
            </w:r>
          </w:p>
        </w:tc>
        <w:tc>
          <w:tcPr>
            <w:tcW w:w="1879" w:type="dxa"/>
            <w:shd w:val="clear" w:color="auto" w:fill="auto"/>
            <w:vAlign w:val="bottom"/>
            <w:hideMark/>
          </w:tcPr>
          <w:p w:rsidR="00C47EF8" w:rsidRPr="00B917A0" w:rsidRDefault="00C47EF8" w:rsidP="00C02BD1">
            <w:pPr>
              <w:pStyle w:val="a3"/>
              <w:overflowPunct/>
              <w:ind w:right="0"/>
              <w:jc w:val="right"/>
            </w:pPr>
            <w:r>
              <w:t>49</w:t>
            </w:r>
            <w:r w:rsidRPr="00B917A0">
              <w:t xml:space="preserve">0 </w:t>
            </w:r>
            <w:r>
              <w:t>526</w:t>
            </w:r>
          </w:p>
        </w:tc>
        <w:tc>
          <w:tcPr>
            <w:tcW w:w="1878" w:type="dxa"/>
            <w:shd w:val="clear" w:color="auto" w:fill="auto"/>
            <w:vAlign w:val="bottom"/>
            <w:hideMark/>
          </w:tcPr>
          <w:p w:rsidR="00C47EF8" w:rsidRPr="00B917A0" w:rsidRDefault="00C47EF8" w:rsidP="00C02BD1">
            <w:pPr>
              <w:pStyle w:val="a3"/>
              <w:overflowPunct/>
              <w:ind w:right="0"/>
              <w:jc w:val="right"/>
            </w:pPr>
            <w:r>
              <w:t>499</w:t>
            </w:r>
            <w:r w:rsidRPr="00B917A0">
              <w:t xml:space="preserve"> </w:t>
            </w:r>
            <w:r>
              <w:t>575</w:t>
            </w:r>
          </w:p>
        </w:tc>
        <w:tc>
          <w:tcPr>
            <w:tcW w:w="1942" w:type="dxa"/>
            <w:shd w:val="clear" w:color="auto" w:fill="auto"/>
            <w:vAlign w:val="bottom"/>
            <w:hideMark/>
          </w:tcPr>
          <w:p w:rsidR="00C47EF8" w:rsidRPr="00B917A0" w:rsidRDefault="00C47EF8" w:rsidP="00C02BD1">
            <w:pPr>
              <w:pStyle w:val="a3"/>
              <w:overflowPunct/>
              <w:ind w:right="0"/>
              <w:jc w:val="right"/>
            </w:pPr>
            <w:r>
              <w:t>128</w:t>
            </w:r>
            <w:r w:rsidRPr="00B917A0">
              <w:t xml:space="preserve"> </w:t>
            </w:r>
            <w:r>
              <w:t>838</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15</w:t>
            </w:r>
          </w:p>
        </w:tc>
        <w:tc>
          <w:tcPr>
            <w:tcW w:w="1879" w:type="dxa"/>
            <w:shd w:val="clear" w:color="auto" w:fill="auto"/>
            <w:vAlign w:val="bottom"/>
            <w:hideMark/>
          </w:tcPr>
          <w:p w:rsidR="00C47EF8" w:rsidRPr="00B917A0" w:rsidRDefault="00C47EF8" w:rsidP="00C02BD1">
            <w:pPr>
              <w:pStyle w:val="a3"/>
              <w:overflowPunct/>
              <w:ind w:right="0"/>
              <w:jc w:val="right"/>
            </w:pPr>
            <w:r>
              <w:t>492</w:t>
            </w:r>
            <w:r w:rsidRPr="00B917A0">
              <w:t xml:space="preserve"> </w:t>
            </w:r>
            <w:r>
              <w:t>393</w:t>
            </w:r>
          </w:p>
        </w:tc>
        <w:tc>
          <w:tcPr>
            <w:tcW w:w="1878" w:type="dxa"/>
            <w:shd w:val="clear" w:color="auto" w:fill="auto"/>
            <w:vAlign w:val="bottom"/>
            <w:hideMark/>
          </w:tcPr>
          <w:p w:rsidR="00C47EF8" w:rsidRPr="00B917A0" w:rsidRDefault="00C47EF8" w:rsidP="00C02BD1">
            <w:pPr>
              <w:pStyle w:val="a3"/>
              <w:overflowPunct/>
              <w:ind w:right="0"/>
              <w:jc w:val="right"/>
            </w:pPr>
            <w:r>
              <w:t>484</w:t>
            </w:r>
            <w:r w:rsidRPr="00B917A0">
              <w:t xml:space="preserve"> </w:t>
            </w:r>
            <w:r>
              <w:t>813</w:t>
            </w:r>
          </w:p>
        </w:tc>
        <w:tc>
          <w:tcPr>
            <w:tcW w:w="1942" w:type="dxa"/>
            <w:shd w:val="clear" w:color="auto" w:fill="auto"/>
            <w:vAlign w:val="bottom"/>
            <w:hideMark/>
          </w:tcPr>
          <w:p w:rsidR="00C47EF8" w:rsidRPr="00B917A0" w:rsidRDefault="00C47EF8" w:rsidP="00C02BD1">
            <w:pPr>
              <w:pStyle w:val="a3"/>
              <w:overflowPunct/>
              <w:ind w:right="0"/>
              <w:jc w:val="right"/>
            </w:pPr>
            <w:r>
              <w:t>133</w:t>
            </w:r>
            <w:r w:rsidRPr="00B917A0">
              <w:t xml:space="preserve"> </w:t>
            </w:r>
            <w:r>
              <w:t>784</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16</w:t>
            </w:r>
          </w:p>
        </w:tc>
        <w:tc>
          <w:tcPr>
            <w:tcW w:w="1879" w:type="dxa"/>
            <w:shd w:val="clear" w:color="auto" w:fill="auto"/>
            <w:vAlign w:val="bottom"/>
            <w:hideMark/>
          </w:tcPr>
          <w:p w:rsidR="00C47EF8" w:rsidRPr="00B917A0" w:rsidRDefault="00C47EF8" w:rsidP="00C02BD1">
            <w:pPr>
              <w:pStyle w:val="a3"/>
              <w:overflowPunct/>
              <w:ind w:right="0"/>
              <w:jc w:val="right"/>
            </w:pPr>
            <w:r>
              <w:t>488</w:t>
            </w:r>
            <w:r w:rsidRPr="00B917A0">
              <w:t xml:space="preserve"> 0</w:t>
            </w:r>
            <w:r>
              <w:t>33</w:t>
            </w:r>
          </w:p>
        </w:tc>
        <w:tc>
          <w:tcPr>
            <w:tcW w:w="1878" w:type="dxa"/>
            <w:shd w:val="clear" w:color="auto" w:fill="auto"/>
            <w:vAlign w:val="bottom"/>
            <w:hideMark/>
          </w:tcPr>
          <w:p w:rsidR="00C47EF8" w:rsidRPr="00B917A0" w:rsidRDefault="00C47EF8" w:rsidP="00C02BD1">
            <w:pPr>
              <w:pStyle w:val="a3"/>
              <w:overflowPunct/>
              <w:ind w:right="0"/>
              <w:jc w:val="right"/>
            </w:pPr>
            <w:r>
              <w:t>485</w:t>
            </w:r>
            <w:r w:rsidRPr="00B917A0">
              <w:t xml:space="preserve"> </w:t>
            </w:r>
            <w:r>
              <w:t>73</w:t>
            </w:r>
            <w:r w:rsidRPr="00B917A0">
              <w:t>0</w:t>
            </w:r>
          </w:p>
        </w:tc>
        <w:tc>
          <w:tcPr>
            <w:tcW w:w="1942" w:type="dxa"/>
            <w:shd w:val="clear" w:color="auto" w:fill="auto"/>
            <w:vAlign w:val="bottom"/>
            <w:hideMark/>
          </w:tcPr>
          <w:p w:rsidR="00C47EF8" w:rsidRPr="00B917A0" w:rsidRDefault="00C47EF8" w:rsidP="00C02BD1">
            <w:pPr>
              <w:pStyle w:val="a3"/>
              <w:overflowPunct/>
              <w:ind w:right="0"/>
              <w:jc w:val="right"/>
            </w:pPr>
            <w:r>
              <w:t>133</w:t>
            </w:r>
            <w:r w:rsidRPr="00B917A0">
              <w:t xml:space="preserve"> </w:t>
            </w:r>
            <w:r>
              <w:t>884</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17</w:t>
            </w:r>
          </w:p>
        </w:tc>
        <w:tc>
          <w:tcPr>
            <w:tcW w:w="1879" w:type="dxa"/>
            <w:shd w:val="clear" w:color="auto" w:fill="auto"/>
            <w:vAlign w:val="bottom"/>
            <w:hideMark/>
          </w:tcPr>
          <w:p w:rsidR="00C47EF8" w:rsidRPr="00B917A0" w:rsidRDefault="00C47EF8" w:rsidP="00C02BD1">
            <w:pPr>
              <w:pStyle w:val="a3"/>
              <w:overflowPunct/>
              <w:ind w:right="0"/>
              <w:jc w:val="right"/>
            </w:pPr>
            <w:r>
              <w:t>545</w:t>
            </w:r>
            <w:r w:rsidRPr="00B917A0">
              <w:t xml:space="preserve"> </w:t>
            </w:r>
            <w:r>
              <w:t>986</w:t>
            </w:r>
          </w:p>
        </w:tc>
        <w:tc>
          <w:tcPr>
            <w:tcW w:w="1878" w:type="dxa"/>
            <w:shd w:val="clear" w:color="auto" w:fill="auto"/>
            <w:vAlign w:val="bottom"/>
            <w:hideMark/>
          </w:tcPr>
          <w:p w:rsidR="00C47EF8" w:rsidRPr="00B917A0" w:rsidRDefault="00C47EF8" w:rsidP="00C02BD1">
            <w:pPr>
              <w:pStyle w:val="a3"/>
              <w:overflowPunct/>
              <w:ind w:right="0"/>
              <w:jc w:val="right"/>
            </w:pPr>
            <w:r>
              <w:t>521</w:t>
            </w:r>
            <w:r w:rsidRPr="00B917A0">
              <w:t xml:space="preserve"> </w:t>
            </w:r>
            <w:r>
              <w:t>942</w:t>
            </w:r>
          </w:p>
        </w:tc>
        <w:tc>
          <w:tcPr>
            <w:tcW w:w="1942" w:type="dxa"/>
            <w:shd w:val="clear" w:color="auto" w:fill="auto"/>
            <w:vAlign w:val="bottom"/>
            <w:hideMark/>
          </w:tcPr>
          <w:p w:rsidR="00C47EF8" w:rsidRPr="00B917A0" w:rsidRDefault="00C47EF8" w:rsidP="00C02BD1">
            <w:pPr>
              <w:pStyle w:val="a3"/>
              <w:overflowPunct/>
              <w:ind w:right="0"/>
              <w:jc w:val="right"/>
            </w:pPr>
            <w:r>
              <w:t>156</w:t>
            </w:r>
            <w:r w:rsidRPr="00B917A0">
              <w:t xml:space="preserve"> 0</w:t>
            </w:r>
            <w:r>
              <w:t>13</w:t>
            </w:r>
          </w:p>
        </w:tc>
      </w:tr>
      <w:tr w:rsidR="00C47EF8" w:rsidRPr="00B917A0" w:rsidTr="00C02BD1">
        <w:tc>
          <w:tcPr>
            <w:tcW w:w="1671" w:type="dxa"/>
            <w:shd w:val="clear" w:color="auto" w:fill="auto"/>
            <w:hideMark/>
          </w:tcPr>
          <w:p w:rsidR="00C47EF8" w:rsidRPr="00B917A0" w:rsidRDefault="00C47EF8" w:rsidP="00C02BD1">
            <w:pPr>
              <w:pStyle w:val="a3"/>
              <w:overflowPunct/>
              <w:ind w:right="0"/>
              <w:jc w:val="left"/>
            </w:pPr>
            <w:r>
              <w:t>2</w:t>
            </w:r>
            <w:r w:rsidRPr="00B917A0">
              <w:t>0</w:t>
            </w:r>
            <w:r>
              <w:t>18</w:t>
            </w:r>
          </w:p>
        </w:tc>
        <w:tc>
          <w:tcPr>
            <w:tcW w:w="1879" w:type="dxa"/>
            <w:shd w:val="clear" w:color="auto" w:fill="auto"/>
            <w:vAlign w:val="bottom"/>
            <w:hideMark/>
          </w:tcPr>
          <w:p w:rsidR="00C47EF8" w:rsidRPr="00B917A0" w:rsidRDefault="00C47EF8" w:rsidP="00C02BD1">
            <w:pPr>
              <w:pStyle w:val="a3"/>
              <w:overflowPunct/>
              <w:ind w:right="0"/>
              <w:jc w:val="right"/>
            </w:pPr>
            <w:r>
              <w:t>559</w:t>
            </w:r>
            <w:r w:rsidRPr="00B917A0">
              <w:t xml:space="preserve"> </w:t>
            </w:r>
            <w:r>
              <w:t>278</w:t>
            </w:r>
          </w:p>
        </w:tc>
        <w:tc>
          <w:tcPr>
            <w:tcW w:w="1878" w:type="dxa"/>
            <w:shd w:val="clear" w:color="auto" w:fill="auto"/>
            <w:vAlign w:val="bottom"/>
            <w:hideMark/>
          </w:tcPr>
          <w:p w:rsidR="00C47EF8" w:rsidRPr="00B917A0" w:rsidRDefault="00C47EF8" w:rsidP="00C02BD1">
            <w:pPr>
              <w:pStyle w:val="a3"/>
              <w:overflowPunct/>
              <w:ind w:right="0"/>
              <w:jc w:val="right"/>
            </w:pPr>
            <w:r>
              <w:t>582</w:t>
            </w:r>
            <w:r w:rsidRPr="00B917A0">
              <w:t xml:space="preserve"> </w:t>
            </w:r>
            <w:r>
              <w:t>924</w:t>
            </w:r>
          </w:p>
        </w:tc>
        <w:tc>
          <w:tcPr>
            <w:tcW w:w="1942" w:type="dxa"/>
            <w:shd w:val="clear" w:color="auto" w:fill="auto"/>
            <w:vAlign w:val="bottom"/>
            <w:hideMark/>
          </w:tcPr>
          <w:p w:rsidR="00C47EF8" w:rsidRPr="00B917A0" w:rsidRDefault="00C47EF8" w:rsidP="00C02BD1">
            <w:pPr>
              <w:pStyle w:val="a3"/>
              <w:overflowPunct/>
              <w:ind w:right="0"/>
              <w:jc w:val="right"/>
            </w:pPr>
            <w:r>
              <w:t>131</w:t>
            </w:r>
            <w:r w:rsidRPr="00B917A0">
              <w:t xml:space="preserve"> </w:t>
            </w:r>
            <w:r>
              <w:t>158</w:t>
            </w:r>
          </w:p>
        </w:tc>
      </w:tr>
    </w:tbl>
    <w:p w:rsidR="0074650F" w:rsidRDefault="00DA312D" w:rsidP="00DA312D">
      <w:pPr>
        <w:pStyle w:val="ac"/>
        <w:spacing w:before="120" w:after="120"/>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：司法部，《</w:t>
      </w:r>
      <w:r w:rsidRPr="00DA312D">
        <w:rPr>
          <w:rFonts w:hint="eastAsia"/>
        </w:rPr>
        <w:t>2018</w:t>
      </w:r>
      <w:r w:rsidRPr="00DA312D">
        <w:rPr>
          <w:rFonts w:hint="eastAsia"/>
        </w:rPr>
        <w:t>年法院工作统计》</w:t>
      </w:r>
      <w:r w:rsidRPr="00DA312D">
        <w:rPr>
          <w:rFonts w:hint="eastAsia"/>
        </w:rPr>
        <w:t>(</w:t>
      </w:r>
      <w:r w:rsidRPr="00DA312D">
        <w:rPr>
          <w:rFonts w:hint="eastAsia"/>
        </w:rPr>
        <w:t>运营和行政管理系列</w:t>
      </w:r>
      <w:r w:rsidRPr="00DA312D">
        <w:rPr>
          <w:rFonts w:hint="eastAsia"/>
        </w:rPr>
        <w:t>)</w:t>
      </w:r>
      <w:r w:rsidRPr="00DA312D">
        <w:rPr>
          <w:rFonts w:hint="eastAsia"/>
        </w:rPr>
        <w:t>，报告仅以芬兰语提供。</w:t>
      </w:r>
    </w:p>
    <w:p w:rsidR="00D11C8E" w:rsidRDefault="00D11C8E" w:rsidP="008333FD">
      <w:pPr>
        <w:pStyle w:val="SingleTxtGC"/>
        <w:tabs>
          <w:tab w:val="clear" w:pos="1565"/>
          <w:tab w:val="clear" w:pos="1996"/>
          <w:tab w:val="clear" w:pos="2427"/>
        </w:tabs>
      </w:pPr>
      <w:r>
        <w:rPr>
          <w:rFonts w:hint="eastAsia"/>
        </w:rPr>
        <w:t>182.</w:t>
      </w:r>
      <w:r>
        <w:rPr>
          <w:rFonts w:hint="eastAsia"/>
        </w:rPr>
        <w:tab/>
      </w:r>
      <w:r>
        <w:rPr>
          <w:rFonts w:hint="eastAsia"/>
        </w:rPr>
        <w:t>在案件当中对地区法院的判决和最终裁定或是地区法院下达的另一项裁决不满意的一方，可通过向上诉法院提起上诉来寻求纠正。</w:t>
      </w:r>
    </w:p>
    <w:p w:rsidR="00D11C8E" w:rsidRDefault="00D11C8E" w:rsidP="008333FD">
      <w:pPr>
        <w:pStyle w:val="SingleTxtGC"/>
        <w:tabs>
          <w:tab w:val="clear" w:pos="1565"/>
          <w:tab w:val="clear" w:pos="1996"/>
          <w:tab w:val="clear" w:pos="2427"/>
        </w:tabs>
      </w:pPr>
      <w:r>
        <w:rPr>
          <w:rFonts w:hint="eastAsia"/>
        </w:rPr>
        <w:t>183.</w:t>
      </w:r>
      <w:r>
        <w:rPr>
          <w:rFonts w:hint="eastAsia"/>
        </w:rPr>
        <w:tab/>
      </w:r>
      <w:r>
        <w:rPr>
          <w:rFonts w:hint="eastAsia"/>
        </w:rPr>
        <w:t>芬兰有五家上诉法院：东芬兰省</w:t>
      </w:r>
      <w:r>
        <w:rPr>
          <w:rFonts w:hint="eastAsia"/>
        </w:rPr>
        <w:t>(</w:t>
      </w:r>
      <w:r>
        <w:rPr>
          <w:rFonts w:hint="eastAsia"/>
        </w:rPr>
        <w:t>位于库奥皮奥</w:t>
      </w:r>
      <w:r>
        <w:rPr>
          <w:rFonts w:hint="eastAsia"/>
        </w:rPr>
        <w:t>)</w:t>
      </w:r>
      <w:r>
        <w:rPr>
          <w:rFonts w:hint="eastAsia"/>
        </w:rPr>
        <w:t>、赫尔辛基、罗瓦涅米、图尔库和瓦萨。上诉法院处理的多数案件是针对地区法院裁定提起的上诉案件。此外，上诉法院还作为一审法院裁定涉及叛国罪和重叛国罪以及公职当中犯下的某些罪行的案件。上诉法院还负责在一般意义上监管各自辖区内地区法院的运转。</w:t>
      </w:r>
    </w:p>
    <w:p w:rsidR="00D11C8E" w:rsidRDefault="00D11C8E" w:rsidP="008333FD">
      <w:pPr>
        <w:pStyle w:val="SingleTxtGC"/>
        <w:tabs>
          <w:tab w:val="clear" w:pos="1565"/>
          <w:tab w:val="clear" w:pos="1996"/>
          <w:tab w:val="clear" w:pos="2427"/>
        </w:tabs>
      </w:pPr>
      <w:r>
        <w:rPr>
          <w:rFonts w:hint="eastAsia"/>
        </w:rPr>
        <w:t>184.</w:t>
      </w:r>
      <w:r>
        <w:rPr>
          <w:rFonts w:hint="eastAsia"/>
        </w:rPr>
        <w:tab/>
        <w:t>2011</w:t>
      </w:r>
      <w:r>
        <w:rPr>
          <w:rFonts w:hint="eastAsia"/>
        </w:rPr>
        <w:t>年，芬兰推出了“继续审理许可”制度，以取代此前的上诉审查制度。获得“继续审理许可”的相关要求由法律予以规定。该制度的目的在于提高法院诉讼程序的速度和经济上的可行性。如下表所示，只有一部分案件从地区法院转到了上诉法院：</w:t>
      </w:r>
    </w:p>
    <w:p w:rsidR="00A4609B" w:rsidRDefault="00A4609B">
      <w:pPr>
        <w:tabs>
          <w:tab w:val="clear" w:pos="431"/>
        </w:tabs>
        <w:overflowPunct/>
        <w:adjustRightInd/>
        <w:snapToGrid/>
        <w:spacing w:line="240" w:lineRule="auto"/>
        <w:jc w:val="left"/>
      </w:pPr>
      <w:r>
        <w:br w:type="page"/>
      </w:r>
    </w:p>
    <w:p w:rsidR="00047A2A" w:rsidRPr="008333FD" w:rsidRDefault="00D11C8E" w:rsidP="008333FD">
      <w:pPr>
        <w:pStyle w:val="SingleTxtGC"/>
        <w:rPr>
          <w:rFonts w:ascii="Time New Roman" w:eastAsia="黑体" w:hAnsi="Time New Roman" w:hint="eastAsia"/>
        </w:rPr>
      </w:pPr>
      <w:r>
        <w:rPr>
          <w:rFonts w:hint="eastAsia"/>
        </w:rPr>
        <w:lastRenderedPageBreak/>
        <w:t>表</w:t>
      </w:r>
      <w:r>
        <w:rPr>
          <w:rFonts w:hint="eastAsia"/>
        </w:rPr>
        <w:t>9.</w:t>
      </w:r>
      <w:r w:rsidR="008333FD">
        <w:br/>
      </w:r>
      <w:r w:rsidRPr="008333FD">
        <w:rPr>
          <w:rFonts w:ascii="Time New Roman" w:eastAsia="黑体" w:hAnsi="Time New Roman" w:hint="eastAsia"/>
        </w:rPr>
        <w:t>上诉法院受理的案件</w:t>
      </w:r>
      <w:r w:rsidRPr="008333FD">
        <w:rPr>
          <w:rFonts w:ascii="Time New Roman" w:eastAsia="黑体" w:hAnsi="Time New Roman" w:hint="eastAsia"/>
        </w:rPr>
        <w:t>(2012</w:t>
      </w:r>
      <w:r w:rsidR="008333FD">
        <w:rPr>
          <w:rFonts w:ascii="Time New Roman" w:eastAsia="黑体" w:hAnsi="Time New Roman" w:hint="eastAsia"/>
        </w:rPr>
        <w:t>-</w:t>
      </w:r>
      <w:r w:rsidRPr="008333FD">
        <w:rPr>
          <w:rFonts w:ascii="Time New Roman" w:eastAsia="黑体" w:hAnsi="Time New Roman" w:hint="eastAsia"/>
        </w:rPr>
        <w:t>2018</w:t>
      </w:r>
      <w:r w:rsidRPr="008333FD">
        <w:rPr>
          <w:rFonts w:ascii="Time New Roman" w:eastAsia="黑体" w:hAnsi="Time New Roman" w:hint="eastAsia"/>
        </w:rPr>
        <w:t>年</w:t>
      </w:r>
      <w:r w:rsidRPr="008333FD">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4"/>
        <w:gridCol w:w="1903"/>
        <w:gridCol w:w="1902"/>
        <w:gridCol w:w="1871"/>
      </w:tblGrid>
      <w:tr w:rsidR="00A4609B" w:rsidRPr="00B917A0" w:rsidTr="00C02BD1">
        <w:trPr>
          <w:tblHeader/>
        </w:trPr>
        <w:tc>
          <w:tcPr>
            <w:tcW w:w="1694" w:type="dxa"/>
            <w:tcBorders>
              <w:top w:val="single" w:sz="4" w:space="0" w:color="auto"/>
              <w:bottom w:val="single" w:sz="12" w:space="0" w:color="auto"/>
            </w:tcBorders>
            <w:shd w:val="clear" w:color="auto" w:fill="auto"/>
            <w:vAlign w:val="bottom"/>
            <w:hideMark/>
          </w:tcPr>
          <w:p w:rsidR="00A4609B" w:rsidRPr="00B917A0" w:rsidRDefault="00A4609B" w:rsidP="00C02BD1">
            <w:pPr>
              <w:pStyle w:val="a4"/>
              <w:ind w:right="0"/>
              <w:jc w:val="left"/>
              <w:rPr>
                <w:i/>
              </w:rPr>
            </w:pPr>
            <w:r w:rsidRPr="00B917A0">
              <w:rPr>
                <w:rFonts w:hint="eastAsia"/>
              </w:rPr>
              <w:t>年份</w:t>
            </w:r>
            <w:r>
              <w:rPr>
                <w:rFonts w:hint="eastAsia"/>
              </w:rPr>
              <w:t>/</w:t>
            </w:r>
            <w:r w:rsidRPr="00B917A0">
              <w:rPr>
                <w:rFonts w:hint="eastAsia"/>
              </w:rPr>
              <w:t>案件</w:t>
            </w:r>
          </w:p>
        </w:tc>
        <w:tc>
          <w:tcPr>
            <w:tcW w:w="1903" w:type="dxa"/>
            <w:tcBorders>
              <w:top w:val="single" w:sz="4" w:space="0" w:color="auto"/>
              <w:bottom w:val="single" w:sz="12" w:space="0" w:color="auto"/>
            </w:tcBorders>
            <w:shd w:val="clear" w:color="auto" w:fill="auto"/>
            <w:vAlign w:val="bottom"/>
            <w:hideMark/>
          </w:tcPr>
          <w:p w:rsidR="00A4609B" w:rsidRPr="00B917A0" w:rsidRDefault="00A4609B" w:rsidP="00C02BD1">
            <w:pPr>
              <w:pStyle w:val="a4"/>
              <w:ind w:right="0"/>
              <w:jc w:val="right"/>
              <w:rPr>
                <w:i/>
              </w:rPr>
            </w:pPr>
            <w:r w:rsidRPr="00B917A0">
              <w:rPr>
                <w:rFonts w:hint="eastAsia"/>
              </w:rPr>
              <w:t>收到案件</w:t>
            </w:r>
          </w:p>
        </w:tc>
        <w:tc>
          <w:tcPr>
            <w:tcW w:w="1902" w:type="dxa"/>
            <w:tcBorders>
              <w:top w:val="single" w:sz="4" w:space="0" w:color="auto"/>
              <w:bottom w:val="single" w:sz="12" w:space="0" w:color="auto"/>
            </w:tcBorders>
            <w:shd w:val="clear" w:color="auto" w:fill="auto"/>
            <w:vAlign w:val="bottom"/>
            <w:hideMark/>
          </w:tcPr>
          <w:p w:rsidR="00A4609B" w:rsidRPr="00B917A0" w:rsidRDefault="00A4609B" w:rsidP="00C02BD1">
            <w:pPr>
              <w:pStyle w:val="a4"/>
              <w:ind w:right="0"/>
              <w:jc w:val="right"/>
              <w:rPr>
                <w:i/>
              </w:rPr>
            </w:pPr>
            <w:r w:rsidRPr="00B917A0">
              <w:rPr>
                <w:rFonts w:hint="eastAsia"/>
              </w:rPr>
              <w:t>审结案件</w:t>
            </w:r>
          </w:p>
        </w:tc>
        <w:tc>
          <w:tcPr>
            <w:tcW w:w="1871" w:type="dxa"/>
            <w:tcBorders>
              <w:top w:val="single" w:sz="4" w:space="0" w:color="auto"/>
              <w:bottom w:val="single" w:sz="12" w:space="0" w:color="auto"/>
            </w:tcBorders>
            <w:shd w:val="clear" w:color="auto" w:fill="auto"/>
            <w:vAlign w:val="bottom"/>
            <w:hideMark/>
          </w:tcPr>
          <w:p w:rsidR="00A4609B" w:rsidRPr="00B917A0" w:rsidRDefault="00A4609B" w:rsidP="00C02BD1">
            <w:pPr>
              <w:pStyle w:val="a4"/>
              <w:ind w:right="0"/>
              <w:jc w:val="right"/>
              <w:rPr>
                <w:i/>
              </w:rPr>
            </w:pPr>
            <w:r w:rsidRPr="00B917A0">
              <w:rPr>
                <w:rFonts w:hint="eastAsia"/>
              </w:rPr>
              <w:t>待决案件</w:t>
            </w:r>
          </w:p>
        </w:tc>
      </w:tr>
      <w:tr w:rsidR="00A4609B" w:rsidRPr="00B917A0" w:rsidTr="00C02BD1">
        <w:tc>
          <w:tcPr>
            <w:tcW w:w="1694" w:type="dxa"/>
            <w:tcBorders>
              <w:top w:val="single" w:sz="12" w:space="0" w:color="auto"/>
            </w:tcBorders>
            <w:shd w:val="clear" w:color="auto" w:fill="auto"/>
            <w:hideMark/>
          </w:tcPr>
          <w:p w:rsidR="00A4609B" w:rsidRPr="00B917A0" w:rsidRDefault="00A4609B" w:rsidP="00C02BD1">
            <w:pPr>
              <w:pStyle w:val="a3"/>
              <w:overflowPunct/>
              <w:ind w:right="0"/>
              <w:jc w:val="left"/>
            </w:pPr>
            <w:r>
              <w:t>2</w:t>
            </w:r>
            <w:r w:rsidRPr="00B917A0">
              <w:t>0</w:t>
            </w:r>
            <w:r>
              <w:t>12</w:t>
            </w:r>
          </w:p>
        </w:tc>
        <w:tc>
          <w:tcPr>
            <w:tcW w:w="1903" w:type="dxa"/>
            <w:tcBorders>
              <w:top w:val="single" w:sz="12" w:space="0" w:color="auto"/>
            </w:tcBorders>
            <w:shd w:val="clear" w:color="auto" w:fill="auto"/>
            <w:vAlign w:val="bottom"/>
            <w:hideMark/>
          </w:tcPr>
          <w:p w:rsidR="00A4609B" w:rsidRPr="00B917A0" w:rsidRDefault="00A4609B" w:rsidP="00C02BD1">
            <w:pPr>
              <w:pStyle w:val="a3"/>
              <w:overflowPunct/>
              <w:ind w:right="0"/>
              <w:jc w:val="right"/>
            </w:pPr>
            <w:r>
              <w:t>9</w:t>
            </w:r>
            <w:r w:rsidRPr="00B917A0">
              <w:t xml:space="preserve"> </w:t>
            </w:r>
            <w:r>
              <w:t>777</w:t>
            </w:r>
          </w:p>
        </w:tc>
        <w:tc>
          <w:tcPr>
            <w:tcW w:w="1902" w:type="dxa"/>
            <w:tcBorders>
              <w:top w:val="single" w:sz="12" w:space="0" w:color="auto"/>
            </w:tcBorders>
            <w:shd w:val="clear" w:color="auto" w:fill="auto"/>
            <w:vAlign w:val="bottom"/>
            <w:hideMark/>
          </w:tcPr>
          <w:p w:rsidR="00A4609B" w:rsidRPr="00B917A0" w:rsidRDefault="00A4609B" w:rsidP="00C02BD1">
            <w:pPr>
              <w:pStyle w:val="a3"/>
              <w:overflowPunct/>
              <w:ind w:right="0"/>
              <w:jc w:val="right"/>
            </w:pPr>
            <w:r>
              <w:t>1</w:t>
            </w:r>
            <w:r w:rsidRPr="00B917A0">
              <w:t xml:space="preserve">0 </w:t>
            </w:r>
            <w:r>
              <w:t>228</w:t>
            </w:r>
          </w:p>
        </w:tc>
        <w:tc>
          <w:tcPr>
            <w:tcW w:w="1871" w:type="dxa"/>
            <w:tcBorders>
              <w:top w:val="single" w:sz="12" w:space="0" w:color="auto"/>
            </w:tcBorders>
            <w:shd w:val="clear" w:color="auto" w:fill="auto"/>
            <w:vAlign w:val="bottom"/>
            <w:hideMark/>
          </w:tcPr>
          <w:p w:rsidR="00A4609B" w:rsidRPr="00B917A0" w:rsidRDefault="00A4609B" w:rsidP="00C02BD1">
            <w:pPr>
              <w:pStyle w:val="a3"/>
              <w:overflowPunct/>
              <w:ind w:right="0"/>
              <w:jc w:val="right"/>
            </w:pPr>
            <w:r>
              <w:t>4</w:t>
            </w:r>
            <w:r w:rsidRPr="00B917A0">
              <w:t xml:space="preserve"> </w:t>
            </w:r>
            <w:r>
              <w:t>538</w:t>
            </w:r>
          </w:p>
        </w:tc>
      </w:tr>
      <w:tr w:rsidR="00A4609B" w:rsidRPr="00B917A0" w:rsidTr="00C02BD1">
        <w:tc>
          <w:tcPr>
            <w:tcW w:w="1694" w:type="dxa"/>
            <w:shd w:val="clear" w:color="auto" w:fill="auto"/>
            <w:hideMark/>
          </w:tcPr>
          <w:p w:rsidR="00A4609B" w:rsidRPr="00B917A0" w:rsidRDefault="00A4609B" w:rsidP="00C02BD1">
            <w:pPr>
              <w:pStyle w:val="a3"/>
              <w:overflowPunct/>
              <w:ind w:right="0"/>
              <w:jc w:val="left"/>
            </w:pPr>
            <w:r>
              <w:t>2</w:t>
            </w:r>
            <w:r w:rsidRPr="00B917A0">
              <w:t>0</w:t>
            </w:r>
            <w:r>
              <w:t>13</w:t>
            </w:r>
          </w:p>
        </w:tc>
        <w:tc>
          <w:tcPr>
            <w:tcW w:w="1903" w:type="dxa"/>
            <w:shd w:val="clear" w:color="auto" w:fill="auto"/>
            <w:vAlign w:val="bottom"/>
            <w:hideMark/>
          </w:tcPr>
          <w:p w:rsidR="00A4609B" w:rsidRPr="00B917A0" w:rsidRDefault="00A4609B" w:rsidP="00C02BD1">
            <w:pPr>
              <w:pStyle w:val="a3"/>
              <w:overflowPunct/>
              <w:ind w:right="0"/>
              <w:jc w:val="right"/>
            </w:pPr>
            <w:r>
              <w:t>9</w:t>
            </w:r>
            <w:r w:rsidRPr="00B917A0">
              <w:t xml:space="preserve"> </w:t>
            </w:r>
            <w:r>
              <w:t>689</w:t>
            </w:r>
          </w:p>
        </w:tc>
        <w:tc>
          <w:tcPr>
            <w:tcW w:w="1902" w:type="dxa"/>
            <w:shd w:val="clear" w:color="auto" w:fill="auto"/>
            <w:vAlign w:val="bottom"/>
            <w:hideMark/>
          </w:tcPr>
          <w:p w:rsidR="00A4609B" w:rsidRPr="00B917A0" w:rsidRDefault="00A4609B" w:rsidP="00C02BD1">
            <w:pPr>
              <w:pStyle w:val="a3"/>
              <w:overflowPunct/>
              <w:ind w:right="0"/>
              <w:jc w:val="right"/>
            </w:pPr>
            <w:r>
              <w:t>9</w:t>
            </w:r>
            <w:r w:rsidRPr="00B917A0">
              <w:t xml:space="preserve"> </w:t>
            </w:r>
            <w:r>
              <w:t>675</w:t>
            </w:r>
          </w:p>
        </w:tc>
        <w:tc>
          <w:tcPr>
            <w:tcW w:w="1871" w:type="dxa"/>
            <w:shd w:val="clear" w:color="auto" w:fill="auto"/>
            <w:vAlign w:val="bottom"/>
            <w:hideMark/>
          </w:tcPr>
          <w:p w:rsidR="00A4609B" w:rsidRPr="00B917A0" w:rsidRDefault="00A4609B" w:rsidP="00C02BD1">
            <w:pPr>
              <w:pStyle w:val="a3"/>
              <w:overflowPunct/>
              <w:ind w:right="0"/>
              <w:jc w:val="right"/>
            </w:pPr>
            <w:r>
              <w:t>4</w:t>
            </w:r>
            <w:r w:rsidRPr="00B917A0">
              <w:t xml:space="preserve"> </w:t>
            </w:r>
            <w:r>
              <w:t>552</w:t>
            </w:r>
          </w:p>
        </w:tc>
      </w:tr>
      <w:tr w:rsidR="00A4609B" w:rsidRPr="00B917A0" w:rsidTr="00C02BD1">
        <w:tc>
          <w:tcPr>
            <w:tcW w:w="1694" w:type="dxa"/>
            <w:shd w:val="clear" w:color="auto" w:fill="auto"/>
            <w:hideMark/>
          </w:tcPr>
          <w:p w:rsidR="00A4609B" w:rsidRPr="00B917A0" w:rsidRDefault="00A4609B" w:rsidP="00C02BD1">
            <w:pPr>
              <w:pStyle w:val="a3"/>
              <w:overflowPunct/>
              <w:ind w:right="0"/>
              <w:jc w:val="left"/>
            </w:pPr>
            <w:r>
              <w:t>2</w:t>
            </w:r>
            <w:r w:rsidRPr="00B917A0">
              <w:t>0</w:t>
            </w:r>
            <w:r>
              <w:t>14</w:t>
            </w:r>
          </w:p>
        </w:tc>
        <w:tc>
          <w:tcPr>
            <w:tcW w:w="1903" w:type="dxa"/>
            <w:shd w:val="clear" w:color="auto" w:fill="auto"/>
            <w:vAlign w:val="bottom"/>
            <w:hideMark/>
          </w:tcPr>
          <w:p w:rsidR="00A4609B" w:rsidRPr="00B917A0" w:rsidRDefault="00A4609B" w:rsidP="00C02BD1">
            <w:pPr>
              <w:pStyle w:val="a3"/>
              <w:overflowPunct/>
              <w:ind w:right="0"/>
              <w:jc w:val="right"/>
            </w:pPr>
            <w:r>
              <w:t>1</w:t>
            </w:r>
            <w:r w:rsidRPr="00B917A0">
              <w:t xml:space="preserve">0 </w:t>
            </w:r>
            <w:r>
              <w:t>176</w:t>
            </w:r>
          </w:p>
        </w:tc>
        <w:tc>
          <w:tcPr>
            <w:tcW w:w="1902" w:type="dxa"/>
            <w:shd w:val="clear" w:color="auto" w:fill="auto"/>
            <w:vAlign w:val="bottom"/>
            <w:hideMark/>
          </w:tcPr>
          <w:p w:rsidR="00A4609B" w:rsidRPr="00B917A0" w:rsidRDefault="00A4609B" w:rsidP="00C02BD1">
            <w:pPr>
              <w:pStyle w:val="a3"/>
              <w:overflowPunct/>
              <w:ind w:right="0"/>
              <w:jc w:val="right"/>
            </w:pPr>
            <w:r>
              <w:t>9</w:t>
            </w:r>
            <w:r w:rsidRPr="00B917A0">
              <w:t xml:space="preserve"> </w:t>
            </w:r>
            <w:r>
              <w:t>942</w:t>
            </w:r>
          </w:p>
        </w:tc>
        <w:tc>
          <w:tcPr>
            <w:tcW w:w="1871" w:type="dxa"/>
            <w:shd w:val="clear" w:color="auto" w:fill="auto"/>
            <w:vAlign w:val="bottom"/>
            <w:hideMark/>
          </w:tcPr>
          <w:p w:rsidR="00A4609B" w:rsidRPr="00B917A0" w:rsidRDefault="00A4609B" w:rsidP="00C02BD1">
            <w:pPr>
              <w:pStyle w:val="a3"/>
              <w:overflowPunct/>
              <w:ind w:right="0"/>
              <w:jc w:val="right"/>
            </w:pPr>
            <w:r>
              <w:t>4</w:t>
            </w:r>
            <w:r w:rsidRPr="00B917A0">
              <w:t xml:space="preserve"> </w:t>
            </w:r>
            <w:r>
              <w:t>792</w:t>
            </w:r>
          </w:p>
        </w:tc>
      </w:tr>
      <w:tr w:rsidR="00A4609B" w:rsidRPr="00B917A0" w:rsidTr="00C02BD1">
        <w:tc>
          <w:tcPr>
            <w:tcW w:w="1694" w:type="dxa"/>
            <w:shd w:val="clear" w:color="auto" w:fill="auto"/>
            <w:hideMark/>
          </w:tcPr>
          <w:p w:rsidR="00A4609B" w:rsidRPr="00B917A0" w:rsidRDefault="00A4609B" w:rsidP="00C02BD1">
            <w:pPr>
              <w:pStyle w:val="a3"/>
              <w:overflowPunct/>
              <w:ind w:right="0"/>
              <w:jc w:val="left"/>
            </w:pPr>
            <w:r>
              <w:t>2</w:t>
            </w:r>
            <w:r w:rsidRPr="00B917A0">
              <w:t>0</w:t>
            </w:r>
            <w:r>
              <w:t>15</w:t>
            </w:r>
          </w:p>
        </w:tc>
        <w:tc>
          <w:tcPr>
            <w:tcW w:w="1903" w:type="dxa"/>
            <w:shd w:val="clear" w:color="auto" w:fill="auto"/>
            <w:vAlign w:val="bottom"/>
            <w:hideMark/>
          </w:tcPr>
          <w:p w:rsidR="00A4609B" w:rsidRPr="00B917A0" w:rsidRDefault="00A4609B" w:rsidP="00C02BD1">
            <w:pPr>
              <w:pStyle w:val="a3"/>
              <w:overflowPunct/>
              <w:ind w:right="0"/>
              <w:jc w:val="right"/>
            </w:pPr>
            <w:r>
              <w:t>9</w:t>
            </w:r>
            <w:r w:rsidRPr="00B917A0">
              <w:t xml:space="preserve"> </w:t>
            </w:r>
            <w:r>
              <w:t>81</w:t>
            </w:r>
            <w:r w:rsidRPr="00B917A0">
              <w:t>0</w:t>
            </w:r>
          </w:p>
        </w:tc>
        <w:tc>
          <w:tcPr>
            <w:tcW w:w="1902" w:type="dxa"/>
            <w:shd w:val="clear" w:color="auto" w:fill="auto"/>
            <w:vAlign w:val="bottom"/>
            <w:hideMark/>
          </w:tcPr>
          <w:p w:rsidR="00A4609B" w:rsidRPr="00B917A0" w:rsidRDefault="00A4609B" w:rsidP="00C02BD1">
            <w:pPr>
              <w:pStyle w:val="a3"/>
              <w:overflowPunct/>
              <w:ind w:right="0"/>
              <w:jc w:val="right"/>
            </w:pPr>
            <w:r>
              <w:t>9</w:t>
            </w:r>
            <w:r w:rsidRPr="00B917A0">
              <w:t xml:space="preserve"> </w:t>
            </w:r>
            <w:r>
              <w:t>855</w:t>
            </w:r>
          </w:p>
        </w:tc>
        <w:tc>
          <w:tcPr>
            <w:tcW w:w="1871" w:type="dxa"/>
            <w:shd w:val="clear" w:color="auto" w:fill="auto"/>
            <w:vAlign w:val="bottom"/>
            <w:hideMark/>
          </w:tcPr>
          <w:p w:rsidR="00A4609B" w:rsidRPr="00B917A0" w:rsidRDefault="00A4609B" w:rsidP="00C02BD1">
            <w:pPr>
              <w:pStyle w:val="a3"/>
              <w:overflowPunct/>
              <w:ind w:right="0"/>
              <w:jc w:val="right"/>
            </w:pPr>
            <w:r>
              <w:t>4</w:t>
            </w:r>
            <w:r w:rsidRPr="00B917A0">
              <w:t xml:space="preserve"> </w:t>
            </w:r>
            <w:r>
              <w:t>747</w:t>
            </w:r>
          </w:p>
        </w:tc>
      </w:tr>
      <w:tr w:rsidR="00A4609B" w:rsidRPr="00B917A0" w:rsidTr="00C02BD1">
        <w:tc>
          <w:tcPr>
            <w:tcW w:w="1694" w:type="dxa"/>
            <w:shd w:val="clear" w:color="auto" w:fill="auto"/>
            <w:hideMark/>
          </w:tcPr>
          <w:p w:rsidR="00A4609B" w:rsidRPr="00B917A0" w:rsidRDefault="00A4609B" w:rsidP="00C02BD1">
            <w:pPr>
              <w:pStyle w:val="a3"/>
              <w:overflowPunct/>
              <w:ind w:right="0"/>
              <w:jc w:val="left"/>
            </w:pPr>
            <w:r>
              <w:t>2</w:t>
            </w:r>
            <w:r w:rsidRPr="00B917A0">
              <w:t>0</w:t>
            </w:r>
            <w:r>
              <w:t>16</w:t>
            </w:r>
          </w:p>
        </w:tc>
        <w:tc>
          <w:tcPr>
            <w:tcW w:w="1903" w:type="dxa"/>
            <w:shd w:val="clear" w:color="auto" w:fill="auto"/>
            <w:vAlign w:val="bottom"/>
            <w:hideMark/>
          </w:tcPr>
          <w:p w:rsidR="00A4609B" w:rsidRPr="00B917A0" w:rsidRDefault="00A4609B" w:rsidP="00C02BD1">
            <w:pPr>
              <w:pStyle w:val="a3"/>
              <w:overflowPunct/>
              <w:ind w:right="0"/>
              <w:jc w:val="right"/>
            </w:pPr>
            <w:r>
              <w:t>8</w:t>
            </w:r>
            <w:r w:rsidRPr="00B917A0">
              <w:t xml:space="preserve"> </w:t>
            </w:r>
            <w:r>
              <w:t>593</w:t>
            </w:r>
          </w:p>
        </w:tc>
        <w:tc>
          <w:tcPr>
            <w:tcW w:w="1902" w:type="dxa"/>
            <w:shd w:val="clear" w:color="auto" w:fill="auto"/>
            <w:vAlign w:val="bottom"/>
            <w:hideMark/>
          </w:tcPr>
          <w:p w:rsidR="00A4609B" w:rsidRPr="00B917A0" w:rsidRDefault="00A4609B" w:rsidP="00C02BD1">
            <w:pPr>
              <w:pStyle w:val="a3"/>
              <w:overflowPunct/>
              <w:ind w:right="0"/>
              <w:jc w:val="right"/>
            </w:pPr>
            <w:r>
              <w:t>9</w:t>
            </w:r>
            <w:r w:rsidRPr="00B917A0">
              <w:t xml:space="preserve"> </w:t>
            </w:r>
            <w:r>
              <w:t>552</w:t>
            </w:r>
          </w:p>
        </w:tc>
        <w:tc>
          <w:tcPr>
            <w:tcW w:w="1871" w:type="dxa"/>
            <w:shd w:val="clear" w:color="auto" w:fill="auto"/>
            <w:vAlign w:val="bottom"/>
            <w:hideMark/>
          </w:tcPr>
          <w:p w:rsidR="00A4609B" w:rsidRPr="00B917A0" w:rsidRDefault="00A4609B" w:rsidP="00C02BD1">
            <w:pPr>
              <w:pStyle w:val="a3"/>
              <w:overflowPunct/>
              <w:ind w:right="0"/>
              <w:jc w:val="right"/>
            </w:pPr>
            <w:r>
              <w:t>3</w:t>
            </w:r>
            <w:r w:rsidRPr="00B917A0">
              <w:t xml:space="preserve"> </w:t>
            </w:r>
            <w:r>
              <w:t>787</w:t>
            </w:r>
          </w:p>
        </w:tc>
      </w:tr>
      <w:tr w:rsidR="00A4609B" w:rsidRPr="00B917A0" w:rsidTr="00C02BD1">
        <w:tc>
          <w:tcPr>
            <w:tcW w:w="1694" w:type="dxa"/>
            <w:shd w:val="clear" w:color="auto" w:fill="auto"/>
            <w:hideMark/>
          </w:tcPr>
          <w:p w:rsidR="00A4609B" w:rsidRPr="00B917A0" w:rsidRDefault="00A4609B" w:rsidP="00C02BD1">
            <w:pPr>
              <w:pStyle w:val="a3"/>
              <w:overflowPunct/>
              <w:ind w:right="0"/>
              <w:jc w:val="left"/>
            </w:pPr>
            <w:r>
              <w:t>2</w:t>
            </w:r>
            <w:r w:rsidRPr="00B917A0">
              <w:t>0</w:t>
            </w:r>
            <w:r>
              <w:t>17</w:t>
            </w:r>
          </w:p>
        </w:tc>
        <w:tc>
          <w:tcPr>
            <w:tcW w:w="1903" w:type="dxa"/>
            <w:shd w:val="clear" w:color="auto" w:fill="auto"/>
            <w:vAlign w:val="bottom"/>
            <w:hideMark/>
          </w:tcPr>
          <w:p w:rsidR="00A4609B" w:rsidRPr="00B917A0" w:rsidRDefault="00A4609B" w:rsidP="00C02BD1">
            <w:pPr>
              <w:pStyle w:val="a3"/>
              <w:overflowPunct/>
              <w:ind w:right="0"/>
              <w:jc w:val="right"/>
            </w:pPr>
            <w:r>
              <w:t>8</w:t>
            </w:r>
            <w:r w:rsidRPr="00B917A0">
              <w:t xml:space="preserve"> </w:t>
            </w:r>
            <w:r>
              <w:t>263</w:t>
            </w:r>
          </w:p>
        </w:tc>
        <w:tc>
          <w:tcPr>
            <w:tcW w:w="1902" w:type="dxa"/>
            <w:shd w:val="clear" w:color="auto" w:fill="auto"/>
            <w:vAlign w:val="bottom"/>
            <w:hideMark/>
          </w:tcPr>
          <w:p w:rsidR="00A4609B" w:rsidRPr="00B917A0" w:rsidRDefault="00A4609B" w:rsidP="00C02BD1">
            <w:pPr>
              <w:pStyle w:val="a3"/>
              <w:overflowPunct/>
              <w:ind w:right="0"/>
              <w:jc w:val="right"/>
            </w:pPr>
            <w:r>
              <w:t>8</w:t>
            </w:r>
            <w:r w:rsidRPr="00B917A0">
              <w:t xml:space="preserve"> </w:t>
            </w:r>
            <w:r>
              <w:t>269</w:t>
            </w:r>
          </w:p>
        </w:tc>
        <w:tc>
          <w:tcPr>
            <w:tcW w:w="1871" w:type="dxa"/>
            <w:shd w:val="clear" w:color="auto" w:fill="auto"/>
            <w:vAlign w:val="bottom"/>
            <w:hideMark/>
          </w:tcPr>
          <w:p w:rsidR="00A4609B" w:rsidRPr="00B917A0" w:rsidRDefault="00A4609B" w:rsidP="00C02BD1">
            <w:pPr>
              <w:pStyle w:val="a3"/>
              <w:overflowPunct/>
              <w:ind w:right="0"/>
              <w:jc w:val="right"/>
            </w:pPr>
            <w:r>
              <w:t>3</w:t>
            </w:r>
            <w:r w:rsidRPr="00B917A0">
              <w:t xml:space="preserve"> </w:t>
            </w:r>
            <w:r>
              <w:t>78</w:t>
            </w:r>
            <w:r w:rsidRPr="00B917A0">
              <w:t>0</w:t>
            </w:r>
          </w:p>
        </w:tc>
      </w:tr>
      <w:tr w:rsidR="00A4609B" w:rsidRPr="00B917A0" w:rsidTr="00C02BD1">
        <w:tc>
          <w:tcPr>
            <w:tcW w:w="1694" w:type="dxa"/>
            <w:shd w:val="clear" w:color="auto" w:fill="auto"/>
            <w:hideMark/>
          </w:tcPr>
          <w:p w:rsidR="00A4609B" w:rsidRPr="00B917A0" w:rsidRDefault="00A4609B" w:rsidP="00C02BD1">
            <w:pPr>
              <w:pStyle w:val="a3"/>
              <w:overflowPunct/>
              <w:ind w:right="0"/>
              <w:jc w:val="left"/>
            </w:pPr>
            <w:r>
              <w:t>2</w:t>
            </w:r>
            <w:r w:rsidRPr="00B917A0">
              <w:t>0</w:t>
            </w:r>
            <w:r>
              <w:t>18</w:t>
            </w:r>
          </w:p>
        </w:tc>
        <w:tc>
          <w:tcPr>
            <w:tcW w:w="1903" w:type="dxa"/>
            <w:shd w:val="clear" w:color="auto" w:fill="auto"/>
            <w:vAlign w:val="bottom"/>
            <w:hideMark/>
          </w:tcPr>
          <w:p w:rsidR="00A4609B" w:rsidRPr="00B917A0" w:rsidRDefault="00A4609B" w:rsidP="00C02BD1">
            <w:pPr>
              <w:pStyle w:val="a3"/>
              <w:overflowPunct/>
              <w:ind w:right="0"/>
              <w:jc w:val="right"/>
            </w:pPr>
            <w:r>
              <w:t>8</w:t>
            </w:r>
            <w:r w:rsidRPr="00B917A0">
              <w:t xml:space="preserve"> </w:t>
            </w:r>
            <w:r>
              <w:t>316</w:t>
            </w:r>
          </w:p>
        </w:tc>
        <w:tc>
          <w:tcPr>
            <w:tcW w:w="1902" w:type="dxa"/>
            <w:shd w:val="clear" w:color="auto" w:fill="auto"/>
            <w:vAlign w:val="bottom"/>
            <w:hideMark/>
          </w:tcPr>
          <w:p w:rsidR="00A4609B" w:rsidRPr="00B917A0" w:rsidRDefault="00A4609B" w:rsidP="00C02BD1">
            <w:pPr>
              <w:pStyle w:val="a3"/>
              <w:overflowPunct/>
              <w:ind w:right="0"/>
              <w:jc w:val="right"/>
            </w:pPr>
            <w:r>
              <w:t>8</w:t>
            </w:r>
            <w:r w:rsidRPr="00B917A0">
              <w:t xml:space="preserve"> </w:t>
            </w:r>
            <w:r>
              <w:t>177</w:t>
            </w:r>
          </w:p>
        </w:tc>
        <w:tc>
          <w:tcPr>
            <w:tcW w:w="1871" w:type="dxa"/>
            <w:shd w:val="clear" w:color="auto" w:fill="auto"/>
            <w:vAlign w:val="bottom"/>
            <w:hideMark/>
          </w:tcPr>
          <w:p w:rsidR="00A4609B" w:rsidRPr="00B917A0" w:rsidRDefault="00A4609B" w:rsidP="00C02BD1">
            <w:pPr>
              <w:pStyle w:val="a3"/>
              <w:overflowPunct/>
              <w:ind w:right="0"/>
              <w:jc w:val="right"/>
            </w:pPr>
            <w:r>
              <w:t>3</w:t>
            </w:r>
            <w:r w:rsidRPr="00B917A0">
              <w:t xml:space="preserve"> </w:t>
            </w:r>
            <w:r>
              <w:t>922</w:t>
            </w:r>
          </w:p>
        </w:tc>
      </w:tr>
    </w:tbl>
    <w:p w:rsidR="00A4609B" w:rsidRDefault="00A4609B" w:rsidP="00A4609B">
      <w:pPr>
        <w:pStyle w:val="ac"/>
        <w:spacing w:before="120" w:after="120"/>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A4609B">
        <w:rPr>
          <w:rFonts w:hint="eastAsia"/>
        </w:rPr>
        <w:t>司法部，《</w:t>
      </w:r>
      <w:r w:rsidRPr="00A4609B">
        <w:rPr>
          <w:rFonts w:hint="eastAsia"/>
        </w:rPr>
        <w:t>2018</w:t>
      </w:r>
      <w:r w:rsidRPr="00A4609B">
        <w:rPr>
          <w:rFonts w:hint="eastAsia"/>
        </w:rPr>
        <w:t>年法院工作统计》</w:t>
      </w:r>
      <w:r w:rsidRPr="00A4609B">
        <w:rPr>
          <w:rFonts w:hint="eastAsia"/>
        </w:rPr>
        <w:t>(</w:t>
      </w:r>
      <w:r w:rsidRPr="00A4609B">
        <w:rPr>
          <w:rFonts w:hint="eastAsia"/>
        </w:rPr>
        <w:t>运营和行政管理系列</w:t>
      </w:r>
      <w:r w:rsidRPr="00A4609B">
        <w:rPr>
          <w:rFonts w:hint="eastAsia"/>
        </w:rPr>
        <w:t>)</w:t>
      </w:r>
      <w:r w:rsidRPr="00A4609B">
        <w:rPr>
          <w:rFonts w:hint="eastAsia"/>
        </w:rPr>
        <w:t>，报告仅以芬兰语提供。</w:t>
      </w:r>
    </w:p>
    <w:p w:rsidR="006D0EA7" w:rsidRDefault="006D0EA7" w:rsidP="006D0EA7">
      <w:pPr>
        <w:pStyle w:val="SingleTxtGC"/>
        <w:tabs>
          <w:tab w:val="clear" w:pos="1565"/>
          <w:tab w:val="clear" w:pos="1996"/>
          <w:tab w:val="clear" w:pos="2427"/>
        </w:tabs>
      </w:pPr>
      <w:r>
        <w:rPr>
          <w:rFonts w:hint="eastAsia"/>
        </w:rPr>
        <w:t>185.</w:t>
      </w:r>
      <w:r>
        <w:rPr>
          <w:rFonts w:hint="eastAsia"/>
        </w:rPr>
        <w:tab/>
      </w:r>
      <w:r>
        <w:rPr>
          <w:rFonts w:hint="eastAsia"/>
        </w:rPr>
        <w:t>最高法院是审理民事和刑事案件的最高司法机构，在其领域内监督法律的适用情况。最高法院最重要的职能是在法律未明确规定解决方案的情况下确立司法判例。判例为将来的类似诉讼提供法律指导，并争取确保全国各地下级法院对法律的解释一致。</w:t>
      </w:r>
    </w:p>
    <w:p w:rsidR="006D0EA7" w:rsidRDefault="006D0EA7" w:rsidP="006D0EA7">
      <w:pPr>
        <w:pStyle w:val="SingleTxtGC"/>
        <w:tabs>
          <w:tab w:val="clear" w:pos="1565"/>
          <w:tab w:val="clear" w:pos="1996"/>
          <w:tab w:val="clear" w:pos="2427"/>
        </w:tabs>
      </w:pPr>
      <w:r>
        <w:rPr>
          <w:rFonts w:hint="eastAsia"/>
        </w:rPr>
        <w:t>186.</w:t>
      </w:r>
      <w:r>
        <w:rPr>
          <w:rFonts w:hint="eastAsia"/>
        </w:rPr>
        <w:tab/>
      </w:r>
      <w:r>
        <w:rPr>
          <w:rFonts w:hint="eastAsia"/>
        </w:rPr>
        <w:t>可针对上诉法院和土地法院的裁定以及保险法院和市场法院的某些裁定向最高法院提起上诉，只要最高法院签发了上诉许可。</w:t>
      </w:r>
    </w:p>
    <w:p w:rsidR="006D0EA7" w:rsidRDefault="006D0EA7" w:rsidP="006D0EA7">
      <w:pPr>
        <w:pStyle w:val="SingleTxtGC"/>
        <w:tabs>
          <w:tab w:val="clear" w:pos="1565"/>
          <w:tab w:val="clear" w:pos="1996"/>
          <w:tab w:val="clear" w:pos="2427"/>
        </w:tabs>
      </w:pPr>
      <w:r>
        <w:rPr>
          <w:rFonts w:hint="eastAsia"/>
        </w:rPr>
        <w:t>187.</w:t>
      </w:r>
      <w:r>
        <w:rPr>
          <w:rFonts w:hint="eastAsia"/>
        </w:rPr>
        <w:tab/>
      </w:r>
      <w:r>
        <w:rPr>
          <w:rFonts w:hint="eastAsia"/>
        </w:rPr>
        <w:t>在具有先例性质的案件当中，针对地区法院的裁定可直接向最高法院提起上诉。即使在此类案件中，必须先由最高法院签发上诉许可。上诉法院作为一审法院下达的裁定，通常无需申请上诉许可即可向最高法院上诉。</w:t>
      </w:r>
    </w:p>
    <w:p w:rsidR="006D0EA7" w:rsidRDefault="006D0EA7" w:rsidP="006D0EA7">
      <w:pPr>
        <w:pStyle w:val="SingleTxtGC"/>
        <w:tabs>
          <w:tab w:val="clear" w:pos="1565"/>
          <w:tab w:val="clear" w:pos="1996"/>
          <w:tab w:val="clear" w:pos="2427"/>
        </w:tabs>
      </w:pPr>
      <w:r>
        <w:rPr>
          <w:rFonts w:hint="eastAsia"/>
        </w:rPr>
        <w:t>188.</w:t>
      </w:r>
      <w:r>
        <w:rPr>
          <w:rFonts w:hint="eastAsia"/>
        </w:rPr>
        <w:tab/>
      </w:r>
      <w:r>
        <w:rPr>
          <w:rFonts w:hint="eastAsia"/>
        </w:rPr>
        <w:t>最高法院还裁定涉及特别上诉的案件。最高法院可以《司法程序法》第</w:t>
      </w:r>
      <w:r>
        <w:rPr>
          <w:rFonts w:hint="eastAsia"/>
        </w:rPr>
        <w:t>31</w:t>
      </w:r>
      <w:r>
        <w:rPr>
          <w:rFonts w:hint="eastAsia"/>
        </w:rPr>
        <w:t>条规定的理由撤销各法院的最终裁定。在某些情况中，最高法院可在特定时限到期后恢复上诉权。</w:t>
      </w:r>
    </w:p>
    <w:p w:rsidR="006D0EA7" w:rsidRDefault="006D0EA7" w:rsidP="006D0EA7">
      <w:pPr>
        <w:pStyle w:val="SingleTxtGC"/>
        <w:tabs>
          <w:tab w:val="clear" w:pos="1565"/>
          <w:tab w:val="clear" w:pos="1996"/>
          <w:tab w:val="clear" w:pos="2427"/>
        </w:tabs>
      </w:pPr>
      <w:r>
        <w:rPr>
          <w:rFonts w:hint="eastAsia"/>
        </w:rPr>
        <w:t>189.</w:t>
      </w:r>
      <w:r>
        <w:rPr>
          <w:rFonts w:hint="eastAsia"/>
        </w:rPr>
        <w:tab/>
      </w:r>
      <w:r>
        <w:rPr>
          <w:rFonts w:hint="eastAsia"/>
        </w:rPr>
        <w:t>最高法院在涉及共和国总统给予赦免权的案件中向总统提供建议，在涉及引渡的案件中向司法部提供建议。共和国总统在批准议会通过的议案和奥兰议会通过的省级法律前，可向最高法院咨询。最高法院也可主动与政府接触，提议颁布新法或修订现行法律。此外，最高法院可就法案草案发布法律意见。</w:t>
      </w:r>
    </w:p>
    <w:p w:rsidR="006D0EA7" w:rsidRDefault="006D0EA7" w:rsidP="006D0EA7">
      <w:pPr>
        <w:pStyle w:val="SingleTxtGC"/>
        <w:tabs>
          <w:tab w:val="clear" w:pos="1565"/>
          <w:tab w:val="clear" w:pos="1996"/>
          <w:tab w:val="clear" w:pos="2427"/>
        </w:tabs>
      </w:pPr>
      <w:r>
        <w:rPr>
          <w:rFonts w:hint="eastAsia"/>
        </w:rPr>
        <w:t>190.</w:t>
      </w:r>
      <w:r>
        <w:rPr>
          <w:rFonts w:hint="eastAsia"/>
        </w:rPr>
        <w:tab/>
      </w:r>
      <w:r>
        <w:rPr>
          <w:rFonts w:hint="eastAsia"/>
        </w:rPr>
        <w:t>有关最高法院职责的主要规定载于《芬兰宪法》、《最高法院法》</w:t>
      </w:r>
      <w:r>
        <w:rPr>
          <w:rFonts w:hint="eastAsia"/>
        </w:rPr>
        <w:t>(665/2005)</w:t>
      </w:r>
      <w:r>
        <w:rPr>
          <w:rFonts w:hint="eastAsia"/>
        </w:rPr>
        <w:t>和《司法程序法》</w:t>
      </w:r>
      <w:r>
        <w:rPr>
          <w:rFonts w:hint="eastAsia"/>
        </w:rPr>
        <w:t>(4/1734)</w:t>
      </w:r>
      <w:r>
        <w:rPr>
          <w:rFonts w:hint="eastAsia"/>
        </w:rPr>
        <w:t>。</w:t>
      </w:r>
    </w:p>
    <w:p w:rsidR="002E6982" w:rsidRDefault="006D0EA7" w:rsidP="002E6982">
      <w:pPr>
        <w:pStyle w:val="SingleTxtGC"/>
        <w:rPr>
          <w:rFonts w:ascii="Time New Roman" w:eastAsia="黑体" w:hAnsi="Time New Roman" w:hint="eastAsia"/>
        </w:rPr>
      </w:pPr>
      <w:r>
        <w:rPr>
          <w:rFonts w:hint="eastAsia"/>
        </w:rPr>
        <w:t>表</w:t>
      </w:r>
      <w:r>
        <w:rPr>
          <w:rFonts w:hint="eastAsia"/>
        </w:rPr>
        <w:t>10.</w:t>
      </w:r>
      <w:r>
        <w:br/>
      </w:r>
      <w:r w:rsidRPr="006D0EA7">
        <w:rPr>
          <w:rFonts w:ascii="Time New Roman" w:eastAsia="黑体" w:hAnsi="Time New Roman" w:hint="eastAsia"/>
        </w:rPr>
        <w:t>2007-2018</w:t>
      </w:r>
      <w:r w:rsidRPr="006D0EA7">
        <w:rPr>
          <w:rFonts w:ascii="Time New Roman" w:eastAsia="黑体" w:hAnsi="Time New Roman" w:hint="eastAsia"/>
        </w:rPr>
        <w:t>年间最高法院收到、审结和待决的案件以及签发上诉许可、发布裁定和举行口头听证的案件</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3"/>
        <w:gridCol w:w="813"/>
        <w:gridCol w:w="813"/>
        <w:gridCol w:w="814"/>
        <w:gridCol w:w="562"/>
        <w:gridCol w:w="562"/>
        <w:gridCol w:w="757"/>
        <w:gridCol w:w="701"/>
        <w:gridCol w:w="828"/>
        <w:gridCol w:w="707"/>
      </w:tblGrid>
      <w:tr w:rsidR="00C02BD1" w:rsidRPr="00150D2D" w:rsidTr="00F964BD">
        <w:trPr>
          <w:cantSplit/>
          <w:tblHeader/>
        </w:trPr>
        <w:tc>
          <w:tcPr>
            <w:tcW w:w="813" w:type="dxa"/>
            <w:vMerge w:val="restart"/>
            <w:tcBorders>
              <w:top w:val="single" w:sz="4" w:space="0" w:color="auto"/>
              <w:bottom w:val="nil"/>
            </w:tcBorders>
            <w:shd w:val="clear" w:color="auto" w:fill="auto"/>
            <w:vAlign w:val="bottom"/>
          </w:tcPr>
          <w:p w:rsidR="00C02BD1" w:rsidRPr="00150D2D" w:rsidRDefault="00C02BD1" w:rsidP="00C02BD1">
            <w:pPr>
              <w:spacing w:before="80" w:after="80" w:line="200" w:lineRule="exact"/>
              <w:ind w:right="113"/>
              <w:rPr>
                <w:rFonts w:ascii="Time New Roman" w:eastAsia="楷体" w:hAnsi="Time New Roman" w:hint="eastAsia"/>
                <w:bCs/>
                <w:iCs/>
                <w:sz w:val="18"/>
                <w:szCs w:val="18"/>
              </w:rPr>
            </w:pPr>
            <w:r w:rsidRPr="00150D2D">
              <w:rPr>
                <w:rFonts w:ascii="Time New Roman" w:eastAsia="楷体" w:hAnsi="Time New Roman" w:hint="eastAsia"/>
                <w:bCs/>
                <w:iCs/>
                <w:sz w:val="18"/>
                <w:szCs w:val="18"/>
              </w:rPr>
              <w:t>年份</w:t>
            </w:r>
          </w:p>
        </w:tc>
        <w:tc>
          <w:tcPr>
            <w:tcW w:w="813" w:type="dxa"/>
            <w:vMerge w:val="restart"/>
            <w:tcBorders>
              <w:top w:val="single" w:sz="4" w:space="0" w:color="auto"/>
              <w:bottom w:val="nil"/>
            </w:tcBorders>
            <w:shd w:val="clear" w:color="auto" w:fill="auto"/>
            <w:vAlign w:val="bottom"/>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收到</w:t>
            </w:r>
          </w:p>
        </w:tc>
        <w:tc>
          <w:tcPr>
            <w:tcW w:w="813" w:type="dxa"/>
            <w:vMerge w:val="restart"/>
            <w:tcBorders>
              <w:top w:val="single" w:sz="4" w:space="0" w:color="auto"/>
              <w:bottom w:val="nil"/>
            </w:tcBorders>
            <w:shd w:val="clear" w:color="auto" w:fill="auto"/>
            <w:vAlign w:val="bottom"/>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审结</w:t>
            </w:r>
          </w:p>
        </w:tc>
        <w:tc>
          <w:tcPr>
            <w:tcW w:w="814" w:type="dxa"/>
            <w:vMerge w:val="restart"/>
            <w:tcBorders>
              <w:top w:val="single" w:sz="4" w:space="0" w:color="auto"/>
              <w:bottom w:val="nil"/>
            </w:tcBorders>
            <w:shd w:val="clear" w:color="auto" w:fill="auto"/>
            <w:vAlign w:val="bottom"/>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待决</w:t>
            </w:r>
          </w:p>
        </w:tc>
        <w:tc>
          <w:tcPr>
            <w:tcW w:w="2582" w:type="dxa"/>
            <w:gridSpan w:val="4"/>
            <w:tcBorders>
              <w:top w:val="single" w:sz="4" w:space="0" w:color="auto"/>
              <w:bottom w:val="single" w:sz="4" w:space="0" w:color="auto"/>
            </w:tcBorders>
            <w:shd w:val="clear" w:color="auto" w:fill="auto"/>
            <w:vAlign w:val="bottom"/>
            <w:hideMark/>
          </w:tcPr>
          <w:p w:rsidR="00C02BD1" w:rsidRPr="00150D2D" w:rsidRDefault="00C02BD1" w:rsidP="00C02BD1">
            <w:pPr>
              <w:spacing w:before="80" w:after="80" w:line="200" w:lineRule="exact"/>
              <w:ind w:right="113"/>
              <w:jc w:val="center"/>
              <w:rPr>
                <w:rFonts w:ascii="Time New Roman" w:eastAsia="楷体" w:hAnsi="Time New Roman" w:hint="eastAsia"/>
                <w:bCs/>
                <w:iCs/>
                <w:sz w:val="18"/>
                <w:szCs w:val="18"/>
              </w:rPr>
            </w:pPr>
            <w:r w:rsidRPr="00150D2D">
              <w:rPr>
                <w:rFonts w:ascii="Time New Roman" w:eastAsia="楷体" w:hAnsi="Time New Roman" w:hint="eastAsia"/>
                <w:bCs/>
                <w:iCs/>
                <w:sz w:val="18"/>
                <w:szCs w:val="18"/>
              </w:rPr>
              <w:t>签发上诉许可</w:t>
            </w:r>
          </w:p>
        </w:tc>
        <w:tc>
          <w:tcPr>
            <w:tcW w:w="828" w:type="dxa"/>
            <w:vMerge w:val="restart"/>
            <w:tcBorders>
              <w:top w:val="single" w:sz="4" w:space="0" w:color="auto"/>
              <w:bottom w:val="nil"/>
            </w:tcBorders>
            <w:shd w:val="clear" w:color="auto" w:fill="auto"/>
            <w:vAlign w:val="bottom"/>
            <w:hideMark/>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发布</w:t>
            </w:r>
            <w:r w:rsidR="00A532D9">
              <w:rPr>
                <w:rFonts w:ascii="Time New Roman" w:eastAsia="楷体" w:hAnsi="Time New Roman"/>
                <w:bCs/>
                <w:iCs/>
                <w:sz w:val="18"/>
                <w:szCs w:val="18"/>
              </w:rPr>
              <w:br/>
            </w:r>
            <w:r w:rsidRPr="00150D2D">
              <w:rPr>
                <w:rFonts w:ascii="Time New Roman" w:eastAsia="楷体" w:hAnsi="Time New Roman" w:hint="eastAsia"/>
                <w:bCs/>
                <w:iCs/>
                <w:sz w:val="18"/>
                <w:szCs w:val="18"/>
              </w:rPr>
              <w:t>裁定</w:t>
            </w:r>
          </w:p>
        </w:tc>
        <w:tc>
          <w:tcPr>
            <w:tcW w:w="707" w:type="dxa"/>
            <w:vMerge w:val="restart"/>
            <w:tcBorders>
              <w:top w:val="single" w:sz="4" w:space="0" w:color="auto"/>
              <w:bottom w:val="nil"/>
            </w:tcBorders>
            <w:shd w:val="clear" w:color="auto" w:fill="auto"/>
            <w:vAlign w:val="bottom"/>
            <w:hideMark/>
          </w:tcPr>
          <w:p w:rsidR="00C02BD1" w:rsidRPr="00150D2D" w:rsidRDefault="00C02BD1" w:rsidP="00C02BD1">
            <w:pPr>
              <w:spacing w:before="80" w:after="80" w:line="200" w:lineRule="exact"/>
              <w:ind w:left="-145"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口头</w:t>
            </w:r>
            <w:r w:rsidR="00A532D9">
              <w:rPr>
                <w:rFonts w:ascii="Time New Roman" w:eastAsia="楷体" w:hAnsi="Time New Roman"/>
                <w:bCs/>
                <w:iCs/>
                <w:sz w:val="18"/>
                <w:szCs w:val="18"/>
              </w:rPr>
              <w:br/>
            </w:r>
            <w:r w:rsidRPr="00150D2D">
              <w:rPr>
                <w:rFonts w:ascii="Time New Roman" w:eastAsia="楷体" w:hAnsi="Time New Roman" w:hint="eastAsia"/>
                <w:bCs/>
                <w:iCs/>
                <w:sz w:val="18"/>
                <w:szCs w:val="18"/>
              </w:rPr>
              <w:t>听证</w:t>
            </w:r>
          </w:p>
        </w:tc>
      </w:tr>
      <w:tr w:rsidR="00C02BD1" w:rsidRPr="00150D2D" w:rsidTr="00F964BD">
        <w:tc>
          <w:tcPr>
            <w:tcW w:w="813" w:type="dxa"/>
            <w:vMerge/>
            <w:tcBorders>
              <w:top w:val="nil"/>
              <w:bottom w:val="single" w:sz="12" w:space="0" w:color="auto"/>
            </w:tcBorders>
            <w:shd w:val="clear" w:color="auto" w:fill="auto"/>
            <w:vAlign w:val="bottom"/>
          </w:tcPr>
          <w:p w:rsidR="00C02BD1" w:rsidRPr="00150D2D" w:rsidRDefault="00C02BD1" w:rsidP="00C02BD1">
            <w:pPr>
              <w:spacing w:before="80" w:after="80" w:line="200" w:lineRule="exact"/>
              <w:ind w:right="113"/>
              <w:rPr>
                <w:rFonts w:ascii="楷体_GB2312" w:eastAsia="楷体_GB2312" w:hAnsi="楷体_GB2312"/>
                <w:bCs/>
                <w:iCs/>
                <w:sz w:val="18"/>
                <w:szCs w:val="18"/>
              </w:rPr>
            </w:pPr>
          </w:p>
        </w:tc>
        <w:tc>
          <w:tcPr>
            <w:tcW w:w="813" w:type="dxa"/>
            <w:vMerge/>
            <w:tcBorders>
              <w:top w:val="nil"/>
              <w:bottom w:val="single" w:sz="12" w:space="0" w:color="auto"/>
            </w:tcBorders>
            <w:shd w:val="clear" w:color="auto" w:fill="auto"/>
            <w:vAlign w:val="bottom"/>
          </w:tcPr>
          <w:p w:rsidR="00C02BD1" w:rsidRPr="00150D2D" w:rsidRDefault="00C02BD1" w:rsidP="00C02BD1">
            <w:pPr>
              <w:spacing w:before="80" w:after="80" w:line="200" w:lineRule="exact"/>
              <w:ind w:right="113"/>
              <w:jc w:val="right"/>
              <w:rPr>
                <w:rFonts w:ascii="楷体_GB2312" w:eastAsia="楷体_GB2312" w:hAnsi="楷体_GB2312"/>
                <w:bCs/>
                <w:iCs/>
                <w:sz w:val="18"/>
                <w:szCs w:val="18"/>
              </w:rPr>
            </w:pPr>
          </w:p>
        </w:tc>
        <w:tc>
          <w:tcPr>
            <w:tcW w:w="813" w:type="dxa"/>
            <w:vMerge/>
            <w:tcBorders>
              <w:top w:val="nil"/>
              <w:bottom w:val="single" w:sz="12" w:space="0" w:color="auto"/>
            </w:tcBorders>
            <w:shd w:val="clear" w:color="auto" w:fill="auto"/>
            <w:vAlign w:val="bottom"/>
          </w:tcPr>
          <w:p w:rsidR="00C02BD1" w:rsidRPr="00150D2D" w:rsidRDefault="00C02BD1" w:rsidP="00C02BD1">
            <w:pPr>
              <w:spacing w:before="80" w:after="80" w:line="200" w:lineRule="exact"/>
              <w:ind w:right="113"/>
              <w:jc w:val="right"/>
              <w:rPr>
                <w:rFonts w:ascii="楷体_GB2312" w:eastAsia="楷体_GB2312" w:hAnsi="楷体_GB2312"/>
                <w:bCs/>
                <w:iCs/>
                <w:sz w:val="18"/>
                <w:szCs w:val="18"/>
              </w:rPr>
            </w:pPr>
          </w:p>
        </w:tc>
        <w:tc>
          <w:tcPr>
            <w:tcW w:w="814" w:type="dxa"/>
            <w:vMerge/>
            <w:tcBorders>
              <w:top w:val="nil"/>
              <w:bottom w:val="single" w:sz="12" w:space="0" w:color="auto"/>
            </w:tcBorders>
            <w:shd w:val="clear" w:color="auto" w:fill="auto"/>
            <w:vAlign w:val="bottom"/>
          </w:tcPr>
          <w:p w:rsidR="00C02BD1" w:rsidRPr="00150D2D" w:rsidRDefault="00C02BD1" w:rsidP="00C02BD1">
            <w:pPr>
              <w:spacing w:before="80" w:after="80" w:line="200" w:lineRule="exact"/>
              <w:ind w:right="113"/>
              <w:jc w:val="right"/>
              <w:rPr>
                <w:rFonts w:ascii="楷体_GB2312" w:eastAsia="楷体_GB2312" w:hAnsi="楷体_GB2312"/>
                <w:bCs/>
                <w:iCs/>
                <w:sz w:val="18"/>
                <w:szCs w:val="18"/>
              </w:rPr>
            </w:pPr>
          </w:p>
        </w:tc>
        <w:tc>
          <w:tcPr>
            <w:tcW w:w="562" w:type="dxa"/>
            <w:tcBorders>
              <w:top w:val="single" w:sz="4" w:space="0" w:color="auto"/>
              <w:bottom w:val="single" w:sz="12" w:space="0" w:color="auto"/>
            </w:tcBorders>
            <w:shd w:val="clear" w:color="auto" w:fill="auto"/>
            <w:vAlign w:val="bottom"/>
            <w:hideMark/>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民事</w:t>
            </w:r>
          </w:p>
        </w:tc>
        <w:tc>
          <w:tcPr>
            <w:tcW w:w="562" w:type="dxa"/>
            <w:tcBorders>
              <w:top w:val="single" w:sz="4" w:space="0" w:color="auto"/>
              <w:bottom w:val="single" w:sz="12" w:space="0" w:color="auto"/>
            </w:tcBorders>
            <w:shd w:val="clear" w:color="auto" w:fill="auto"/>
            <w:vAlign w:val="bottom"/>
            <w:hideMark/>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土地</w:t>
            </w:r>
          </w:p>
        </w:tc>
        <w:tc>
          <w:tcPr>
            <w:tcW w:w="757" w:type="dxa"/>
            <w:tcBorders>
              <w:top w:val="single" w:sz="4" w:space="0" w:color="auto"/>
              <w:bottom w:val="single" w:sz="12" w:space="0" w:color="auto"/>
            </w:tcBorders>
            <w:shd w:val="clear" w:color="auto" w:fill="auto"/>
            <w:vAlign w:val="bottom"/>
            <w:hideMark/>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保险</w:t>
            </w:r>
          </w:p>
        </w:tc>
        <w:tc>
          <w:tcPr>
            <w:tcW w:w="701" w:type="dxa"/>
            <w:tcBorders>
              <w:top w:val="single" w:sz="4" w:space="0" w:color="auto"/>
              <w:bottom w:val="single" w:sz="12" w:space="0" w:color="auto"/>
            </w:tcBorders>
            <w:shd w:val="clear" w:color="auto" w:fill="auto"/>
            <w:vAlign w:val="bottom"/>
            <w:hideMark/>
          </w:tcPr>
          <w:p w:rsidR="00C02BD1" w:rsidRPr="00150D2D" w:rsidRDefault="00C02BD1" w:rsidP="00C02BD1">
            <w:pPr>
              <w:spacing w:before="80" w:after="80" w:line="200" w:lineRule="exact"/>
              <w:ind w:right="113"/>
              <w:jc w:val="right"/>
              <w:rPr>
                <w:rFonts w:ascii="Time New Roman" w:eastAsia="楷体" w:hAnsi="Time New Roman" w:hint="eastAsia"/>
                <w:bCs/>
                <w:iCs/>
                <w:sz w:val="18"/>
                <w:szCs w:val="18"/>
              </w:rPr>
            </w:pPr>
            <w:r w:rsidRPr="00150D2D">
              <w:rPr>
                <w:rFonts w:ascii="Time New Roman" w:eastAsia="楷体" w:hAnsi="Time New Roman" w:hint="eastAsia"/>
                <w:bCs/>
                <w:iCs/>
                <w:sz w:val="18"/>
                <w:szCs w:val="18"/>
              </w:rPr>
              <w:t>刑事</w:t>
            </w:r>
          </w:p>
        </w:tc>
        <w:tc>
          <w:tcPr>
            <w:tcW w:w="828" w:type="dxa"/>
            <w:vMerge/>
            <w:tcBorders>
              <w:top w:val="nil"/>
            </w:tcBorders>
            <w:shd w:val="clear" w:color="auto" w:fill="auto"/>
            <w:vAlign w:val="bottom"/>
          </w:tcPr>
          <w:p w:rsidR="00C02BD1" w:rsidRPr="00150D2D" w:rsidRDefault="00C02BD1" w:rsidP="00C02BD1">
            <w:pPr>
              <w:spacing w:before="80" w:after="80" w:line="200" w:lineRule="exact"/>
              <w:ind w:right="113"/>
              <w:jc w:val="right"/>
              <w:rPr>
                <w:bCs/>
                <w:i/>
                <w:sz w:val="18"/>
                <w:szCs w:val="18"/>
              </w:rPr>
            </w:pPr>
          </w:p>
        </w:tc>
        <w:tc>
          <w:tcPr>
            <w:tcW w:w="707" w:type="dxa"/>
            <w:vMerge/>
            <w:tcBorders>
              <w:top w:val="nil"/>
            </w:tcBorders>
            <w:shd w:val="clear" w:color="auto" w:fill="auto"/>
            <w:vAlign w:val="bottom"/>
          </w:tcPr>
          <w:p w:rsidR="00C02BD1" w:rsidRPr="00150D2D" w:rsidRDefault="00C02BD1" w:rsidP="00C02BD1">
            <w:pPr>
              <w:spacing w:before="80" w:after="80" w:line="200" w:lineRule="exact"/>
              <w:ind w:right="113"/>
              <w:jc w:val="right"/>
              <w:rPr>
                <w:bCs/>
                <w:i/>
                <w:sz w:val="18"/>
                <w:szCs w:val="18"/>
              </w:rPr>
            </w:pPr>
          </w:p>
        </w:tc>
      </w:tr>
      <w:tr w:rsidR="00C02BD1" w:rsidRPr="00150D2D" w:rsidTr="00C02BD1">
        <w:tc>
          <w:tcPr>
            <w:tcW w:w="813" w:type="dxa"/>
            <w:tcBorders>
              <w:top w:val="single" w:sz="12" w:space="0" w:color="auto"/>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2007</w:t>
            </w:r>
          </w:p>
        </w:tc>
        <w:tc>
          <w:tcPr>
            <w:tcW w:w="813"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2 923</w:t>
            </w:r>
          </w:p>
        </w:tc>
        <w:tc>
          <w:tcPr>
            <w:tcW w:w="813"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2 848</w:t>
            </w:r>
          </w:p>
        </w:tc>
        <w:tc>
          <w:tcPr>
            <w:tcW w:w="814"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1 075</w:t>
            </w:r>
          </w:p>
        </w:tc>
        <w:tc>
          <w:tcPr>
            <w:tcW w:w="562"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74</w:t>
            </w:r>
          </w:p>
        </w:tc>
        <w:tc>
          <w:tcPr>
            <w:tcW w:w="562"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w:t>
            </w:r>
          </w:p>
        </w:tc>
        <w:tc>
          <w:tcPr>
            <w:tcW w:w="757"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11</w:t>
            </w:r>
          </w:p>
        </w:tc>
        <w:tc>
          <w:tcPr>
            <w:tcW w:w="701"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66</w:t>
            </w:r>
          </w:p>
        </w:tc>
        <w:tc>
          <w:tcPr>
            <w:tcW w:w="828"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106</w:t>
            </w:r>
          </w:p>
        </w:tc>
        <w:tc>
          <w:tcPr>
            <w:tcW w:w="707" w:type="dxa"/>
            <w:tcBorders>
              <w:top w:val="single" w:sz="12" w:space="0" w:color="auto"/>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8</w:t>
            </w:r>
          </w:p>
        </w:tc>
      </w:tr>
      <w:tr w:rsidR="00C02BD1" w:rsidRPr="00150D2D" w:rsidTr="00C02BD1">
        <w:tc>
          <w:tcPr>
            <w:tcW w:w="813" w:type="dxa"/>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2008</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2 922</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2 876</w:t>
            </w:r>
          </w:p>
        </w:tc>
        <w:tc>
          <w:tcPr>
            <w:tcW w:w="814"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1 125</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65</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w:t>
            </w:r>
          </w:p>
        </w:tc>
        <w:tc>
          <w:tcPr>
            <w:tcW w:w="75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w:t>
            </w:r>
          </w:p>
        </w:tc>
        <w:tc>
          <w:tcPr>
            <w:tcW w:w="701"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69</w:t>
            </w:r>
          </w:p>
        </w:tc>
        <w:tc>
          <w:tcPr>
            <w:tcW w:w="828"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119</w:t>
            </w:r>
          </w:p>
        </w:tc>
        <w:tc>
          <w:tcPr>
            <w:tcW w:w="70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3</w:t>
            </w:r>
          </w:p>
        </w:tc>
      </w:tr>
      <w:tr w:rsidR="00C02BD1" w:rsidRPr="00150D2D" w:rsidTr="00C02BD1">
        <w:tc>
          <w:tcPr>
            <w:tcW w:w="813" w:type="dxa"/>
            <w:tcBorders>
              <w:bottom w:val="nil"/>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2009</w:t>
            </w:r>
          </w:p>
        </w:tc>
        <w:tc>
          <w:tcPr>
            <w:tcW w:w="813"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2 721</w:t>
            </w:r>
          </w:p>
        </w:tc>
        <w:tc>
          <w:tcPr>
            <w:tcW w:w="813"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2 629</w:t>
            </w:r>
          </w:p>
        </w:tc>
        <w:tc>
          <w:tcPr>
            <w:tcW w:w="814"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1 220</w:t>
            </w:r>
          </w:p>
        </w:tc>
        <w:tc>
          <w:tcPr>
            <w:tcW w:w="562"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80</w:t>
            </w:r>
          </w:p>
        </w:tc>
        <w:tc>
          <w:tcPr>
            <w:tcW w:w="562"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w:t>
            </w:r>
          </w:p>
        </w:tc>
        <w:tc>
          <w:tcPr>
            <w:tcW w:w="757"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w:t>
            </w:r>
          </w:p>
        </w:tc>
        <w:tc>
          <w:tcPr>
            <w:tcW w:w="701"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55</w:t>
            </w:r>
          </w:p>
        </w:tc>
        <w:tc>
          <w:tcPr>
            <w:tcW w:w="828"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94</w:t>
            </w:r>
          </w:p>
        </w:tc>
        <w:tc>
          <w:tcPr>
            <w:tcW w:w="707" w:type="dxa"/>
            <w:tcBorders>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w:t>
            </w:r>
          </w:p>
        </w:tc>
      </w:tr>
      <w:tr w:rsidR="00C02BD1" w:rsidRPr="00150D2D" w:rsidTr="00C02BD1">
        <w:tc>
          <w:tcPr>
            <w:tcW w:w="813" w:type="dxa"/>
            <w:tcBorders>
              <w:top w:val="nil"/>
              <w:bottom w:val="nil"/>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2010</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2 709</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2 499</w:t>
            </w:r>
          </w:p>
        </w:tc>
        <w:tc>
          <w:tcPr>
            <w:tcW w:w="814"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1 431</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63</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w:t>
            </w:r>
          </w:p>
        </w:tc>
        <w:tc>
          <w:tcPr>
            <w:tcW w:w="75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24</w:t>
            </w:r>
          </w:p>
        </w:tc>
        <w:tc>
          <w:tcPr>
            <w:tcW w:w="701"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71</w:t>
            </w:r>
          </w:p>
        </w:tc>
        <w:tc>
          <w:tcPr>
            <w:tcW w:w="828"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96</w:t>
            </w:r>
          </w:p>
        </w:tc>
        <w:tc>
          <w:tcPr>
            <w:tcW w:w="70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13</w:t>
            </w:r>
          </w:p>
        </w:tc>
      </w:tr>
      <w:tr w:rsidR="00C02BD1" w:rsidRPr="00150D2D" w:rsidTr="003B316E">
        <w:tc>
          <w:tcPr>
            <w:tcW w:w="813" w:type="dxa"/>
            <w:tcBorders>
              <w:top w:val="nil"/>
              <w:bottom w:val="nil"/>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2011</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2 709</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2 854</w:t>
            </w:r>
          </w:p>
        </w:tc>
        <w:tc>
          <w:tcPr>
            <w:tcW w:w="814"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1 289</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77</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w:t>
            </w:r>
          </w:p>
        </w:tc>
        <w:tc>
          <w:tcPr>
            <w:tcW w:w="75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8</w:t>
            </w:r>
          </w:p>
        </w:tc>
        <w:tc>
          <w:tcPr>
            <w:tcW w:w="701"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57</w:t>
            </w:r>
          </w:p>
        </w:tc>
        <w:tc>
          <w:tcPr>
            <w:tcW w:w="828"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111</w:t>
            </w:r>
          </w:p>
        </w:tc>
        <w:tc>
          <w:tcPr>
            <w:tcW w:w="70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w:t>
            </w:r>
          </w:p>
        </w:tc>
      </w:tr>
      <w:tr w:rsidR="00C02BD1" w:rsidRPr="00150D2D" w:rsidTr="00C02BD1">
        <w:tc>
          <w:tcPr>
            <w:tcW w:w="813" w:type="dxa"/>
            <w:tcBorders>
              <w:top w:val="nil"/>
              <w:bottom w:val="nil"/>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2012</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2 664</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2 640</w:t>
            </w:r>
          </w:p>
        </w:tc>
        <w:tc>
          <w:tcPr>
            <w:tcW w:w="814"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1 318</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48</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w:t>
            </w:r>
          </w:p>
        </w:tc>
        <w:tc>
          <w:tcPr>
            <w:tcW w:w="75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14</w:t>
            </w:r>
          </w:p>
        </w:tc>
        <w:tc>
          <w:tcPr>
            <w:tcW w:w="701"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73</w:t>
            </w:r>
          </w:p>
        </w:tc>
        <w:tc>
          <w:tcPr>
            <w:tcW w:w="828"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109</w:t>
            </w:r>
          </w:p>
        </w:tc>
        <w:tc>
          <w:tcPr>
            <w:tcW w:w="70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12</w:t>
            </w:r>
          </w:p>
        </w:tc>
      </w:tr>
      <w:tr w:rsidR="00C02BD1" w:rsidRPr="00150D2D" w:rsidTr="00150201">
        <w:tc>
          <w:tcPr>
            <w:tcW w:w="813" w:type="dxa"/>
            <w:tcBorders>
              <w:top w:val="nil"/>
              <w:bottom w:val="nil"/>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lastRenderedPageBreak/>
              <w:t>2013</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2 553</w:t>
            </w:r>
          </w:p>
        </w:tc>
        <w:tc>
          <w:tcPr>
            <w:tcW w:w="813"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2 582</w:t>
            </w:r>
          </w:p>
        </w:tc>
        <w:tc>
          <w:tcPr>
            <w:tcW w:w="814"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1 289</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46</w:t>
            </w:r>
          </w:p>
        </w:tc>
        <w:tc>
          <w:tcPr>
            <w:tcW w:w="562"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w:t>
            </w:r>
          </w:p>
        </w:tc>
        <w:tc>
          <w:tcPr>
            <w:tcW w:w="757"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w:t>
            </w:r>
          </w:p>
        </w:tc>
        <w:tc>
          <w:tcPr>
            <w:tcW w:w="701" w:type="dxa"/>
            <w:tcBorders>
              <w:top w:val="nil"/>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73</w:t>
            </w:r>
          </w:p>
        </w:tc>
        <w:tc>
          <w:tcPr>
            <w:tcW w:w="828" w:type="dxa"/>
            <w:tcBorders>
              <w:top w:val="single" w:sz="12" w:space="0" w:color="auto"/>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102</w:t>
            </w:r>
          </w:p>
        </w:tc>
        <w:tc>
          <w:tcPr>
            <w:tcW w:w="707" w:type="dxa"/>
            <w:tcBorders>
              <w:top w:val="single" w:sz="12" w:space="0" w:color="auto"/>
              <w:bottom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13</w:t>
            </w:r>
          </w:p>
        </w:tc>
      </w:tr>
      <w:tr w:rsidR="00C02BD1" w:rsidRPr="00150D2D" w:rsidTr="00C02BD1">
        <w:tc>
          <w:tcPr>
            <w:tcW w:w="813" w:type="dxa"/>
            <w:tcBorders>
              <w:top w:val="nil"/>
            </w:tcBorders>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2014</w:t>
            </w:r>
          </w:p>
        </w:tc>
        <w:tc>
          <w:tcPr>
            <w:tcW w:w="813"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2 611</w:t>
            </w:r>
          </w:p>
        </w:tc>
        <w:tc>
          <w:tcPr>
            <w:tcW w:w="813"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2 617</w:t>
            </w:r>
          </w:p>
        </w:tc>
        <w:tc>
          <w:tcPr>
            <w:tcW w:w="814"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1 271</w:t>
            </w:r>
          </w:p>
        </w:tc>
        <w:tc>
          <w:tcPr>
            <w:tcW w:w="562"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56</w:t>
            </w:r>
          </w:p>
        </w:tc>
        <w:tc>
          <w:tcPr>
            <w:tcW w:w="562"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w:t>
            </w:r>
          </w:p>
        </w:tc>
        <w:tc>
          <w:tcPr>
            <w:tcW w:w="757"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w:t>
            </w:r>
          </w:p>
        </w:tc>
        <w:tc>
          <w:tcPr>
            <w:tcW w:w="701"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60</w:t>
            </w:r>
          </w:p>
        </w:tc>
        <w:tc>
          <w:tcPr>
            <w:tcW w:w="828"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104</w:t>
            </w:r>
          </w:p>
        </w:tc>
        <w:tc>
          <w:tcPr>
            <w:tcW w:w="707" w:type="dxa"/>
            <w:tcBorders>
              <w:top w:val="nil"/>
            </w:tcBorders>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16</w:t>
            </w:r>
          </w:p>
        </w:tc>
      </w:tr>
      <w:tr w:rsidR="00C02BD1" w:rsidRPr="00150D2D" w:rsidTr="00C02BD1">
        <w:tc>
          <w:tcPr>
            <w:tcW w:w="813" w:type="dxa"/>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2015</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2 456</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2 378</w:t>
            </w:r>
          </w:p>
        </w:tc>
        <w:tc>
          <w:tcPr>
            <w:tcW w:w="814"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1 364</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54</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3</w:t>
            </w:r>
          </w:p>
        </w:tc>
        <w:tc>
          <w:tcPr>
            <w:tcW w:w="75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w:t>
            </w:r>
          </w:p>
        </w:tc>
        <w:tc>
          <w:tcPr>
            <w:tcW w:w="701"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40</w:t>
            </w:r>
          </w:p>
        </w:tc>
        <w:tc>
          <w:tcPr>
            <w:tcW w:w="828"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105</w:t>
            </w:r>
          </w:p>
        </w:tc>
        <w:tc>
          <w:tcPr>
            <w:tcW w:w="70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w:t>
            </w:r>
          </w:p>
        </w:tc>
      </w:tr>
      <w:tr w:rsidR="00C02BD1" w:rsidRPr="00150D2D" w:rsidTr="00C02BD1">
        <w:tc>
          <w:tcPr>
            <w:tcW w:w="813" w:type="dxa"/>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2016</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2 449</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2 563</w:t>
            </w:r>
          </w:p>
        </w:tc>
        <w:tc>
          <w:tcPr>
            <w:tcW w:w="814"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1 248</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75</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w:t>
            </w:r>
          </w:p>
        </w:tc>
        <w:tc>
          <w:tcPr>
            <w:tcW w:w="75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3</w:t>
            </w:r>
          </w:p>
        </w:tc>
        <w:tc>
          <w:tcPr>
            <w:tcW w:w="701"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60</w:t>
            </w:r>
          </w:p>
        </w:tc>
        <w:tc>
          <w:tcPr>
            <w:tcW w:w="828"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100</w:t>
            </w:r>
          </w:p>
        </w:tc>
        <w:tc>
          <w:tcPr>
            <w:tcW w:w="70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14</w:t>
            </w:r>
          </w:p>
        </w:tc>
      </w:tr>
      <w:tr w:rsidR="00C02BD1" w:rsidRPr="00150D2D" w:rsidTr="00C02BD1">
        <w:tc>
          <w:tcPr>
            <w:tcW w:w="813" w:type="dxa"/>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2017</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2 303</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2 428</w:t>
            </w:r>
          </w:p>
        </w:tc>
        <w:tc>
          <w:tcPr>
            <w:tcW w:w="814"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1 124</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47</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w:t>
            </w:r>
          </w:p>
        </w:tc>
        <w:tc>
          <w:tcPr>
            <w:tcW w:w="75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4</w:t>
            </w:r>
          </w:p>
        </w:tc>
        <w:tc>
          <w:tcPr>
            <w:tcW w:w="701"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77</w:t>
            </w:r>
          </w:p>
        </w:tc>
        <w:tc>
          <w:tcPr>
            <w:tcW w:w="828"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98</w:t>
            </w:r>
          </w:p>
        </w:tc>
        <w:tc>
          <w:tcPr>
            <w:tcW w:w="70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10</w:t>
            </w:r>
          </w:p>
        </w:tc>
      </w:tr>
      <w:tr w:rsidR="00C02BD1" w:rsidRPr="00150D2D" w:rsidTr="00C02BD1">
        <w:tc>
          <w:tcPr>
            <w:tcW w:w="813" w:type="dxa"/>
            <w:shd w:val="clear" w:color="auto" w:fill="auto"/>
            <w:hideMark/>
          </w:tcPr>
          <w:p w:rsidR="00C02BD1" w:rsidRPr="00150D2D" w:rsidRDefault="00C02BD1" w:rsidP="00C02BD1">
            <w:pPr>
              <w:spacing w:before="40" w:after="40" w:line="220" w:lineRule="exact"/>
              <w:ind w:right="113"/>
              <w:rPr>
                <w:sz w:val="18"/>
                <w:szCs w:val="18"/>
              </w:rPr>
            </w:pPr>
            <w:r w:rsidRPr="00150D2D">
              <w:rPr>
                <w:sz w:val="18"/>
                <w:szCs w:val="18"/>
              </w:rPr>
              <w:t>2018</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2 055</w:t>
            </w:r>
          </w:p>
        </w:tc>
        <w:tc>
          <w:tcPr>
            <w:tcW w:w="813"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2 395</w:t>
            </w:r>
          </w:p>
        </w:tc>
        <w:tc>
          <w:tcPr>
            <w:tcW w:w="814"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788</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50</w:t>
            </w:r>
          </w:p>
        </w:tc>
        <w:tc>
          <w:tcPr>
            <w:tcW w:w="562"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2</w:t>
            </w:r>
          </w:p>
        </w:tc>
        <w:tc>
          <w:tcPr>
            <w:tcW w:w="75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w:t>
            </w:r>
          </w:p>
        </w:tc>
        <w:tc>
          <w:tcPr>
            <w:tcW w:w="701"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59</w:t>
            </w:r>
          </w:p>
        </w:tc>
        <w:tc>
          <w:tcPr>
            <w:tcW w:w="828"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92</w:t>
            </w:r>
          </w:p>
        </w:tc>
        <w:tc>
          <w:tcPr>
            <w:tcW w:w="707" w:type="dxa"/>
            <w:shd w:val="clear" w:color="auto" w:fill="auto"/>
            <w:vAlign w:val="bottom"/>
            <w:hideMark/>
          </w:tcPr>
          <w:p w:rsidR="00C02BD1" w:rsidRPr="00150D2D" w:rsidRDefault="00C02BD1" w:rsidP="00C02BD1">
            <w:pPr>
              <w:spacing w:before="40" w:after="40" w:line="220" w:lineRule="exact"/>
              <w:ind w:right="113"/>
              <w:jc w:val="right"/>
              <w:rPr>
                <w:sz w:val="18"/>
                <w:szCs w:val="18"/>
              </w:rPr>
            </w:pPr>
            <w:r w:rsidRPr="00150D2D">
              <w:rPr>
                <w:sz w:val="18"/>
                <w:szCs w:val="18"/>
              </w:rPr>
              <w:t>12</w:t>
            </w:r>
          </w:p>
        </w:tc>
      </w:tr>
    </w:tbl>
    <w:p w:rsidR="00A532D9" w:rsidRDefault="00A532D9" w:rsidP="00A532D9">
      <w:pPr>
        <w:pStyle w:val="ac"/>
        <w:spacing w:before="120" w:after="120"/>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A532D9">
        <w:rPr>
          <w:rFonts w:hint="eastAsia"/>
        </w:rPr>
        <w:t>最高法院，《</w:t>
      </w:r>
      <w:r w:rsidRPr="00A532D9">
        <w:rPr>
          <w:rFonts w:hint="eastAsia"/>
        </w:rPr>
        <w:t>2009</w:t>
      </w:r>
      <w:r>
        <w:rPr>
          <w:rFonts w:hint="eastAsia"/>
        </w:rPr>
        <w:t>-</w:t>
      </w:r>
      <w:r w:rsidRPr="00A532D9">
        <w:rPr>
          <w:rFonts w:hint="eastAsia"/>
        </w:rPr>
        <w:t>2018</w:t>
      </w:r>
      <w:r w:rsidRPr="00A532D9">
        <w:rPr>
          <w:rFonts w:hint="eastAsia"/>
        </w:rPr>
        <w:t>年统计数据》</w:t>
      </w:r>
      <w:r w:rsidRPr="00A532D9">
        <w:rPr>
          <w:rFonts w:hint="eastAsia"/>
        </w:rPr>
        <w:t>(2019</w:t>
      </w:r>
      <w:r w:rsidRPr="00A532D9">
        <w:rPr>
          <w:rFonts w:hint="eastAsia"/>
        </w:rPr>
        <w:t>年</w:t>
      </w:r>
      <w:r w:rsidRPr="00A532D9">
        <w:rPr>
          <w:rFonts w:hint="eastAsia"/>
        </w:rPr>
        <w:t>4</w:t>
      </w:r>
      <w:r w:rsidRPr="00A532D9">
        <w:rPr>
          <w:rFonts w:hint="eastAsia"/>
        </w:rPr>
        <w:t>月</w:t>
      </w:r>
      <w:r w:rsidRPr="00A532D9">
        <w:rPr>
          <w:rFonts w:hint="eastAsia"/>
        </w:rPr>
        <w:t>30</w:t>
      </w:r>
      <w:r w:rsidRPr="00A532D9">
        <w:rPr>
          <w:rFonts w:hint="eastAsia"/>
        </w:rPr>
        <w:t>日发布</w:t>
      </w:r>
      <w:r w:rsidRPr="00A532D9">
        <w:rPr>
          <w:rFonts w:hint="eastAsia"/>
        </w:rPr>
        <w:t>)</w:t>
      </w:r>
      <w:r w:rsidRPr="00A532D9">
        <w:rPr>
          <w:rFonts w:hint="eastAsia"/>
        </w:rPr>
        <w:t>。</w:t>
      </w:r>
    </w:p>
    <w:p w:rsidR="00067DAD" w:rsidRDefault="00067DAD" w:rsidP="00067DAD">
      <w:pPr>
        <w:pStyle w:val="H23GC"/>
      </w:pPr>
      <w:r>
        <w:rPr>
          <w:rFonts w:hint="eastAsia"/>
        </w:rPr>
        <w:tab/>
      </w:r>
      <w:r>
        <w:rPr>
          <w:rFonts w:hint="eastAsia"/>
        </w:rPr>
        <w:tab/>
      </w:r>
      <w:r>
        <w:rPr>
          <w:rFonts w:hint="eastAsia"/>
        </w:rPr>
        <w:t>行政法院和最高行政法院</w:t>
      </w:r>
    </w:p>
    <w:p w:rsidR="00067DAD" w:rsidRDefault="00067DAD" w:rsidP="00067DAD">
      <w:pPr>
        <w:pStyle w:val="SingleTxtGC"/>
        <w:tabs>
          <w:tab w:val="clear" w:pos="1565"/>
          <w:tab w:val="clear" w:pos="1996"/>
          <w:tab w:val="clear" w:pos="2427"/>
        </w:tabs>
      </w:pPr>
      <w:r>
        <w:rPr>
          <w:rFonts w:hint="eastAsia"/>
        </w:rPr>
        <w:t>191.</w:t>
      </w:r>
      <w:r>
        <w:rPr>
          <w:rFonts w:hint="eastAsia"/>
        </w:rPr>
        <w:tab/>
      </w:r>
      <w:r>
        <w:rPr>
          <w:rFonts w:hint="eastAsia"/>
        </w:rPr>
        <w:t>芬兰有六家区域行政法院：赫尔辛基、海门林纳、东芬兰、北芬兰、图尔库和瓦萨的行政法院。此外，自治的奥兰群岛另有一个行政法院，称为奥兰行政法院。</w:t>
      </w:r>
    </w:p>
    <w:p w:rsidR="00067DAD" w:rsidRDefault="00067DAD" w:rsidP="00067DAD">
      <w:pPr>
        <w:pStyle w:val="SingleTxtGC"/>
        <w:tabs>
          <w:tab w:val="clear" w:pos="1565"/>
          <w:tab w:val="clear" w:pos="1996"/>
          <w:tab w:val="clear" w:pos="2427"/>
        </w:tabs>
      </w:pPr>
      <w:r>
        <w:rPr>
          <w:rFonts w:hint="eastAsia"/>
        </w:rPr>
        <w:t>192.</w:t>
      </w:r>
      <w:r>
        <w:rPr>
          <w:rFonts w:hint="eastAsia"/>
        </w:rPr>
        <w:tab/>
      </w:r>
      <w:r>
        <w:rPr>
          <w:rFonts w:hint="eastAsia"/>
        </w:rPr>
        <w:t>在上诉案件中，行政法院审查被上诉机关的裁定是否合法。若上诉人对行政法院的裁定不满意，多数情况下可进一步向最高行政法院提起上诉，或是至少向最高行政法院申请上诉许可。每年向行政法院提起的上诉案件约有</w:t>
      </w:r>
      <w:r>
        <w:rPr>
          <w:rFonts w:hint="eastAsia"/>
        </w:rPr>
        <w:t>20,000</w:t>
      </w:r>
      <w:r>
        <w:rPr>
          <w:rFonts w:hint="eastAsia"/>
        </w:rPr>
        <w:t>起；行政法院的人员总数约为</w:t>
      </w:r>
      <w:r>
        <w:rPr>
          <w:rFonts w:hint="eastAsia"/>
        </w:rPr>
        <w:t>440</w:t>
      </w:r>
      <w:r>
        <w:rPr>
          <w:rFonts w:hint="eastAsia"/>
        </w:rPr>
        <w:t>人。</w:t>
      </w:r>
    </w:p>
    <w:p w:rsidR="00067DAD" w:rsidRDefault="00067DAD" w:rsidP="00067DAD">
      <w:pPr>
        <w:pStyle w:val="SingleTxtGC"/>
        <w:tabs>
          <w:tab w:val="clear" w:pos="1565"/>
          <w:tab w:val="clear" w:pos="1996"/>
          <w:tab w:val="clear" w:pos="2427"/>
        </w:tabs>
      </w:pPr>
      <w:r>
        <w:rPr>
          <w:rFonts w:hint="eastAsia"/>
        </w:rPr>
        <w:t>193.</w:t>
      </w:r>
      <w:r>
        <w:rPr>
          <w:rFonts w:hint="eastAsia"/>
        </w:rPr>
        <w:tab/>
      </w:r>
      <w:r>
        <w:rPr>
          <w:rFonts w:hint="eastAsia"/>
        </w:rPr>
        <w:t>最高行政法院收到的所有上诉和上诉许可申请当中，有近</w:t>
      </w:r>
      <w:r>
        <w:rPr>
          <w:rFonts w:hint="eastAsia"/>
        </w:rPr>
        <w:t>90%</w:t>
      </w:r>
      <w:r>
        <w:rPr>
          <w:rFonts w:hint="eastAsia"/>
        </w:rPr>
        <w:t>涉及到区域行政法院下达的裁定。最高行政法院也是市场法院在竞争和公共采购案件以及涉及专利或商标注册的案件中所作裁定的上诉法院。针对政府全会决定</w:t>
      </w:r>
      <w:proofErr w:type="gramStart"/>
      <w:r>
        <w:rPr>
          <w:rFonts w:hint="eastAsia"/>
        </w:rPr>
        <w:t>和例如</w:t>
      </w:r>
      <w:proofErr w:type="gramEnd"/>
      <w:r>
        <w:rPr>
          <w:rFonts w:hint="eastAsia"/>
        </w:rPr>
        <w:t>中央税务委员会决定提起的任何上诉均须直接提交最高行政法院，而针对各部委所作决定提起的上诉现在则除少数例外情况外，必须提交作为一审法院的区域行政法院。</w:t>
      </w:r>
    </w:p>
    <w:p w:rsidR="00067DAD" w:rsidRDefault="00067DAD" w:rsidP="00067DAD">
      <w:pPr>
        <w:pStyle w:val="SingleTxtGC"/>
        <w:tabs>
          <w:tab w:val="clear" w:pos="1565"/>
          <w:tab w:val="clear" w:pos="1996"/>
          <w:tab w:val="clear" w:pos="2427"/>
        </w:tabs>
      </w:pPr>
      <w:r>
        <w:rPr>
          <w:rFonts w:hint="eastAsia"/>
        </w:rPr>
        <w:t>194.</w:t>
      </w:r>
      <w:r>
        <w:rPr>
          <w:rFonts w:hint="eastAsia"/>
        </w:rPr>
        <w:tab/>
      </w:r>
      <w:r>
        <w:rPr>
          <w:rFonts w:hint="eastAsia"/>
        </w:rPr>
        <w:t>最高行政法院每年收到大约</w:t>
      </w:r>
      <w:r>
        <w:rPr>
          <w:rFonts w:hint="eastAsia"/>
        </w:rPr>
        <w:t>6,000</w:t>
      </w:r>
      <w:r>
        <w:rPr>
          <w:rFonts w:hint="eastAsia"/>
        </w:rPr>
        <w:t>起案件。该法院受理的案件分为九大类，进一步细分为</w:t>
      </w:r>
      <w:r>
        <w:rPr>
          <w:rFonts w:hint="eastAsia"/>
        </w:rPr>
        <w:t>35</w:t>
      </w:r>
      <w:r>
        <w:rPr>
          <w:rFonts w:hint="eastAsia"/>
        </w:rPr>
        <w:t>个案件类别，共有</w:t>
      </w:r>
      <w:r>
        <w:rPr>
          <w:rFonts w:hint="eastAsia"/>
        </w:rPr>
        <w:t>280</w:t>
      </w:r>
      <w:r>
        <w:rPr>
          <w:rFonts w:hint="eastAsia"/>
        </w:rPr>
        <w:t>多个案件代码。多数情况下，只有在最高行政法院签发上诉许可的情况下，才能提起上诉。即便与国际上相比较，最高行政法院管辖权所覆盖的案件范围也异常广泛。</w:t>
      </w:r>
    </w:p>
    <w:p w:rsidR="00067DAD" w:rsidRDefault="00067DAD" w:rsidP="00FA7B2D">
      <w:pPr>
        <w:pStyle w:val="H23GC"/>
      </w:pPr>
      <w:r>
        <w:rPr>
          <w:rFonts w:hint="eastAsia"/>
        </w:rPr>
        <w:tab/>
      </w:r>
      <w:r>
        <w:rPr>
          <w:rFonts w:hint="eastAsia"/>
        </w:rPr>
        <w:tab/>
      </w:r>
      <w:r>
        <w:rPr>
          <w:rFonts w:hint="eastAsia"/>
        </w:rPr>
        <w:t>专门法院</w:t>
      </w:r>
    </w:p>
    <w:p w:rsidR="00067DAD" w:rsidRDefault="00067DAD" w:rsidP="00067DAD">
      <w:pPr>
        <w:pStyle w:val="SingleTxtGC"/>
        <w:tabs>
          <w:tab w:val="clear" w:pos="1565"/>
          <w:tab w:val="clear" w:pos="1996"/>
          <w:tab w:val="clear" w:pos="2427"/>
        </w:tabs>
      </w:pPr>
      <w:r>
        <w:rPr>
          <w:rFonts w:hint="eastAsia"/>
        </w:rPr>
        <w:t>195.</w:t>
      </w:r>
      <w:r>
        <w:rPr>
          <w:rFonts w:hint="eastAsia"/>
        </w:rPr>
        <w:tab/>
      </w:r>
      <w:r>
        <w:rPr>
          <w:rFonts w:hint="eastAsia"/>
        </w:rPr>
        <w:t>芬兰的专门法院有市场法院、劳动法院、保险法院和高等弹劾法院。市场法院审理市场法和竞争法相关案件，劳动法院审理集体协议或集体公务员协议引起的法律纠纷，保险法院受理某些涉及社会保险的案件。针对政府成员或司法总监、议会监察员或是最高法院或最高行政法院法官提起的职务行为非法相关指控由高等弹劾法院受理。涉及共和国总统刑事责任的指控也由该法院受理。高等弹劾法院的裁定不能上诉。在芬兰历史上，高等弹劾法院开庭次数不多，最近一次是在</w:t>
      </w:r>
      <w:r>
        <w:rPr>
          <w:rFonts w:hint="eastAsia"/>
        </w:rPr>
        <w:t>1993</w:t>
      </w:r>
      <w:r>
        <w:rPr>
          <w:rFonts w:hint="eastAsia"/>
        </w:rPr>
        <w:t>年。</w:t>
      </w:r>
    </w:p>
    <w:p w:rsidR="00067DAD" w:rsidRDefault="00067DAD" w:rsidP="00FA7B2D">
      <w:pPr>
        <w:pStyle w:val="H23GC"/>
      </w:pPr>
      <w:r>
        <w:rPr>
          <w:rFonts w:hint="eastAsia"/>
        </w:rPr>
        <w:tab/>
      </w:r>
      <w:r>
        <w:rPr>
          <w:rFonts w:hint="eastAsia"/>
        </w:rPr>
        <w:tab/>
      </w:r>
      <w:r>
        <w:rPr>
          <w:rFonts w:hint="eastAsia"/>
        </w:rPr>
        <w:t>律师行业</w:t>
      </w:r>
    </w:p>
    <w:p w:rsidR="00067DAD" w:rsidRDefault="00067DAD" w:rsidP="00067DAD">
      <w:pPr>
        <w:pStyle w:val="SingleTxtGC"/>
        <w:tabs>
          <w:tab w:val="clear" w:pos="1565"/>
          <w:tab w:val="clear" w:pos="1996"/>
          <w:tab w:val="clear" w:pos="2427"/>
        </w:tabs>
      </w:pPr>
      <w:r>
        <w:rPr>
          <w:rFonts w:hint="eastAsia"/>
        </w:rPr>
        <w:t>196.</w:t>
      </w:r>
      <w:r>
        <w:rPr>
          <w:rFonts w:hint="eastAsia"/>
        </w:rPr>
        <w:tab/>
      </w:r>
      <w:r>
        <w:rPr>
          <w:rFonts w:hint="eastAsia"/>
        </w:rPr>
        <w:t>芬兰拥有独立于政府权力之外的自治的律师行业。《律师法》</w:t>
      </w:r>
      <w:r>
        <w:rPr>
          <w:rFonts w:hint="eastAsia"/>
        </w:rPr>
        <w:t>(496/1958)</w:t>
      </w:r>
      <w:r>
        <w:rPr>
          <w:rFonts w:hint="eastAsia"/>
        </w:rPr>
        <w:t>承认芬兰律师协会及其地位。根据该法，律师协会独立地决定内部管理的组织问题。律师协会根据该法所载标准独立地就准许加入律师协会和取消律师资格</w:t>
      </w:r>
      <w:proofErr w:type="gramStart"/>
      <w:r>
        <w:rPr>
          <w:rFonts w:hint="eastAsia"/>
        </w:rPr>
        <w:t>作出</w:t>
      </w:r>
      <w:proofErr w:type="gramEnd"/>
      <w:r>
        <w:rPr>
          <w:rFonts w:hint="eastAsia"/>
        </w:rPr>
        <w:lastRenderedPageBreak/>
        <w:t>决定。从业律师的活动</w:t>
      </w:r>
      <w:proofErr w:type="gramStart"/>
      <w:r>
        <w:rPr>
          <w:rFonts w:hint="eastAsia"/>
        </w:rPr>
        <w:t>受律师</w:t>
      </w:r>
      <w:proofErr w:type="gramEnd"/>
      <w:r>
        <w:rPr>
          <w:rFonts w:hint="eastAsia"/>
        </w:rPr>
        <w:t>协会及其纪律委员会监管。律师协会和纪律委员会可对被发现违反法律、协会规则或职业行为守则的任何协会成员施以取消律师资格、罚款、警告或申斥的纪律处分。可针对律师协会和纪律委员会在纪律和协会成员身份相关事宜中的决定，向赫尔辛基上诉法院提起上诉。</w:t>
      </w:r>
    </w:p>
    <w:p w:rsidR="00067DAD" w:rsidRDefault="00067DAD" w:rsidP="00FA7B2D">
      <w:pPr>
        <w:pStyle w:val="H23GC"/>
      </w:pPr>
      <w:r>
        <w:rPr>
          <w:rFonts w:hint="eastAsia"/>
        </w:rPr>
        <w:tab/>
      </w:r>
      <w:r>
        <w:rPr>
          <w:rFonts w:hint="eastAsia"/>
        </w:rPr>
        <w:tab/>
      </w:r>
      <w:r>
        <w:rPr>
          <w:rFonts w:hint="eastAsia"/>
        </w:rPr>
        <w:t>法律援助</w:t>
      </w:r>
    </w:p>
    <w:p w:rsidR="00067DAD" w:rsidRDefault="00067DAD" w:rsidP="00067DAD">
      <w:pPr>
        <w:pStyle w:val="SingleTxtGC"/>
        <w:tabs>
          <w:tab w:val="clear" w:pos="1565"/>
          <w:tab w:val="clear" w:pos="1996"/>
          <w:tab w:val="clear" w:pos="2427"/>
        </w:tabs>
      </w:pPr>
      <w:r>
        <w:rPr>
          <w:rFonts w:hint="eastAsia"/>
        </w:rPr>
        <w:t>197.</w:t>
      </w:r>
      <w:r>
        <w:rPr>
          <w:rFonts w:hint="eastAsia"/>
        </w:rPr>
        <w:tab/>
      </w:r>
      <w:r>
        <w:rPr>
          <w:rFonts w:hint="eastAsia"/>
        </w:rPr>
        <w:t>在芬兰，向在法律事务中需要专家协助而其经济状况无力支付诉讼费用者提供法律援助，费用全部或部分由国家承担。法律援助相关规定载于《法律援助法》</w:t>
      </w:r>
      <w:r>
        <w:rPr>
          <w:rFonts w:hint="eastAsia"/>
        </w:rPr>
        <w:t>(257/2002)</w:t>
      </w:r>
      <w:r>
        <w:rPr>
          <w:rFonts w:hint="eastAsia"/>
        </w:rPr>
        <w:t>。法律援助涵盖提供法律咨询、在法院及其他权力机关采取必要措施和代理，以及免去审理该事宜所涉的某些费用。法律援助</w:t>
      </w:r>
      <w:proofErr w:type="gramStart"/>
      <w:r>
        <w:rPr>
          <w:rFonts w:hint="eastAsia"/>
        </w:rPr>
        <w:t>系提供</w:t>
      </w:r>
      <w:proofErr w:type="gramEnd"/>
      <w:r>
        <w:rPr>
          <w:rFonts w:hint="eastAsia"/>
        </w:rPr>
        <w:t>给可用资源和资产不超过政府法令所确定金额者。需虑及的收入和支出、抚养义务对计算可用财力的影响、资产的</w:t>
      </w:r>
      <w:proofErr w:type="gramStart"/>
      <w:r>
        <w:rPr>
          <w:rFonts w:hint="eastAsia"/>
        </w:rPr>
        <w:t>考量</w:t>
      </w:r>
      <w:proofErr w:type="gramEnd"/>
      <w:r>
        <w:rPr>
          <w:rFonts w:hint="eastAsia"/>
        </w:rPr>
        <w:t>以及确定法律援助受益人自付金额的依据，均由政府法令予以规定。</w:t>
      </w:r>
    </w:p>
    <w:p w:rsidR="00067DAD" w:rsidRDefault="00067DAD" w:rsidP="00067DAD">
      <w:pPr>
        <w:pStyle w:val="SingleTxtGC"/>
        <w:tabs>
          <w:tab w:val="clear" w:pos="1565"/>
          <w:tab w:val="clear" w:pos="1996"/>
          <w:tab w:val="clear" w:pos="2427"/>
        </w:tabs>
      </w:pPr>
      <w:r>
        <w:rPr>
          <w:rFonts w:hint="eastAsia"/>
        </w:rPr>
        <w:t>198.</w:t>
      </w:r>
      <w:r>
        <w:rPr>
          <w:rFonts w:hint="eastAsia"/>
        </w:rPr>
        <w:tab/>
      </w:r>
      <w:r>
        <w:rPr>
          <w:rFonts w:hint="eastAsia"/>
        </w:rPr>
        <w:t>国家</w:t>
      </w:r>
      <w:proofErr w:type="gramStart"/>
      <w:r>
        <w:rPr>
          <w:rFonts w:hint="eastAsia"/>
        </w:rPr>
        <w:t>各法律</w:t>
      </w:r>
      <w:proofErr w:type="gramEnd"/>
      <w:r>
        <w:rPr>
          <w:rFonts w:hint="eastAsia"/>
        </w:rPr>
        <w:t>援助和公众保护区组织法律援助服务，服务由各区内的法律援助办公室予以提供。法律援助由法律援助办公室雇用的公共法律援助律师提供。不过，在将由法院审理的事宜中，也可指定同意承担该任务的私人律师担任律师。只有执业律师或持牌律师才可能被指定为私人律师。在法律援助受益人自己提名了合格人选担任其律师的情况下，则该人会被指定为其律师，除非有特别原因不能这样做。某些特定情况下，在不由法院审理的案件中，也可能将法律援助申请人转介给私人律师。律师在履行其职责时，须遵守执业律师的职业行为守则。</w:t>
      </w:r>
    </w:p>
    <w:p w:rsidR="00067DAD" w:rsidRDefault="00067DAD" w:rsidP="00067DAD">
      <w:pPr>
        <w:pStyle w:val="SingleTxtGC"/>
        <w:tabs>
          <w:tab w:val="clear" w:pos="1565"/>
          <w:tab w:val="clear" w:pos="1996"/>
          <w:tab w:val="clear" w:pos="2427"/>
        </w:tabs>
      </w:pPr>
      <w:r>
        <w:rPr>
          <w:rFonts w:hint="eastAsia"/>
        </w:rPr>
        <w:t>199.</w:t>
      </w:r>
      <w:r>
        <w:rPr>
          <w:rFonts w:hint="eastAsia"/>
        </w:rPr>
        <w:tab/>
      </w:r>
      <w:proofErr w:type="gramStart"/>
      <w:r>
        <w:rPr>
          <w:rFonts w:hint="eastAsia"/>
        </w:rPr>
        <w:t>鉴于法律</w:t>
      </w:r>
      <w:proofErr w:type="gramEnd"/>
      <w:r>
        <w:rPr>
          <w:rFonts w:hint="eastAsia"/>
        </w:rPr>
        <w:t>援助系根据申请人每月的可用财力提供</w:t>
      </w:r>
      <w:r>
        <w:rPr>
          <w:rFonts w:hint="eastAsia"/>
        </w:rPr>
        <w:t>(</w:t>
      </w:r>
      <w:r>
        <w:rPr>
          <w:rFonts w:hint="eastAsia"/>
        </w:rPr>
        <w:t>而</w:t>
      </w:r>
      <w:proofErr w:type="gramStart"/>
      <w:r>
        <w:rPr>
          <w:rFonts w:hint="eastAsia"/>
        </w:rPr>
        <w:t>非根据</w:t>
      </w:r>
      <w:proofErr w:type="gramEnd"/>
      <w:r>
        <w:rPr>
          <w:rFonts w:hint="eastAsia"/>
        </w:rPr>
        <w:t>收入</w:t>
      </w:r>
      <w:r>
        <w:rPr>
          <w:rFonts w:hint="eastAsia"/>
        </w:rPr>
        <w:t>)</w:t>
      </w:r>
      <w:r>
        <w:rPr>
          <w:rFonts w:hint="eastAsia"/>
        </w:rPr>
        <w:t>，难以估计符合法律援助条件的芬兰人口比例。相关人员的生活状况在确定其是否符合法律援助条件时发挥着很大的作用。法律援助办公室处理的案件当中，有</w:t>
      </w:r>
      <w:r>
        <w:rPr>
          <w:rFonts w:hint="eastAsia"/>
        </w:rPr>
        <w:t>75%</w:t>
      </w:r>
      <w:r>
        <w:rPr>
          <w:rFonts w:hint="eastAsia"/>
        </w:rPr>
        <w:t>左右免费提供了法律援助，没有任何自付金额。</w:t>
      </w:r>
    </w:p>
    <w:p w:rsidR="00067DAD" w:rsidRDefault="00067DAD" w:rsidP="00067DAD">
      <w:pPr>
        <w:pStyle w:val="SingleTxtGC"/>
        <w:tabs>
          <w:tab w:val="clear" w:pos="1565"/>
          <w:tab w:val="clear" w:pos="1996"/>
          <w:tab w:val="clear" w:pos="2427"/>
        </w:tabs>
      </w:pPr>
      <w:r>
        <w:rPr>
          <w:rFonts w:hint="eastAsia"/>
        </w:rPr>
        <w:t>200.</w:t>
      </w:r>
      <w:r>
        <w:rPr>
          <w:rFonts w:hint="eastAsia"/>
        </w:rPr>
        <w:tab/>
      </w:r>
      <w:r>
        <w:rPr>
          <w:rFonts w:hint="eastAsia"/>
        </w:rPr>
        <w:t>某些情况下，犯罪嫌疑人有权在审前调查和法庭诉讼中获得由国家付费的公设辩护人。公设辩护人系应要求而为涉嫌严重犯罪者以及因犯罪而被逮捕或拘留者指定的。此外，法庭可能主动为</w:t>
      </w:r>
      <w:r>
        <w:rPr>
          <w:rFonts w:hint="eastAsia"/>
        </w:rPr>
        <w:t>18</w:t>
      </w:r>
      <w:r>
        <w:rPr>
          <w:rFonts w:hint="eastAsia"/>
        </w:rPr>
        <w:t>岁以下者或无法处理其辩护事宜者指定一位公设辩护人。此类情况中，公设辩护人的指定不考虑相关人员的财务状况，而其费用由国家承担。但是，被判定犯有涉嫌罪行者有义务将公设辩护人的费用补缴给国家，除非该人因其财务状况而有资格获得法律援助。补缴金额根据法律援助相关规则确定。只有公设法律援助律师、执业律师和持牌律师才有资格被指定为公设辩护人。</w:t>
      </w:r>
    </w:p>
    <w:p w:rsidR="00067DAD" w:rsidRDefault="00067DAD" w:rsidP="00067DAD">
      <w:pPr>
        <w:pStyle w:val="SingleTxtGC"/>
        <w:tabs>
          <w:tab w:val="clear" w:pos="1565"/>
          <w:tab w:val="clear" w:pos="1996"/>
          <w:tab w:val="clear" w:pos="2427"/>
        </w:tabs>
      </w:pPr>
      <w:r>
        <w:rPr>
          <w:rFonts w:hint="eastAsia"/>
        </w:rPr>
        <w:t>201.</w:t>
      </w:r>
      <w:r>
        <w:rPr>
          <w:rFonts w:hint="eastAsia"/>
        </w:rPr>
        <w:tab/>
      </w:r>
      <w:r>
        <w:rPr>
          <w:rFonts w:hint="eastAsia"/>
        </w:rPr>
        <w:t>法院可出于审前调查和法庭程序之故，为家庭暴力、性犯罪或其他暴力犯罪的受害人指定一名律师或支助人员。律师在法庭程序中协助受害人，而支助人员则提供心理帮助。可在不考虑受害人财力的情况下指定律师或支助人员，其酬金和费用由国家承担。</w:t>
      </w:r>
    </w:p>
    <w:p w:rsidR="00613913" w:rsidRDefault="00613913">
      <w:pPr>
        <w:tabs>
          <w:tab w:val="clear" w:pos="431"/>
        </w:tabs>
        <w:overflowPunct/>
        <w:adjustRightInd/>
        <w:snapToGrid/>
        <w:spacing w:line="240" w:lineRule="auto"/>
        <w:jc w:val="left"/>
      </w:pPr>
      <w:r>
        <w:br w:type="page"/>
      </w:r>
    </w:p>
    <w:p w:rsidR="006D0EA7" w:rsidRPr="00067DAD" w:rsidRDefault="00067DAD" w:rsidP="00067DAD">
      <w:pPr>
        <w:pStyle w:val="SingleTxtGC"/>
        <w:rPr>
          <w:rFonts w:ascii="Time New Roman" w:eastAsia="黑体" w:hAnsi="Time New Roman" w:hint="eastAsia"/>
        </w:rPr>
      </w:pPr>
      <w:r>
        <w:rPr>
          <w:rFonts w:hint="eastAsia"/>
        </w:rPr>
        <w:lastRenderedPageBreak/>
        <w:t>表</w:t>
      </w:r>
      <w:r>
        <w:rPr>
          <w:rFonts w:hint="eastAsia"/>
        </w:rPr>
        <w:t>11.</w:t>
      </w:r>
      <w:r>
        <w:br/>
      </w:r>
      <w:r w:rsidRPr="00067DAD">
        <w:rPr>
          <w:rFonts w:ascii="Time New Roman" w:eastAsia="黑体" w:hAnsi="Time New Roman" w:hint="eastAsia"/>
        </w:rPr>
        <w:t>公共法律援助的申请者和获得者</w:t>
      </w:r>
      <w:r w:rsidRPr="00067DAD">
        <w:rPr>
          <w:rFonts w:ascii="Time New Roman" w:eastAsia="黑体" w:hAnsi="Time New Roman" w:hint="eastAsia"/>
        </w:rPr>
        <w:t>(2014-2018</w:t>
      </w:r>
      <w:r w:rsidRPr="00067DAD">
        <w:rPr>
          <w:rFonts w:ascii="Time New Roman" w:eastAsia="黑体" w:hAnsi="Time New Roman" w:hint="eastAsia"/>
        </w:rPr>
        <w:t>年</w:t>
      </w:r>
      <w:r w:rsidRPr="00067DAD">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613913" w:rsidRPr="00704983" w:rsidTr="005F54AA">
        <w:trPr>
          <w:tblHeader/>
        </w:trPr>
        <w:tc>
          <w:tcPr>
            <w:tcW w:w="2835" w:type="dxa"/>
            <w:tcBorders>
              <w:top w:val="single" w:sz="4" w:space="0" w:color="auto"/>
              <w:bottom w:val="single" w:sz="12" w:space="0" w:color="auto"/>
            </w:tcBorders>
            <w:shd w:val="clear" w:color="auto" w:fill="auto"/>
            <w:vAlign w:val="bottom"/>
            <w:hideMark/>
          </w:tcPr>
          <w:p w:rsidR="00613913" w:rsidRPr="00704983" w:rsidRDefault="00613913" w:rsidP="00B35CBF">
            <w:pPr>
              <w:spacing w:before="80" w:after="80" w:line="200" w:lineRule="exact"/>
              <w:ind w:right="113"/>
              <w:rPr>
                <w:rFonts w:ascii="Time New Roman" w:eastAsia="楷体" w:hAnsi="Time New Roman" w:hint="eastAsia"/>
                <w:bCs/>
                <w:iCs/>
                <w:sz w:val="18"/>
                <w:szCs w:val="18"/>
              </w:rPr>
            </w:pPr>
            <w:r w:rsidRPr="00704983">
              <w:rPr>
                <w:rFonts w:ascii="Time New Roman" w:eastAsia="楷体" w:hAnsi="Time New Roman" w:hint="eastAsia"/>
                <w:bCs/>
                <w:iCs/>
                <w:sz w:val="18"/>
                <w:szCs w:val="18"/>
              </w:rPr>
              <w:t>年份</w:t>
            </w:r>
            <w:r w:rsidRPr="00704983">
              <w:rPr>
                <w:rFonts w:ascii="Time New Roman" w:eastAsia="楷体" w:hAnsi="Time New Roman" w:hint="eastAsia"/>
                <w:bCs/>
                <w:iCs/>
                <w:sz w:val="18"/>
                <w:szCs w:val="18"/>
              </w:rPr>
              <w:t>/</w:t>
            </w:r>
            <w:r w:rsidRPr="00704983">
              <w:rPr>
                <w:rFonts w:ascii="Time New Roman" w:eastAsia="楷体" w:hAnsi="Time New Roman" w:hint="eastAsia"/>
                <w:bCs/>
                <w:iCs/>
                <w:sz w:val="18"/>
                <w:szCs w:val="18"/>
              </w:rPr>
              <w:t>类别</w:t>
            </w:r>
          </w:p>
        </w:tc>
        <w:tc>
          <w:tcPr>
            <w:tcW w:w="907" w:type="dxa"/>
            <w:tcBorders>
              <w:top w:val="single" w:sz="4" w:space="0" w:color="auto"/>
              <w:bottom w:val="single" w:sz="12" w:space="0" w:color="auto"/>
            </w:tcBorders>
            <w:shd w:val="clear" w:color="auto" w:fill="auto"/>
            <w:vAlign w:val="bottom"/>
            <w:hideMark/>
          </w:tcPr>
          <w:p w:rsidR="00613913" w:rsidRPr="00704983" w:rsidRDefault="00613913" w:rsidP="00B35CBF">
            <w:pPr>
              <w:spacing w:before="80" w:after="80" w:line="200" w:lineRule="exact"/>
              <w:ind w:right="113"/>
              <w:jc w:val="right"/>
              <w:rPr>
                <w:rFonts w:ascii="Time New Roman" w:eastAsia="楷体" w:hAnsi="Time New Roman" w:hint="eastAsia"/>
                <w:bCs/>
                <w:iCs/>
                <w:sz w:val="18"/>
                <w:szCs w:val="18"/>
              </w:rPr>
            </w:pPr>
            <w:r w:rsidRPr="00704983">
              <w:rPr>
                <w:rFonts w:ascii="Time New Roman" w:eastAsia="楷体" w:hAnsi="Time New Roman"/>
                <w:bCs/>
                <w:iCs/>
                <w:sz w:val="18"/>
                <w:szCs w:val="18"/>
              </w:rPr>
              <w:t>2014</w:t>
            </w:r>
          </w:p>
        </w:tc>
        <w:tc>
          <w:tcPr>
            <w:tcW w:w="907" w:type="dxa"/>
            <w:tcBorders>
              <w:top w:val="single" w:sz="4" w:space="0" w:color="auto"/>
              <w:bottom w:val="single" w:sz="12" w:space="0" w:color="auto"/>
            </w:tcBorders>
            <w:shd w:val="clear" w:color="auto" w:fill="auto"/>
            <w:vAlign w:val="bottom"/>
            <w:hideMark/>
          </w:tcPr>
          <w:p w:rsidR="00613913" w:rsidRPr="00704983" w:rsidRDefault="00613913" w:rsidP="00B35CBF">
            <w:pPr>
              <w:spacing w:before="80" w:after="80" w:line="200" w:lineRule="exact"/>
              <w:ind w:right="113"/>
              <w:jc w:val="right"/>
              <w:rPr>
                <w:rFonts w:ascii="Time New Roman" w:eastAsia="楷体" w:hAnsi="Time New Roman" w:hint="eastAsia"/>
                <w:bCs/>
                <w:iCs/>
                <w:sz w:val="18"/>
                <w:szCs w:val="18"/>
              </w:rPr>
            </w:pPr>
            <w:r w:rsidRPr="00704983">
              <w:rPr>
                <w:rFonts w:ascii="Time New Roman" w:eastAsia="楷体" w:hAnsi="Time New Roman"/>
                <w:bCs/>
                <w:iCs/>
                <w:sz w:val="18"/>
                <w:szCs w:val="18"/>
              </w:rPr>
              <w:t>2015</w:t>
            </w:r>
          </w:p>
        </w:tc>
        <w:tc>
          <w:tcPr>
            <w:tcW w:w="907" w:type="dxa"/>
            <w:tcBorders>
              <w:top w:val="single" w:sz="4" w:space="0" w:color="auto"/>
              <w:bottom w:val="single" w:sz="12" w:space="0" w:color="auto"/>
            </w:tcBorders>
            <w:shd w:val="clear" w:color="auto" w:fill="auto"/>
            <w:vAlign w:val="bottom"/>
            <w:hideMark/>
          </w:tcPr>
          <w:p w:rsidR="00613913" w:rsidRPr="00704983" w:rsidRDefault="00613913" w:rsidP="00B35CBF">
            <w:pPr>
              <w:spacing w:before="80" w:after="80" w:line="200" w:lineRule="exact"/>
              <w:ind w:right="113"/>
              <w:jc w:val="right"/>
              <w:rPr>
                <w:rFonts w:ascii="Time New Roman" w:eastAsia="楷体" w:hAnsi="Time New Roman" w:hint="eastAsia"/>
                <w:bCs/>
                <w:iCs/>
                <w:sz w:val="18"/>
                <w:szCs w:val="18"/>
              </w:rPr>
            </w:pPr>
            <w:r w:rsidRPr="00704983">
              <w:rPr>
                <w:rFonts w:ascii="Time New Roman" w:eastAsia="楷体" w:hAnsi="Time New Roman"/>
                <w:bCs/>
                <w:iCs/>
                <w:sz w:val="18"/>
                <w:szCs w:val="18"/>
              </w:rPr>
              <w:t>2016</w:t>
            </w:r>
          </w:p>
        </w:tc>
        <w:tc>
          <w:tcPr>
            <w:tcW w:w="907" w:type="dxa"/>
            <w:tcBorders>
              <w:top w:val="single" w:sz="4" w:space="0" w:color="auto"/>
              <w:bottom w:val="single" w:sz="12" w:space="0" w:color="auto"/>
            </w:tcBorders>
            <w:shd w:val="clear" w:color="auto" w:fill="auto"/>
            <w:vAlign w:val="bottom"/>
            <w:hideMark/>
          </w:tcPr>
          <w:p w:rsidR="00613913" w:rsidRPr="00704983" w:rsidRDefault="00613913" w:rsidP="00B35CBF">
            <w:pPr>
              <w:spacing w:before="80" w:after="80" w:line="200" w:lineRule="exact"/>
              <w:ind w:right="113"/>
              <w:jc w:val="right"/>
              <w:rPr>
                <w:rFonts w:ascii="Time New Roman" w:eastAsia="楷体" w:hAnsi="Time New Roman" w:hint="eastAsia"/>
                <w:bCs/>
                <w:iCs/>
                <w:sz w:val="18"/>
                <w:szCs w:val="18"/>
              </w:rPr>
            </w:pPr>
            <w:r w:rsidRPr="00704983">
              <w:rPr>
                <w:rFonts w:ascii="Time New Roman" w:eastAsia="楷体" w:hAnsi="Time New Roman"/>
                <w:bCs/>
                <w:iCs/>
                <w:sz w:val="18"/>
                <w:szCs w:val="18"/>
              </w:rPr>
              <w:t>2017</w:t>
            </w:r>
          </w:p>
        </w:tc>
        <w:tc>
          <w:tcPr>
            <w:tcW w:w="907" w:type="dxa"/>
            <w:tcBorders>
              <w:top w:val="single" w:sz="4" w:space="0" w:color="auto"/>
              <w:bottom w:val="single" w:sz="12" w:space="0" w:color="auto"/>
            </w:tcBorders>
            <w:shd w:val="clear" w:color="auto" w:fill="auto"/>
            <w:vAlign w:val="bottom"/>
            <w:hideMark/>
          </w:tcPr>
          <w:p w:rsidR="00613913" w:rsidRPr="00704983" w:rsidRDefault="00613913" w:rsidP="00B35CBF">
            <w:pPr>
              <w:spacing w:before="80" w:after="80" w:line="200" w:lineRule="exact"/>
              <w:ind w:right="113"/>
              <w:jc w:val="right"/>
              <w:rPr>
                <w:rFonts w:ascii="Time New Roman" w:eastAsia="楷体" w:hAnsi="Time New Roman" w:hint="eastAsia"/>
                <w:bCs/>
                <w:iCs/>
                <w:sz w:val="18"/>
                <w:szCs w:val="18"/>
              </w:rPr>
            </w:pPr>
            <w:r w:rsidRPr="00704983">
              <w:rPr>
                <w:rFonts w:ascii="Time New Roman" w:eastAsia="楷体" w:hAnsi="Time New Roman"/>
                <w:bCs/>
                <w:iCs/>
                <w:sz w:val="18"/>
                <w:szCs w:val="18"/>
              </w:rPr>
              <w:t>2018</w:t>
            </w:r>
          </w:p>
        </w:tc>
      </w:tr>
      <w:tr w:rsidR="00613913" w:rsidRPr="00704983" w:rsidTr="005F54AA">
        <w:tc>
          <w:tcPr>
            <w:tcW w:w="2835" w:type="dxa"/>
            <w:tcBorders>
              <w:top w:val="single" w:sz="12" w:space="0" w:color="auto"/>
              <w:bottom w:val="single" w:sz="12" w:space="0" w:color="auto"/>
            </w:tcBorders>
            <w:shd w:val="clear" w:color="auto" w:fill="auto"/>
            <w:hideMark/>
          </w:tcPr>
          <w:p w:rsidR="00613913" w:rsidRPr="00704983" w:rsidRDefault="005F54AA" w:rsidP="005F54AA">
            <w:pPr>
              <w:spacing w:before="80" w:after="80" w:line="220" w:lineRule="exact"/>
              <w:rPr>
                <w:rFonts w:ascii="Time New Roman" w:eastAsia="黑体" w:hAnsi="Time New Roman" w:hint="eastAsia"/>
                <w:bCs/>
                <w:sz w:val="18"/>
                <w:szCs w:val="18"/>
              </w:rPr>
            </w:pPr>
            <w:r>
              <w:rPr>
                <w:rFonts w:ascii="Time New Roman" w:eastAsia="黑体" w:hAnsi="Time New Roman" w:hint="eastAsia"/>
                <w:bCs/>
                <w:sz w:val="18"/>
                <w:szCs w:val="18"/>
              </w:rPr>
              <w:t xml:space="preserve"> </w:t>
            </w:r>
            <w:r>
              <w:rPr>
                <w:rFonts w:ascii="Time New Roman" w:eastAsia="黑体" w:hAnsi="Time New Roman"/>
                <w:bCs/>
                <w:sz w:val="18"/>
                <w:szCs w:val="18"/>
              </w:rPr>
              <w:t xml:space="preserve"> </w:t>
            </w:r>
            <w:r w:rsidR="00613913" w:rsidRPr="00704983">
              <w:rPr>
                <w:rFonts w:ascii="Time New Roman" w:eastAsia="黑体" w:hAnsi="Time New Roman" w:hint="eastAsia"/>
                <w:bCs/>
                <w:sz w:val="18"/>
                <w:szCs w:val="18"/>
              </w:rPr>
              <w:t>总数</w:t>
            </w:r>
          </w:p>
        </w:tc>
        <w:tc>
          <w:tcPr>
            <w:tcW w:w="907" w:type="dxa"/>
            <w:tcBorders>
              <w:top w:val="single" w:sz="12" w:space="0" w:color="auto"/>
              <w:bottom w:val="single" w:sz="12" w:space="0" w:color="auto"/>
            </w:tcBorders>
            <w:shd w:val="clear" w:color="auto" w:fill="auto"/>
            <w:vAlign w:val="bottom"/>
            <w:hideMark/>
          </w:tcPr>
          <w:p w:rsidR="00613913" w:rsidRPr="00704983" w:rsidRDefault="00613913" w:rsidP="00B35CBF">
            <w:pPr>
              <w:spacing w:before="80" w:after="80" w:line="220" w:lineRule="exact"/>
              <w:ind w:right="113"/>
              <w:jc w:val="right"/>
              <w:rPr>
                <w:b/>
                <w:sz w:val="18"/>
                <w:szCs w:val="18"/>
              </w:rPr>
            </w:pPr>
            <w:r w:rsidRPr="00704983">
              <w:rPr>
                <w:b/>
                <w:sz w:val="18"/>
                <w:szCs w:val="18"/>
              </w:rPr>
              <w:t>70 569</w:t>
            </w:r>
          </w:p>
        </w:tc>
        <w:tc>
          <w:tcPr>
            <w:tcW w:w="907" w:type="dxa"/>
            <w:tcBorders>
              <w:top w:val="single" w:sz="12" w:space="0" w:color="auto"/>
              <w:bottom w:val="single" w:sz="12" w:space="0" w:color="auto"/>
            </w:tcBorders>
            <w:shd w:val="clear" w:color="auto" w:fill="auto"/>
            <w:vAlign w:val="bottom"/>
            <w:hideMark/>
          </w:tcPr>
          <w:p w:rsidR="00613913" w:rsidRPr="00704983" w:rsidRDefault="00613913" w:rsidP="00B35CBF">
            <w:pPr>
              <w:spacing w:before="80" w:after="80" w:line="220" w:lineRule="exact"/>
              <w:ind w:right="113"/>
              <w:jc w:val="right"/>
              <w:rPr>
                <w:b/>
                <w:sz w:val="18"/>
                <w:szCs w:val="18"/>
              </w:rPr>
            </w:pPr>
            <w:r w:rsidRPr="00704983">
              <w:rPr>
                <w:b/>
                <w:sz w:val="18"/>
                <w:szCs w:val="18"/>
              </w:rPr>
              <w:t>76 837</w:t>
            </w:r>
          </w:p>
        </w:tc>
        <w:tc>
          <w:tcPr>
            <w:tcW w:w="907" w:type="dxa"/>
            <w:tcBorders>
              <w:top w:val="single" w:sz="12" w:space="0" w:color="auto"/>
              <w:bottom w:val="single" w:sz="12" w:space="0" w:color="auto"/>
            </w:tcBorders>
            <w:shd w:val="clear" w:color="auto" w:fill="auto"/>
            <w:vAlign w:val="bottom"/>
            <w:hideMark/>
          </w:tcPr>
          <w:p w:rsidR="00613913" w:rsidRPr="00704983" w:rsidRDefault="00613913" w:rsidP="00B35CBF">
            <w:pPr>
              <w:spacing w:before="80" w:after="80" w:line="220" w:lineRule="exact"/>
              <w:ind w:right="113"/>
              <w:jc w:val="right"/>
              <w:rPr>
                <w:b/>
                <w:sz w:val="18"/>
                <w:szCs w:val="18"/>
              </w:rPr>
            </w:pPr>
            <w:r w:rsidRPr="00704983">
              <w:rPr>
                <w:b/>
                <w:sz w:val="18"/>
                <w:szCs w:val="18"/>
              </w:rPr>
              <w:t>80 338</w:t>
            </w:r>
          </w:p>
        </w:tc>
        <w:tc>
          <w:tcPr>
            <w:tcW w:w="907" w:type="dxa"/>
            <w:tcBorders>
              <w:top w:val="single" w:sz="12" w:space="0" w:color="auto"/>
              <w:bottom w:val="single" w:sz="12" w:space="0" w:color="auto"/>
            </w:tcBorders>
            <w:shd w:val="clear" w:color="auto" w:fill="auto"/>
            <w:vAlign w:val="bottom"/>
            <w:hideMark/>
          </w:tcPr>
          <w:p w:rsidR="00613913" w:rsidRPr="00704983" w:rsidRDefault="00613913" w:rsidP="00B35CBF">
            <w:pPr>
              <w:spacing w:before="80" w:after="80" w:line="220" w:lineRule="exact"/>
              <w:ind w:right="113"/>
              <w:jc w:val="right"/>
              <w:rPr>
                <w:b/>
                <w:sz w:val="18"/>
                <w:szCs w:val="18"/>
              </w:rPr>
            </w:pPr>
            <w:r w:rsidRPr="00704983">
              <w:rPr>
                <w:b/>
                <w:sz w:val="18"/>
                <w:szCs w:val="18"/>
              </w:rPr>
              <w:t>71 978</w:t>
            </w:r>
          </w:p>
        </w:tc>
        <w:tc>
          <w:tcPr>
            <w:tcW w:w="907" w:type="dxa"/>
            <w:tcBorders>
              <w:top w:val="single" w:sz="12" w:space="0" w:color="auto"/>
              <w:bottom w:val="single" w:sz="12" w:space="0" w:color="auto"/>
            </w:tcBorders>
            <w:shd w:val="clear" w:color="auto" w:fill="auto"/>
            <w:vAlign w:val="bottom"/>
            <w:hideMark/>
          </w:tcPr>
          <w:p w:rsidR="00613913" w:rsidRPr="00704983" w:rsidRDefault="00613913" w:rsidP="00B35CBF">
            <w:pPr>
              <w:spacing w:before="80" w:after="80" w:line="220" w:lineRule="exact"/>
              <w:ind w:right="113"/>
              <w:jc w:val="right"/>
              <w:rPr>
                <w:b/>
                <w:sz w:val="18"/>
                <w:szCs w:val="18"/>
              </w:rPr>
            </w:pPr>
            <w:r w:rsidRPr="00704983">
              <w:rPr>
                <w:b/>
                <w:sz w:val="18"/>
                <w:szCs w:val="18"/>
              </w:rPr>
              <w:t>72 082</w:t>
            </w:r>
          </w:p>
        </w:tc>
      </w:tr>
      <w:tr w:rsidR="00613913" w:rsidRPr="00704983" w:rsidTr="005F54AA">
        <w:tc>
          <w:tcPr>
            <w:tcW w:w="2835" w:type="dxa"/>
            <w:tcBorders>
              <w:top w:val="single" w:sz="12" w:space="0" w:color="auto"/>
            </w:tcBorders>
            <w:shd w:val="clear" w:color="auto" w:fill="auto"/>
            <w:hideMark/>
          </w:tcPr>
          <w:p w:rsidR="00613913" w:rsidRPr="00704983" w:rsidRDefault="00613913" w:rsidP="00B35CBF">
            <w:pPr>
              <w:spacing w:before="40" w:after="40" w:line="220" w:lineRule="exact"/>
              <w:ind w:right="113"/>
              <w:rPr>
                <w:sz w:val="18"/>
                <w:szCs w:val="18"/>
              </w:rPr>
            </w:pPr>
            <w:r w:rsidRPr="00704983">
              <w:rPr>
                <w:rFonts w:hint="eastAsia"/>
                <w:sz w:val="18"/>
                <w:szCs w:val="18"/>
              </w:rPr>
              <w:t>法律援助决定，法律援助办公室</w:t>
            </w:r>
          </w:p>
        </w:tc>
        <w:tc>
          <w:tcPr>
            <w:tcW w:w="907" w:type="dxa"/>
            <w:tcBorders>
              <w:top w:val="single" w:sz="12" w:space="0" w:color="auto"/>
            </w:tcBorders>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43 575</w:t>
            </w:r>
          </w:p>
        </w:tc>
        <w:tc>
          <w:tcPr>
            <w:tcW w:w="907" w:type="dxa"/>
            <w:tcBorders>
              <w:top w:val="single" w:sz="12" w:space="0" w:color="auto"/>
            </w:tcBorders>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45 311</w:t>
            </w:r>
          </w:p>
        </w:tc>
        <w:tc>
          <w:tcPr>
            <w:tcW w:w="907" w:type="dxa"/>
            <w:tcBorders>
              <w:top w:val="single" w:sz="12" w:space="0" w:color="auto"/>
            </w:tcBorders>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44 926</w:t>
            </w:r>
          </w:p>
        </w:tc>
        <w:tc>
          <w:tcPr>
            <w:tcW w:w="907" w:type="dxa"/>
            <w:tcBorders>
              <w:top w:val="single" w:sz="12" w:space="0" w:color="auto"/>
            </w:tcBorders>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45 949</w:t>
            </w:r>
          </w:p>
        </w:tc>
        <w:tc>
          <w:tcPr>
            <w:tcW w:w="907" w:type="dxa"/>
            <w:tcBorders>
              <w:top w:val="single" w:sz="12" w:space="0" w:color="auto"/>
            </w:tcBorders>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45 784</w:t>
            </w:r>
          </w:p>
        </w:tc>
      </w:tr>
      <w:tr w:rsidR="00613913" w:rsidRPr="00704983" w:rsidTr="005F54AA">
        <w:tc>
          <w:tcPr>
            <w:tcW w:w="2835" w:type="dxa"/>
            <w:shd w:val="clear" w:color="auto" w:fill="auto"/>
            <w:hideMark/>
          </w:tcPr>
          <w:p w:rsidR="00613913" w:rsidRPr="00704983" w:rsidRDefault="00613913" w:rsidP="00B35CBF">
            <w:pPr>
              <w:spacing w:before="40" w:after="40" w:line="220" w:lineRule="exact"/>
              <w:ind w:right="113"/>
              <w:rPr>
                <w:sz w:val="18"/>
                <w:szCs w:val="18"/>
              </w:rPr>
            </w:pPr>
            <w:r w:rsidRPr="00704983">
              <w:rPr>
                <w:rFonts w:hint="eastAsia"/>
                <w:sz w:val="18"/>
                <w:szCs w:val="18"/>
              </w:rPr>
              <w:t>法律援助决定，私人律师</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23 354</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28 009</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31 908</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22 468</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22 952</w:t>
            </w:r>
          </w:p>
        </w:tc>
      </w:tr>
      <w:tr w:rsidR="00613913" w:rsidRPr="00704983" w:rsidTr="005F54AA">
        <w:tc>
          <w:tcPr>
            <w:tcW w:w="2835" w:type="dxa"/>
            <w:shd w:val="clear" w:color="auto" w:fill="auto"/>
            <w:hideMark/>
          </w:tcPr>
          <w:p w:rsidR="00613913" w:rsidRPr="00704983" w:rsidRDefault="00613913" w:rsidP="00B35CBF">
            <w:pPr>
              <w:spacing w:before="40" w:after="40" w:line="220" w:lineRule="exact"/>
              <w:ind w:right="113"/>
              <w:rPr>
                <w:sz w:val="18"/>
                <w:szCs w:val="18"/>
              </w:rPr>
            </w:pPr>
            <w:r w:rsidRPr="00704983">
              <w:rPr>
                <w:rFonts w:hint="eastAsia"/>
                <w:sz w:val="18"/>
                <w:szCs w:val="18"/>
              </w:rPr>
              <w:t>法律援助申请遭拒</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3 640</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3 517</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3 504</w:t>
            </w:r>
          </w:p>
        </w:tc>
        <w:tc>
          <w:tcPr>
            <w:tcW w:w="907" w:type="dxa"/>
            <w:shd w:val="clear" w:color="auto" w:fill="auto"/>
            <w:vAlign w:val="bottom"/>
            <w:hideMark/>
          </w:tcPr>
          <w:p w:rsidR="00613913" w:rsidRPr="00704983" w:rsidRDefault="00613913" w:rsidP="00B35CBF">
            <w:pPr>
              <w:spacing w:before="40" w:after="40" w:line="220" w:lineRule="exact"/>
              <w:ind w:right="113"/>
              <w:jc w:val="right"/>
              <w:rPr>
                <w:sz w:val="18"/>
                <w:szCs w:val="18"/>
              </w:rPr>
            </w:pPr>
            <w:r w:rsidRPr="00704983">
              <w:rPr>
                <w:sz w:val="18"/>
                <w:szCs w:val="18"/>
              </w:rPr>
              <w:t>3 561</w:t>
            </w:r>
          </w:p>
        </w:tc>
        <w:tc>
          <w:tcPr>
            <w:tcW w:w="907" w:type="dxa"/>
            <w:shd w:val="clear" w:color="auto" w:fill="auto"/>
            <w:vAlign w:val="bottom"/>
          </w:tcPr>
          <w:p w:rsidR="00613913" w:rsidRPr="00704983" w:rsidRDefault="00613913" w:rsidP="00B35CBF">
            <w:pPr>
              <w:spacing w:before="40" w:after="40" w:line="220" w:lineRule="exact"/>
              <w:ind w:right="113"/>
              <w:jc w:val="right"/>
              <w:rPr>
                <w:sz w:val="18"/>
                <w:szCs w:val="18"/>
              </w:rPr>
            </w:pPr>
            <w:r w:rsidRPr="00704983">
              <w:rPr>
                <w:sz w:val="18"/>
                <w:szCs w:val="18"/>
              </w:rPr>
              <w:t>3 346</w:t>
            </w:r>
          </w:p>
        </w:tc>
      </w:tr>
    </w:tbl>
    <w:p w:rsidR="00613913" w:rsidRPr="00613913" w:rsidRDefault="00613913" w:rsidP="00613913">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613913">
        <w:rPr>
          <w:rFonts w:hint="eastAsia"/>
        </w:rPr>
        <w:t>司法部，《法律援助》</w:t>
      </w:r>
      <w:r w:rsidRPr="00613913">
        <w:rPr>
          <w:rFonts w:hint="eastAsia"/>
        </w:rPr>
        <w:t>(2019</w:t>
      </w:r>
      <w:r w:rsidRPr="00613913">
        <w:rPr>
          <w:rFonts w:hint="eastAsia"/>
        </w:rPr>
        <w:t>年</w:t>
      </w:r>
      <w:r w:rsidRPr="00613913">
        <w:rPr>
          <w:rFonts w:hint="eastAsia"/>
        </w:rPr>
        <w:t>)</w:t>
      </w:r>
      <w:r w:rsidRPr="00613913">
        <w:rPr>
          <w:rFonts w:hint="eastAsia"/>
        </w:rPr>
        <w:t>。</w:t>
      </w:r>
    </w:p>
    <w:p w:rsidR="00D37D99" w:rsidRDefault="00D37D99" w:rsidP="00D37D99">
      <w:pPr>
        <w:pStyle w:val="H23GC"/>
      </w:pPr>
      <w:r>
        <w:rPr>
          <w:rFonts w:hint="eastAsia"/>
        </w:rPr>
        <w:tab/>
      </w:r>
      <w:r>
        <w:rPr>
          <w:rFonts w:hint="eastAsia"/>
        </w:rPr>
        <w:tab/>
      </w:r>
      <w:r>
        <w:rPr>
          <w:rFonts w:hint="eastAsia"/>
        </w:rPr>
        <w:t>对司法程序拖延的赔偿</w:t>
      </w:r>
    </w:p>
    <w:p w:rsidR="00D37D99" w:rsidRDefault="00D37D99" w:rsidP="00D37D99">
      <w:pPr>
        <w:pStyle w:val="SingleTxtGC"/>
        <w:tabs>
          <w:tab w:val="clear" w:pos="1565"/>
          <w:tab w:val="clear" w:pos="1996"/>
          <w:tab w:val="clear" w:pos="2427"/>
        </w:tabs>
      </w:pPr>
      <w:r>
        <w:rPr>
          <w:rFonts w:hint="eastAsia"/>
        </w:rPr>
        <w:t>202.</w:t>
      </w:r>
      <w:r>
        <w:rPr>
          <w:rFonts w:hint="eastAsia"/>
        </w:rPr>
        <w:tab/>
      </w:r>
      <w:r>
        <w:rPr>
          <w:rFonts w:hint="eastAsia"/>
        </w:rPr>
        <w:t>当事方有权因司法程序的不当拖延而从国家资金中获得金钱赔偿。赔偿是为了补偿拖延造成的关切、不确定性和其他类似损害。</w:t>
      </w:r>
    </w:p>
    <w:p w:rsidR="00D37D99" w:rsidRDefault="00D37D99" w:rsidP="00D37D99">
      <w:pPr>
        <w:pStyle w:val="SingleTxtGC"/>
        <w:tabs>
          <w:tab w:val="clear" w:pos="1565"/>
          <w:tab w:val="clear" w:pos="1996"/>
          <w:tab w:val="clear" w:pos="2427"/>
        </w:tabs>
      </w:pPr>
      <w:r>
        <w:rPr>
          <w:rFonts w:hint="eastAsia"/>
        </w:rPr>
        <w:t>203.</w:t>
      </w:r>
      <w:r>
        <w:rPr>
          <w:rFonts w:hint="eastAsia"/>
        </w:rPr>
        <w:tab/>
      </w:r>
      <w:r>
        <w:rPr>
          <w:rFonts w:hint="eastAsia"/>
        </w:rPr>
        <w:t>涉及在普通法院待审的民事、诉请和刑事事项，均可支付赔偿。芬兰的普通法院包括地区法院、上诉法院和最高法院。必须在事项审议结束前向审理主要事项的法院提出赔偿要求。当事方也有权因行政法院、保险法院和其他专门法院、最高行政法院和上诉委员会的司法诉讼时间过长而获得赔偿。</w:t>
      </w:r>
    </w:p>
    <w:p w:rsidR="00D37D99" w:rsidRDefault="00D37D99" w:rsidP="00D37D99">
      <w:pPr>
        <w:pStyle w:val="SingleTxtGC"/>
        <w:tabs>
          <w:tab w:val="clear" w:pos="1565"/>
          <w:tab w:val="clear" w:pos="1996"/>
          <w:tab w:val="clear" w:pos="2427"/>
        </w:tabs>
      </w:pPr>
      <w:r>
        <w:rPr>
          <w:rFonts w:hint="eastAsia"/>
        </w:rPr>
        <w:t>204.</w:t>
      </w:r>
      <w:r>
        <w:rPr>
          <w:rFonts w:hint="eastAsia"/>
        </w:rPr>
        <w:tab/>
      </w:r>
      <w:r>
        <w:rPr>
          <w:rFonts w:hint="eastAsia"/>
        </w:rPr>
        <w:t>根据司法程序的时间长短、事件的性质和范围、当局和法院在诉讼过程中的行动以及事件对当事方的重要性来评估司法程序是否拖延。评估过程会考虑到欧洲人权法院的判例法。</w:t>
      </w:r>
    </w:p>
    <w:p w:rsidR="00D37D99" w:rsidRDefault="00D37D99" w:rsidP="00D37D99">
      <w:pPr>
        <w:pStyle w:val="SingleTxtGC"/>
        <w:tabs>
          <w:tab w:val="clear" w:pos="1565"/>
          <w:tab w:val="clear" w:pos="1996"/>
          <w:tab w:val="clear" w:pos="2427"/>
        </w:tabs>
      </w:pPr>
      <w:r>
        <w:rPr>
          <w:rFonts w:hint="eastAsia"/>
        </w:rPr>
        <w:t>205.</w:t>
      </w:r>
      <w:r>
        <w:rPr>
          <w:rFonts w:hint="eastAsia"/>
        </w:rPr>
        <w:tab/>
      </w:r>
      <w:r>
        <w:rPr>
          <w:rFonts w:hint="eastAsia"/>
        </w:rPr>
        <w:t>如果是法院或当局的原因而拖延司法程序，赔偿金额为每年</w:t>
      </w:r>
      <w:r>
        <w:rPr>
          <w:rFonts w:hint="eastAsia"/>
        </w:rPr>
        <w:t>1,500</w:t>
      </w:r>
      <w:r>
        <w:rPr>
          <w:rFonts w:hint="eastAsia"/>
        </w:rPr>
        <w:t>欧元。如果该主要事项对当事方特别重要，赔偿总额最高可增加</w:t>
      </w:r>
      <w:r>
        <w:rPr>
          <w:rFonts w:hint="eastAsia"/>
        </w:rPr>
        <w:t>2,000</w:t>
      </w:r>
      <w:r>
        <w:rPr>
          <w:rFonts w:hint="eastAsia"/>
        </w:rPr>
        <w:t>欧元。赔偿的最高金额是</w:t>
      </w:r>
      <w:r>
        <w:rPr>
          <w:rFonts w:hint="eastAsia"/>
        </w:rPr>
        <w:t>10,000</w:t>
      </w:r>
      <w:r>
        <w:rPr>
          <w:rFonts w:hint="eastAsia"/>
        </w:rPr>
        <w:t>欧元，在特殊情况下可超过该额度。因司法诉讼时间过长而减轻处罚或者减轻行政处罚的，当事人无权获得金钱赔偿。</w:t>
      </w:r>
    </w:p>
    <w:p w:rsidR="00D37D99" w:rsidRDefault="00D37D99" w:rsidP="00D37D99">
      <w:pPr>
        <w:pStyle w:val="H23GC"/>
      </w:pPr>
      <w:r>
        <w:rPr>
          <w:rFonts w:hint="eastAsia"/>
        </w:rPr>
        <w:tab/>
        <w:t>(p)</w:t>
      </w:r>
      <w:r>
        <w:rPr>
          <w:rFonts w:hint="eastAsia"/>
        </w:rPr>
        <w:tab/>
      </w:r>
      <w:r>
        <w:rPr>
          <w:rFonts w:hint="eastAsia"/>
        </w:rPr>
        <w:t>国家检察机关</w:t>
      </w:r>
    </w:p>
    <w:p w:rsidR="00D37D99" w:rsidRDefault="00D37D99" w:rsidP="00D37D99">
      <w:pPr>
        <w:pStyle w:val="SingleTxtGC"/>
        <w:tabs>
          <w:tab w:val="clear" w:pos="1565"/>
          <w:tab w:val="clear" w:pos="1996"/>
          <w:tab w:val="clear" w:pos="2427"/>
        </w:tabs>
      </w:pPr>
      <w:r>
        <w:rPr>
          <w:rFonts w:hint="eastAsia"/>
        </w:rPr>
        <w:t>206.</w:t>
      </w:r>
      <w:r>
        <w:rPr>
          <w:rFonts w:hint="eastAsia"/>
        </w:rPr>
        <w:tab/>
      </w:r>
      <w:r>
        <w:rPr>
          <w:rFonts w:hint="eastAsia"/>
        </w:rPr>
        <w:t>自</w:t>
      </w:r>
      <w:r>
        <w:rPr>
          <w:rFonts w:hint="eastAsia"/>
        </w:rPr>
        <w:t>2019</w:t>
      </w:r>
      <w:r>
        <w:rPr>
          <w:rFonts w:hint="eastAsia"/>
        </w:rPr>
        <w:t>年</w:t>
      </w:r>
      <w:r>
        <w:rPr>
          <w:rFonts w:hint="eastAsia"/>
        </w:rPr>
        <w:t>10</w:t>
      </w:r>
      <w:r>
        <w:rPr>
          <w:rFonts w:hint="eastAsia"/>
        </w:rPr>
        <w:t>月</w:t>
      </w:r>
      <w:r>
        <w:rPr>
          <w:rFonts w:hint="eastAsia"/>
        </w:rPr>
        <w:t>1</w:t>
      </w:r>
      <w:r>
        <w:rPr>
          <w:rFonts w:hint="eastAsia"/>
        </w:rPr>
        <w:t>日起，芬兰检察院进行了重组，检察官成为国家检察署的一部分，国家检察署是司法部行政部门的一个独立机构。国家检察署由作为中央行政单位的总检察长办公室和五个检察区组成：芬兰南部、芬兰西部、芬兰东部、芬兰北部和奥兰群岛。各检察区负责组织实际的检察活动，而中央行政单位的职责包括指导、发展和监督检察署的行动和检察活动。国家检察署在芬兰各地设有</w:t>
      </w:r>
      <w:r>
        <w:rPr>
          <w:rFonts w:hint="eastAsia"/>
        </w:rPr>
        <w:t>34</w:t>
      </w:r>
      <w:r>
        <w:rPr>
          <w:rFonts w:hint="eastAsia"/>
        </w:rPr>
        <w:t>个办事处，约有</w:t>
      </w:r>
      <w:r>
        <w:rPr>
          <w:rFonts w:hint="eastAsia"/>
        </w:rPr>
        <w:t>550</w:t>
      </w:r>
      <w:r>
        <w:rPr>
          <w:rFonts w:hint="eastAsia"/>
        </w:rPr>
        <w:t>名雇员，其中</w:t>
      </w:r>
      <w:r>
        <w:rPr>
          <w:rFonts w:hint="eastAsia"/>
        </w:rPr>
        <w:t>400</w:t>
      </w:r>
      <w:r>
        <w:rPr>
          <w:rFonts w:hint="eastAsia"/>
        </w:rPr>
        <w:t>人为检察官。其他约</w:t>
      </w:r>
      <w:r>
        <w:rPr>
          <w:rFonts w:hint="eastAsia"/>
        </w:rPr>
        <w:t>150</w:t>
      </w:r>
      <w:r>
        <w:rPr>
          <w:rFonts w:hint="eastAsia"/>
        </w:rPr>
        <w:t>人从事各种支持和专家工作。</w:t>
      </w:r>
    </w:p>
    <w:p w:rsidR="00D37D99" w:rsidRDefault="00D37D99" w:rsidP="00D37D99">
      <w:pPr>
        <w:pStyle w:val="SingleTxtGC"/>
        <w:tabs>
          <w:tab w:val="clear" w:pos="1565"/>
          <w:tab w:val="clear" w:pos="1996"/>
          <w:tab w:val="clear" w:pos="2427"/>
        </w:tabs>
      </w:pPr>
      <w:r>
        <w:rPr>
          <w:rFonts w:hint="eastAsia"/>
        </w:rPr>
        <w:t>207.</w:t>
      </w:r>
      <w:r>
        <w:rPr>
          <w:rFonts w:hint="eastAsia"/>
        </w:rPr>
        <w:tab/>
      </w:r>
      <w:r>
        <w:rPr>
          <w:rFonts w:hint="eastAsia"/>
        </w:rPr>
        <w:t>检察官每年处理约</w:t>
      </w:r>
      <w:r>
        <w:rPr>
          <w:rFonts w:hint="eastAsia"/>
        </w:rPr>
        <w:t>8</w:t>
      </w:r>
      <w:r>
        <w:rPr>
          <w:rFonts w:hint="eastAsia"/>
        </w:rPr>
        <w:t>万起刑事案件。其中大部分案件在相关检察区被检控。总检察长办公室每年只起诉几十起刑事案件，其中大部分案件依法属于总检察长管辖范围，例如恐怖主义罪行以及与滥用表达自由有关的罪行。此外，总检察长办公室的检察官每年还</w:t>
      </w:r>
      <w:proofErr w:type="gramStart"/>
      <w:r>
        <w:rPr>
          <w:rFonts w:hint="eastAsia"/>
        </w:rPr>
        <w:t>处理几宗对</w:t>
      </w:r>
      <w:proofErr w:type="gramEnd"/>
      <w:r>
        <w:rPr>
          <w:rFonts w:hint="eastAsia"/>
        </w:rPr>
        <w:t>社会有极大影响的刑事案件，例如犯罪嫌疑人是名人。在审前调查期间，检察官和审前调查当局合作，确保对涉嫌罪行进行充分彻底的调查。根据审前调查获得的证据，检察官对指控进行审查，以决定是提出指控还是放弃进一步诉讼行动。</w:t>
      </w:r>
    </w:p>
    <w:p w:rsidR="00D37D99" w:rsidRDefault="00D37D99" w:rsidP="00D37D99">
      <w:pPr>
        <w:pStyle w:val="SingleTxtGC"/>
        <w:tabs>
          <w:tab w:val="clear" w:pos="1565"/>
          <w:tab w:val="clear" w:pos="1996"/>
          <w:tab w:val="clear" w:pos="2427"/>
        </w:tabs>
      </w:pPr>
      <w:r>
        <w:rPr>
          <w:rFonts w:hint="eastAsia"/>
        </w:rPr>
        <w:t>208.</w:t>
      </w:r>
      <w:r>
        <w:rPr>
          <w:rFonts w:hint="eastAsia"/>
        </w:rPr>
        <w:tab/>
      </w:r>
      <w:r>
        <w:rPr>
          <w:rFonts w:hint="eastAsia"/>
        </w:rPr>
        <w:t>根据《国家检察署法》</w:t>
      </w:r>
      <w:r>
        <w:rPr>
          <w:rFonts w:hint="eastAsia"/>
        </w:rPr>
        <w:t>(32/2019)</w:t>
      </w:r>
      <w:r>
        <w:rPr>
          <w:rFonts w:hint="eastAsia"/>
        </w:rPr>
        <w:t>，检察官应确保按要求以平等、迅速和经济的方式对正在处理的案件实现刑事责任，以确保有关各方得到法律保护，并服</w:t>
      </w:r>
      <w:r>
        <w:rPr>
          <w:rFonts w:hint="eastAsia"/>
        </w:rPr>
        <w:lastRenderedPageBreak/>
        <w:t>务于公共利益。检察官应保持客观，对涉嫌罪行的有利证据和不利证据进行公正和平等的审查。</w:t>
      </w:r>
    </w:p>
    <w:p w:rsidR="00D37D99" w:rsidRDefault="00D37D99" w:rsidP="00D37D99">
      <w:pPr>
        <w:pStyle w:val="SingleTxtGC"/>
        <w:tabs>
          <w:tab w:val="clear" w:pos="1565"/>
          <w:tab w:val="clear" w:pos="1996"/>
          <w:tab w:val="clear" w:pos="2427"/>
        </w:tabs>
      </w:pPr>
      <w:r>
        <w:rPr>
          <w:rFonts w:hint="eastAsia"/>
        </w:rPr>
        <w:t>209.</w:t>
      </w:r>
      <w:r>
        <w:rPr>
          <w:rFonts w:hint="eastAsia"/>
        </w:rPr>
        <w:tab/>
      </w:r>
      <w:r>
        <w:rPr>
          <w:rFonts w:hint="eastAsia"/>
        </w:rPr>
        <w:t>检察官完全独立自主地</w:t>
      </w:r>
      <w:proofErr w:type="gramStart"/>
      <w:r>
        <w:rPr>
          <w:rFonts w:hint="eastAsia"/>
        </w:rPr>
        <w:t>作出</w:t>
      </w:r>
      <w:proofErr w:type="gramEnd"/>
      <w:r>
        <w:rPr>
          <w:rFonts w:hint="eastAsia"/>
        </w:rPr>
        <w:t>决定。在任何个案中，他们都不能也不会听从任何人的指示或命令。因此，检察官不受警方意见的约束，例如关于嫌疑人罪行的警方意见。即使是总检察长也无权决定检察官如何处理案件。但是，总检察长确实有权亲自处理任何案件，并有权将案件指派给另一名检察官。</w:t>
      </w:r>
      <w:r>
        <w:rPr>
          <w:rFonts w:hint="eastAsia"/>
        </w:rPr>
        <w:t>2018</w:t>
      </w:r>
      <w:r>
        <w:rPr>
          <w:rFonts w:hint="eastAsia"/>
        </w:rPr>
        <w:t>年，芬兰每</w:t>
      </w:r>
      <w:r>
        <w:rPr>
          <w:rFonts w:hint="eastAsia"/>
        </w:rPr>
        <w:t>10</w:t>
      </w:r>
      <w:r>
        <w:rPr>
          <w:rFonts w:hint="eastAsia"/>
        </w:rPr>
        <w:t>万居民约有</w:t>
      </w:r>
      <w:r>
        <w:rPr>
          <w:rFonts w:hint="eastAsia"/>
        </w:rPr>
        <w:t>7.12</w:t>
      </w:r>
      <w:r>
        <w:rPr>
          <w:rFonts w:hint="eastAsia"/>
        </w:rPr>
        <w:t>名检察官。</w:t>
      </w:r>
    </w:p>
    <w:p w:rsidR="00D37D99" w:rsidRDefault="00D37D99" w:rsidP="00D37D99">
      <w:pPr>
        <w:pStyle w:val="H23GC"/>
      </w:pPr>
      <w:r>
        <w:rPr>
          <w:rFonts w:hint="eastAsia"/>
        </w:rPr>
        <w:tab/>
        <w:t>(q)</w:t>
      </w:r>
      <w:r>
        <w:rPr>
          <w:rFonts w:hint="eastAsia"/>
        </w:rPr>
        <w:tab/>
      </w:r>
      <w:r>
        <w:rPr>
          <w:rFonts w:hint="eastAsia"/>
        </w:rPr>
        <w:t>警察</w:t>
      </w:r>
    </w:p>
    <w:p w:rsidR="00D37D99" w:rsidRDefault="00D37D99" w:rsidP="00D37D99">
      <w:pPr>
        <w:pStyle w:val="SingleTxtGC"/>
        <w:tabs>
          <w:tab w:val="clear" w:pos="1565"/>
          <w:tab w:val="clear" w:pos="1996"/>
          <w:tab w:val="clear" w:pos="2427"/>
        </w:tabs>
      </w:pPr>
      <w:r>
        <w:rPr>
          <w:rFonts w:hint="eastAsia"/>
        </w:rPr>
        <w:t>210.</w:t>
      </w:r>
      <w:r>
        <w:rPr>
          <w:rFonts w:hint="eastAsia"/>
        </w:rPr>
        <w:tab/>
      </w:r>
      <w:r>
        <w:rPr>
          <w:rFonts w:hint="eastAsia"/>
        </w:rPr>
        <w:t>芬兰设有多层次的警察组织。政府根据《政府方案》中的目标和政府通过的决议来指导警察行动。内政部负责指导和监测。警察组织有两级。芬兰国家警察总局隶属于内政部，负责指挥和指导警察行动。警察部门和国家单位直接向国家警察总局报告，国家警察总局也负责警察单位的绩效管理。警务工作受《警察法》</w:t>
      </w:r>
      <w:r>
        <w:rPr>
          <w:rFonts w:hint="eastAsia"/>
        </w:rPr>
        <w:t>(872/2011)</w:t>
      </w:r>
      <w:r>
        <w:rPr>
          <w:rFonts w:hint="eastAsia"/>
        </w:rPr>
        <w:t>以及其他有关警察活动的立法管辖，如《刑事调查法》</w:t>
      </w:r>
      <w:r>
        <w:rPr>
          <w:rFonts w:hint="eastAsia"/>
        </w:rPr>
        <w:t>(805/2011)</w:t>
      </w:r>
      <w:r>
        <w:rPr>
          <w:rFonts w:hint="eastAsia"/>
        </w:rPr>
        <w:t>和《强制措施法》</w:t>
      </w:r>
      <w:r>
        <w:rPr>
          <w:rFonts w:hint="eastAsia"/>
        </w:rPr>
        <w:t>(806/2011)</w:t>
      </w:r>
      <w:r>
        <w:rPr>
          <w:rFonts w:hint="eastAsia"/>
        </w:rPr>
        <w:t>。善治原则也适用于警察活动。</w:t>
      </w:r>
    </w:p>
    <w:p w:rsidR="00D37D99" w:rsidRDefault="00D37D99" w:rsidP="00330614">
      <w:pPr>
        <w:pStyle w:val="SingleTxtGC"/>
        <w:tabs>
          <w:tab w:val="clear" w:pos="1565"/>
          <w:tab w:val="clear" w:pos="1996"/>
          <w:tab w:val="clear" w:pos="2427"/>
        </w:tabs>
      </w:pPr>
      <w:r>
        <w:rPr>
          <w:rFonts w:hint="eastAsia"/>
        </w:rPr>
        <w:t>211.</w:t>
      </w:r>
      <w:r>
        <w:rPr>
          <w:rFonts w:hint="eastAsia"/>
        </w:rPr>
        <w:tab/>
      </w:r>
      <w:r>
        <w:rPr>
          <w:rFonts w:hint="eastAsia"/>
        </w:rPr>
        <w:t>国家警察单位是指国家调查局和警察大学。国家调查局专门负责预防严重和有组织犯罪。警察大学负责警察培训招募、选拔学生、组织文凭课程和进修、培训机构的进一步培训以及警察领域的研究和发展。地方警察由</w:t>
      </w:r>
      <w:r>
        <w:rPr>
          <w:rFonts w:hint="eastAsia"/>
        </w:rPr>
        <w:t>11</w:t>
      </w:r>
      <w:r>
        <w:rPr>
          <w:rFonts w:hint="eastAsia"/>
        </w:rPr>
        <w:t>个警察部门组成。在主要警察局、普通警察局、警察服务点和联合服务点提供地方警察服务。警方提供的牌照服务与核心警务行动、维持公共秩序和安全、防止犯罪以及促进交通安全有关。芬兰的警察部队由约</w:t>
      </w:r>
      <w:r>
        <w:rPr>
          <w:rFonts w:hint="eastAsia"/>
        </w:rPr>
        <w:t>7,200</w:t>
      </w:r>
      <w:r>
        <w:rPr>
          <w:rFonts w:hint="eastAsia"/>
        </w:rPr>
        <w:t>名警察组成。</w:t>
      </w:r>
    </w:p>
    <w:p w:rsidR="006D0EA7" w:rsidRPr="00613913" w:rsidRDefault="00D37D99" w:rsidP="00D37D99">
      <w:pPr>
        <w:pStyle w:val="SingleTxtGC"/>
      </w:pPr>
      <w:r>
        <w:rPr>
          <w:rFonts w:hint="eastAsia"/>
        </w:rPr>
        <w:t>表</w:t>
      </w:r>
      <w:r>
        <w:rPr>
          <w:rFonts w:hint="eastAsia"/>
        </w:rPr>
        <w:t>12.</w:t>
      </w:r>
      <w:r>
        <w:br/>
      </w:r>
      <w:r w:rsidRPr="00D37D99">
        <w:rPr>
          <w:rFonts w:ascii="Time New Roman" w:eastAsia="黑体" w:hAnsi="Time New Roman" w:hint="eastAsia"/>
        </w:rPr>
        <w:t>警察组织中的人数</w:t>
      </w:r>
      <w:r w:rsidRPr="00D37D99">
        <w:rPr>
          <w:rFonts w:ascii="Time New Roman" w:eastAsia="黑体" w:hAnsi="Time New Roman" w:hint="eastAsia"/>
        </w:rPr>
        <w:t>(</w:t>
      </w:r>
      <w:r w:rsidRPr="00D37D99">
        <w:rPr>
          <w:rFonts w:ascii="Time New Roman" w:eastAsia="黑体" w:hAnsi="Time New Roman" w:hint="eastAsia"/>
        </w:rPr>
        <w:t>按年份分列</w:t>
      </w:r>
      <w:r w:rsidRPr="00D37D99">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822"/>
        <w:gridCol w:w="822"/>
        <w:gridCol w:w="822"/>
        <w:gridCol w:w="822"/>
        <w:gridCol w:w="823"/>
        <w:gridCol w:w="1558"/>
      </w:tblGrid>
      <w:tr w:rsidR="00E50E8A" w:rsidRPr="00DF193A" w:rsidTr="00E50E8A">
        <w:trPr>
          <w:tblHeader/>
        </w:trPr>
        <w:tc>
          <w:tcPr>
            <w:tcW w:w="1701"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left"/>
              <w:rPr>
                <w:bCs/>
                <w:sz w:val="16"/>
                <w:szCs w:val="24"/>
              </w:rPr>
            </w:pPr>
            <w:r w:rsidRPr="00DF193A">
              <w:rPr>
                <w:lang w:val="zh-CN"/>
              </w:rPr>
              <w:t>年份</w:t>
            </w:r>
            <w:r>
              <w:rPr>
                <w:lang w:val="zh-CN"/>
              </w:rPr>
              <w:t>/</w:t>
            </w:r>
            <w:r w:rsidRPr="00DF193A">
              <w:rPr>
                <w:lang w:val="zh-CN"/>
              </w:rPr>
              <w:t>类别</w:t>
            </w:r>
          </w:p>
        </w:tc>
        <w:tc>
          <w:tcPr>
            <w:tcW w:w="822"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right"/>
              <w:rPr>
                <w:bCs/>
                <w:sz w:val="16"/>
                <w:szCs w:val="24"/>
              </w:rPr>
            </w:pPr>
            <w:r>
              <w:rPr>
                <w:lang w:val="zh-CN"/>
              </w:rPr>
              <w:t>2</w:t>
            </w:r>
            <w:r w:rsidRPr="00DF193A">
              <w:rPr>
                <w:lang w:val="zh-CN"/>
              </w:rPr>
              <w:t>0</w:t>
            </w:r>
            <w:r>
              <w:rPr>
                <w:lang w:val="zh-CN"/>
              </w:rPr>
              <w:t>14</w:t>
            </w:r>
          </w:p>
        </w:tc>
        <w:tc>
          <w:tcPr>
            <w:tcW w:w="822"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right"/>
              <w:rPr>
                <w:bCs/>
                <w:sz w:val="16"/>
                <w:szCs w:val="24"/>
              </w:rPr>
            </w:pPr>
            <w:r>
              <w:rPr>
                <w:lang w:val="zh-CN"/>
              </w:rPr>
              <w:t>2</w:t>
            </w:r>
            <w:r w:rsidRPr="00DF193A">
              <w:rPr>
                <w:lang w:val="zh-CN"/>
              </w:rPr>
              <w:t>0</w:t>
            </w:r>
            <w:r>
              <w:rPr>
                <w:lang w:val="zh-CN"/>
              </w:rPr>
              <w:t>15</w:t>
            </w:r>
          </w:p>
        </w:tc>
        <w:tc>
          <w:tcPr>
            <w:tcW w:w="822"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right"/>
              <w:rPr>
                <w:bCs/>
                <w:sz w:val="16"/>
                <w:szCs w:val="24"/>
              </w:rPr>
            </w:pPr>
            <w:r>
              <w:rPr>
                <w:lang w:val="zh-CN"/>
              </w:rPr>
              <w:t>2</w:t>
            </w:r>
            <w:r w:rsidRPr="00DF193A">
              <w:rPr>
                <w:lang w:val="zh-CN"/>
              </w:rPr>
              <w:t>0</w:t>
            </w:r>
            <w:r>
              <w:rPr>
                <w:lang w:val="zh-CN"/>
              </w:rPr>
              <w:t>16</w:t>
            </w:r>
          </w:p>
        </w:tc>
        <w:tc>
          <w:tcPr>
            <w:tcW w:w="822"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right"/>
              <w:rPr>
                <w:bCs/>
                <w:sz w:val="16"/>
                <w:szCs w:val="24"/>
              </w:rPr>
            </w:pPr>
            <w:r>
              <w:rPr>
                <w:lang w:val="zh-CN"/>
              </w:rPr>
              <w:t>2</w:t>
            </w:r>
            <w:r w:rsidRPr="00DF193A">
              <w:rPr>
                <w:lang w:val="zh-CN"/>
              </w:rPr>
              <w:t>0</w:t>
            </w:r>
            <w:r>
              <w:rPr>
                <w:lang w:val="zh-CN"/>
              </w:rPr>
              <w:t>17</w:t>
            </w:r>
          </w:p>
        </w:tc>
        <w:tc>
          <w:tcPr>
            <w:tcW w:w="823"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right"/>
              <w:rPr>
                <w:bCs/>
                <w:sz w:val="16"/>
                <w:szCs w:val="24"/>
              </w:rPr>
            </w:pPr>
            <w:r>
              <w:rPr>
                <w:lang w:val="zh-CN"/>
              </w:rPr>
              <w:t>2</w:t>
            </w:r>
            <w:r w:rsidRPr="00DF193A">
              <w:rPr>
                <w:lang w:val="zh-CN"/>
              </w:rPr>
              <w:t>0</w:t>
            </w:r>
            <w:r>
              <w:rPr>
                <w:lang w:val="zh-CN"/>
              </w:rPr>
              <w:t>18</w:t>
            </w:r>
          </w:p>
        </w:tc>
        <w:tc>
          <w:tcPr>
            <w:tcW w:w="1558" w:type="dxa"/>
            <w:tcBorders>
              <w:top w:val="single" w:sz="4" w:space="0" w:color="auto"/>
              <w:bottom w:val="single" w:sz="12" w:space="0" w:color="auto"/>
            </w:tcBorders>
            <w:shd w:val="clear" w:color="auto" w:fill="auto"/>
            <w:vAlign w:val="bottom"/>
            <w:hideMark/>
          </w:tcPr>
          <w:p w:rsidR="00330614" w:rsidRPr="00DF193A" w:rsidRDefault="00330614" w:rsidP="00B35CBF">
            <w:pPr>
              <w:pStyle w:val="a4"/>
              <w:ind w:right="0"/>
              <w:jc w:val="right"/>
              <w:rPr>
                <w:bCs/>
                <w:sz w:val="16"/>
                <w:szCs w:val="24"/>
              </w:rPr>
            </w:pPr>
            <w:r w:rsidRPr="00DF193A">
              <w:rPr>
                <w:lang w:val="zh-CN"/>
              </w:rPr>
              <w:t>较前一年的变化</w:t>
            </w:r>
          </w:p>
        </w:tc>
      </w:tr>
      <w:tr w:rsidR="00330614" w:rsidRPr="00DF193A" w:rsidTr="00E50E8A">
        <w:trPr>
          <w:trHeight w:hRule="exact" w:val="113"/>
          <w:tblHeader/>
        </w:trPr>
        <w:tc>
          <w:tcPr>
            <w:tcW w:w="1701" w:type="dxa"/>
            <w:tcBorders>
              <w:top w:val="single" w:sz="12" w:space="0" w:color="auto"/>
            </w:tcBorders>
            <w:shd w:val="clear" w:color="auto" w:fill="auto"/>
            <w:vAlign w:val="bottom"/>
          </w:tcPr>
          <w:p w:rsidR="00330614" w:rsidRPr="00DF193A" w:rsidRDefault="00330614" w:rsidP="00B35CBF">
            <w:pPr>
              <w:pStyle w:val="a3"/>
              <w:overflowPunct/>
              <w:ind w:right="0"/>
              <w:jc w:val="left"/>
              <w:rPr>
                <w:bCs/>
                <w:sz w:val="16"/>
                <w:szCs w:val="24"/>
              </w:rPr>
            </w:pPr>
          </w:p>
        </w:tc>
        <w:tc>
          <w:tcPr>
            <w:tcW w:w="822" w:type="dxa"/>
            <w:tcBorders>
              <w:top w:val="single" w:sz="12" w:space="0" w:color="auto"/>
            </w:tcBorders>
            <w:shd w:val="clear" w:color="auto" w:fill="auto"/>
            <w:vAlign w:val="bottom"/>
          </w:tcPr>
          <w:p w:rsidR="00330614" w:rsidRPr="00DF193A" w:rsidRDefault="00330614" w:rsidP="00B35CBF">
            <w:pPr>
              <w:pStyle w:val="a3"/>
              <w:overflowPunct/>
              <w:ind w:right="0"/>
              <w:jc w:val="right"/>
              <w:rPr>
                <w:bCs/>
                <w:sz w:val="16"/>
                <w:szCs w:val="24"/>
              </w:rPr>
            </w:pPr>
          </w:p>
        </w:tc>
        <w:tc>
          <w:tcPr>
            <w:tcW w:w="822" w:type="dxa"/>
            <w:tcBorders>
              <w:top w:val="single" w:sz="12" w:space="0" w:color="auto"/>
            </w:tcBorders>
            <w:shd w:val="clear" w:color="auto" w:fill="auto"/>
            <w:vAlign w:val="bottom"/>
          </w:tcPr>
          <w:p w:rsidR="00330614" w:rsidRPr="00DF193A" w:rsidRDefault="00330614" w:rsidP="00B35CBF">
            <w:pPr>
              <w:pStyle w:val="a3"/>
              <w:overflowPunct/>
              <w:ind w:right="0"/>
              <w:jc w:val="right"/>
              <w:rPr>
                <w:bCs/>
                <w:sz w:val="16"/>
                <w:szCs w:val="24"/>
              </w:rPr>
            </w:pPr>
          </w:p>
        </w:tc>
        <w:tc>
          <w:tcPr>
            <w:tcW w:w="822" w:type="dxa"/>
            <w:tcBorders>
              <w:top w:val="single" w:sz="12" w:space="0" w:color="auto"/>
            </w:tcBorders>
            <w:shd w:val="clear" w:color="auto" w:fill="auto"/>
            <w:vAlign w:val="bottom"/>
          </w:tcPr>
          <w:p w:rsidR="00330614" w:rsidRPr="00DF193A" w:rsidRDefault="00330614" w:rsidP="00B35CBF">
            <w:pPr>
              <w:pStyle w:val="a3"/>
              <w:overflowPunct/>
              <w:ind w:right="0"/>
              <w:jc w:val="right"/>
              <w:rPr>
                <w:bCs/>
                <w:sz w:val="16"/>
                <w:szCs w:val="24"/>
              </w:rPr>
            </w:pPr>
          </w:p>
        </w:tc>
        <w:tc>
          <w:tcPr>
            <w:tcW w:w="822" w:type="dxa"/>
            <w:tcBorders>
              <w:top w:val="single" w:sz="12" w:space="0" w:color="auto"/>
            </w:tcBorders>
            <w:shd w:val="clear" w:color="auto" w:fill="auto"/>
            <w:vAlign w:val="bottom"/>
          </w:tcPr>
          <w:p w:rsidR="00330614" w:rsidRPr="00DF193A" w:rsidRDefault="00330614" w:rsidP="00B35CBF">
            <w:pPr>
              <w:pStyle w:val="a3"/>
              <w:overflowPunct/>
              <w:ind w:right="0"/>
              <w:jc w:val="right"/>
              <w:rPr>
                <w:bCs/>
                <w:sz w:val="16"/>
                <w:szCs w:val="24"/>
              </w:rPr>
            </w:pPr>
          </w:p>
        </w:tc>
        <w:tc>
          <w:tcPr>
            <w:tcW w:w="823" w:type="dxa"/>
            <w:tcBorders>
              <w:top w:val="single" w:sz="12" w:space="0" w:color="auto"/>
            </w:tcBorders>
            <w:shd w:val="clear" w:color="auto" w:fill="auto"/>
            <w:vAlign w:val="bottom"/>
          </w:tcPr>
          <w:p w:rsidR="00330614" w:rsidRPr="00DF193A" w:rsidRDefault="00330614" w:rsidP="00B35CBF">
            <w:pPr>
              <w:pStyle w:val="a3"/>
              <w:overflowPunct/>
              <w:ind w:right="0"/>
              <w:jc w:val="right"/>
              <w:rPr>
                <w:bCs/>
                <w:sz w:val="16"/>
                <w:szCs w:val="24"/>
              </w:rPr>
            </w:pPr>
          </w:p>
        </w:tc>
        <w:tc>
          <w:tcPr>
            <w:tcW w:w="1558" w:type="dxa"/>
            <w:tcBorders>
              <w:top w:val="single" w:sz="12" w:space="0" w:color="auto"/>
            </w:tcBorders>
            <w:shd w:val="clear" w:color="auto" w:fill="auto"/>
            <w:vAlign w:val="bottom"/>
          </w:tcPr>
          <w:p w:rsidR="00330614" w:rsidRPr="00DF193A" w:rsidRDefault="00330614" w:rsidP="00B35CBF">
            <w:pPr>
              <w:pStyle w:val="a3"/>
              <w:overflowPunct/>
              <w:ind w:right="0"/>
              <w:jc w:val="right"/>
              <w:rPr>
                <w:bCs/>
                <w:sz w:val="16"/>
                <w:szCs w:val="24"/>
              </w:rPr>
            </w:pPr>
          </w:p>
        </w:tc>
      </w:tr>
      <w:tr w:rsidR="00330614" w:rsidRPr="00DF193A" w:rsidTr="00E50E8A">
        <w:tc>
          <w:tcPr>
            <w:tcW w:w="1701" w:type="dxa"/>
            <w:shd w:val="clear" w:color="auto" w:fill="auto"/>
            <w:hideMark/>
          </w:tcPr>
          <w:p w:rsidR="00330614" w:rsidRPr="00DF193A" w:rsidRDefault="00330614" w:rsidP="00B35CBF">
            <w:pPr>
              <w:pStyle w:val="a3"/>
              <w:overflowPunct/>
              <w:ind w:right="0"/>
              <w:jc w:val="left"/>
              <w:rPr>
                <w:szCs w:val="24"/>
              </w:rPr>
            </w:pPr>
            <w:r w:rsidRPr="00DF193A">
              <w:rPr>
                <w:lang w:val="zh-CN"/>
              </w:rPr>
              <w:t>警察局长</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53</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52</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47</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44</w:t>
            </w:r>
          </w:p>
        </w:tc>
        <w:tc>
          <w:tcPr>
            <w:tcW w:w="823" w:type="dxa"/>
            <w:shd w:val="clear" w:color="auto" w:fill="auto"/>
            <w:vAlign w:val="bottom"/>
            <w:hideMark/>
          </w:tcPr>
          <w:p w:rsidR="00330614" w:rsidRPr="00DF193A" w:rsidRDefault="00330614" w:rsidP="00B35CBF">
            <w:pPr>
              <w:pStyle w:val="a3"/>
              <w:overflowPunct/>
              <w:ind w:right="0"/>
              <w:jc w:val="right"/>
              <w:rPr>
                <w:szCs w:val="24"/>
              </w:rPr>
            </w:pPr>
            <w:r>
              <w:rPr>
                <w:lang w:val="zh-CN"/>
              </w:rPr>
              <w:t>43</w:t>
            </w:r>
          </w:p>
        </w:tc>
        <w:tc>
          <w:tcPr>
            <w:tcW w:w="1558" w:type="dxa"/>
            <w:shd w:val="clear" w:color="auto" w:fill="auto"/>
            <w:vAlign w:val="bottom"/>
            <w:hideMark/>
          </w:tcPr>
          <w:p w:rsidR="00330614" w:rsidRPr="00DF193A" w:rsidRDefault="00330614" w:rsidP="00B35CBF">
            <w:pPr>
              <w:pStyle w:val="a3"/>
              <w:overflowPunct/>
              <w:ind w:right="0"/>
              <w:jc w:val="right"/>
              <w:rPr>
                <w:szCs w:val="24"/>
              </w:rPr>
            </w:pPr>
            <w:r w:rsidRPr="00DF193A">
              <w:rPr>
                <w:szCs w:val="24"/>
              </w:rPr>
              <w:t>-</w:t>
            </w:r>
            <w:r>
              <w:rPr>
                <w:szCs w:val="24"/>
              </w:rPr>
              <w:t>1</w:t>
            </w:r>
          </w:p>
        </w:tc>
      </w:tr>
      <w:tr w:rsidR="00330614" w:rsidRPr="00DF193A" w:rsidTr="00E50E8A">
        <w:tc>
          <w:tcPr>
            <w:tcW w:w="1701" w:type="dxa"/>
            <w:shd w:val="clear" w:color="auto" w:fill="auto"/>
            <w:hideMark/>
          </w:tcPr>
          <w:p w:rsidR="00330614" w:rsidRPr="00DF193A" w:rsidRDefault="00330614" w:rsidP="00B35CBF">
            <w:pPr>
              <w:pStyle w:val="a3"/>
              <w:overflowPunct/>
              <w:ind w:right="0"/>
              <w:jc w:val="left"/>
              <w:rPr>
                <w:szCs w:val="24"/>
              </w:rPr>
            </w:pPr>
            <w:r w:rsidRPr="00DF193A">
              <w:rPr>
                <w:lang w:val="zh-CN"/>
              </w:rPr>
              <w:t>指挥官</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712</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7</w:t>
            </w:r>
            <w:r w:rsidRPr="00DF193A">
              <w:rPr>
                <w:lang w:val="zh-CN"/>
              </w:rPr>
              <w:t>0</w:t>
            </w:r>
            <w:r>
              <w:rPr>
                <w:lang w:val="zh-CN"/>
              </w:rPr>
              <w:t>5</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68</w:t>
            </w:r>
            <w:r w:rsidRPr="00DF193A">
              <w:rPr>
                <w:lang w:val="zh-CN"/>
              </w:rPr>
              <w:t>0</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685</w:t>
            </w:r>
          </w:p>
        </w:tc>
        <w:tc>
          <w:tcPr>
            <w:tcW w:w="823" w:type="dxa"/>
            <w:shd w:val="clear" w:color="auto" w:fill="auto"/>
            <w:vAlign w:val="bottom"/>
            <w:hideMark/>
          </w:tcPr>
          <w:p w:rsidR="00330614" w:rsidRPr="00DF193A" w:rsidRDefault="00330614" w:rsidP="00B35CBF">
            <w:pPr>
              <w:pStyle w:val="a3"/>
              <w:overflowPunct/>
              <w:ind w:right="0"/>
              <w:jc w:val="right"/>
              <w:rPr>
                <w:szCs w:val="24"/>
              </w:rPr>
            </w:pPr>
            <w:r>
              <w:rPr>
                <w:lang w:val="zh-CN"/>
              </w:rPr>
              <w:t>7</w:t>
            </w:r>
            <w:r w:rsidRPr="00DF193A">
              <w:rPr>
                <w:lang w:val="zh-CN"/>
              </w:rPr>
              <w:t>0</w:t>
            </w:r>
            <w:r>
              <w:rPr>
                <w:lang w:val="zh-CN"/>
              </w:rPr>
              <w:t>3</w:t>
            </w:r>
          </w:p>
        </w:tc>
        <w:tc>
          <w:tcPr>
            <w:tcW w:w="1558" w:type="dxa"/>
            <w:shd w:val="clear" w:color="auto" w:fill="auto"/>
            <w:vAlign w:val="bottom"/>
            <w:hideMark/>
          </w:tcPr>
          <w:p w:rsidR="00330614" w:rsidRPr="00DF193A" w:rsidRDefault="00330614" w:rsidP="00B35CBF">
            <w:pPr>
              <w:pStyle w:val="a3"/>
              <w:overflowPunct/>
              <w:ind w:right="0"/>
              <w:jc w:val="right"/>
              <w:rPr>
                <w:szCs w:val="24"/>
              </w:rPr>
            </w:pPr>
            <w:r>
              <w:rPr>
                <w:lang w:val="zh-CN"/>
              </w:rPr>
              <w:t>18</w:t>
            </w:r>
          </w:p>
        </w:tc>
      </w:tr>
      <w:tr w:rsidR="00330614" w:rsidRPr="00DF193A" w:rsidTr="00E50E8A">
        <w:tc>
          <w:tcPr>
            <w:tcW w:w="1701" w:type="dxa"/>
            <w:shd w:val="clear" w:color="auto" w:fill="auto"/>
            <w:hideMark/>
          </w:tcPr>
          <w:p w:rsidR="00330614" w:rsidRPr="00DF193A" w:rsidRDefault="00330614" w:rsidP="00B35CBF">
            <w:pPr>
              <w:pStyle w:val="a3"/>
              <w:overflowPunct/>
              <w:ind w:right="0"/>
              <w:jc w:val="left"/>
              <w:rPr>
                <w:szCs w:val="24"/>
              </w:rPr>
            </w:pPr>
            <w:r w:rsidRPr="00DF193A">
              <w:rPr>
                <w:lang w:val="zh-CN"/>
              </w:rPr>
              <w:t>高级警官</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891</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816</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781</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732</w:t>
            </w:r>
          </w:p>
        </w:tc>
        <w:tc>
          <w:tcPr>
            <w:tcW w:w="823" w:type="dxa"/>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745</w:t>
            </w:r>
          </w:p>
        </w:tc>
        <w:tc>
          <w:tcPr>
            <w:tcW w:w="1558" w:type="dxa"/>
            <w:shd w:val="clear" w:color="auto" w:fill="auto"/>
            <w:vAlign w:val="bottom"/>
            <w:hideMark/>
          </w:tcPr>
          <w:p w:rsidR="00330614" w:rsidRPr="00DF193A" w:rsidRDefault="00330614" w:rsidP="00B35CBF">
            <w:pPr>
              <w:pStyle w:val="a3"/>
              <w:overflowPunct/>
              <w:ind w:right="0"/>
              <w:jc w:val="right"/>
              <w:rPr>
                <w:szCs w:val="24"/>
              </w:rPr>
            </w:pPr>
            <w:r>
              <w:rPr>
                <w:lang w:val="zh-CN"/>
              </w:rPr>
              <w:t>13</w:t>
            </w:r>
          </w:p>
        </w:tc>
      </w:tr>
      <w:tr w:rsidR="00330614" w:rsidRPr="00DF193A" w:rsidTr="00E50E8A">
        <w:tc>
          <w:tcPr>
            <w:tcW w:w="1701" w:type="dxa"/>
            <w:shd w:val="clear" w:color="auto" w:fill="auto"/>
            <w:hideMark/>
          </w:tcPr>
          <w:p w:rsidR="00330614" w:rsidRPr="00DF193A" w:rsidRDefault="00330614" w:rsidP="00B35CBF">
            <w:pPr>
              <w:pStyle w:val="a3"/>
              <w:overflowPunct/>
              <w:ind w:right="0"/>
              <w:jc w:val="left"/>
              <w:rPr>
                <w:szCs w:val="24"/>
              </w:rPr>
            </w:pPr>
            <w:r w:rsidRPr="00DF193A">
              <w:rPr>
                <w:lang w:val="zh-CN"/>
              </w:rPr>
              <w:t>警员及其他职级</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4</w:t>
            </w:r>
            <w:r w:rsidRPr="00DF193A">
              <w:rPr>
                <w:lang w:val="zh-CN"/>
              </w:rPr>
              <w:t xml:space="preserve"> </w:t>
            </w:r>
            <w:r>
              <w:rPr>
                <w:lang w:val="zh-CN"/>
              </w:rPr>
              <w:t>733</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4</w:t>
            </w:r>
            <w:r w:rsidRPr="00DF193A">
              <w:rPr>
                <w:lang w:val="zh-CN"/>
              </w:rPr>
              <w:t xml:space="preserve"> </w:t>
            </w:r>
            <w:r>
              <w:rPr>
                <w:lang w:val="zh-CN"/>
              </w:rPr>
              <w:t>759</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4</w:t>
            </w:r>
            <w:r w:rsidRPr="00DF193A">
              <w:rPr>
                <w:lang w:val="zh-CN"/>
              </w:rPr>
              <w:t xml:space="preserve"> </w:t>
            </w:r>
            <w:r>
              <w:rPr>
                <w:lang w:val="zh-CN"/>
              </w:rPr>
              <w:t>7</w:t>
            </w:r>
            <w:r w:rsidRPr="00DF193A">
              <w:rPr>
                <w:lang w:val="zh-CN"/>
              </w:rPr>
              <w:t>0</w:t>
            </w:r>
            <w:r>
              <w:rPr>
                <w:lang w:val="zh-CN"/>
              </w:rPr>
              <w:t>3</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4</w:t>
            </w:r>
            <w:r w:rsidRPr="00DF193A">
              <w:rPr>
                <w:lang w:val="zh-CN"/>
              </w:rPr>
              <w:t xml:space="preserve"> </w:t>
            </w:r>
            <w:r>
              <w:rPr>
                <w:lang w:val="zh-CN"/>
              </w:rPr>
              <w:t>687</w:t>
            </w:r>
          </w:p>
        </w:tc>
        <w:tc>
          <w:tcPr>
            <w:tcW w:w="823" w:type="dxa"/>
            <w:shd w:val="clear" w:color="auto" w:fill="auto"/>
            <w:vAlign w:val="bottom"/>
            <w:hideMark/>
          </w:tcPr>
          <w:p w:rsidR="00330614" w:rsidRPr="00DF193A" w:rsidRDefault="00330614" w:rsidP="00B35CBF">
            <w:pPr>
              <w:pStyle w:val="a3"/>
              <w:overflowPunct/>
              <w:ind w:right="0"/>
              <w:jc w:val="right"/>
              <w:rPr>
                <w:szCs w:val="24"/>
              </w:rPr>
            </w:pPr>
            <w:r>
              <w:rPr>
                <w:lang w:val="zh-CN"/>
              </w:rPr>
              <w:t>4</w:t>
            </w:r>
            <w:r w:rsidRPr="00DF193A">
              <w:rPr>
                <w:lang w:val="zh-CN"/>
              </w:rPr>
              <w:t xml:space="preserve"> </w:t>
            </w:r>
            <w:r>
              <w:rPr>
                <w:lang w:val="zh-CN"/>
              </w:rPr>
              <w:t>7</w:t>
            </w:r>
            <w:r w:rsidRPr="00DF193A">
              <w:rPr>
                <w:lang w:val="zh-CN"/>
              </w:rPr>
              <w:t>0</w:t>
            </w:r>
            <w:r>
              <w:rPr>
                <w:lang w:val="zh-CN"/>
              </w:rPr>
              <w:t>9</w:t>
            </w:r>
          </w:p>
        </w:tc>
        <w:tc>
          <w:tcPr>
            <w:tcW w:w="1558" w:type="dxa"/>
            <w:shd w:val="clear" w:color="auto" w:fill="auto"/>
            <w:vAlign w:val="bottom"/>
            <w:hideMark/>
          </w:tcPr>
          <w:p w:rsidR="00330614" w:rsidRPr="00DF193A" w:rsidRDefault="00330614" w:rsidP="00B35CBF">
            <w:pPr>
              <w:pStyle w:val="a3"/>
              <w:overflowPunct/>
              <w:ind w:right="0"/>
              <w:jc w:val="right"/>
              <w:rPr>
                <w:szCs w:val="24"/>
              </w:rPr>
            </w:pPr>
            <w:r>
              <w:rPr>
                <w:lang w:val="zh-CN"/>
              </w:rPr>
              <w:t>22</w:t>
            </w:r>
          </w:p>
        </w:tc>
      </w:tr>
      <w:tr w:rsidR="00330614" w:rsidRPr="00DF193A" w:rsidTr="00E50E8A">
        <w:tc>
          <w:tcPr>
            <w:tcW w:w="1701" w:type="dxa"/>
            <w:shd w:val="clear" w:color="auto" w:fill="auto"/>
            <w:hideMark/>
          </w:tcPr>
          <w:p w:rsidR="00330614" w:rsidRPr="00DF193A" w:rsidRDefault="00330614" w:rsidP="00B35CBF">
            <w:pPr>
              <w:pStyle w:val="a3"/>
              <w:overflowPunct/>
              <w:ind w:right="0"/>
              <w:jc w:val="left"/>
              <w:rPr>
                <w:szCs w:val="24"/>
              </w:rPr>
            </w:pPr>
            <w:r w:rsidRPr="00DF193A">
              <w:rPr>
                <w:lang w:val="zh-CN"/>
              </w:rPr>
              <w:t>学警</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166</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157</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171</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182</w:t>
            </w:r>
          </w:p>
        </w:tc>
        <w:tc>
          <w:tcPr>
            <w:tcW w:w="823" w:type="dxa"/>
            <w:shd w:val="clear" w:color="auto" w:fill="auto"/>
            <w:vAlign w:val="bottom"/>
            <w:hideMark/>
          </w:tcPr>
          <w:p w:rsidR="00330614" w:rsidRPr="00DF193A" w:rsidRDefault="00330614" w:rsidP="00B35CBF">
            <w:pPr>
              <w:pStyle w:val="a3"/>
              <w:overflowPunct/>
              <w:ind w:right="0"/>
              <w:jc w:val="right"/>
              <w:rPr>
                <w:szCs w:val="24"/>
              </w:rPr>
            </w:pPr>
            <w:r>
              <w:rPr>
                <w:lang w:val="zh-CN"/>
              </w:rPr>
              <w:t>263</w:t>
            </w:r>
          </w:p>
        </w:tc>
        <w:tc>
          <w:tcPr>
            <w:tcW w:w="1558" w:type="dxa"/>
            <w:shd w:val="clear" w:color="auto" w:fill="auto"/>
            <w:vAlign w:val="bottom"/>
            <w:hideMark/>
          </w:tcPr>
          <w:p w:rsidR="00330614" w:rsidRPr="00DF193A" w:rsidRDefault="00330614" w:rsidP="00B35CBF">
            <w:pPr>
              <w:pStyle w:val="a3"/>
              <w:overflowPunct/>
              <w:ind w:right="0"/>
              <w:jc w:val="right"/>
              <w:rPr>
                <w:szCs w:val="24"/>
              </w:rPr>
            </w:pPr>
            <w:r>
              <w:rPr>
                <w:lang w:val="zh-CN"/>
              </w:rPr>
              <w:t>81</w:t>
            </w:r>
          </w:p>
        </w:tc>
      </w:tr>
      <w:tr w:rsidR="00330614" w:rsidRPr="00DF193A" w:rsidTr="00E50E8A">
        <w:tc>
          <w:tcPr>
            <w:tcW w:w="1701" w:type="dxa"/>
            <w:shd w:val="clear" w:color="auto" w:fill="auto"/>
            <w:hideMark/>
          </w:tcPr>
          <w:p w:rsidR="00330614" w:rsidRPr="00DF193A" w:rsidRDefault="00330614" w:rsidP="00B35CBF">
            <w:pPr>
              <w:pStyle w:val="a3"/>
              <w:overflowPunct/>
              <w:ind w:right="0"/>
              <w:jc w:val="left"/>
              <w:rPr>
                <w:szCs w:val="24"/>
              </w:rPr>
            </w:pPr>
            <w:r w:rsidRPr="00DF193A">
              <w:rPr>
                <w:lang w:val="zh-CN"/>
              </w:rPr>
              <w:t>警卫</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364</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365</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381</w:t>
            </w:r>
          </w:p>
        </w:tc>
        <w:tc>
          <w:tcPr>
            <w:tcW w:w="822" w:type="dxa"/>
            <w:shd w:val="clear" w:color="auto" w:fill="auto"/>
            <w:vAlign w:val="bottom"/>
            <w:hideMark/>
          </w:tcPr>
          <w:p w:rsidR="00330614" w:rsidRPr="00DF193A" w:rsidRDefault="00330614" w:rsidP="00B35CBF">
            <w:pPr>
              <w:pStyle w:val="a3"/>
              <w:overflowPunct/>
              <w:ind w:right="0"/>
              <w:jc w:val="right"/>
              <w:rPr>
                <w:szCs w:val="24"/>
              </w:rPr>
            </w:pPr>
            <w:r>
              <w:rPr>
                <w:lang w:val="zh-CN"/>
              </w:rPr>
              <w:t>376</w:t>
            </w:r>
          </w:p>
        </w:tc>
        <w:tc>
          <w:tcPr>
            <w:tcW w:w="823" w:type="dxa"/>
            <w:shd w:val="clear" w:color="auto" w:fill="auto"/>
            <w:vAlign w:val="bottom"/>
            <w:hideMark/>
          </w:tcPr>
          <w:p w:rsidR="00330614" w:rsidRPr="00DF193A" w:rsidRDefault="00330614" w:rsidP="00B35CBF">
            <w:pPr>
              <w:pStyle w:val="a3"/>
              <w:overflowPunct/>
              <w:ind w:right="0"/>
              <w:jc w:val="right"/>
              <w:rPr>
                <w:szCs w:val="24"/>
              </w:rPr>
            </w:pPr>
            <w:r>
              <w:rPr>
                <w:lang w:val="zh-CN"/>
              </w:rPr>
              <w:t>372</w:t>
            </w:r>
          </w:p>
        </w:tc>
        <w:tc>
          <w:tcPr>
            <w:tcW w:w="1558" w:type="dxa"/>
            <w:shd w:val="clear" w:color="auto" w:fill="auto"/>
            <w:vAlign w:val="bottom"/>
            <w:hideMark/>
          </w:tcPr>
          <w:p w:rsidR="00330614" w:rsidRPr="00DF193A" w:rsidRDefault="00330614" w:rsidP="00B35CBF">
            <w:pPr>
              <w:pStyle w:val="a3"/>
              <w:overflowPunct/>
              <w:ind w:right="0"/>
              <w:jc w:val="right"/>
              <w:rPr>
                <w:szCs w:val="24"/>
              </w:rPr>
            </w:pPr>
            <w:r w:rsidRPr="00DF193A">
              <w:rPr>
                <w:szCs w:val="24"/>
              </w:rPr>
              <w:t>-</w:t>
            </w:r>
            <w:r>
              <w:rPr>
                <w:szCs w:val="24"/>
              </w:rPr>
              <w:t>4</w:t>
            </w:r>
          </w:p>
        </w:tc>
      </w:tr>
      <w:tr w:rsidR="00330614" w:rsidRPr="00DF193A" w:rsidTr="00E50E8A">
        <w:tc>
          <w:tcPr>
            <w:tcW w:w="1701" w:type="dxa"/>
            <w:tcBorders>
              <w:bottom w:val="nil"/>
            </w:tcBorders>
            <w:shd w:val="clear" w:color="auto" w:fill="auto"/>
            <w:hideMark/>
          </w:tcPr>
          <w:p w:rsidR="00330614" w:rsidRPr="00DF193A" w:rsidRDefault="00330614" w:rsidP="00B35CBF">
            <w:pPr>
              <w:pStyle w:val="a3"/>
              <w:overflowPunct/>
              <w:ind w:right="0"/>
              <w:jc w:val="left"/>
              <w:rPr>
                <w:szCs w:val="24"/>
              </w:rPr>
            </w:pPr>
            <w:r w:rsidRPr="00DF193A">
              <w:rPr>
                <w:lang w:val="zh-CN"/>
              </w:rPr>
              <w:t>行政人员</w:t>
            </w:r>
          </w:p>
        </w:tc>
        <w:tc>
          <w:tcPr>
            <w:tcW w:w="822" w:type="dxa"/>
            <w:tcBorders>
              <w:bottom w:val="nil"/>
            </w:tcBorders>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3</w:t>
            </w:r>
            <w:r w:rsidRPr="00DF193A">
              <w:rPr>
                <w:lang w:val="zh-CN"/>
              </w:rPr>
              <w:t>0</w:t>
            </w:r>
            <w:r>
              <w:rPr>
                <w:lang w:val="zh-CN"/>
              </w:rPr>
              <w:t>8</w:t>
            </w:r>
          </w:p>
        </w:tc>
        <w:tc>
          <w:tcPr>
            <w:tcW w:w="822" w:type="dxa"/>
            <w:tcBorders>
              <w:bottom w:val="nil"/>
            </w:tcBorders>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w:t>
            </w:r>
            <w:r>
              <w:rPr>
                <w:lang w:val="zh-CN"/>
              </w:rPr>
              <w:t>284</w:t>
            </w:r>
          </w:p>
        </w:tc>
        <w:tc>
          <w:tcPr>
            <w:tcW w:w="822" w:type="dxa"/>
            <w:tcBorders>
              <w:bottom w:val="nil"/>
            </w:tcBorders>
            <w:shd w:val="clear" w:color="auto" w:fill="auto"/>
            <w:vAlign w:val="bottom"/>
            <w:hideMark/>
          </w:tcPr>
          <w:p w:rsidR="00330614" w:rsidRPr="00DF193A" w:rsidRDefault="00330614" w:rsidP="00B35CBF">
            <w:pPr>
              <w:pStyle w:val="a3"/>
              <w:overflowPunct/>
              <w:ind w:right="0"/>
              <w:jc w:val="right"/>
              <w:rPr>
                <w:szCs w:val="24"/>
              </w:rPr>
            </w:pPr>
            <w:r>
              <w:rPr>
                <w:lang w:val="zh-CN"/>
              </w:rPr>
              <w:t>1</w:t>
            </w:r>
            <w:r w:rsidRPr="00DF193A">
              <w:rPr>
                <w:lang w:val="zh-CN"/>
              </w:rPr>
              <w:t xml:space="preserve"> 0</w:t>
            </w:r>
            <w:r>
              <w:rPr>
                <w:lang w:val="zh-CN"/>
              </w:rPr>
              <w:t>73</w:t>
            </w:r>
          </w:p>
        </w:tc>
        <w:tc>
          <w:tcPr>
            <w:tcW w:w="822" w:type="dxa"/>
            <w:tcBorders>
              <w:bottom w:val="nil"/>
            </w:tcBorders>
            <w:shd w:val="clear" w:color="auto" w:fill="auto"/>
            <w:vAlign w:val="bottom"/>
            <w:hideMark/>
          </w:tcPr>
          <w:p w:rsidR="00330614" w:rsidRPr="00DF193A" w:rsidRDefault="00330614" w:rsidP="00B35CBF">
            <w:pPr>
              <w:pStyle w:val="a3"/>
              <w:overflowPunct/>
              <w:ind w:right="0"/>
              <w:jc w:val="right"/>
              <w:rPr>
                <w:szCs w:val="24"/>
              </w:rPr>
            </w:pPr>
            <w:r>
              <w:rPr>
                <w:lang w:val="zh-CN"/>
              </w:rPr>
              <w:t>968</w:t>
            </w:r>
          </w:p>
        </w:tc>
        <w:tc>
          <w:tcPr>
            <w:tcW w:w="823" w:type="dxa"/>
            <w:tcBorders>
              <w:bottom w:val="nil"/>
            </w:tcBorders>
            <w:shd w:val="clear" w:color="auto" w:fill="auto"/>
            <w:vAlign w:val="bottom"/>
            <w:hideMark/>
          </w:tcPr>
          <w:p w:rsidR="00330614" w:rsidRPr="00DF193A" w:rsidRDefault="00330614" w:rsidP="00B35CBF">
            <w:pPr>
              <w:pStyle w:val="a3"/>
              <w:overflowPunct/>
              <w:ind w:right="0"/>
              <w:jc w:val="right"/>
              <w:rPr>
                <w:szCs w:val="24"/>
              </w:rPr>
            </w:pPr>
            <w:r>
              <w:rPr>
                <w:lang w:val="zh-CN"/>
              </w:rPr>
              <w:t>952</w:t>
            </w:r>
          </w:p>
        </w:tc>
        <w:tc>
          <w:tcPr>
            <w:tcW w:w="1558" w:type="dxa"/>
            <w:tcBorders>
              <w:bottom w:val="nil"/>
            </w:tcBorders>
            <w:shd w:val="clear" w:color="auto" w:fill="auto"/>
            <w:vAlign w:val="bottom"/>
            <w:hideMark/>
          </w:tcPr>
          <w:p w:rsidR="00330614" w:rsidRPr="00DF193A" w:rsidRDefault="00330614" w:rsidP="00B35CBF">
            <w:pPr>
              <w:pStyle w:val="a3"/>
              <w:overflowPunct/>
              <w:ind w:right="0"/>
              <w:jc w:val="right"/>
              <w:rPr>
                <w:szCs w:val="24"/>
              </w:rPr>
            </w:pPr>
            <w:r w:rsidRPr="00DF193A">
              <w:rPr>
                <w:szCs w:val="24"/>
              </w:rPr>
              <w:t>-</w:t>
            </w:r>
            <w:r>
              <w:rPr>
                <w:szCs w:val="24"/>
              </w:rPr>
              <w:t>16</w:t>
            </w:r>
          </w:p>
        </w:tc>
      </w:tr>
      <w:tr w:rsidR="00E50E8A" w:rsidRPr="00DF193A" w:rsidTr="00E50E8A">
        <w:tc>
          <w:tcPr>
            <w:tcW w:w="1701" w:type="dxa"/>
            <w:tcBorders>
              <w:top w:val="nil"/>
              <w:bottom w:val="single" w:sz="4" w:space="0" w:color="auto"/>
            </w:tcBorders>
            <w:shd w:val="clear" w:color="auto" w:fill="auto"/>
            <w:hideMark/>
          </w:tcPr>
          <w:p w:rsidR="00330614" w:rsidRPr="00DF193A" w:rsidRDefault="00330614" w:rsidP="00B35CBF">
            <w:pPr>
              <w:pStyle w:val="a3"/>
              <w:overflowPunct/>
              <w:ind w:right="0"/>
              <w:jc w:val="left"/>
              <w:rPr>
                <w:szCs w:val="24"/>
              </w:rPr>
            </w:pPr>
            <w:r w:rsidRPr="00DF193A">
              <w:rPr>
                <w:lang w:val="zh-CN"/>
              </w:rPr>
              <w:t>其他</w:t>
            </w:r>
          </w:p>
        </w:tc>
        <w:tc>
          <w:tcPr>
            <w:tcW w:w="822" w:type="dxa"/>
            <w:tcBorders>
              <w:top w:val="nil"/>
              <w:bottom w:val="single" w:sz="4" w:space="0" w:color="auto"/>
            </w:tcBorders>
            <w:shd w:val="clear" w:color="auto" w:fill="auto"/>
            <w:vAlign w:val="bottom"/>
            <w:hideMark/>
          </w:tcPr>
          <w:p w:rsidR="00330614" w:rsidRPr="00DF193A" w:rsidRDefault="00330614" w:rsidP="00B35CBF">
            <w:pPr>
              <w:pStyle w:val="a3"/>
              <w:overflowPunct/>
              <w:ind w:right="0"/>
              <w:jc w:val="right"/>
              <w:rPr>
                <w:szCs w:val="24"/>
              </w:rPr>
            </w:pPr>
            <w:r>
              <w:rPr>
                <w:lang w:val="zh-CN"/>
              </w:rPr>
              <w:t>754</w:t>
            </w:r>
          </w:p>
        </w:tc>
        <w:tc>
          <w:tcPr>
            <w:tcW w:w="822" w:type="dxa"/>
            <w:tcBorders>
              <w:top w:val="nil"/>
              <w:bottom w:val="single" w:sz="4" w:space="0" w:color="auto"/>
            </w:tcBorders>
            <w:shd w:val="clear" w:color="auto" w:fill="auto"/>
            <w:vAlign w:val="bottom"/>
            <w:hideMark/>
          </w:tcPr>
          <w:p w:rsidR="00330614" w:rsidRPr="00DF193A" w:rsidRDefault="00330614" w:rsidP="00B35CBF">
            <w:pPr>
              <w:pStyle w:val="a3"/>
              <w:overflowPunct/>
              <w:ind w:right="0"/>
              <w:jc w:val="right"/>
              <w:rPr>
                <w:szCs w:val="24"/>
              </w:rPr>
            </w:pPr>
            <w:r>
              <w:rPr>
                <w:lang w:val="zh-CN"/>
              </w:rPr>
              <w:t>776</w:t>
            </w:r>
          </w:p>
        </w:tc>
        <w:tc>
          <w:tcPr>
            <w:tcW w:w="822" w:type="dxa"/>
            <w:tcBorders>
              <w:top w:val="nil"/>
              <w:bottom w:val="single" w:sz="4" w:space="0" w:color="auto"/>
            </w:tcBorders>
            <w:shd w:val="clear" w:color="auto" w:fill="auto"/>
            <w:vAlign w:val="bottom"/>
            <w:hideMark/>
          </w:tcPr>
          <w:p w:rsidR="00330614" w:rsidRPr="00DF193A" w:rsidRDefault="00330614" w:rsidP="00B35CBF">
            <w:pPr>
              <w:pStyle w:val="a3"/>
              <w:overflowPunct/>
              <w:ind w:right="0"/>
              <w:jc w:val="right"/>
              <w:rPr>
                <w:szCs w:val="24"/>
              </w:rPr>
            </w:pPr>
            <w:r>
              <w:rPr>
                <w:lang w:val="zh-CN"/>
              </w:rPr>
              <w:t>894</w:t>
            </w:r>
          </w:p>
        </w:tc>
        <w:tc>
          <w:tcPr>
            <w:tcW w:w="822" w:type="dxa"/>
            <w:tcBorders>
              <w:top w:val="nil"/>
              <w:bottom w:val="single" w:sz="4" w:space="0" w:color="auto"/>
            </w:tcBorders>
            <w:shd w:val="clear" w:color="auto" w:fill="auto"/>
            <w:vAlign w:val="bottom"/>
            <w:hideMark/>
          </w:tcPr>
          <w:p w:rsidR="00330614" w:rsidRPr="00DF193A" w:rsidRDefault="00330614" w:rsidP="00B35CBF">
            <w:pPr>
              <w:pStyle w:val="a3"/>
              <w:overflowPunct/>
              <w:ind w:right="0"/>
              <w:jc w:val="right"/>
              <w:rPr>
                <w:szCs w:val="24"/>
              </w:rPr>
            </w:pPr>
            <w:r>
              <w:rPr>
                <w:lang w:val="zh-CN"/>
              </w:rPr>
              <w:t>929</w:t>
            </w:r>
          </w:p>
        </w:tc>
        <w:tc>
          <w:tcPr>
            <w:tcW w:w="823" w:type="dxa"/>
            <w:tcBorders>
              <w:top w:val="nil"/>
              <w:bottom w:val="single" w:sz="4" w:space="0" w:color="auto"/>
            </w:tcBorders>
            <w:shd w:val="clear" w:color="auto" w:fill="auto"/>
            <w:vAlign w:val="bottom"/>
            <w:hideMark/>
          </w:tcPr>
          <w:p w:rsidR="00330614" w:rsidRPr="00DF193A" w:rsidRDefault="00330614" w:rsidP="00B35CBF">
            <w:pPr>
              <w:pStyle w:val="a3"/>
              <w:overflowPunct/>
              <w:ind w:right="0"/>
              <w:jc w:val="right"/>
              <w:rPr>
                <w:szCs w:val="24"/>
              </w:rPr>
            </w:pPr>
            <w:r>
              <w:rPr>
                <w:lang w:val="zh-CN"/>
              </w:rPr>
              <w:t>989</w:t>
            </w:r>
          </w:p>
        </w:tc>
        <w:tc>
          <w:tcPr>
            <w:tcW w:w="1558" w:type="dxa"/>
            <w:tcBorders>
              <w:top w:val="nil"/>
              <w:bottom w:val="single" w:sz="4" w:space="0" w:color="auto"/>
            </w:tcBorders>
            <w:shd w:val="clear" w:color="auto" w:fill="auto"/>
            <w:vAlign w:val="bottom"/>
            <w:hideMark/>
          </w:tcPr>
          <w:p w:rsidR="00330614" w:rsidRPr="00DF193A" w:rsidRDefault="00330614" w:rsidP="00B35CBF">
            <w:pPr>
              <w:pStyle w:val="a3"/>
              <w:overflowPunct/>
              <w:ind w:right="0"/>
              <w:jc w:val="right"/>
              <w:rPr>
                <w:szCs w:val="24"/>
              </w:rPr>
            </w:pPr>
            <w:r>
              <w:rPr>
                <w:lang w:val="zh-CN"/>
              </w:rPr>
              <w:t>6</w:t>
            </w:r>
            <w:r w:rsidRPr="00DF193A">
              <w:rPr>
                <w:lang w:val="zh-CN"/>
              </w:rPr>
              <w:t>0</w:t>
            </w:r>
          </w:p>
        </w:tc>
      </w:tr>
      <w:tr w:rsidR="00E50E8A" w:rsidRPr="00DF193A" w:rsidTr="00E50E8A">
        <w:tc>
          <w:tcPr>
            <w:tcW w:w="1701" w:type="dxa"/>
            <w:tcBorders>
              <w:top w:val="single" w:sz="4" w:space="0" w:color="auto"/>
            </w:tcBorders>
            <w:shd w:val="clear" w:color="auto" w:fill="auto"/>
            <w:hideMark/>
          </w:tcPr>
          <w:p w:rsidR="00330614" w:rsidRPr="00794E4E" w:rsidRDefault="00330614" w:rsidP="00B35CBF">
            <w:pPr>
              <w:pStyle w:val="a3"/>
              <w:overflowPunct/>
              <w:ind w:right="0"/>
              <w:jc w:val="left"/>
              <w:rPr>
                <w:rFonts w:ascii="Time New Roman" w:eastAsia="黑体" w:hAnsi="Time New Roman" w:hint="eastAsia"/>
                <w:szCs w:val="24"/>
              </w:rPr>
            </w:pPr>
            <w:r>
              <w:rPr>
                <w:rFonts w:ascii="Time New Roman" w:eastAsia="黑体" w:hAnsi="Time New Roman" w:hint="eastAsia"/>
                <w:lang w:val="zh-CN"/>
              </w:rPr>
              <w:t xml:space="preserve"> </w:t>
            </w:r>
            <w:r>
              <w:rPr>
                <w:rFonts w:ascii="Time New Roman" w:eastAsia="黑体" w:hAnsi="Time New Roman"/>
                <w:lang w:val="zh-CN"/>
              </w:rPr>
              <w:t xml:space="preserve"> </w:t>
            </w:r>
            <w:r w:rsidRPr="00794E4E">
              <w:rPr>
                <w:rFonts w:ascii="Time New Roman" w:eastAsia="黑体" w:hAnsi="Time New Roman"/>
                <w:lang w:val="zh-CN"/>
              </w:rPr>
              <w:t>共计</w:t>
            </w:r>
          </w:p>
        </w:tc>
        <w:tc>
          <w:tcPr>
            <w:tcW w:w="822" w:type="dxa"/>
            <w:tcBorders>
              <w:top w:val="single" w:sz="4" w:space="0" w:color="auto"/>
            </w:tcBorders>
            <w:shd w:val="clear" w:color="auto" w:fill="auto"/>
            <w:vAlign w:val="bottom"/>
            <w:hideMark/>
          </w:tcPr>
          <w:p w:rsidR="00330614" w:rsidRPr="00DF193A" w:rsidRDefault="00330614" w:rsidP="00B35CBF">
            <w:pPr>
              <w:pStyle w:val="a3"/>
              <w:overflowPunct/>
              <w:ind w:right="0"/>
              <w:jc w:val="right"/>
              <w:rPr>
                <w:b/>
                <w:szCs w:val="24"/>
              </w:rPr>
            </w:pPr>
            <w:r>
              <w:rPr>
                <w:b/>
                <w:bCs/>
                <w:lang w:val="zh-CN"/>
              </w:rPr>
              <w:t>9</w:t>
            </w:r>
            <w:r w:rsidRPr="00DF193A">
              <w:rPr>
                <w:b/>
                <w:bCs/>
                <w:lang w:val="zh-CN"/>
              </w:rPr>
              <w:t xml:space="preserve"> </w:t>
            </w:r>
            <w:r>
              <w:rPr>
                <w:b/>
                <w:bCs/>
                <w:lang w:val="zh-CN"/>
              </w:rPr>
              <w:t>981</w:t>
            </w:r>
          </w:p>
        </w:tc>
        <w:tc>
          <w:tcPr>
            <w:tcW w:w="822" w:type="dxa"/>
            <w:tcBorders>
              <w:top w:val="single" w:sz="4" w:space="0" w:color="auto"/>
            </w:tcBorders>
            <w:shd w:val="clear" w:color="auto" w:fill="auto"/>
            <w:vAlign w:val="bottom"/>
            <w:hideMark/>
          </w:tcPr>
          <w:p w:rsidR="00330614" w:rsidRPr="00DF193A" w:rsidRDefault="00330614" w:rsidP="00B35CBF">
            <w:pPr>
              <w:pStyle w:val="a3"/>
              <w:overflowPunct/>
              <w:ind w:right="0"/>
              <w:jc w:val="right"/>
              <w:rPr>
                <w:b/>
                <w:szCs w:val="24"/>
              </w:rPr>
            </w:pPr>
            <w:r>
              <w:rPr>
                <w:b/>
                <w:bCs/>
                <w:lang w:val="zh-CN"/>
              </w:rPr>
              <w:t>9</w:t>
            </w:r>
            <w:r w:rsidRPr="00DF193A">
              <w:rPr>
                <w:b/>
                <w:bCs/>
                <w:lang w:val="zh-CN"/>
              </w:rPr>
              <w:t xml:space="preserve"> </w:t>
            </w:r>
            <w:r>
              <w:rPr>
                <w:b/>
                <w:bCs/>
                <w:lang w:val="zh-CN"/>
              </w:rPr>
              <w:t>914</w:t>
            </w:r>
          </w:p>
        </w:tc>
        <w:tc>
          <w:tcPr>
            <w:tcW w:w="822" w:type="dxa"/>
            <w:tcBorders>
              <w:top w:val="single" w:sz="4" w:space="0" w:color="auto"/>
            </w:tcBorders>
            <w:shd w:val="clear" w:color="auto" w:fill="auto"/>
            <w:vAlign w:val="bottom"/>
            <w:hideMark/>
          </w:tcPr>
          <w:p w:rsidR="00330614" w:rsidRPr="00DF193A" w:rsidRDefault="00330614" w:rsidP="00B35CBF">
            <w:pPr>
              <w:pStyle w:val="a3"/>
              <w:overflowPunct/>
              <w:ind w:right="0"/>
              <w:jc w:val="right"/>
              <w:rPr>
                <w:b/>
                <w:szCs w:val="24"/>
              </w:rPr>
            </w:pPr>
            <w:r>
              <w:rPr>
                <w:b/>
                <w:bCs/>
                <w:lang w:val="zh-CN"/>
              </w:rPr>
              <w:t>9</w:t>
            </w:r>
            <w:r w:rsidRPr="00DF193A">
              <w:rPr>
                <w:b/>
                <w:bCs/>
                <w:lang w:val="zh-CN"/>
              </w:rPr>
              <w:t xml:space="preserve"> </w:t>
            </w:r>
            <w:r>
              <w:rPr>
                <w:b/>
                <w:bCs/>
                <w:lang w:val="zh-CN"/>
              </w:rPr>
              <w:t>729</w:t>
            </w:r>
          </w:p>
        </w:tc>
        <w:tc>
          <w:tcPr>
            <w:tcW w:w="822" w:type="dxa"/>
            <w:tcBorders>
              <w:top w:val="single" w:sz="4" w:space="0" w:color="auto"/>
            </w:tcBorders>
            <w:shd w:val="clear" w:color="auto" w:fill="auto"/>
            <w:vAlign w:val="bottom"/>
            <w:hideMark/>
          </w:tcPr>
          <w:p w:rsidR="00330614" w:rsidRPr="00DF193A" w:rsidRDefault="00330614" w:rsidP="00B35CBF">
            <w:pPr>
              <w:pStyle w:val="a3"/>
              <w:overflowPunct/>
              <w:ind w:right="0"/>
              <w:jc w:val="right"/>
              <w:rPr>
                <w:b/>
                <w:szCs w:val="24"/>
              </w:rPr>
            </w:pPr>
            <w:r>
              <w:rPr>
                <w:b/>
                <w:bCs/>
                <w:lang w:val="zh-CN"/>
              </w:rPr>
              <w:t>9</w:t>
            </w:r>
            <w:r w:rsidRPr="00DF193A">
              <w:rPr>
                <w:b/>
                <w:bCs/>
                <w:lang w:val="zh-CN"/>
              </w:rPr>
              <w:t xml:space="preserve"> </w:t>
            </w:r>
            <w:r>
              <w:rPr>
                <w:b/>
                <w:bCs/>
                <w:lang w:val="zh-CN"/>
              </w:rPr>
              <w:t>6</w:t>
            </w:r>
            <w:r w:rsidRPr="00DF193A">
              <w:rPr>
                <w:b/>
                <w:bCs/>
                <w:lang w:val="zh-CN"/>
              </w:rPr>
              <w:t>0</w:t>
            </w:r>
            <w:r>
              <w:rPr>
                <w:b/>
                <w:bCs/>
                <w:lang w:val="zh-CN"/>
              </w:rPr>
              <w:t>2</w:t>
            </w:r>
          </w:p>
        </w:tc>
        <w:tc>
          <w:tcPr>
            <w:tcW w:w="823" w:type="dxa"/>
            <w:tcBorders>
              <w:top w:val="single" w:sz="4" w:space="0" w:color="auto"/>
            </w:tcBorders>
            <w:shd w:val="clear" w:color="auto" w:fill="auto"/>
            <w:vAlign w:val="bottom"/>
            <w:hideMark/>
          </w:tcPr>
          <w:p w:rsidR="00330614" w:rsidRPr="00DF193A" w:rsidRDefault="00330614" w:rsidP="00B35CBF">
            <w:pPr>
              <w:pStyle w:val="a3"/>
              <w:overflowPunct/>
              <w:ind w:right="0"/>
              <w:jc w:val="right"/>
              <w:rPr>
                <w:b/>
                <w:szCs w:val="24"/>
              </w:rPr>
            </w:pPr>
            <w:r>
              <w:rPr>
                <w:b/>
                <w:bCs/>
                <w:lang w:val="zh-CN"/>
              </w:rPr>
              <w:t>9</w:t>
            </w:r>
            <w:r w:rsidRPr="00DF193A">
              <w:rPr>
                <w:b/>
                <w:bCs/>
                <w:lang w:val="zh-CN"/>
              </w:rPr>
              <w:t xml:space="preserve"> </w:t>
            </w:r>
            <w:r>
              <w:rPr>
                <w:b/>
                <w:bCs/>
                <w:lang w:val="zh-CN"/>
              </w:rPr>
              <w:t>776</w:t>
            </w:r>
          </w:p>
        </w:tc>
        <w:tc>
          <w:tcPr>
            <w:tcW w:w="1558" w:type="dxa"/>
            <w:tcBorders>
              <w:top w:val="single" w:sz="4" w:space="0" w:color="auto"/>
            </w:tcBorders>
            <w:shd w:val="clear" w:color="auto" w:fill="auto"/>
            <w:vAlign w:val="bottom"/>
            <w:hideMark/>
          </w:tcPr>
          <w:p w:rsidR="00330614" w:rsidRPr="00DF193A" w:rsidRDefault="00330614" w:rsidP="00B35CBF">
            <w:pPr>
              <w:pStyle w:val="a3"/>
              <w:overflowPunct/>
              <w:ind w:right="0"/>
              <w:jc w:val="right"/>
              <w:rPr>
                <w:b/>
                <w:szCs w:val="24"/>
              </w:rPr>
            </w:pPr>
            <w:r>
              <w:rPr>
                <w:b/>
                <w:bCs/>
                <w:lang w:val="zh-CN"/>
              </w:rPr>
              <w:t>174</w:t>
            </w:r>
          </w:p>
        </w:tc>
      </w:tr>
    </w:tbl>
    <w:p w:rsidR="003A21D3" w:rsidRPr="00613913" w:rsidRDefault="003A21D3" w:rsidP="003A21D3">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3A21D3">
        <w:rPr>
          <w:rFonts w:hint="eastAsia"/>
        </w:rPr>
        <w:t>2016-2018</w:t>
      </w:r>
      <w:r w:rsidRPr="003A21D3">
        <w:rPr>
          <w:rFonts w:hint="eastAsia"/>
        </w:rPr>
        <w:t>年警察年报。</w:t>
      </w:r>
    </w:p>
    <w:p w:rsidR="006D0EA7" w:rsidRPr="003A21D3" w:rsidRDefault="003A21D3" w:rsidP="003A21D3">
      <w:pPr>
        <w:pStyle w:val="SingleTxtGC"/>
        <w:rPr>
          <w:lang w:val="en-GB"/>
        </w:rPr>
      </w:pPr>
      <w:r w:rsidRPr="003A21D3">
        <w:rPr>
          <w:rFonts w:hint="eastAsia"/>
          <w:lang w:val="en-GB"/>
        </w:rPr>
        <w:t>表</w:t>
      </w:r>
      <w:r w:rsidRPr="003A21D3">
        <w:rPr>
          <w:rFonts w:hint="eastAsia"/>
          <w:lang w:val="en-GB"/>
        </w:rPr>
        <w:t>13</w:t>
      </w:r>
      <w:r>
        <w:rPr>
          <w:lang w:val="en-GB"/>
        </w:rPr>
        <w:t>.</w:t>
      </w:r>
      <w:r>
        <w:rPr>
          <w:lang w:val="en-GB"/>
        </w:rPr>
        <w:br/>
      </w:r>
      <w:r w:rsidRPr="007E063B">
        <w:rPr>
          <w:rFonts w:ascii="Time New Roman" w:eastAsia="黑体" w:hAnsi="Time New Roman" w:hint="eastAsia"/>
          <w:lang w:val="en-GB"/>
        </w:rPr>
        <w:t>按每</w:t>
      </w:r>
      <w:r w:rsidRPr="007E063B">
        <w:rPr>
          <w:rFonts w:ascii="Time New Roman" w:eastAsia="黑体" w:hAnsi="Time New Roman" w:hint="eastAsia"/>
          <w:lang w:val="en-GB"/>
        </w:rPr>
        <w:t>100,000</w:t>
      </w:r>
      <w:r w:rsidRPr="007E063B">
        <w:rPr>
          <w:rFonts w:ascii="Time New Roman" w:eastAsia="黑体" w:hAnsi="Time New Roman" w:hint="eastAsia"/>
          <w:lang w:val="en-GB"/>
        </w:rPr>
        <w:t>人计的警官人数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680"/>
        <w:gridCol w:w="680"/>
        <w:gridCol w:w="681"/>
        <w:gridCol w:w="680"/>
        <w:gridCol w:w="681"/>
        <w:gridCol w:w="1416"/>
      </w:tblGrid>
      <w:tr w:rsidR="007E063B" w:rsidRPr="00DF193A" w:rsidTr="007E063B">
        <w:trPr>
          <w:tblHeader/>
        </w:trPr>
        <w:tc>
          <w:tcPr>
            <w:tcW w:w="2552"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left"/>
              <w:rPr>
                <w:bCs/>
                <w:sz w:val="16"/>
                <w:szCs w:val="24"/>
              </w:rPr>
            </w:pPr>
            <w:r w:rsidRPr="00DF193A">
              <w:rPr>
                <w:lang w:val="zh-CN"/>
              </w:rPr>
              <w:t>年份</w:t>
            </w:r>
          </w:p>
        </w:tc>
        <w:tc>
          <w:tcPr>
            <w:tcW w:w="680"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right"/>
              <w:rPr>
                <w:bCs/>
                <w:sz w:val="16"/>
                <w:szCs w:val="24"/>
              </w:rPr>
            </w:pPr>
            <w:r>
              <w:rPr>
                <w:lang w:val="zh-CN"/>
              </w:rPr>
              <w:t>2</w:t>
            </w:r>
            <w:r w:rsidRPr="00DF193A">
              <w:rPr>
                <w:lang w:val="zh-CN"/>
              </w:rPr>
              <w:t>0</w:t>
            </w:r>
            <w:r>
              <w:rPr>
                <w:lang w:val="zh-CN"/>
              </w:rPr>
              <w:t>14</w:t>
            </w:r>
          </w:p>
        </w:tc>
        <w:tc>
          <w:tcPr>
            <w:tcW w:w="680"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right"/>
              <w:rPr>
                <w:bCs/>
                <w:sz w:val="16"/>
                <w:szCs w:val="24"/>
              </w:rPr>
            </w:pPr>
            <w:r>
              <w:rPr>
                <w:lang w:val="zh-CN"/>
              </w:rPr>
              <w:t>2</w:t>
            </w:r>
            <w:r w:rsidRPr="00DF193A">
              <w:rPr>
                <w:lang w:val="zh-CN"/>
              </w:rPr>
              <w:t>0</w:t>
            </w:r>
            <w:r>
              <w:rPr>
                <w:lang w:val="zh-CN"/>
              </w:rPr>
              <w:t>15</w:t>
            </w:r>
          </w:p>
        </w:tc>
        <w:tc>
          <w:tcPr>
            <w:tcW w:w="681"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right"/>
              <w:rPr>
                <w:bCs/>
                <w:sz w:val="16"/>
                <w:szCs w:val="24"/>
              </w:rPr>
            </w:pPr>
            <w:r>
              <w:rPr>
                <w:lang w:val="zh-CN"/>
              </w:rPr>
              <w:t>2</w:t>
            </w:r>
            <w:r w:rsidRPr="00DF193A">
              <w:rPr>
                <w:lang w:val="zh-CN"/>
              </w:rPr>
              <w:t>0</w:t>
            </w:r>
            <w:r>
              <w:rPr>
                <w:lang w:val="zh-CN"/>
              </w:rPr>
              <w:t>16</w:t>
            </w:r>
          </w:p>
        </w:tc>
        <w:tc>
          <w:tcPr>
            <w:tcW w:w="680"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right"/>
              <w:rPr>
                <w:bCs/>
                <w:sz w:val="16"/>
                <w:szCs w:val="24"/>
              </w:rPr>
            </w:pPr>
            <w:r>
              <w:rPr>
                <w:lang w:val="zh-CN"/>
              </w:rPr>
              <w:t>2</w:t>
            </w:r>
            <w:r w:rsidRPr="00DF193A">
              <w:rPr>
                <w:lang w:val="zh-CN"/>
              </w:rPr>
              <w:t>0</w:t>
            </w:r>
            <w:r>
              <w:rPr>
                <w:lang w:val="zh-CN"/>
              </w:rPr>
              <w:t>17</w:t>
            </w:r>
          </w:p>
        </w:tc>
        <w:tc>
          <w:tcPr>
            <w:tcW w:w="681"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right"/>
              <w:rPr>
                <w:bCs/>
                <w:sz w:val="16"/>
                <w:szCs w:val="24"/>
              </w:rPr>
            </w:pPr>
            <w:r>
              <w:rPr>
                <w:lang w:val="zh-CN"/>
              </w:rPr>
              <w:t>2</w:t>
            </w:r>
            <w:r w:rsidRPr="00DF193A">
              <w:rPr>
                <w:lang w:val="zh-CN"/>
              </w:rPr>
              <w:t>0</w:t>
            </w:r>
            <w:r>
              <w:rPr>
                <w:lang w:val="zh-CN"/>
              </w:rPr>
              <w:t>18</w:t>
            </w:r>
          </w:p>
        </w:tc>
        <w:tc>
          <w:tcPr>
            <w:tcW w:w="1416" w:type="dxa"/>
            <w:tcBorders>
              <w:top w:val="single" w:sz="4" w:space="0" w:color="auto"/>
              <w:bottom w:val="single" w:sz="12" w:space="0" w:color="auto"/>
            </w:tcBorders>
            <w:shd w:val="clear" w:color="auto" w:fill="auto"/>
            <w:vAlign w:val="bottom"/>
            <w:hideMark/>
          </w:tcPr>
          <w:p w:rsidR="007E063B" w:rsidRPr="00DF193A" w:rsidRDefault="007E063B" w:rsidP="00B35CBF">
            <w:pPr>
              <w:pStyle w:val="a4"/>
              <w:ind w:right="0"/>
              <w:jc w:val="right"/>
              <w:rPr>
                <w:bCs/>
                <w:sz w:val="16"/>
                <w:szCs w:val="24"/>
              </w:rPr>
            </w:pPr>
            <w:r w:rsidRPr="00DF193A">
              <w:rPr>
                <w:lang w:val="zh-CN"/>
              </w:rPr>
              <w:t>较前一年的变化</w:t>
            </w:r>
          </w:p>
        </w:tc>
      </w:tr>
      <w:tr w:rsidR="007E063B" w:rsidRPr="00DF193A" w:rsidTr="007E063B">
        <w:tc>
          <w:tcPr>
            <w:tcW w:w="2552" w:type="dxa"/>
            <w:tcBorders>
              <w:top w:val="single" w:sz="12" w:space="0" w:color="auto"/>
            </w:tcBorders>
            <w:shd w:val="clear" w:color="auto" w:fill="auto"/>
            <w:hideMark/>
          </w:tcPr>
          <w:p w:rsidR="007E063B" w:rsidRPr="00DF193A" w:rsidRDefault="007E063B" w:rsidP="00B35CBF">
            <w:pPr>
              <w:pStyle w:val="a3"/>
              <w:overflowPunct/>
              <w:ind w:right="0"/>
              <w:jc w:val="left"/>
              <w:rPr>
                <w:szCs w:val="24"/>
              </w:rPr>
            </w:pPr>
            <w:r w:rsidRPr="00DF193A">
              <w:rPr>
                <w:lang w:val="zh-CN"/>
              </w:rPr>
              <w:t>按每</w:t>
            </w:r>
            <w:r>
              <w:rPr>
                <w:lang w:val="zh-CN"/>
              </w:rPr>
              <w:t>1</w:t>
            </w:r>
            <w:r w:rsidRPr="00DF193A">
              <w:rPr>
                <w:lang w:val="zh-CN"/>
              </w:rPr>
              <w:t>0</w:t>
            </w:r>
            <w:r>
              <w:rPr>
                <w:lang w:val="zh-CN"/>
              </w:rPr>
              <w:t>0,</w:t>
            </w:r>
            <w:r w:rsidRPr="00DF193A">
              <w:rPr>
                <w:lang w:val="zh-CN"/>
              </w:rPr>
              <w:t>000</w:t>
            </w:r>
            <w:r w:rsidRPr="00DF193A">
              <w:rPr>
                <w:lang w:val="zh-CN"/>
              </w:rPr>
              <w:t>人计的警官人数</w:t>
            </w:r>
          </w:p>
        </w:tc>
        <w:tc>
          <w:tcPr>
            <w:tcW w:w="680" w:type="dxa"/>
            <w:tcBorders>
              <w:top w:val="single" w:sz="12" w:space="0" w:color="auto"/>
            </w:tcBorders>
            <w:shd w:val="clear" w:color="auto" w:fill="auto"/>
            <w:vAlign w:val="bottom"/>
            <w:hideMark/>
          </w:tcPr>
          <w:p w:rsidR="007E063B" w:rsidRPr="00DF193A" w:rsidRDefault="007E063B" w:rsidP="00B35CBF">
            <w:pPr>
              <w:pStyle w:val="a3"/>
              <w:overflowPunct/>
              <w:ind w:right="0"/>
              <w:jc w:val="right"/>
              <w:rPr>
                <w:szCs w:val="24"/>
              </w:rPr>
            </w:pPr>
            <w:r>
              <w:rPr>
                <w:lang w:val="zh-CN"/>
              </w:rPr>
              <w:t>135.6</w:t>
            </w:r>
          </w:p>
        </w:tc>
        <w:tc>
          <w:tcPr>
            <w:tcW w:w="680" w:type="dxa"/>
            <w:tcBorders>
              <w:top w:val="single" w:sz="12" w:space="0" w:color="auto"/>
            </w:tcBorders>
            <w:shd w:val="clear" w:color="auto" w:fill="auto"/>
            <w:vAlign w:val="bottom"/>
            <w:hideMark/>
          </w:tcPr>
          <w:p w:rsidR="007E063B" w:rsidRPr="00DF193A" w:rsidRDefault="007E063B" w:rsidP="00B35CBF">
            <w:pPr>
              <w:pStyle w:val="a3"/>
              <w:overflowPunct/>
              <w:ind w:right="0"/>
              <w:jc w:val="right"/>
              <w:rPr>
                <w:szCs w:val="24"/>
              </w:rPr>
            </w:pPr>
            <w:r>
              <w:rPr>
                <w:lang w:val="zh-CN"/>
              </w:rPr>
              <w:t>134.1</w:t>
            </w:r>
          </w:p>
        </w:tc>
        <w:tc>
          <w:tcPr>
            <w:tcW w:w="681" w:type="dxa"/>
            <w:tcBorders>
              <w:top w:val="single" w:sz="12" w:space="0" w:color="auto"/>
            </w:tcBorders>
            <w:shd w:val="clear" w:color="auto" w:fill="auto"/>
            <w:vAlign w:val="bottom"/>
            <w:hideMark/>
          </w:tcPr>
          <w:p w:rsidR="007E063B" w:rsidRPr="00DF193A" w:rsidRDefault="007E063B" w:rsidP="00B35CBF">
            <w:pPr>
              <w:pStyle w:val="a3"/>
              <w:overflowPunct/>
              <w:ind w:right="0"/>
              <w:jc w:val="right"/>
              <w:rPr>
                <w:szCs w:val="24"/>
              </w:rPr>
            </w:pPr>
            <w:r>
              <w:rPr>
                <w:lang w:val="zh-CN"/>
              </w:rPr>
              <w:t>131.2</w:t>
            </w:r>
          </w:p>
        </w:tc>
        <w:tc>
          <w:tcPr>
            <w:tcW w:w="680" w:type="dxa"/>
            <w:tcBorders>
              <w:top w:val="single" w:sz="12" w:space="0" w:color="auto"/>
            </w:tcBorders>
            <w:shd w:val="clear" w:color="auto" w:fill="auto"/>
            <w:vAlign w:val="bottom"/>
            <w:hideMark/>
          </w:tcPr>
          <w:p w:rsidR="007E063B" w:rsidRPr="00DF193A" w:rsidRDefault="007E063B" w:rsidP="00B35CBF">
            <w:pPr>
              <w:pStyle w:val="a3"/>
              <w:overflowPunct/>
              <w:ind w:right="0"/>
              <w:jc w:val="right"/>
              <w:rPr>
                <w:szCs w:val="24"/>
              </w:rPr>
            </w:pPr>
            <w:r>
              <w:rPr>
                <w:lang w:val="zh-CN"/>
              </w:rPr>
              <w:t>129.7</w:t>
            </w:r>
          </w:p>
        </w:tc>
        <w:tc>
          <w:tcPr>
            <w:tcW w:w="681" w:type="dxa"/>
            <w:tcBorders>
              <w:top w:val="single" w:sz="12" w:space="0" w:color="auto"/>
            </w:tcBorders>
            <w:shd w:val="clear" w:color="auto" w:fill="auto"/>
            <w:vAlign w:val="bottom"/>
            <w:hideMark/>
          </w:tcPr>
          <w:p w:rsidR="007E063B" w:rsidRPr="00DF193A" w:rsidRDefault="007E063B" w:rsidP="00B35CBF">
            <w:pPr>
              <w:pStyle w:val="a3"/>
              <w:overflowPunct/>
              <w:ind w:right="0"/>
              <w:jc w:val="right"/>
              <w:rPr>
                <w:szCs w:val="24"/>
              </w:rPr>
            </w:pPr>
            <w:r>
              <w:rPr>
                <w:lang w:val="zh-CN"/>
              </w:rPr>
              <w:t>130.5</w:t>
            </w:r>
          </w:p>
        </w:tc>
        <w:tc>
          <w:tcPr>
            <w:tcW w:w="1416" w:type="dxa"/>
            <w:tcBorders>
              <w:top w:val="single" w:sz="12" w:space="0" w:color="auto"/>
            </w:tcBorders>
            <w:shd w:val="clear" w:color="auto" w:fill="auto"/>
            <w:vAlign w:val="bottom"/>
            <w:hideMark/>
          </w:tcPr>
          <w:p w:rsidR="007E063B" w:rsidRPr="00DF193A" w:rsidRDefault="007E063B" w:rsidP="00B35CBF">
            <w:pPr>
              <w:pStyle w:val="a3"/>
              <w:overflowPunct/>
              <w:ind w:right="0"/>
              <w:jc w:val="right"/>
              <w:rPr>
                <w:szCs w:val="24"/>
              </w:rPr>
            </w:pPr>
            <w:r>
              <w:rPr>
                <w:lang w:val="zh-CN"/>
              </w:rPr>
              <w:t>1</w:t>
            </w:r>
          </w:p>
        </w:tc>
      </w:tr>
    </w:tbl>
    <w:p w:rsidR="001A3B58" w:rsidRPr="00613913" w:rsidRDefault="001A3B58" w:rsidP="001A3B58">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proofErr w:type="spellStart"/>
      <w:r w:rsidRPr="001A3B58">
        <w:rPr>
          <w:rFonts w:hint="eastAsia"/>
        </w:rPr>
        <w:t>PolStat</w:t>
      </w:r>
      <w:proofErr w:type="spellEnd"/>
      <w:r w:rsidRPr="001A3B58">
        <w:rPr>
          <w:rFonts w:hint="eastAsia"/>
        </w:rPr>
        <w:t>数据库。</w:t>
      </w:r>
    </w:p>
    <w:p w:rsidR="005453C2" w:rsidRPr="005453C2" w:rsidRDefault="005453C2" w:rsidP="005453C2">
      <w:pPr>
        <w:pStyle w:val="SingleTxtGC"/>
        <w:tabs>
          <w:tab w:val="clear" w:pos="1565"/>
          <w:tab w:val="clear" w:pos="1996"/>
          <w:tab w:val="clear" w:pos="2427"/>
        </w:tabs>
        <w:rPr>
          <w:lang w:val="en-GB"/>
        </w:rPr>
      </w:pPr>
      <w:r w:rsidRPr="005453C2">
        <w:rPr>
          <w:rFonts w:hint="eastAsia"/>
          <w:lang w:val="en-GB"/>
        </w:rPr>
        <w:lastRenderedPageBreak/>
        <w:t>212.</w:t>
      </w:r>
      <w:r w:rsidRPr="005453C2">
        <w:rPr>
          <w:rFonts w:hint="eastAsia"/>
          <w:lang w:val="en-GB"/>
        </w:rPr>
        <w:tab/>
      </w:r>
      <w:r w:rsidRPr="005453C2">
        <w:rPr>
          <w:rFonts w:hint="eastAsia"/>
          <w:lang w:val="en-GB"/>
        </w:rPr>
        <w:t>由行政部门进行预算拨款，除议会、共和国总统和总理府外，还向各部委拨款。下表</w:t>
      </w:r>
      <w:r w:rsidRPr="005453C2">
        <w:rPr>
          <w:rFonts w:hint="eastAsia"/>
        </w:rPr>
        <w:t>列出</w:t>
      </w:r>
      <w:r w:rsidRPr="005453C2">
        <w:rPr>
          <w:rFonts w:hint="eastAsia"/>
          <w:lang w:val="en-GB"/>
        </w:rPr>
        <w:t>了</w:t>
      </w:r>
      <w:r w:rsidRPr="005453C2">
        <w:rPr>
          <w:rFonts w:hint="eastAsia"/>
          <w:lang w:val="en-GB"/>
        </w:rPr>
        <w:t>2010-2017</w:t>
      </w:r>
      <w:r w:rsidRPr="005453C2">
        <w:rPr>
          <w:rFonts w:hint="eastAsia"/>
          <w:lang w:val="en-GB"/>
        </w:rPr>
        <w:t>年预算拨款中分配给司法领域某些核心行为体的资金。警察局属于内政部的行政部门，其他行为</w:t>
      </w:r>
      <w:proofErr w:type="gramStart"/>
      <w:r w:rsidRPr="005453C2">
        <w:rPr>
          <w:rFonts w:hint="eastAsia"/>
          <w:lang w:val="en-GB"/>
        </w:rPr>
        <w:t>体属于</w:t>
      </w:r>
      <w:proofErr w:type="gramEnd"/>
      <w:r w:rsidRPr="005453C2">
        <w:rPr>
          <w:rFonts w:hint="eastAsia"/>
          <w:lang w:val="en-GB"/>
        </w:rPr>
        <w:t>司法部的行政部门。</w:t>
      </w:r>
    </w:p>
    <w:p w:rsidR="00330614" w:rsidRPr="005453C2" w:rsidRDefault="005453C2" w:rsidP="005453C2">
      <w:pPr>
        <w:pStyle w:val="SingleTxtGC"/>
        <w:rPr>
          <w:rFonts w:ascii="Time New Roman" w:eastAsia="黑体" w:hAnsi="Time New Roman" w:hint="eastAsia"/>
          <w:lang w:val="en-GB"/>
        </w:rPr>
      </w:pPr>
      <w:r w:rsidRPr="005453C2">
        <w:rPr>
          <w:rFonts w:hint="eastAsia"/>
          <w:lang w:val="en-GB"/>
        </w:rPr>
        <w:t>表</w:t>
      </w:r>
      <w:r w:rsidRPr="005453C2">
        <w:rPr>
          <w:rFonts w:hint="eastAsia"/>
          <w:lang w:val="en-GB"/>
        </w:rPr>
        <w:t>14.</w:t>
      </w:r>
      <w:r>
        <w:rPr>
          <w:lang w:val="en-GB"/>
        </w:rPr>
        <w:br/>
      </w:r>
      <w:r w:rsidRPr="005453C2">
        <w:rPr>
          <w:rFonts w:ascii="Time New Roman" w:eastAsia="黑体" w:hAnsi="Time New Roman" w:hint="eastAsia"/>
          <w:lang w:val="en-GB"/>
        </w:rPr>
        <w:t>2011-2019</w:t>
      </w:r>
      <w:r w:rsidRPr="005453C2">
        <w:rPr>
          <w:rFonts w:ascii="Time New Roman" w:eastAsia="黑体" w:hAnsi="Time New Roman" w:hint="eastAsia"/>
          <w:lang w:val="en-GB"/>
        </w:rPr>
        <w:t>年司法预算拨款，欧元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134"/>
        <w:gridCol w:w="1381"/>
        <w:gridCol w:w="1382"/>
        <w:gridCol w:w="1382"/>
        <w:gridCol w:w="1382"/>
      </w:tblGrid>
      <w:tr w:rsidR="006A2BA4" w:rsidRPr="00DF193A" w:rsidTr="00B35CBF">
        <w:trPr>
          <w:tblHeader/>
        </w:trPr>
        <w:tc>
          <w:tcPr>
            <w:tcW w:w="709" w:type="dxa"/>
            <w:tcBorders>
              <w:top w:val="single" w:sz="4" w:space="0" w:color="auto"/>
              <w:bottom w:val="single" w:sz="12" w:space="0" w:color="auto"/>
            </w:tcBorders>
            <w:shd w:val="clear" w:color="auto" w:fill="auto"/>
            <w:vAlign w:val="bottom"/>
            <w:hideMark/>
          </w:tcPr>
          <w:p w:rsidR="006A2BA4" w:rsidRPr="00DF193A" w:rsidRDefault="006A2BA4" w:rsidP="00B35CBF">
            <w:pPr>
              <w:pStyle w:val="a4"/>
              <w:ind w:right="0"/>
              <w:jc w:val="left"/>
              <w:rPr>
                <w:bCs/>
                <w:sz w:val="16"/>
                <w:szCs w:val="24"/>
              </w:rPr>
            </w:pPr>
            <w:r w:rsidRPr="00DF193A">
              <w:rPr>
                <w:lang w:val="zh-CN"/>
              </w:rPr>
              <w:t>年份</w:t>
            </w:r>
            <w:r>
              <w:rPr>
                <w:lang w:val="zh-CN"/>
              </w:rPr>
              <w:t>/</w:t>
            </w:r>
            <w:r>
              <w:rPr>
                <w:lang w:val="zh-CN"/>
              </w:rPr>
              <w:br/>
            </w:r>
            <w:r w:rsidRPr="00DF193A">
              <w:rPr>
                <w:lang w:val="zh-CN"/>
              </w:rPr>
              <w:t>部门</w:t>
            </w:r>
          </w:p>
        </w:tc>
        <w:tc>
          <w:tcPr>
            <w:tcW w:w="1134" w:type="dxa"/>
            <w:tcBorders>
              <w:top w:val="single" w:sz="4" w:space="0" w:color="auto"/>
              <w:bottom w:val="single" w:sz="12" w:space="0" w:color="auto"/>
            </w:tcBorders>
            <w:shd w:val="clear" w:color="auto" w:fill="auto"/>
            <w:vAlign w:val="bottom"/>
            <w:hideMark/>
          </w:tcPr>
          <w:p w:rsidR="006A2BA4" w:rsidRPr="00DF193A" w:rsidRDefault="006A2BA4" w:rsidP="00B35CBF">
            <w:pPr>
              <w:pStyle w:val="a4"/>
              <w:ind w:right="0"/>
              <w:jc w:val="right"/>
              <w:rPr>
                <w:bCs/>
                <w:sz w:val="16"/>
                <w:szCs w:val="24"/>
              </w:rPr>
            </w:pPr>
            <w:r w:rsidRPr="00DF193A">
              <w:rPr>
                <w:lang w:val="zh-CN"/>
              </w:rPr>
              <w:t>警察局</w:t>
            </w:r>
          </w:p>
        </w:tc>
        <w:tc>
          <w:tcPr>
            <w:tcW w:w="1381" w:type="dxa"/>
            <w:tcBorders>
              <w:top w:val="single" w:sz="4" w:space="0" w:color="auto"/>
              <w:bottom w:val="single" w:sz="12" w:space="0" w:color="auto"/>
            </w:tcBorders>
            <w:shd w:val="clear" w:color="auto" w:fill="auto"/>
            <w:vAlign w:val="bottom"/>
            <w:hideMark/>
          </w:tcPr>
          <w:p w:rsidR="006A2BA4" w:rsidRPr="00DF193A" w:rsidRDefault="006A2BA4" w:rsidP="00B35CBF">
            <w:pPr>
              <w:pStyle w:val="a4"/>
              <w:ind w:right="0"/>
              <w:jc w:val="right"/>
              <w:rPr>
                <w:bCs/>
                <w:sz w:val="16"/>
                <w:szCs w:val="24"/>
              </w:rPr>
            </w:pPr>
            <w:r w:rsidRPr="00DF193A">
              <w:rPr>
                <w:lang w:val="zh-CN"/>
              </w:rPr>
              <w:t>法院和</w:t>
            </w:r>
            <w:r>
              <w:rPr>
                <w:lang w:val="zh-CN"/>
              </w:rPr>
              <w:br/>
            </w:r>
            <w:r w:rsidRPr="00DF193A">
              <w:rPr>
                <w:lang w:val="zh-CN"/>
              </w:rPr>
              <w:t>法律援助</w:t>
            </w:r>
          </w:p>
        </w:tc>
        <w:tc>
          <w:tcPr>
            <w:tcW w:w="1382" w:type="dxa"/>
            <w:tcBorders>
              <w:top w:val="single" w:sz="4" w:space="0" w:color="auto"/>
              <w:bottom w:val="single" w:sz="12" w:space="0" w:color="auto"/>
            </w:tcBorders>
            <w:shd w:val="clear" w:color="auto" w:fill="auto"/>
            <w:vAlign w:val="bottom"/>
            <w:hideMark/>
          </w:tcPr>
          <w:p w:rsidR="006A2BA4" w:rsidRPr="00DF193A" w:rsidRDefault="006A2BA4" w:rsidP="00B35CBF">
            <w:pPr>
              <w:pStyle w:val="a4"/>
              <w:ind w:right="0"/>
              <w:jc w:val="right"/>
              <w:rPr>
                <w:bCs/>
                <w:sz w:val="16"/>
                <w:szCs w:val="24"/>
              </w:rPr>
            </w:pPr>
            <w:r w:rsidRPr="00DF193A">
              <w:rPr>
                <w:lang w:val="zh-CN"/>
              </w:rPr>
              <w:t>检察官</w:t>
            </w:r>
          </w:p>
        </w:tc>
        <w:tc>
          <w:tcPr>
            <w:tcW w:w="1382" w:type="dxa"/>
            <w:tcBorders>
              <w:top w:val="single" w:sz="4" w:space="0" w:color="auto"/>
              <w:bottom w:val="single" w:sz="12" w:space="0" w:color="auto"/>
            </w:tcBorders>
            <w:shd w:val="clear" w:color="auto" w:fill="auto"/>
            <w:vAlign w:val="bottom"/>
            <w:hideMark/>
          </w:tcPr>
          <w:p w:rsidR="006A2BA4" w:rsidRPr="00DF193A" w:rsidRDefault="006A2BA4" w:rsidP="00B35CBF">
            <w:pPr>
              <w:pStyle w:val="a4"/>
              <w:ind w:right="0"/>
              <w:jc w:val="right"/>
              <w:rPr>
                <w:bCs/>
                <w:sz w:val="16"/>
                <w:szCs w:val="24"/>
              </w:rPr>
            </w:pPr>
            <w:r w:rsidRPr="00DF193A">
              <w:rPr>
                <w:lang w:val="zh-CN"/>
              </w:rPr>
              <w:t>执行判决</w:t>
            </w:r>
          </w:p>
        </w:tc>
        <w:tc>
          <w:tcPr>
            <w:tcW w:w="1382" w:type="dxa"/>
            <w:tcBorders>
              <w:top w:val="single" w:sz="4" w:space="0" w:color="auto"/>
              <w:bottom w:val="single" w:sz="12" w:space="0" w:color="auto"/>
            </w:tcBorders>
            <w:shd w:val="clear" w:color="auto" w:fill="auto"/>
            <w:vAlign w:val="bottom"/>
            <w:hideMark/>
          </w:tcPr>
          <w:p w:rsidR="006A2BA4" w:rsidRPr="00DF193A" w:rsidRDefault="006A2BA4" w:rsidP="00B35CBF">
            <w:pPr>
              <w:pStyle w:val="a4"/>
              <w:ind w:right="0"/>
              <w:jc w:val="right"/>
              <w:rPr>
                <w:bCs/>
                <w:sz w:val="16"/>
                <w:szCs w:val="24"/>
              </w:rPr>
            </w:pPr>
            <w:r w:rsidRPr="00DF193A">
              <w:rPr>
                <w:rFonts w:hint="eastAsia"/>
                <w:lang w:val="zh-CN"/>
              </w:rPr>
              <w:t>拖欠款项</w:t>
            </w:r>
            <w:r w:rsidRPr="00DF193A">
              <w:rPr>
                <w:lang w:val="zh-CN"/>
              </w:rPr>
              <w:t>、执行付款和破产管理</w:t>
            </w:r>
          </w:p>
        </w:tc>
      </w:tr>
      <w:tr w:rsidR="006A2BA4" w:rsidRPr="00DF193A" w:rsidTr="00B35CBF">
        <w:tc>
          <w:tcPr>
            <w:tcW w:w="709" w:type="dxa"/>
            <w:tcBorders>
              <w:top w:val="single" w:sz="12" w:space="0" w:color="auto"/>
            </w:tcBorders>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11</w:t>
            </w:r>
          </w:p>
        </w:tc>
        <w:tc>
          <w:tcPr>
            <w:tcW w:w="1134" w:type="dxa"/>
            <w:tcBorders>
              <w:top w:val="single" w:sz="12" w:space="0" w:color="auto"/>
            </w:tcBorders>
            <w:shd w:val="clear" w:color="auto" w:fill="auto"/>
            <w:vAlign w:val="bottom"/>
            <w:hideMark/>
          </w:tcPr>
          <w:p w:rsidR="006A2BA4" w:rsidRPr="00DF193A" w:rsidRDefault="006A2BA4" w:rsidP="00B35CBF">
            <w:pPr>
              <w:pStyle w:val="a3"/>
              <w:overflowPunct/>
              <w:ind w:right="0"/>
              <w:jc w:val="right"/>
              <w:rPr>
                <w:szCs w:val="24"/>
              </w:rPr>
            </w:pPr>
            <w:r>
              <w:rPr>
                <w:lang w:val="zh-CN"/>
              </w:rPr>
              <w:t>689</w:t>
            </w:r>
            <w:r w:rsidRPr="00DF193A">
              <w:rPr>
                <w:lang w:val="zh-CN"/>
              </w:rPr>
              <w:t xml:space="preserve"> </w:t>
            </w:r>
            <w:r>
              <w:rPr>
                <w:lang w:val="zh-CN"/>
              </w:rPr>
              <w:t>1</w:t>
            </w:r>
            <w:r w:rsidRPr="00DF193A">
              <w:rPr>
                <w:lang w:val="zh-CN"/>
              </w:rPr>
              <w:t>0</w:t>
            </w:r>
            <w:r>
              <w:rPr>
                <w:lang w:val="zh-CN"/>
              </w:rPr>
              <w:t>8</w:t>
            </w:r>
            <w:r w:rsidRPr="00DF193A">
              <w:rPr>
                <w:lang w:val="zh-CN"/>
              </w:rPr>
              <w:t xml:space="preserve"> 000</w:t>
            </w:r>
          </w:p>
        </w:tc>
        <w:tc>
          <w:tcPr>
            <w:tcW w:w="1381" w:type="dxa"/>
            <w:tcBorders>
              <w:top w:val="single" w:sz="12" w:space="0" w:color="auto"/>
            </w:tcBorders>
            <w:shd w:val="clear" w:color="auto" w:fill="auto"/>
            <w:vAlign w:val="bottom"/>
            <w:hideMark/>
          </w:tcPr>
          <w:p w:rsidR="006A2BA4" w:rsidRPr="00DF193A" w:rsidRDefault="006A2BA4" w:rsidP="00B35CBF">
            <w:pPr>
              <w:pStyle w:val="a3"/>
              <w:overflowPunct/>
              <w:ind w:right="0"/>
              <w:jc w:val="right"/>
              <w:rPr>
                <w:szCs w:val="24"/>
              </w:rPr>
            </w:pPr>
            <w:r>
              <w:rPr>
                <w:lang w:val="zh-CN"/>
              </w:rPr>
              <w:t>334</w:t>
            </w:r>
            <w:r w:rsidRPr="00DF193A">
              <w:rPr>
                <w:lang w:val="zh-CN"/>
              </w:rPr>
              <w:t xml:space="preserve"> </w:t>
            </w:r>
            <w:r>
              <w:rPr>
                <w:lang w:val="zh-CN"/>
              </w:rPr>
              <w:t>596</w:t>
            </w:r>
            <w:r w:rsidRPr="00DF193A">
              <w:rPr>
                <w:lang w:val="zh-CN"/>
              </w:rPr>
              <w:t xml:space="preserve"> 000</w:t>
            </w:r>
          </w:p>
        </w:tc>
        <w:tc>
          <w:tcPr>
            <w:tcW w:w="1382" w:type="dxa"/>
            <w:tcBorders>
              <w:top w:val="single" w:sz="12" w:space="0" w:color="auto"/>
            </w:tcBorders>
            <w:shd w:val="clear" w:color="auto" w:fill="auto"/>
            <w:vAlign w:val="bottom"/>
            <w:hideMark/>
          </w:tcPr>
          <w:p w:rsidR="006A2BA4" w:rsidRPr="00DF193A" w:rsidRDefault="006A2BA4" w:rsidP="00B35CBF">
            <w:pPr>
              <w:pStyle w:val="a3"/>
              <w:overflowPunct/>
              <w:ind w:right="0"/>
              <w:jc w:val="right"/>
              <w:rPr>
                <w:szCs w:val="24"/>
              </w:rPr>
            </w:pPr>
            <w:r>
              <w:rPr>
                <w:lang w:val="zh-CN"/>
              </w:rPr>
              <w:t>43</w:t>
            </w:r>
            <w:r w:rsidRPr="00DF193A">
              <w:rPr>
                <w:lang w:val="zh-CN"/>
              </w:rPr>
              <w:t xml:space="preserve"> </w:t>
            </w:r>
            <w:r>
              <w:rPr>
                <w:lang w:val="zh-CN"/>
              </w:rPr>
              <w:t>875</w:t>
            </w:r>
            <w:r w:rsidRPr="00DF193A">
              <w:rPr>
                <w:lang w:val="zh-CN"/>
              </w:rPr>
              <w:t xml:space="preserve"> 000</w:t>
            </w:r>
          </w:p>
        </w:tc>
        <w:tc>
          <w:tcPr>
            <w:tcW w:w="1382" w:type="dxa"/>
            <w:tcBorders>
              <w:top w:val="single" w:sz="12" w:space="0" w:color="auto"/>
            </w:tcBorders>
            <w:shd w:val="clear" w:color="auto" w:fill="auto"/>
            <w:vAlign w:val="bottom"/>
            <w:hideMark/>
          </w:tcPr>
          <w:p w:rsidR="006A2BA4" w:rsidRPr="00DF193A" w:rsidRDefault="006A2BA4" w:rsidP="00B35CBF">
            <w:pPr>
              <w:pStyle w:val="a3"/>
              <w:overflowPunct/>
              <w:ind w:right="0"/>
              <w:jc w:val="right"/>
              <w:rPr>
                <w:szCs w:val="24"/>
              </w:rPr>
            </w:pPr>
            <w:r>
              <w:rPr>
                <w:lang w:val="zh-CN"/>
              </w:rPr>
              <w:t>225</w:t>
            </w:r>
            <w:r w:rsidRPr="00DF193A">
              <w:rPr>
                <w:lang w:val="zh-CN"/>
              </w:rPr>
              <w:t xml:space="preserve"> </w:t>
            </w:r>
            <w:r>
              <w:rPr>
                <w:lang w:val="zh-CN"/>
              </w:rPr>
              <w:t>524</w:t>
            </w:r>
            <w:r w:rsidRPr="00DF193A">
              <w:rPr>
                <w:lang w:val="zh-CN"/>
              </w:rPr>
              <w:t xml:space="preserve"> 000</w:t>
            </w:r>
          </w:p>
        </w:tc>
        <w:tc>
          <w:tcPr>
            <w:tcW w:w="1382" w:type="dxa"/>
            <w:tcBorders>
              <w:top w:val="single" w:sz="12" w:space="0" w:color="auto"/>
            </w:tcBorders>
            <w:shd w:val="clear" w:color="auto" w:fill="auto"/>
            <w:vAlign w:val="bottom"/>
            <w:hideMark/>
          </w:tcPr>
          <w:p w:rsidR="006A2BA4" w:rsidRPr="00DF193A" w:rsidRDefault="006A2BA4" w:rsidP="00B35CBF">
            <w:pPr>
              <w:pStyle w:val="a3"/>
              <w:overflowPunct/>
              <w:ind w:right="0"/>
              <w:jc w:val="right"/>
              <w:rPr>
                <w:szCs w:val="24"/>
              </w:rPr>
            </w:pPr>
            <w:r>
              <w:rPr>
                <w:lang w:val="zh-CN"/>
              </w:rPr>
              <w:t>98</w:t>
            </w:r>
            <w:r w:rsidRPr="00DF193A">
              <w:rPr>
                <w:lang w:val="zh-CN"/>
              </w:rPr>
              <w:t xml:space="preserve"> </w:t>
            </w:r>
            <w:r>
              <w:rPr>
                <w:lang w:val="zh-CN"/>
              </w:rPr>
              <w:t>8</w:t>
            </w:r>
            <w:r w:rsidRPr="00DF193A">
              <w:rPr>
                <w:lang w:val="zh-CN"/>
              </w:rPr>
              <w:t>0</w:t>
            </w:r>
            <w:r>
              <w:rPr>
                <w:lang w:val="zh-CN"/>
              </w:rPr>
              <w:t>6</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12</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w:t>
            </w:r>
            <w:r w:rsidRPr="00DF193A">
              <w:rPr>
                <w:lang w:val="zh-CN"/>
              </w:rPr>
              <w:t>0</w:t>
            </w:r>
            <w:r>
              <w:rPr>
                <w:lang w:val="zh-CN"/>
              </w:rPr>
              <w:t>3</w:t>
            </w:r>
            <w:r w:rsidRPr="00DF193A">
              <w:rPr>
                <w:lang w:val="zh-CN"/>
              </w:rPr>
              <w:t xml:space="preserve"> </w:t>
            </w:r>
            <w:r>
              <w:rPr>
                <w:lang w:val="zh-CN"/>
              </w:rPr>
              <w:t>465</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34</w:t>
            </w:r>
            <w:r w:rsidRPr="00DF193A">
              <w:rPr>
                <w:lang w:val="zh-CN"/>
              </w:rPr>
              <w:t xml:space="preserve">0 </w:t>
            </w:r>
            <w:r>
              <w:rPr>
                <w:lang w:val="zh-CN"/>
              </w:rPr>
              <w:t>629</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44</w:t>
            </w:r>
            <w:r w:rsidRPr="00DF193A">
              <w:rPr>
                <w:lang w:val="zh-CN"/>
              </w:rPr>
              <w:t xml:space="preserve"> </w:t>
            </w:r>
            <w:r>
              <w:rPr>
                <w:lang w:val="zh-CN"/>
              </w:rPr>
              <w:t>571</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227</w:t>
            </w:r>
            <w:r w:rsidRPr="00DF193A">
              <w:rPr>
                <w:lang w:val="zh-CN"/>
              </w:rPr>
              <w:t xml:space="preserve"> </w:t>
            </w:r>
            <w:r>
              <w:rPr>
                <w:lang w:val="zh-CN"/>
              </w:rPr>
              <w:t>2</w:t>
            </w:r>
            <w:r w:rsidRPr="00DF193A">
              <w:rPr>
                <w:lang w:val="zh-CN"/>
              </w:rPr>
              <w:t>0</w:t>
            </w:r>
            <w:r>
              <w:rPr>
                <w:lang w:val="zh-CN"/>
              </w:rPr>
              <w:t>5</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 xml:space="preserve">00 </w:t>
            </w:r>
            <w:r>
              <w:rPr>
                <w:lang w:val="zh-CN"/>
              </w:rPr>
              <w:t>197</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13</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727</w:t>
            </w:r>
            <w:r w:rsidRPr="00DF193A">
              <w:rPr>
                <w:lang w:val="zh-CN"/>
              </w:rPr>
              <w:t xml:space="preserve"> 0</w:t>
            </w:r>
            <w:r>
              <w:rPr>
                <w:lang w:val="zh-CN"/>
              </w:rPr>
              <w:t>77</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359</w:t>
            </w:r>
            <w:r w:rsidRPr="00DF193A">
              <w:rPr>
                <w:lang w:val="zh-CN"/>
              </w:rPr>
              <w:t xml:space="preserve"> </w:t>
            </w:r>
            <w:r>
              <w:rPr>
                <w:lang w:val="zh-CN"/>
              </w:rPr>
              <w:t>745</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45</w:t>
            </w:r>
            <w:r w:rsidRPr="00DF193A">
              <w:rPr>
                <w:lang w:val="zh-CN"/>
              </w:rPr>
              <w:t xml:space="preserve"> </w:t>
            </w:r>
            <w:r>
              <w:rPr>
                <w:lang w:val="zh-CN"/>
              </w:rPr>
              <w:t>947</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231</w:t>
            </w:r>
            <w:r w:rsidRPr="00DF193A">
              <w:rPr>
                <w:lang w:val="zh-CN"/>
              </w:rPr>
              <w:t xml:space="preserve"> </w:t>
            </w:r>
            <w:r>
              <w:rPr>
                <w:lang w:val="zh-CN"/>
              </w:rPr>
              <w:t>853</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0</w:t>
            </w:r>
            <w:r>
              <w:rPr>
                <w:lang w:val="zh-CN"/>
              </w:rPr>
              <w:t>6</w:t>
            </w:r>
            <w:r w:rsidRPr="00DF193A">
              <w:rPr>
                <w:lang w:val="zh-CN"/>
              </w:rPr>
              <w:t xml:space="preserve"> </w:t>
            </w:r>
            <w:r>
              <w:rPr>
                <w:lang w:val="zh-CN"/>
              </w:rPr>
              <w:t>487</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14</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737</w:t>
            </w:r>
            <w:r w:rsidRPr="00DF193A">
              <w:rPr>
                <w:lang w:val="zh-CN"/>
              </w:rPr>
              <w:t xml:space="preserve"> 0</w:t>
            </w:r>
            <w:r>
              <w:rPr>
                <w:lang w:val="zh-CN"/>
              </w:rPr>
              <w:t>45</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364</w:t>
            </w:r>
            <w:r w:rsidRPr="00DF193A">
              <w:rPr>
                <w:lang w:val="zh-CN"/>
              </w:rPr>
              <w:t xml:space="preserve"> </w:t>
            </w:r>
            <w:r>
              <w:rPr>
                <w:lang w:val="zh-CN"/>
              </w:rPr>
              <w:t>636</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45</w:t>
            </w:r>
            <w:r w:rsidRPr="00DF193A">
              <w:rPr>
                <w:lang w:val="zh-CN"/>
              </w:rPr>
              <w:t xml:space="preserve"> </w:t>
            </w:r>
            <w:r>
              <w:rPr>
                <w:lang w:val="zh-CN"/>
              </w:rPr>
              <w:t>8</w:t>
            </w:r>
            <w:r w:rsidRPr="00DF193A">
              <w:rPr>
                <w:lang w:val="zh-CN"/>
              </w:rPr>
              <w:t>0</w:t>
            </w:r>
            <w:r>
              <w:rPr>
                <w:lang w:val="zh-CN"/>
              </w:rPr>
              <w:t>6</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233</w:t>
            </w:r>
            <w:r w:rsidRPr="00DF193A">
              <w:rPr>
                <w:lang w:val="zh-CN"/>
              </w:rPr>
              <w:t xml:space="preserve"> </w:t>
            </w:r>
            <w:r>
              <w:rPr>
                <w:lang w:val="zh-CN"/>
              </w:rPr>
              <w:t>962</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0</w:t>
            </w:r>
            <w:r>
              <w:rPr>
                <w:lang w:val="zh-CN"/>
              </w:rPr>
              <w:t>5</w:t>
            </w:r>
            <w:r w:rsidRPr="00DF193A">
              <w:rPr>
                <w:lang w:val="zh-CN"/>
              </w:rPr>
              <w:t xml:space="preserve"> 0</w:t>
            </w:r>
            <w:r>
              <w:rPr>
                <w:lang w:val="zh-CN"/>
              </w:rPr>
              <w:t>62</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15</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738</w:t>
            </w:r>
            <w:r w:rsidRPr="00DF193A">
              <w:rPr>
                <w:lang w:val="zh-CN"/>
              </w:rPr>
              <w:t xml:space="preserve"> </w:t>
            </w:r>
            <w:r>
              <w:rPr>
                <w:lang w:val="zh-CN"/>
              </w:rPr>
              <w:t>832</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37</w:t>
            </w:r>
            <w:r w:rsidRPr="00DF193A">
              <w:rPr>
                <w:lang w:val="zh-CN"/>
              </w:rPr>
              <w:t xml:space="preserve">0 </w:t>
            </w:r>
            <w:r>
              <w:rPr>
                <w:lang w:val="zh-CN"/>
              </w:rPr>
              <w:t>9</w:t>
            </w:r>
            <w:r w:rsidRPr="00DF193A">
              <w:rPr>
                <w:lang w:val="zh-CN"/>
              </w:rPr>
              <w:t>0</w:t>
            </w:r>
            <w:r>
              <w:rPr>
                <w:lang w:val="zh-CN"/>
              </w:rPr>
              <w:t>5</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46</w:t>
            </w:r>
            <w:r w:rsidRPr="00DF193A">
              <w:rPr>
                <w:lang w:val="zh-CN"/>
              </w:rPr>
              <w:t xml:space="preserve"> 0</w:t>
            </w:r>
            <w:r>
              <w:rPr>
                <w:lang w:val="zh-CN"/>
              </w:rPr>
              <w:t>5</w:t>
            </w:r>
            <w:r w:rsidRPr="00DF193A">
              <w:rPr>
                <w:lang w:val="zh-CN"/>
              </w:rPr>
              <w:t>0 000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234</w:t>
            </w:r>
            <w:r w:rsidRPr="00DF193A">
              <w:rPr>
                <w:lang w:val="zh-CN"/>
              </w:rPr>
              <w:t xml:space="preserve"> </w:t>
            </w:r>
            <w:r>
              <w:rPr>
                <w:lang w:val="zh-CN"/>
              </w:rPr>
              <w:t>342</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0</w:t>
            </w:r>
            <w:r>
              <w:rPr>
                <w:lang w:val="zh-CN"/>
              </w:rPr>
              <w:t>2</w:t>
            </w:r>
            <w:r w:rsidRPr="00DF193A">
              <w:rPr>
                <w:lang w:val="zh-CN"/>
              </w:rPr>
              <w:t xml:space="preserve"> </w:t>
            </w:r>
            <w:r>
              <w:rPr>
                <w:lang w:val="zh-CN"/>
              </w:rPr>
              <w:t>634</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16</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75</w:t>
            </w:r>
            <w:r w:rsidRPr="00DF193A">
              <w:rPr>
                <w:lang w:val="zh-CN"/>
              </w:rPr>
              <w:t xml:space="preserve">0 </w:t>
            </w:r>
            <w:r>
              <w:rPr>
                <w:lang w:val="zh-CN"/>
              </w:rPr>
              <w:t>316</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4</w:t>
            </w:r>
            <w:r w:rsidRPr="00DF193A">
              <w:rPr>
                <w:lang w:val="zh-CN"/>
              </w:rPr>
              <w:t>0</w:t>
            </w:r>
            <w:r>
              <w:rPr>
                <w:lang w:val="zh-CN"/>
              </w:rPr>
              <w:t>5</w:t>
            </w:r>
            <w:r w:rsidRPr="00DF193A">
              <w:rPr>
                <w:lang w:val="zh-CN"/>
              </w:rPr>
              <w:t xml:space="preserve"> 0</w:t>
            </w:r>
            <w:r>
              <w:rPr>
                <w:lang w:val="zh-CN"/>
              </w:rPr>
              <w:t>91</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46</w:t>
            </w:r>
            <w:r w:rsidRPr="00DF193A">
              <w:rPr>
                <w:lang w:val="zh-CN"/>
              </w:rPr>
              <w:t xml:space="preserve"> </w:t>
            </w:r>
            <w:r>
              <w:rPr>
                <w:lang w:val="zh-CN"/>
              </w:rPr>
              <w:t>992</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216</w:t>
            </w:r>
            <w:r w:rsidRPr="00DF193A">
              <w:rPr>
                <w:lang w:val="zh-CN"/>
              </w:rPr>
              <w:t xml:space="preserve"> </w:t>
            </w:r>
            <w:r>
              <w:rPr>
                <w:lang w:val="zh-CN"/>
              </w:rPr>
              <w:t>826</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0</w:t>
            </w:r>
            <w:r>
              <w:rPr>
                <w:lang w:val="zh-CN"/>
              </w:rPr>
              <w:t>4</w:t>
            </w:r>
            <w:r w:rsidRPr="00DF193A">
              <w:rPr>
                <w:lang w:val="zh-CN"/>
              </w:rPr>
              <w:t xml:space="preserve"> </w:t>
            </w:r>
            <w:r>
              <w:rPr>
                <w:lang w:val="zh-CN"/>
              </w:rPr>
              <w:t>238</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17</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735</w:t>
            </w:r>
            <w:r w:rsidRPr="00DF193A">
              <w:rPr>
                <w:lang w:val="zh-CN"/>
              </w:rPr>
              <w:t xml:space="preserve"> </w:t>
            </w:r>
            <w:r>
              <w:rPr>
                <w:lang w:val="zh-CN"/>
              </w:rPr>
              <w:t>235</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416</w:t>
            </w:r>
            <w:r w:rsidRPr="00DF193A">
              <w:rPr>
                <w:lang w:val="zh-CN"/>
              </w:rPr>
              <w:t xml:space="preserve"> </w:t>
            </w:r>
            <w:r>
              <w:rPr>
                <w:lang w:val="zh-CN"/>
              </w:rPr>
              <w:t>8</w:t>
            </w:r>
            <w:r w:rsidRPr="00DF193A">
              <w:rPr>
                <w:lang w:val="zh-CN"/>
              </w:rPr>
              <w:t>0</w:t>
            </w:r>
            <w:r>
              <w:rPr>
                <w:lang w:val="zh-CN"/>
              </w:rPr>
              <w:t>3</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44</w:t>
            </w:r>
            <w:r w:rsidRPr="00DF193A">
              <w:rPr>
                <w:lang w:val="zh-CN"/>
              </w:rPr>
              <w:t xml:space="preserve"> </w:t>
            </w:r>
            <w:r>
              <w:rPr>
                <w:lang w:val="zh-CN"/>
              </w:rPr>
              <w:t>758</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215</w:t>
            </w:r>
            <w:r w:rsidRPr="00DF193A">
              <w:rPr>
                <w:lang w:val="zh-CN"/>
              </w:rPr>
              <w:t xml:space="preserve"> </w:t>
            </w:r>
            <w:r>
              <w:rPr>
                <w:lang w:val="zh-CN"/>
              </w:rPr>
              <w:t>729</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0</w:t>
            </w:r>
            <w:r>
              <w:rPr>
                <w:lang w:val="zh-CN"/>
              </w:rPr>
              <w:t>3</w:t>
            </w:r>
            <w:r w:rsidRPr="00DF193A">
              <w:rPr>
                <w:lang w:val="zh-CN"/>
              </w:rPr>
              <w:t xml:space="preserve"> </w:t>
            </w:r>
            <w:r>
              <w:rPr>
                <w:lang w:val="zh-CN"/>
              </w:rPr>
              <w:t>383</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18</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76</w:t>
            </w:r>
            <w:r w:rsidRPr="00DF193A">
              <w:rPr>
                <w:lang w:val="zh-CN"/>
              </w:rPr>
              <w:t xml:space="preserve">0 </w:t>
            </w:r>
            <w:r>
              <w:rPr>
                <w:lang w:val="zh-CN"/>
              </w:rPr>
              <w:t>991</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413</w:t>
            </w:r>
            <w:r w:rsidRPr="00DF193A">
              <w:rPr>
                <w:lang w:val="zh-CN"/>
              </w:rPr>
              <w:t xml:space="preserve"> </w:t>
            </w:r>
            <w:r>
              <w:rPr>
                <w:lang w:val="zh-CN"/>
              </w:rPr>
              <w:t>4</w:t>
            </w:r>
            <w:r w:rsidRPr="00DF193A">
              <w:rPr>
                <w:lang w:val="zh-CN"/>
              </w:rPr>
              <w:t>0</w:t>
            </w:r>
            <w:r>
              <w:rPr>
                <w:lang w:val="zh-CN"/>
              </w:rPr>
              <w:t>9</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44</w:t>
            </w:r>
            <w:r w:rsidRPr="00DF193A">
              <w:rPr>
                <w:lang w:val="zh-CN"/>
              </w:rPr>
              <w:t xml:space="preserve"> </w:t>
            </w:r>
            <w:r>
              <w:rPr>
                <w:lang w:val="zh-CN"/>
              </w:rPr>
              <w:t>2</w:t>
            </w:r>
            <w:r w:rsidRPr="00DF193A">
              <w:rPr>
                <w:lang w:val="zh-CN"/>
              </w:rPr>
              <w:t>0</w:t>
            </w:r>
            <w:r>
              <w:rPr>
                <w:lang w:val="zh-CN"/>
              </w:rPr>
              <w:t>5</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214</w:t>
            </w:r>
            <w:r w:rsidRPr="00DF193A">
              <w:rPr>
                <w:lang w:val="zh-CN"/>
              </w:rPr>
              <w:t xml:space="preserve"> </w:t>
            </w:r>
            <w:r>
              <w:rPr>
                <w:lang w:val="zh-CN"/>
              </w:rPr>
              <w:t>7</w:t>
            </w:r>
            <w:r w:rsidRPr="00DF193A">
              <w:rPr>
                <w:lang w:val="zh-CN"/>
              </w:rPr>
              <w:t>0</w:t>
            </w:r>
            <w:r>
              <w:rPr>
                <w:lang w:val="zh-CN"/>
              </w:rPr>
              <w:t>9</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 xml:space="preserve">00 </w:t>
            </w:r>
            <w:r>
              <w:rPr>
                <w:lang w:val="zh-CN"/>
              </w:rPr>
              <w:t>522</w:t>
            </w:r>
            <w:r w:rsidRPr="00DF193A">
              <w:rPr>
                <w:lang w:val="zh-CN"/>
              </w:rPr>
              <w:t xml:space="preserve"> 000</w:t>
            </w:r>
          </w:p>
        </w:tc>
      </w:tr>
      <w:tr w:rsidR="006A2BA4" w:rsidRPr="00DF193A" w:rsidTr="00B35CBF">
        <w:tc>
          <w:tcPr>
            <w:tcW w:w="709" w:type="dxa"/>
            <w:shd w:val="clear" w:color="auto" w:fill="auto"/>
            <w:hideMark/>
          </w:tcPr>
          <w:p w:rsidR="006A2BA4" w:rsidRPr="00DF193A" w:rsidRDefault="006A2BA4" w:rsidP="00B35CBF">
            <w:pPr>
              <w:pStyle w:val="a3"/>
              <w:overflowPunct/>
              <w:ind w:right="0"/>
              <w:jc w:val="left"/>
              <w:rPr>
                <w:szCs w:val="24"/>
              </w:rPr>
            </w:pPr>
            <w:r>
              <w:rPr>
                <w:lang w:val="zh-CN"/>
              </w:rPr>
              <w:t>2</w:t>
            </w:r>
            <w:r w:rsidRPr="00DF193A">
              <w:rPr>
                <w:lang w:val="zh-CN"/>
              </w:rPr>
              <w:t>0</w:t>
            </w:r>
            <w:r>
              <w:rPr>
                <w:lang w:val="zh-CN"/>
              </w:rPr>
              <w:t>19</w:t>
            </w:r>
          </w:p>
        </w:tc>
        <w:tc>
          <w:tcPr>
            <w:tcW w:w="1134" w:type="dxa"/>
            <w:shd w:val="clear" w:color="auto" w:fill="auto"/>
            <w:vAlign w:val="bottom"/>
            <w:hideMark/>
          </w:tcPr>
          <w:p w:rsidR="006A2BA4" w:rsidRPr="00DF193A" w:rsidRDefault="006A2BA4" w:rsidP="00B35CBF">
            <w:pPr>
              <w:pStyle w:val="a3"/>
              <w:overflowPunct/>
              <w:ind w:right="0"/>
              <w:jc w:val="right"/>
              <w:rPr>
                <w:szCs w:val="24"/>
              </w:rPr>
            </w:pPr>
            <w:r>
              <w:rPr>
                <w:lang w:val="zh-CN"/>
              </w:rPr>
              <w:t>797</w:t>
            </w:r>
            <w:r w:rsidRPr="00DF193A">
              <w:rPr>
                <w:lang w:val="zh-CN"/>
              </w:rPr>
              <w:t xml:space="preserve"> </w:t>
            </w:r>
            <w:r>
              <w:rPr>
                <w:lang w:val="zh-CN"/>
              </w:rPr>
              <w:t>965</w:t>
            </w:r>
            <w:r w:rsidRPr="00DF193A">
              <w:rPr>
                <w:lang w:val="zh-CN"/>
              </w:rPr>
              <w:t xml:space="preserve"> 000</w:t>
            </w:r>
          </w:p>
        </w:tc>
        <w:tc>
          <w:tcPr>
            <w:tcW w:w="1381" w:type="dxa"/>
            <w:shd w:val="clear" w:color="auto" w:fill="auto"/>
            <w:vAlign w:val="bottom"/>
            <w:hideMark/>
          </w:tcPr>
          <w:p w:rsidR="006A2BA4" w:rsidRPr="00DF193A" w:rsidRDefault="006A2BA4" w:rsidP="00B35CBF">
            <w:pPr>
              <w:pStyle w:val="a3"/>
              <w:overflowPunct/>
              <w:ind w:right="0"/>
              <w:jc w:val="right"/>
              <w:rPr>
                <w:szCs w:val="24"/>
              </w:rPr>
            </w:pPr>
            <w:r>
              <w:rPr>
                <w:lang w:val="zh-CN"/>
              </w:rPr>
              <w:t>419</w:t>
            </w:r>
            <w:r w:rsidRPr="00DF193A">
              <w:rPr>
                <w:lang w:val="zh-CN"/>
              </w:rPr>
              <w:t xml:space="preserve"> </w:t>
            </w:r>
            <w:r>
              <w:rPr>
                <w:lang w:val="zh-CN"/>
              </w:rPr>
              <w:t>249</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45</w:t>
            </w:r>
            <w:r w:rsidRPr="00DF193A">
              <w:rPr>
                <w:lang w:val="zh-CN"/>
              </w:rPr>
              <w:t xml:space="preserve"> </w:t>
            </w:r>
            <w:r>
              <w:rPr>
                <w:lang w:val="zh-CN"/>
              </w:rPr>
              <w:t>761</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221</w:t>
            </w:r>
            <w:r w:rsidRPr="00DF193A">
              <w:rPr>
                <w:lang w:val="zh-CN"/>
              </w:rPr>
              <w:t xml:space="preserve"> </w:t>
            </w:r>
            <w:r>
              <w:rPr>
                <w:lang w:val="zh-CN"/>
              </w:rPr>
              <w:t>199</w:t>
            </w:r>
            <w:r w:rsidRPr="00DF193A">
              <w:rPr>
                <w:lang w:val="zh-CN"/>
              </w:rPr>
              <w:t xml:space="preserve"> 000</w:t>
            </w:r>
          </w:p>
        </w:tc>
        <w:tc>
          <w:tcPr>
            <w:tcW w:w="1382" w:type="dxa"/>
            <w:shd w:val="clear" w:color="auto" w:fill="auto"/>
            <w:vAlign w:val="bottom"/>
            <w:hideMark/>
          </w:tcPr>
          <w:p w:rsidR="006A2BA4" w:rsidRPr="00DF193A" w:rsidRDefault="006A2BA4" w:rsidP="00B35CBF">
            <w:pPr>
              <w:pStyle w:val="a3"/>
              <w:overflowPunct/>
              <w:ind w:right="0"/>
              <w:jc w:val="right"/>
              <w:rPr>
                <w:szCs w:val="24"/>
              </w:rPr>
            </w:pPr>
            <w:r>
              <w:rPr>
                <w:lang w:val="zh-CN"/>
              </w:rPr>
              <w:t>1</w:t>
            </w:r>
            <w:r w:rsidRPr="00DF193A">
              <w:rPr>
                <w:lang w:val="zh-CN"/>
              </w:rPr>
              <w:t>0</w:t>
            </w:r>
            <w:r>
              <w:rPr>
                <w:lang w:val="zh-CN"/>
              </w:rPr>
              <w:t>1</w:t>
            </w:r>
            <w:r w:rsidRPr="00DF193A">
              <w:rPr>
                <w:lang w:val="zh-CN"/>
              </w:rPr>
              <w:t xml:space="preserve"> </w:t>
            </w:r>
            <w:r>
              <w:rPr>
                <w:lang w:val="zh-CN"/>
              </w:rPr>
              <w:t>69</w:t>
            </w:r>
            <w:r w:rsidRPr="00DF193A">
              <w:rPr>
                <w:lang w:val="zh-CN"/>
              </w:rPr>
              <w:t>0 000</w:t>
            </w:r>
          </w:p>
        </w:tc>
      </w:tr>
    </w:tbl>
    <w:p w:rsidR="006A2BA4" w:rsidRPr="00613913" w:rsidRDefault="006A2BA4" w:rsidP="006A2BA4">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6A2BA4">
        <w:rPr>
          <w:rFonts w:hint="eastAsia"/>
        </w:rPr>
        <w:t>2011-2019</w:t>
      </w:r>
      <w:r w:rsidRPr="006A2BA4">
        <w:rPr>
          <w:rFonts w:hint="eastAsia"/>
        </w:rPr>
        <w:t>年芬兰预算提案。</w:t>
      </w:r>
    </w:p>
    <w:p w:rsidR="006A2BA4" w:rsidRPr="006A2BA4" w:rsidRDefault="006A2BA4" w:rsidP="006A2BA4">
      <w:pPr>
        <w:pStyle w:val="H23GC"/>
        <w:rPr>
          <w:lang w:val="en-GB"/>
        </w:rPr>
      </w:pPr>
      <w:r w:rsidRPr="006A2BA4">
        <w:rPr>
          <w:rFonts w:hint="eastAsia"/>
          <w:lang w:val="en-GB"/>
        </w:rPr>
        <w:tab/>
        <w:t>(r)</w:t>
      </w:r>
      <w:r w:rsidRPr="006A2BA4">
        <w:rPr>
          <w:rFonts w:hint="eastAsia"/>
          <w:lang w:val="en-GB"/>
        </w:rPr>
        <w:tab/>
      </w:r>
      <w:r w:rsidRPr="006A2BA4">
        <w:rPr>
          <w:rFonts w:hint="eastAsia"/>
          <w:lang w:val="en-GB"/>
        </w:rPr>
        <w:t>犯罪</w:t>
      </w:r>
    </w:p>
    <w:p w:rsidR="006A2BA4" w:rsidRPr="006A2BA4" w:rsidRDefault="006A2BA4" w:rsidP="006A2BA4">
      <w:pPr>
        <w:pStyle w:val="H23GC"/>
        <w:rPr>
          <w:lang w:val="en-GB"/>
        </w:rPr>
      </w:pPr>
      <w:r w:rsidRPr="006A2BA4">
        <w:rPr>
          <w:rFonts w:hint="eastAsia"/>
          <w:lang w:val="en-GB"/>
        </w:rPr>
        <w:tab/>
      </w:r>
      <w:r w:rsidRPr="006A2BA4">
        <w:rPr>
          <w:rFonts w:hint="eastAsia"/>
          <w:lang w:val="en-GB"/>
        </w:rPr>
        <w:tab/>
      </w:r>
      <w:r w:rsidRPr="006A2BA4">
        <w:rPr>
          <w:rFonts w:hint="eastAsia"/>
          <w:lang w:val="en-GB"/>
        </w:rPr>
        <w:t>犯罪类型的趋势</w:t>
      </w:r>
    </w:p>
    <w:p w:rsidR="006A2BA4" w:rsidRPr="006A2BA4" w:rsidRDefault="006A2BA4" w:rsidP="00585E98">
      <w:pPr>
        <w:pStyle w:val="SingleTxtGC"/>
        <w:tabs>
          <w:tab w:val="clear" w:pos="1565"/>
          <w:tab w:val="clear" w:pos="1996"/>
          <w:tab w:val="clear" w:pos="2427"/>
        </w:tabs>
        <w:rPr>
          <w:lang w:val="en-GB"/>
        </w:rPr>
      </w:pPr>
      <w:r w:rsidRPr="006A2BA4">
        <w:rPr>
          <w:rFonts w:hint="eastAsia"/>
          <w:lang w:val="en-GB"/>
        </w:rPr>
        <w:t>213.</w:t>
      </w:r>
      <w:r w:rsidRPr="006A2BA4">
        <w:rPr>
          <w:rFonts w:hint="eastAsia"/>
          <w:lang w:val="en-GB"/>
        </w:rPr>
        <w:tab/>
        <w:t>1889</w:t>
      </w:r>
      <w:r w:rsidRPr="006A2BA4">
        <w:rPr>
          <w:rFonts w:hint="eastAsia"/>
          <w:lang w:val="en-GB"/>
        </w:rPr>
        <w:t>年，芬兰首次颁布《刑法典》</w:t>
      </w:r>
      <w:r w:rsidRPr="006A2BA4">
        <w:rPr>
          <w:rFonts w:hint="eastAsia"/>
          <w:lang w:val="en-GB"/>
        </w:rPr>
        <w:t>(39/1889)</w:t>
      </w:r>
      <w:r w:rsidRPr="006A2BA4">
        <w:rPr>
          <w:rFonts w:hint="eastAsia"/>
          <w:lang w:val="en-GB"/>
        </w:rPr>
        <w:t>。尽管随着时间的推移犯罪形式不断演变，但相对于人口而言，犯罪总数基本保持不变。</w:t>
      </w:r>
    </w:p>
    <w:p w:rsidR="006A2BA4" w:rsidRPr="006A2BA4" w:rsidRDefault="006A2BA4" w:rsidP="00585E98">
      <w:pPr>
        <w:pStyle w:val="H23GC"/>
        <w:rPr>
          <w:lang w:val="en-GB"/>
        </w:rPr>
      </w:pPr>
      <w:r w:rsidRPr="006A2BA4">
        <w:rPr>
          <w:rFonts w:hint="eastAsia"/>
          <w:lang w:val="en-GB"/>
        </w:rPr>
        <w:tab/>
      </w:r>
      <w:r w:rsidRPr="006A2BA4">
        <w:rPr>
          <w:rFonts w:hint="eastAsia"/>
          <w:lang w:val="en-GB"/>
        </w:rPr>
        <w:tab/>
      </w:r>
      <w:r w:rsidRPr="006A2BA4">
        <w:rPr>
          <w:rFonts w:hint="eastAsia"/>
          <w:lang w:val="en-GB"/>
        </w:rPr>
        <w:t>强制性措施</w:t>
      </w:r>
    </w:p>
    <w:p w:rsidR="006A2BA4" w:rsidRPr="006A2BA4" w:rsidRDefault="006A2BA4" w:rsidP="00585E98">
      <w:pPr>
        <w:pStyle w:val="SingleTxtGC"/>
        <w:tabs>
          <w:tab w:val="clear" w:pos="1565"/>
          <w:tab w:val="clear" w:pos="1996"/>
          <w:tab w:val="clear" w:pos="2427"/>
        </w:tabs>
        <w:rPr>
          <w:lang w:val="en-GB"/>
        </w:rPr>
      </w:pPr>
      <w:r w:rsidRPr="006A2BA4">
        <w:rPr>
          <w:rFonts w:hint="eastAsia"/>
          <w:lang w:val="en-GB"/>
        </w:rPr>
        <w:t>214.</w:t>
      </w:r>
      <w:r w:rsidRPr="006A2BA4">
        <w:rPr>
          <w:rFonts w:hint="eastAsia"/>
          <w:lang w:val="en-GB"/>
        </w:rPr>
        <w:tab/>
      </w:r>
      <w:r w:rsidRPr="006A2BA4">
        <w:rPr>
          <w:rFonts w:hint="eastAsia"/>
          <w:lang w:val="en-GB"/>
        </w:rPr>
        <w:t>在芬兰，警察、海关和边防卫队采取的任何强制性措施都必须始终以法律为基础。强制性措施是指拘押、逮捕和实施旅行禁令等。可以而且必须只有在与所寻求目标相称、而且没有其他侵入性较小的措施可用的情况下才能使用强制性措施。在使用强制性措施时，必须避免吸引过度的关注，其他方面也必须谨慎。下表显示了</w:t>
      </w:r>
      <w:r w:rsidRPr="006A2BA4">
        <w:rPr>
          <w:rFonts w:hint="eastAsia"/>
          <w:lang w:val="en-GB"/>
        </w:rPr>
        <w:t>2013-2018</w:t>
      </w:r>
      <w:r w:rsidRPr="006A2BA4">
        <w:rPr>
          <w:rFonts w:hint="eastAsia"/>
          <w:lang w:val="en-GB"/>
        </w:rPr>
        <w:t>年芬兰使用强制性措施的情况。</w:t>
      </w:r>
    </w:p>
    <w:p w:rsidR="00330614" w:rsidRPr="00585E98" w:rsidRDefault="006A2BA4" w:rsidP="00585E98">
      <w:pPr>
        <w:pStyle w:val="SingleTxtGC"/>
        <w:rPr>
          <w:rFonts w:ascii="Time New Roman" w:eastAsia="黑体" w:hAnsi="Time New Roman" w:hint="eastAsia"/>
          <w:lang w:val="en-GB"/>
        </w:rPr>
      </w:pPr>
      <w:r w:rsidRPr="006A2BA4">
        <w:rPr>
          <w:rFonts w:hint="eastAsia"/>
          <w:lang w:val="en-GB"/>
        </w:rPr>
        <w:t>表</w:t>
      </w:r>
      <w:r w:rsidRPr="006A2BA4">
        <w:rPr>
          <w:rFonts w:hint="eastAsia"/>
          <w:lang w:val="en-GB"/>
        </w:rPr>
        <w:t>15.</w:t>
      </w:r>
      <w:r w:rsidR="00585E98">
        <w:rPr>
          <w:lang w:val="en-GB"/>
        </w:rPr>
        <w:br/>
      </w:r>
      <w:r w:rsidRPr="00585E98">
        <w:rPr>
          <w:rFonts w:ascii="Time New Roman" w:eastAsia="黑体" w:hAnsi="Time New Roman" w:hint="eastAsia"/>
          <w:lang w:val="en-GB"/>
        </w:rPr>
        <w:t>2013-2018</w:t>
      </w:r>
      <w:r w:rsidRPr="00585E98">
        <w:rPr>
          <w:rFonts w:ascii="Time New Roman" w:eastAsia="黑体" w:hAnsi="Time New Roman" w:hint="eastAsia"/>
          <w:lang w:val="en-GB"/>
        </w:rPr>
        <w:t>年强制性措施的使用</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2449E1" w:rsidRPr="00DF193A" w:rsidTr="007A0F5D">
        <w:trPr>
          <w:tblHeader/>
        </w:trPr>
        <w:tc>
          <w:tcPr>
            <w:tcW w:w="1985"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left"/>
              <w:rPr>
                <w:bCs/>
                <w:sz w:val="16"/>
                <w:szCs w:val="24"/>
              </w:rPr>
            </w:pPr>
            <w:r w:rsidRPr="00DF193A">
              <w:rPr>
                <w:lang w:val="zh-CN"/>
              </w:rPr>
              <w:t>类别</w:t>
            </w:r>
            <w:r>
              <w:rPr>
                <w:lang w:val="zh-CN"/>
              </w:rPr>
              <w:t>/</w:t>
            </w:r>
            <w:r w:rsidRPr="00DF193A">
              <w:rPr>
                <w:lang w:val="zh-CN"/>
              </w:rPr>
              <w:t>年份</w:t>
            </w:r>
          </w:p>
        </w:tc>
        <w:tc>
          <w:tcPr>
            <w:tcW w:w="897"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right"/>
              <w:rPr>
                <w:bCs/>
                <w:sz w:val="16"/>
                <w:szCs w:val="24"/>
              </w:rPr>
            </w:pPr>
            <w:r>
              <w:rPr>
                <w:lang w:val="zh-CN"/>
              </w:rPr>
              <w:t>2</w:t>
            </w:r>
            <w:r w:rsidRPr="00DF193A">
              <w:rPr>
                <w:lang w:val="zh-CN"/>
              </w:rPr>
              <w:t>0</w:t>
            </w:r>
            <w:r>
              <w:rPr>
                <w:lang w:val="zh-CN"/>
              </w:rPr>
              <w:t>13</w:t>
            </w:r>
          </w:p>
        </w:tc>
        <w:tc>
          <w:tcPr>
            <w:tcW w:w="898"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right"/>
              <w:rPr>
                <w:bCs/>
                <w:sz w:val="16"/>
                <w:szCs w:val="24"/>
              </w:rPr>
            </w:pPr>
            <w:r>
              <w:rPr>
                <w:lang w:val="zh-CN"/>
              </w:rPr>
              <w:t>2</w:t>
            </w:r>
            <w:r w:rsidRPr="00DF193A">
              <w:rPr>
                <w:lang w:val="zh-CN"/>
              </w:rPr>
              <w:t>0</w:t>
            </w:r>
            <w:r>
              <w:rPr>
                <w:lang w:val="zh-CN"/>
              </w:rPr>
              <w:t>14</w:t>
            </w:r>
          </w:p>
        </w:tc>
        <w:tc>
          <w:tcPr>
            <w:tcW w:w="897"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right"/>
              <w:rPr>
                <w:bCs/>
                <w:sz w:val="16"/>
                <w:szCs w:val="24"/>
              </w:rPr>
            </w:pPr>
            <w:r>
              <w:rPr>
                <w:lang w:val="zh-CN"/>
              </w:rPr>
              <w:t>2</w:t>
            </w:r>
            <w:r w:rsidRPr="00DF193A">
              <w:rPr>
                <w:lang w:val="zh-CN"/>
              </w:rPr>
              <w:t>0</w:t>
            </w:r>
            <w:r>
              <w:rPr>
                <w:lang w:val="zh-CN"/>
              </w:rPr>
              <w:t>15</w:t>
            </w:r>
          </w:p>
        </w:tc>
        <w:tc>
          <w:tcPr>
            <w:tcW w:w="898"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right"/>
              <w:rPr>
                <w:bCs/>
                <w:sz w:val="16"/>
                <w:szCs w:val="24"/>
              </w:rPr>
            </w:pPr>
            <w:r>
              <w:rPr>
                <w:lang w:val="zh-CN"/>
              </w:rPr>
              <w:t>2</w:t>
            </w:r>
            <w:r w:rsidRPr="00DF193A">
              <w:rPr>
                <w:lang w:val="zh-CN"/>
              </w:rPr>
              <w:t>0</w:t>
            </w:r>
            <w:r>
              <w:rPr>
                <w:lang w:val="zh-CN"/>
              </w:rPr>
              <w:t>16</w:t>
            </w:r>
          </w:p>
        </w:tc>
        <w:tc>
          <w:tcPr>
            <w:tcW w:w="897"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right"/>
              <w:rPr>
                <w:bCs/>
                <w:sz w:val="16"/>
                <w:szCs w:val="24"/>
              </w:rPr>
            </w:pPr>
            <w:r>
              <w:rPr>
                <w:lang w:val="zh-CN"/>
              </w:rPr>
              <w:t>2</w:t>
            </w:r>
            <w:r w:rsidRPr="00DF193A">
              <w:rPr>
                <w:lang w:val="zh-CN"/>
              </w:rPr>
              <w:t>0</w:t>
            </w:r>
            <w:r>
              <w:rPr>
                <w:lang w:val="zh-CN"/>
              </w:rPr>
              <w:t>17</w:t>
            </w:r>
          </w:p>
        </w:tc>
        <w:tc>
          <w:tcPr>
            <w:tcW w:w="898" w:type="dxa"/>
            <w:tcBorders>
              <w:top w:val="single" w:sz="4" w:space="0" w:color="auto"/>
              <w:bottom w:val="single" w:sz="12" w:space="0" w:color="auto"/>
            </w:tcBorders>
            <w:shd w:val="clear" w:color="auto" w:fill="auto"/>
            <w:vAlign w:val="bottom"/>
            <w:hideMark/>
          </w:tcPr>
          <w:p w:rsidR="002449E1" w:rsidRPr="00DF193A" w:rsidRDefault="002449E1" w:rsidP="00B35CBF">
            <w:pPr>
              <w:pStyle w:val="a4"/>
              <w:ind w:right="0"/>
              <w:jc w:val="right"/>
              <w:rPr>
                <w:bCs/>
                <w:sz w:val="16"/>
                <w:szCs w:val="24"/>
              </w:rPr>
            </w:pPr>
            <w:r>
              <w:rPr>
                <w:lang w:val="zh-CN"/>
              </w:rPr>
              <w:t>2</w:t>
            </w:r>
            <w:r w:rsidRPr="00DF193A">
              <w:rPr>
                <w:lang w:val="zh-CN"/>
              </w:rPr>
              <w:t>0</w:t>
            </w:r>
            <w:r>
              <w:rPr>
                <w:lang w:val="zh-CN"/>
              </w:rPr>
              <w:t>18</w:t>
            </w:r>
          </w:p>
        </w:tc>
      </w:tr>
      <w:tr w:rsidR="002449E1" w:rsidRPr="00DF193A" w:rsidTr="007A0F5D">
        <w:tc>
          <w:tcPr>
            <w:tcW w:w="1985" w:type="dxa"/>
            <w:tcBorders>
              <w:top w:val="single" w:sz="12" w:space="0" w:color="auto"/>
            </w:tcBorders>
            <w:shd w:val="clear" w:color="auto" w:fill="auto"/>
            <w:hideMark/>
          </w:tcPr>
          <w:p w:rsidR="002449E1" w:rsidRPr="00DF193A" w:rsidRDefault="002449E1" w:rsidP="00B35CBF">
            <w:pPr>
              <w:pStyle w:val="a3"/>
              <w:overflowPunct/>
              <w:ind w:right="0"/>
              <w:jc w:val="left"/>
              <w:rPr>
                <w:szCs w:val="24"/>
              </w:rPr>
            </w:pPr>
            <w:r w:rsidRPr="00DF193A">
              <w:rPr>
                <w:lang w:val="zh-CN"/>
              </w:rPr>
              <w:t>强制性措施</w:t>
            </w:r>
          </w:p>
        </w:tc>
        <w:tc>
          <w:tcPr>
            <w:tcW w:w="897" w:type="dxa"/>
            <w:tcBorders>
              <w:top w:val="single" w:sz="12" w:space="0" w:color="auto"/>
            </w:tcBorders>
            <w:shd w:val="clear" w:color="auto" w:fill="auto"/>
            <w:vAlign w:val="bottom"/>
            <w:hideMark/>
          </w:tcPr>
          <w:p w:rsidR="002449E1" w:rsidRPr="00DF193A" w:rsidRDefault="002449E1" w:rsidP="00B35CBF">
            <w:pPr>
              <w:pStyle w:val="a3"/>
              <w:overflowPunct/>
              <w:ind w:right="0"/>
              <w:jc w:val="right"/>
              <w:rPr>
                <w:szCs w:val="24"/>
              </w:rPr>
            </w:pPr>
            <w:r>
              <w:rPr>
                <w:lang w:val="zh-CN"/>
              </w:rPr>
              <w:t>21</w:t>
            </w:r>
            <w:r w:rsidRPr="00DF193A">
              <w:rPr>
                <w:lang w:val="zh-CN"/>
              </w:rPr>
              <w:t xml:space="preserve">0 </w:t>
            </w:r>
            <w:r>
              <w:rPr>
                <w:lang w:val="zh-CN"/>
              </w:rPr>
              <w:t>3</w:t>
            </w:r>
            <w:r w:rsidRPr="00DF193A">
              <w:rPr>
                <w:lang w:val="zh-CN"/>
              </w:rPr>
              <w:t>0</w:t>
            </w:r>
            <w:r>
              <w:rPr>
                <w:lang w:val="zh-CN"/>
              </w:rPr>
              <w:t>2</w:t>
            </w:r>
          </w:p>
        </w:tc>
        <w:tc>
          <w:tcPr>
            <w:tcW w:w="898" w:type="dxa"/>
            <w:tcBorders>
              <w:top w:val="single" w:sz="12" w:space="0" w:color="auto"/>
            </w:tcBorders>
            <w:shd w:val="clear" w:color="auto" w:fill="auto"/>
            <w:vAlign w:val="bottom"/>
            <w:hideMark/>
          </w:tcPr>
          <w:p w:rsidR="002449E1" w:rsidRPr="00DF193A" w:rsidRDefault="002449E1" w:rsidP="00B35CBF">
            <w:pPr>
              <w:pStyle w:val="a3"/>
              <w:overflowPunct/>
              <w:ind w:right="0"/>
              <w:jc w:val="right"/>
              <w:rPr>
                <w:szCs w:val="24"/>
              </w:rPr>
            </w:pPr>
            <w:r>
              <w:rPr>
                <w:lang w:val="zh-CN"/>
              </w:rPr>
              <w:t>196</w:t>
            </w:r>
            <w:r w:rsidRPr="00DF193A">
              <w:rPr>
                <w:lang w:val="zh-CN"/>
              </w:rPr>
              <w:t xml:space="preserve"> </w:t>
            </w:r>
            <w:r>
              <w:rPr>
                <w:lang w:val="zh-CN"/>
              </w:rPr>
              <w:t>748</w:t>
            </w:r>
          </w:p>
        </w:tc>
        <w:tc>
          <w:tcPr>
            <w:tcW w:w="897" w:type="dxa"/>
            <w:tcBorders>
              <w:top w:val="single" w:sz="12" w:space="0" w:color="auto"/>
            </w:tcBorders>
            <w:shd w:val="clear" w:color="auto" w:fill="auto"/>
            <w:vAlign w:val="bottom"/>
            <w:hideMark/>
          </w:tcPr>
          <w:p w:rsidR="002449E1" w:rsidRPr="00DF193A" w:rsidRDefault="002449E1" w:rsidP="00B35CBF">
            <w:pPr>
              <w:pStyle w:val="a3"/>
              <w:overflowPunct/>
              <w:ind w:right="0"/>
              <w:jc w:val="right"/>
              <w:rPr>
                <w:szCs w:val="24"/>
              </w:rPr>
            </w:pPr>
            <w:r>
              <w:rPr>
                <w:lang w:val="zh-CN"/>
              </w:rPr>
              <w:t>197</w:t>
            </w:r>
            <w:r w:rsidRPr="00DF193A">
              <w:rPr>
                <w:lang w:val="zh-CN"/>
              </w:rPr>
              <w:t xml:space="preserve"> </w:t>
            </w:r>
            <w:r>
              <w:rPr>
                <w:lang w:val="zh-CN"/>
              </w:rPr>
              <w:t>191</w:t>
            </w:r>
          </w:p>
        </w:tc>
        <w:tc>
          <w:tcPr>
            <w:tcW w:w="898" w:type="dxa"/>
            <w:tcBorders>
              <w:top w:val="single" w:sz="12" w:space="0" w:color="auto"/>
            </w:tcBorders>
            <w:shd w:val="clear" w:color="auto" w:fill="auto"/>
            <w:vAlign w:val="bottom"/>
            <w:hideMark/>
          </w:tcPr>
          <w:p w:rsidR="002449E1" w:rsidRPr="00DF193A" w:rsidRDefault="002449E1" w:rsidP="00B35CBF">
            <w:pPr>
              <w:pStyle w:val="a3"/>
              <w:overflowPunct/>
              <w:ind w:right="0"/>
              <w:jc w:val="right"/>
              <w:rPr>
                <w:szCs w:val="24"/>
              </w:rPr>
            </w:pPr>
            <w:r>
              <w:rPr>
                <w:lang w:val="zh-CN"/>
              </w:rPr>
              <w:t>197</w:t>
            </w:r>
            <w:r w:rsidRPr="00DF193A">
              <w:rPr>
                <w:lang w:val="zh-CN"/>
              </w:rPr>
              <w:t xml:space="preserve"> </w:t>
            </w:r>
            <w:r>
              <w:rPr>
                <w:lang w:val="zh-CN"/>
              </w:rPr>
              <w:t>451</w:t>
            </w:r>
          </w:p>
        </w:tc>
        <w:tc>
          <w:tcPr>
            <w:tcW w:w="897" w:type="dxa"/>
            <w:tcBorders>
              <w:top w:val="single" w:sz="12" w:space="0" w:color="auto"/>
            </w:tcBorders>
            <w:shd w:val="clear" w:color="auto" w:fill="auto"/>
            <w:vAlign w:val="bottom"/>
            <w:hideMark/>
          </w:tcPr>
          <w:p w:rsidR="002449E1" w:rsidRPr="00DF193A" w:rsidRDefault="002449E1" w:rsidP="00B35CBF">
            <w:pPr>
              <w:pStyle w:val="a3"/>
              <w:overflowPunct/>
              <w:ind w:right="0"/>
              <w:jc w:val="right"/>
              <w:rPr>
                <w:szCs w:val="24"/>
              </w:rPr>
            </w:pPr>
            <w:r>
              <w:rPr>
                <w:lang w:val="zh-CN"/>
              </w:rPr>
              <w:t>195</w:t>
            </w:r>
            <w:r w:rsidRPr="00DF193A">
              <w:rPr>
                <w:lang w:val="zh-CN"/>
              </w:rPr>
              <w:t xml:space="preserve"> </w:t>
            </w:r>
            <w:r>
              <w:rPr>
                <w:lang w:val="zh-CN"/>
              </w:rPr>
              <w:t>777</w:t>
            </w:r>
          </w:p>
        </w:tc>
        <w:tc>
          <w:tcPr>
            <w:tcW w:w="898" w:type="dxa"/>
            <w:tcBorders>
              <w:top w:val="single" w:sz="12" w:space="0" w:color="auto"/>
            </w:tcBorders>
            <w:shd w:val="clear" w:color="auto" w:fill="auto"/>
            <w:vAlign w:val="bottom"/>
            <w:hideMark/>
          </w:tcPr>
          <w:p w:rsidR="002449E1" w:rsidRPr="00DF193A" w:rsidRDefault="002449E1" w:rsidP="00B35CBF">
            <w:pPr>
              <w:pStyle w:val="a3"/>
              <w:overflowPunct/>
              <w:ind w:right="0"/>
              <w:jc w:val="right"/>
              <w:rPr>
                <w:szCs w:val="24"/>
              </w:rPr>
            </w:pPr>
            <w:r>
              <w:rPr>
                <w:lang w:val="zh-CN"/>
              </w:rPr>
              <w:t>195</w:t>
            </w:r>
            <w:r w:rsidRPr="00DF193A">
              <w:rPr>
                <w:lang w:val="zh-CN"/>
              </w:rPr>
              <w:t xml:space="preserve"> </w:t>
            </w:r>
            <w:r>
              <w:rPr>
                <w:lang w:val="zh-CN"/>
              </w:rPr>
              <w:t>137</w:t>
            </w:r>
          </w:p>
        </w:tc>
      </w:tr>
      <w:tr w:rsidR="002449E1" w:rsidRPr="00DF193A" w:rsidTr="007A0F5D">
        <w:tc>
          <w:tcPr>
            <w:tcW w:w="1985" w:type="dxa"/>
            <w:shd w:val="clear" w:color="auto" w:fill="auto"/>
            <w:hideMark/>
          </w:tcPr>
          <w:p w:rsidR="002449E1" w:rsidRPr="00DF193A" w:rsidRDefault="002449E1" w:rsidP="00B35CBF">
            <w:pPr>
              <w:pStyle w:val="a3"/>
              <w:overflowPunct/>
              <w:ind w:right="0"/>
              <w:jc w:val="left"/>
              <w:rPr>
                <w:szCs w:val="24"/>
              </w:rPr>
            </w:pPr>
            <w:r w:rsidRPr="00DF193A">
              <w:rPr>
                <w:lang w:val="zh-CN"/>
              </w:rPr>
              <w:t>刑事事项</w:t>
            </w:r>
          </w:p>
        </w:tc>
        <w:tc>
          <w:tcPr>
            <w:tcW w:w="897" w:type="dxa"/>
            <w:shd w:val="clear" w:color="auto" w:fill="auto"/>
            <w:vAlign w:val="bottom"/>
            <w:hideMark/>
          </w:tcPr>
          <w:p w:rsidR="002449E1" w:rsidRPr="00DF193A" w:rsidRDefault="002449E1" w:rsidP="00B35CBF">
            <w:pPr>
              <w:pStyle w:val="a3"/>
              <w:overflowPunct/>
              <w:ind w:right="0"/>
              <w:jc w:val="right"/>
              <w:rPr>
                <w:szCs w:val="24"/>
              </w:rPr>
            </w:pPr>
            <w:r>
              <w:rPr>
                <w:lang w:val="zh-CN"/>
              </w:rPr>
              <w:t>132</w:t>
            </w:r>
            <w:r w:rsidRPr="00DF193A">
              <w:rPr>
                <w:lang w:val="zh-CN"/>
              </w:rPr>
              <w:t xml:space="preserve"> </w:t>
            </w:r>
            <w:r>
              <w:rPr>
                <w:lang w:val="zh-CN"/>
              </w:rPr>
              <w:t>457</w:t>
            </w:r>
          </w:p>
        </w:tc>
        <w:tc>
          <w:tcPr>
            <w:tcW w:w="898" w:type="dxa"/>
            <w:shd w:val="clear" w:color="auto" w:fill="auto"/>
            <w:vAlign w:val="bottom"/>
            <w:hideMark/>
          </w:tcPr>
          <w:p w:rsidR="002449E1" w:rsidRPr="00DF193A" w:rsidRDefault="002449E1" w:rsidP="00B35CBF">
            <w:pPr>
              <w:pStyle w:val="a3"/>
              <w:overflowPunct/>
              <w:ind w:right="0"/>
              <w:jc w:val="right"/>
              <w:rPr>
                <w:szCs w:val="24"/>
              </w:rPr>
            </w:pPr>
            <w:r>
              <w:rPr>
                <w:lang w:val="zh-CN"/>
              </w:rPr>
              <w:t>126</w:t>
            </w:r>
            <w:r w:rsidRPr="00DF193A">
              <w:rPr>
                <w:lang w:val="zh-CN"/>
              </w:rPr>
              <w:t xml:space="preserve"> </w:t>
            </w:r>
            <w:r>
              <w:rPr>
                <w:lang w:val="zh-CN"/>
              </w:rPr>
              <w:t>437</w:t>
            </w:r>
          </w:p>
        </w:tc>
        <w:tc>
          <w:tcPr>
            <w:tcW w:w="897" w:type="dxa"/>
            <w:shd w:val="clear" w:color="auto" w:fill="auto"/>
            <w:vAlign w:val="bottom"/>
            <w:hideMark/>
          </w:tcPr>
          <w:p w:rsidR="002449E1" w:rsidRPr="00DF193A" w:rsidRDefault="002449E1" w:rsidP="00B35CBF">
            <w:pPr>
              <w:pStyle w:val="a3"/>
              <w:overflowPunct/>
              <w:ind w:right="0"/>
              <w:jc w:val="right"/>
              <w:rPr>
                <w:szCs w:val="24"/>
              </w:rPr>
            </w:pPr>
            <w:r>
              <w:rPr>
                <w:lang w:val="zh-CN"/>
              </w:rPr>
              <w:t>128</w:t>
            </w:r>
            <w:r w:rsidRPr="00DF193A">
              <w:rPr>
                <w:lang w:val="zh-CN"/>
              </w:rPr>
              <w:t xml:space="preserve"> </w:t>
            </w:r>
            <w:r>
              <w:rPr>
                <w:lang w:val="zh-CN"/>
              </w:rPr>
              <w:t>136</w:t>
            </w:r>
          </w:p>
        </w:tc>
        <w:tc>
          <w:tcPr>
            <w:tcW w:w="898" w:type="dxa"/>
            <w:shd w:val="clear" w:color="auto" w:fill="auto"/>
            <w:vAlign w:val="bottom"/>
            <w:hideMark/>
          </w:tcPr>
          <w:p w:rsidR="002449E1" w:rsidRPr="00DF193A" w:rsidRDefault="002449E1" w:rsidP="00B35CBF">
            <w:pPr>
              <w:pStyle w:val="a3"/>
              <w:overflowPunct/>
              <w:ind w:right="0"/>
              <w:jc w:val="right"/>
              <w:rPr>
                <w:szCs w:val="24"/>
              </w:rPr>
            </w:pPr>
            <w:r>
              <w:rPr>
                <w:lang w:val="zh-CN"/>
              </w:rPr>
              <w:t>131</w:t>
            </w:r>
            <w:r w:rsidRPr="00DF193A">
              <w:rPr>
                <w:lang w:val="zh-CN"/>
              </w:rPr>
              <w:t xml:space="preserve"> </w:t>
            </w:r>
            <w:r>
              <w:rPr>
                <w:lang w:val="zh-CN"/>
              </w:rPr>
              <w:t>591</w:t>
            </w:r>
          </w:p>
        </w:tc>
        <w:tc>
          <w:tcPr>
            <w:tcW w:w="897" w:type="dxa"/>
            <w:shd w:val="clear" w:color="auto" w:fill="auto"/>
            <w:vAlign w:val="bottom"/>
            <w:hideMark/>
          </w:tcPr>
          <w:p w:rsidR="002449E1" w:rsidRPr="00DF193A" w:rsidRDefault="002449E1" w:rsidP="00B35CBF">
            <w:pPr>
              <w:pStyle w:val="a3"/>
              <w:overflowPunct/>
              <w:ind w:right="0"/>
              <w:jc w:val="right"/>
              <w:rPr>
                <w:szCs w:val="24"/>
              </w:rPr>
            </w:pPr>
            <w:r>
              <w:rPr>
                <w:lang w:val="zh-CN"/>
              </w:rPr>
              <w:t>131</w:t>
            </w:r>
            <w:r w:rsidRPr="00DF193A">
              <w:rPr>
                <w:lang w:val="zh-CN"/>
              </w:rPr>
              <w:t xml:space="preserve"> </w:t>
            </w:r>
            <w:r>
              <w:rPr>
                <w:lang w:val="zh-CN"/>
              </w:rPr>
              <w:t>467</w:t>
            </w:r>
          </w:p>
        </w:tc>
        <w:tc>
          <w:tcPr>
            <w:tcW w:w="898" w:type="dxa"/>
            <w:shd w:val="clear" w:color="auto" w:fill="auto"/>
            <w:vAlign w:val="bottom"/>
            <w:hideMark/>
          </w:tcPr>
          <w:p w:rsidR="002449E1" w:rsidRPr="00DF193A" w:rsidRDefault="002449E1" w:rsidP="00B35CBF">
            <w:pPr>
              <w:pStyle w:val="a3"/>
              <w:overflowPunct/>
              <w:ind w:right="0"/>
              <w:jc w:val="right"/>
              <w:rPr>
                <w:szCs w:val="24"/>
              </w:rPr>
            </w:pPr>
            <w:r>
              <w:rPr>
                <w:lang w:val="zh-CN"/>
              </w:rPr>
              <w:t>134</w:t>
            </w:r>
            <w:r w:rsidRPr="00DF193A">
              <w:rPr>
                <w:lang w:val="zh-CN"/>
              </w:rPr>
              <w:t xml:space="preserve"> </w:t>
            </w:r>
            <w:r>
              <w:rPr>
                <w:lang w:val="zh-CN"/>
              </w:rPr>
              <w:t>743</w:t>
            </w:r>
          </w:p>
        </w:tc>
      </w:tr>
      <w:tr w:rsidR="002449E1" w:rsidRPr="00DF193A" w:rsidTr="007A0F5D">
        <w:tc>
          <w:tcPr>
            <w:tcW w:w="1985" w:type="dxa"/>
            <w:shd w:val="clear" w:color="auto" w:fill="auto"/>
            <w:hideMark/>
          </w:tcPr>
          <w:p w:rsidR="002449E1" w:rsidRPr="00DF193A" w:rsidRDefault="002449E1" w:rsidP="00B35CBF">
            <w:pPr>
              <w:pStyle w:val="a3"/>
              <w:overflowPunct/>
              <w:ind w:right="0"/>
              <w:jc w:val="left"/>
              <w:rPr>
                <w:szCs w:val="24"/>
              </w:rPr>
            </w:pPr>
            <w:r w:rsidRPr="00DF193A">
              <w:rPr>
                <w:lang w:val="zh-CN"/>
              </w:rPr>
              <w:t>违反《刑法典》的罪行</w:t>
            </w:r>
          </w:p>
        </w:tc>
        <w:tc>
          <w:tcPr>
            <w:tcW w:w="897" w:type="dxa"/>
            <w:shd w:val="clear" w:color="auto" w:fill="auto"/>
            <w:vAlign w:val="bottom"/>
            <w:hideMark/>
          </w:tcPr>
          <w:p w:rsidR="002449E1" w:rsidRPr="00DF193A" w:rsidRDefault="002449E1" w:rsidP="00B35CBF">
            <w:pPr>
              <w:pStyle w:val="a3"/>
              <w:overflowPunct/>
              <w:ind w:right="0"/>
              <w:jc w:val="right"/>
              <w:rPr>
                <w:szCs w:val="24"/>
              </w:rPr>
            </w:pPr>
            <w:r>
              <w:rPr>
                <w:lang w:val="zh-CN"/>
              </w:rPr>
              <w:t>128</w:t>
            </w:r>
            <w:r w:rsidRPr="00DF193A">
              <w:rPr>
                <w:lang w:val="zh-CN"/>
              </w:rPr>
              <w:t xml:space="preserve"> </w:t>
            </w:r>
            <w:r>
              <w:rPr>
                <w:lang w:val="zh-CN"/>
              </w:rPr>
              <w:t>755</w:t>
            </w:r>
          </w:p>
        </w:tc>
        <w:tc>
          <w:tcPr>
            <w:tcW w:w="898" w:type="dxa"/>
            <w:shd w:val="clear" w:color="auto" w:fill="auto"/>
            <w:vAlign w:val="bottom"/>
            <w:hideMark/>
          </w:tcPr>
          <w:p w:rsidR="002449E1" w:rsidRPr="00DF193A" w:rsidRDefault="002449E1" w:rsidP="00B35CBF">
            <w:pPr>
              <w:pStyle w:val="a3"/>
              <w:overflowPunct/>
              <w:ind w:right="0"/>
              <w:jc w:val="right"/>
              <w:rPr>
                <w:szCs w:val="24"/>
              </w:rPr>
            </w:pPr>
            <w:r>
              <w:rPr>
                <w:lang w:val="zh-CN"/>
              </w:rPr>
              <w:t>123</w:t>
            </w:r>
            <w:r w:rsidRPr="00DF193A">
              <w:rPr>
                <w:lang w:val="zh-CN"/>
              </w:rPr>
              <w:t xml:space="preserve"> </w:t>
            </w:r>
            <w:r>
              <w:rPr>
                <w:lang w:val="zh-CN"/>
              </w:rPr>
              <w:t>145</w:t>
            </w:r>
          </w:p>
        </w:tc>
        <w:tc>
          <w:tcPr>
            <w:tcW w:w="897" w:type="dxa"/>
            <w:shd w:val="clear" w:color="auto" w:fill="auto"/>
            <w:vAlign w:val="bottom"/>
            <w:hideMark/>
          </w:tcPr>
          <w:p w:rsidR="002449E1" w:rsidRPr="00DF193A" w:rsidRDefault="002449E1" w:rsidP="00B35CBF">
            <w:pPr>
              <w:pStyle w:val="a3"/>
              <w:overflowPunct/>
              <w:ind w:right="0"/>
              <w:jc w:val="right"/>
              <w:rPr>
                <w:szCs w:val="24"/>
              </w:rPr>
            </w:pPr>
            <w:r>
              <w:rPr>
                <w:lang w:val="zh-CN"/>
              </w:rPr>
              <w:t>125</w:t>
            </w:r>
            <w:r w:rsidRPr="00DF193A">
              <w:rPr>
                <w:lang w:val="zh-CN"/>
              </w:rPr>
              <w:t xml:space="preserve"> </w:t>
            </w:r>
            <w:r>
              <w:rPr>
                <w:lang w:val="zh-CN"/>
              </w:rPr>
              <w:t>743</w:t>
            </w:r>
          </w:p>
        </w:tc>
        <w:tc>
          <w:tcPr>
            <w:tcW w:w="898" w:type="dxa"/>
            <w:shd w:val="clear" w:color="auto" w:fill="auto"/>
            <w:vAlign w:val="bottom"/>
            <w:hideMark/>
          </w:tcPr>
          <w:p w:rsidR="002449E1" w:rsidRPr="00DF193A" w:rsidRDefault="002449E1" w:rsidP="00B35CBF">
            <w:pPr>
              <w:pStyle w:val="a3"/>
              <w:overflowPunct/>
              <w:ind w:right="0"/>
              <w:jc w:val="right"/>
              <w:rPr>
                <w:szCs w:val="24"/>
              </w:rPr>
            </w:pPr>
            <w:r>
              <w:rPr>
                <w:lang w:val="zh-CN"/>
              </w:rPr>
              <w:t>129</w:t>
            </w:r>
            <w:r w:rsidRPr="00DF193A">
              <w:rPr>
                <w:lang w:val="zh-CN"/>
              </w:rPr>
              <w:t xml:space="preserve"> </w:t>
            </w:r>
            <w:r>
              <w:rPr>
                <w:lang w:val="zh-CN"/>
              </w:rPr>
              <w:t>757</w:t>
            </w:r>
          </w:p>
        </w:tc>
        <w:tc>
          <w:tcPr>
            <w:tcW w:w="897" w:type="dxa"/>
            <w:shd w:val="clear" w:color="auto" w:fill="auto"/>
            <w:vAlign w:val="bottom"/>
            <w:hideMark/>
          </w:tcPr>
          <w:p w:rsidR="002449E1" w:rsidRPr="00DF193A" w:rsidRDefault="002449E1" w:rsidP="00B35CBF">
            <w:pPr>
              <w:pStyle w:val="a3"/>
              <w:overflowPunct/>
              <w:ind w:right="0"/>
              <w:jc w:val="right"/>
              <w:rPr>
                <w:szCs w:val="24"/>
              </w:rPr>
            </w:pPr>
            <w:r>
              <w:rPr>
                <w:lang w:val="zh-CN"/>
              </w:rPr>
              <w:t>13</w:t>
            </w:r>
            <w:r w:rsidRPr="00DF193A">
              <w:rPr>
                <w:lang w:val="zh-CN"/>
              </w:rPr>
              <w:t xml:space="preserve">0 </w:t>
            </w:r>
            <w:r>
              <w:rPr>
                <w:lang w:val="zh-CN"/>
              </w:rPr>
              <w:t>859</w:t>
            </w:r>
          </w:p>
        </w:tc>
        <w:tc>
          <w:tcPr>
            <w:tcW w:w="898" w:type="dxa"/>
            <w:shd w:val="clear" w:color="auto" w:fill="auto"/>
            <w:vAlign w:val="bottom"/>
            <w:hideMark/>
          </w:tcPr>
          <w:p w:rsidR="002449E1" w:rsidRPr="00DF193A" w:rsidRDefault="002449E1" w:rsidP="00B35CBF">
            <w:pPr>
              <w:pStyle w:val="a3"/>
              <w:overflowPunct/>
              <w:ind w:right="0"/>
              <w:jc w:val="right"/>
              <w:rPr>
                <w:szCs w:val="24"/>
              </w:rPr>
            </w:pPr>
            <w:r>
              <w:rPr>
                <w:lang w:val="zh-CN"/>
              </w:rPr>
              <w:t>134</w:t>
            </w:r>
            <w:r w:rsidRPr="00DF193A">
              <w:rPr>
                <w:lang w:val="zh-CN"/>
              </w:rPr>
              <w:t xml:space="preserve"> </w:t>
            </w:r>
            <w:r>
              <w:rPr>
                <w:lang w:val="zh-CN"/>
              </w:rPr>
              <w:t>232</w:t>
            </w:r>
          </w:p>
        </w:tc>
      </w:tr>
    </w:tbl>
    <w:p w:rsidR="002449E1" w:rsidRPr="00613913" w:rsidRDefault="002449E1" w:rsidP="002449E1">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2449E1">
        <w:rPr>
          <w:rFonts w:hint="eastAsia"/>
        </w:rPr>
        <w:t>芬兰统计局，关于犯罪和强制性措施的统计数据。</w:t>
      </w:r>
    </w:p>
    <w:p w:rsidR="002449E1" w:rsidRPr="002449E1" w:rsidRDefault="002449E1" w:rsidP="002449E1">
      <w:pPr>
        <w:pStyle w:val="H23GC"/>
        <w:rPr>
          <w:lang w:val="en-GB"/>
        </w:rPr>
      </w:pPr>
      <w:r w:rsidRPr="002449E1">
        <w:rPr>
          <w:rFonts w:hint="eastAsia"/>
          <w:lang w:val="en-GB"/>
        </w:rPr>
        <w:tab/>
      </w:r>
      <w:r w:rsidRPr="002449E1">
        <w:rPr>
          <w:rFonts w:hint="eastAsia"/>
          <w:lang w:val="en-GB"/>
        </w:rPr>
        <w:tab/>
      </w:r>
      <w:r w:rsidRPr="002449E1">
        <w:rPr>
          <w:rFonts w:hint="eastAsia"/>
          <w:lang w:val="en-GB"/>
        </w:rPr>
        <w:t>杀人案</w:t>
      </w:r>
    </w:p>
    <w:p w:rsidR="002449E1" w:rsidRPr="002449E1" w:rsidRDefault="002449E1" w:rsidP="002449E1">
      <w:pPr>
        <w:pStyle w:val="SingleTxtGC"/>
        <w:tabs>
          <w:tab w:val="clear" w:pos="1565"/>
          <w:tab w:val="clear" w:pos="1996"/>
          <w:tab w:val="clear" w:pos="2427"/>
        </w:tabs>
        <w:rPr>
          <w:lang w:val="en-GB"/>
        </w:rPr>
      </w:pPr>
      <w:r w:rsidRPr="002449E1">
        <w:rPr>
          <w:rFonts w:hint="eastAsia"/>
          <w:lang w:val="en-GB"/>
        </w:rPr>
        <w:t>215.</w:t>
      </w:r>
      <w:r w:rsidRPr="002449E1">
        <w:rPr>
          <w:rFonts w:hint="eastAsia"/>
          <w:lang w:val="en-GB"/>
        </w:rPr>
        <w:tab/>
      </w:r>
      <w:r w:rsidRPr="002449E1">
        <w:rPr>
          <w:rFonts w:hint="eastAsia"/>
          <w:lang w:val="en-GB"/>
        </w:rPr>
        <w:t>自</w:t>
      </w:r>
      <w:proofErr w:type="gramStart"/>
      <w:r w:rsidRPr="002449E1">
        <w:rPr>
          <w:rFonts w:hint="eastAsia"/>
          <w:lang w:val="en-GB"/>
        </w:rPr>
        <w:t>1990</w:t>
      </w:r>
      <w:proofErr w:type="gramEnd"/>
      <w:r w:rsidRPr="002449E1">
        <w:rPr>
          <w:rFonts w:hint="eastAsia"/>
          <w:lang w:val="en-GB"/>
        </w:rPr>
        <w:t>年代中期以来，芬兰的杀人案一直呈下降趋势。变化最大的是男性酒后暴力犯罪的数量。芬兰的大部分过失杀人案、谋杀案和杀害案都发生在私人住宅里。</w:t>
      </w:r>
      <w:r w:rsidRPr="002449E1">
        <w:rPr>
          <w:rFonts w:hint="eastAsia"/>
          <w:lang w:val="en-GB"/>
        </w:rPr>
        <w:t>2010-2018</w:t>
      </w:r>
      <w:r w:rsidRPr="002449E1">
        <w:rPr>
          <w:rFonts w:hint="eastAsia"/>
          <w:lang w:val="en-GB"/>
        </w:rPr>
        <w:t>年，女性占杀人案受害者的</w:t>
      </w:r>
      <w:r w:rsidRPr="002449E1">
        <w:rPr>
          <w:rFonts w:hint="eastAsia"/>
          <w:lang w:val="en-GB"/>
        </w:rPr>
        <w:t>30%</w:t>
      </w:r>
      <w:r w:rsidRPr="002449E1">
        <w:rPr>
          <w:rFonts w:hint="eastAsia"/>
          <w:lang w:val="en-GB"/>
        </w:rPr>
        <w:t>。在芬兰，杀人者和受害</w:t>
      </w:r>
      <w:r w:rsidRPr="002449E1">
        <w:rPr>
          <w:rFonts w:hint="eastAsia"/>
          <w:lang w:val="en-GB"/>
        </w:rPr>
        <w:lastRenderedPageBreak/>
        <w:t>者通常是受教育程度低、被社会排斥和严重酗酒的人。过去几十年来，一直是这种情况。这些犯罪与饮酒密切相关。杀人率为每</w:t>
      </w:r>
      <w:r w:rsidRPr="002449E1">
        <w:rPr>
          <w:rFonts w:hint="eastAsia"/>
          <w:lang w:val="en-GB"/>
        </w:rPr>
        <w:t>10</w:t>
      </w:r>
      <w:r w:rsidRPr="002449E1">
        <w:rPr>
          <w:rFonts w:hint="eastAsia"/>
          <w:lang w:val="en-GB"/>
        </w:rPr>
        <w:t>万居民为</w:t>
      </w:r>
      <w:r w:rsidRPr="002449E1">
        <w:rPr>
          <w:rFonts w:hint="eastAsia"/>
          <w:lang w:val="en-GB"/>
        </w:rPr>
        <w:t>1.7</w:t>
      </w:r>
      <w:r w:rsidRPr="002449E1">
        <w:rPr>
          <w:rFonts w:hint="eastAsia"/>
          <w:lang w:val="en-GB"/>
        </w:rPr>
        <w:t>。下表显示了</w:t>
      </w:r>
      <w:r w:rsidRPr="002449E1">
        <w:rPr>
          <w:rFonts w:hint="eastAsia"/>
          <w:lang w:val="en-GB"/>
        </w:rPr>
        <w:t>2008-2018</w:t>
      </w:r>
      <w:r w:rsidRPr="002449E1">
        <w:rPr>
          <w:rFonts w:hint="eastAsia"/>
          <w:lang w:val="en-GB"/>
        </w:rPr>
        <w:t>年的杀人案</w:t>
      </w:r>
      <w:r w:rsidRPr="002449E1">
        <w:rPr>
          <w:rFonts w:hint="eastAsia"/>
          <w:lang w:val="en-GB"/>
        </w:rPr>
        <w:t>(</w:t>
      </w:r>
      <w:r w:rsidRPr="002449E1">
        <w:rPr>
          <w:rFonts w:hint="eastAsia"/>
          <w:lang w:val="en-GB"/>
        </w:rPr>
        <w:t>过失杀人、谋杀、杀害</w:t>
      </w:r>
      <w:r w:rsidRPr="002449E1">
        <w:rPr>
          <w:rFonts w:hint="eastAsia"/>
          <w:lang w:val="en-GB"/>
        </w:rPr>
        <w:t>)</w:t>
      </w:r>
      <w:r w:rsidRPr="002449E1">
        <w:rPr>
          <w:rFonts w:hint="eastAsia"/>
          <w:lang w:val="en-GB"/>
        </w:rPr>
        <w:t>数量。</w:t>
      </w:r>
    </w:p>
    <w:p w:rsidR="00330614" w:rsidRPr="001C00EA" w:rsidRDefault="002449E1" w:rsidP="002449E1">
      <w:pPr>
        <w:pStyle w:val="SingleTxtGC"/>
        <w:rPr>
          <w:rFonts w:ascii="Time New Roman" w:eastAsia="黑体" w:hAnsi="Time New Roman" w:hint="eastAsia"/>
          <w:lang w:val="en-GB"/>
        </w:rPr>
      </w:pPr>
      <w:r w:rsidRPr="002449E1">
        <w:rPr>
          <w:rFonts w:hint="eastAsia"/>
          <w:lang w:val="en-GB"/>
        </w:rPr>
        <w:t>表</w:t>
      </w:r>
      <w:r w:rsidRPr="002449E1">
        <w:rPr>
          <w:rFonts w:hint="eastAsia"/>
          <w:lang w:val="en-GB"/>
        </w:rPr>
        <w:t>16.</w:t>
      </w:r>
      <w:r>
        <w:rPr>
          <w:lang w:val="en-GB"/>
        </w:rPr>
        <w:br/>
      </w:r>
      <w:r w:rsidRPr="001C00EA">
        <w:rPr>
          <w:rFonts w:ascii="Time New Roman" w:eastAsia="黑体" w:hAnsi="Time New Roman" w:hint="eastAsia"/>
          <w:lang w:val="en-GB"/>
        </w:rPr>
        <w:t>2008-2018</w:t>
      </w:r>
      <w:r w:rsidRPr="001C00EA">
        <w:rPr>
          <w:rFonts w:ascii="Time New Roman" w:eastAsia="黑体" w:hAnsi="Time New Roman" w:hint="eastAsia"/>
          <w:lang w:val="en-GB"/>
        </w:rPr>
        <w:t>年杀人案数量</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579"/>
        <w:gridCol w:w="580"/>
        <w:gridCol w:w="580"/>
        <w:gridCol w:w="579"/>
        <w:gridCol w:w="580"/>
        <w:gridCol w:w="580"/>
        <w:gridCol w:w="580"/>
        <w:gridCol w:w="579"/>
        <w:gridCol w:w="580"/>
        <w:gridCol w:w="580"/>
        <w:gridCol w:w="580"/>
      </w:tblGrid>
      <w:tr w:rsidR="00AC178E" w:rsidRPr="00DF193A" w:rsidTr="00B35CBF">
        <w:trPr>
          <w:tblHeader/>
        </w:trPr>
        <w:tc>
          <w:tcPr>
            <w:tcW w:w="993"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left"/>
              <w:rPr>
                <w:bCs/>
                <w:sz w:val="16"/>
                <w:szCs w:val="24"/>
              </w:rPr>
            </w:pPr>
            <w:r w:rsidRPr="00DF193A">
              <w:rPr>
                <w:lang w:val="zh-CN"/>
              </w:rPr>
              <w:t>类别</w:t>
            </w:r>
            <w:r>
              <w:rPr>
                <w:lang w:val="zh-CN"/>
              </w:rPr>
              <w:t>/</w:t>
            </w:r>
            <w:r w:rsidRPr="00DF193A">
              <w:rPr>
                <w:lang w:val="zh-CN"/>
              </w:rPr>
              <w:t>年份</w:t>
            </w:r>
          </w:p>
        </w:tc>
        <w:tc>
          <w:tcPr>
            <w:tcW w:w="579"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00</w:t>
            </w:r>
            <w:r>
              <w:rPr>
                <w:lang w:val="zh-CN"/>
              </w:rPr>
              <w:t>8</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00</w:t>
            </w:r>
            <w:r>
              <w:rPr>
                <w:lang w:val="zh-CN"/>
              </w:rPr>
              <w:t>9</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w:t>
            </w:r>
            <w:r w:rsidRPr="00DF193A">
              <w:rPr>
                <w:lang w:val="zh-CN"/>
              </w:rPr>
              <w:t>0</w:t>
            </w:r>
          </w:p>
        </w:tc>
        <w:tc>
          <w:tcPr>
            <w:tcW w:w="579"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11</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12</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13</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14</w:t>
            </w:r>
          </w:p>
        </w:tc>
        <w:tc>
          <w:tcPr>
            <w:tcW w:w="579"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15</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16</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17</w:t>
            </w:r>
          </w:p>
        </w:tc>
        <w:tc>
          <w:tcPr>
            <w:tcW w:w="580" w:type="dxa"/>
            <w:tcBorders>
              <w:top w:val="single" w:sz="4" w:space="0" w:color="auto"/>
              <w:bottom w:val="single" w:sz="12" w:space="0" w:color="auto"/>
            </w:tcBorders>
            <w:shd w:val="clear" w:color="auto" w:fill="auto"/>
            <w:vAlign w:val="bottom"/>
            <w:hideMark/>
          </w:tcPr>
          <w:p w:rsidR="00AC178E" w:rsidRPr="00DF193A" w:rsidRDefault="00AC178E" w:rsidP="00B35CBF">
            <w:pPr>
              <w:pStyle w:val="a4"/>
              <w:ind w:right="0"/>
              <w:jc w:val="right"/>
              <w:rPr>
                <w:bCs/>
                <w:sz w:val="16"/>
                <w:szCs w:val="24"/>
              </w:rPr>
            </w:pPr>
            <w:r>
              <w:rPr>
                <w:lang w:val="zh-CN"/>
              </w:rPr>
              <w:t>2</w:t>
            </w:r>
            <w:r w:rsidRPr="00DF193A">
              <w:rPr>
                <w:lang w:val="zh-CN"/>
              </w:rPr>
              <w:t>0</w:t>
            </w:r>
            <w:r>
              <w:rPr>
                <w:lang w:val="zh-CN"/>
              </w:rPr>
              <w:t>18</w:t>
            </w:r>
          </w:p>
        </w:tc>
      </w:tr>
      <w:tr w:rsidR="00AC178E" w:rsidRPr="00DF193A" w:rsidTr="001A701F">
        <w:tc>
          <w:tcPr>
            <w:tcW w:w="993" w:type="dxa"/>
            <w:tcBorders>
              <w:top w:val="single" w:sz="12" w:space="0" w:color="auto"/>
              <w:bottom w:val="nil"/>
            </w:tcBorders>
            <w:shd w:val="clear" w:color="auto" w:fill="auto"/>
            <w:hideMark/>
          </w:tcPr>
          <w:p w:rsidR="00AC178E" w:rsidRPr="00DF193A" w:rsidRDefault="00AC178E" w:rsidP="00B35CBF">
            <w:pPr>
              <w:pStyle w:val="a3"/>
              <w:overflowPunct/>
              <w:ind w:right="0"/>
              <w:jc w:val="left"/>
              <w:rPr>
                <w:szCs w:val="24"/>
              </w:rPr>
            </w:pPr>
            <w:r w:rsidRPr="00DF193A">
              <w:rPr>
                <w:lang w:val="zh-CN"/>
              </w:rPr>
              <w:t>未遂行为</w:t>
            </w:r>
          </w:p>
        </w:tc>
        <w:tc>
          <w:tcPr>
            <w:tcW w:w="579"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363</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366</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w:t>
            </w:r>
            <w:r w:rsidRPr="00DF193A">
              <w:rPr>
                <w:lang w:val="zh-CN"/>
              </w:rPr>
              <w:t>0</w:t>
            </w:r>
            <w:r>
              <w:rPr>
                <w:lang w:val="zh-CN"/>
              </w:rPr>
              <w:t>8</w:t>
            </w:r>
          </w:p>
        </w:tc>
        <w:tc>
          <w:tcPr>
            <w:tcW w:w="579"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w:t>
            </w:r>
            <w:r w:rsidRPr="00DF193A">
              <w:rPr>
                <w:lang w:val="zh-CN"/>
              </w:rPr>
              <w:t>0</w:t>
            </w:r>
            <w:r>
              <w:rPr>
                <w:lang w:val="zh-CN"/>
              </w:rPr>
              <w:t>6</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35</w:t>
            </w:r>
            <w:r w:rsidRPr="00DF193A">
              <w:rPr>
                <w:lang w:val="zh-CN"/>
              </w:rPr>
              <w:t>0</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264</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327</w:t>
            </w:r>
          </w:p>
        </w:tc>
        <w:tc>
          <w:tcPr>
            <w:tcW w:w="579"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299</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311</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348</w:t>
            </w:r>
          </w:p>
        </w:tc>
        <w:tc>
          <w:tcPr>
            <w:tcW w:w="580" w:type="dxa"/>
            <w:tcBorders>
              <w:top w:val="single" w:sz="12" w:space="0" w:color="auto"/>
              <w:bottom w:val="nil"/>
            </w:tcBorders>
            <w:shd w:val="clear" w:color="auto" w:fill="auto"/>
            <w:vAlign w:val="bottom"/>
            <w:hideMark/>
          </w:tcPr>
          <w:p w:rsidR="00AC178E" w:rsidRPr="00DF193A" w:rsidRDefault="00AC178E" w:rsidP="00B35CBF">
            <w:pPr>
              <w:pStyle w:val="a3"/>
              <w:overflowPunct/>
              <w:ind w:right="0"/>
              <w:jc w:val="right"/>
              <w:rPr>
                <w:szCs w:val="24"/>
              </w:rPr>
            </w:pPr>
            <w:r>
              <w:rPr>
                <w:lang w:val="zh-CN"/>
              </w:rPr>
              <w:t>355</w:t>
            </w:r>
          </w:p>
        </w:tc>
      </w:tr>
      <w:tr w:rsidR="00AC178E" w:rsidRPr="00DF193A" w:rsidTr="001A701F">
        <w:tc>
          <w:tcPr>
            <w:tcW w:w="993" w:type="dxa"/>
            <w:tcBorders>
              <w:top w:val="nil"/>
              <w:bottom w:val="single" w:sz="4" w:space="0" w:color="auto"/>
            </w:tcBorders>
            <w:shd w:val="clear" w:color="auto" w:fill="auto"/>
            <w:hideMark/>
          </w:tcPr>
          <w:p w:rsidR="00AC178E" w:rsidRPr="00DF193A" w:rsidRDefault="00AC178E" w:rsidP="00B35CBF">
            <w:pPr>
              <w:pStyle w:val="a3"/>
              <w:overflowPunct/>
              <w:ind w:right="0"/>
              <w:jc w:val="left"/>
              <w:rPr>
                <w:szCs w:val="24"/>
              </w:rPr>
            </w:pPr>
            <w:r w:rsidRPr="00DF193A">
              <w:rPr>
                <w:lang w:val="zh-CN"/>
              </w:rPr>
              <w:t>既遂行为</w:t>
            </w:r>
          </w:p>
        </w:tc>
        <w:tc>
          <w:tcPr>
            <w:tcW w:w="579"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132</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114</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11</w:t>
            </w:r>
            <w:r w:rsidRPr="00DF193A">
              <w:rPr>
                <w:lang w:val="zh-CN"/>
              </w:rPr>
              <w:t>0</w:t>
            </w:r>
          </w:p>
        </w:tc>
        <w:tc>
          <w:tcPr>
            <w:tcW w:w="579"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114</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89</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95</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1</w:t>
            </w:r>
            <w:r w:rsidRPr="00DF193A">
              <w:rPr>
                <w:lang w:val="zh-CN"/>
              </w:rPr>
              <w:t>0</w:t>
            </w:r>
            <w:r>
              <w:rPr>
                <w:lang w:val="zh-CN"/>
              </w:rPr>
              <w:t>1</w:t>
            </w:r>
          </w:p>
        </w:tc>
        <w:tc>
          <w:tcPr>
            <w:tcW w:w="579"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96</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78</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73</w:t>
            </w:r>
          </w:p>
        </w:tc>
        <w:tc>
          <w:tcPr>
            <w:tcW w:w="580" w:type="dxa"/>
            <w:tcBorders>
              <w:top w:val="nil"/>
              <w:bottom w:val="single" w:sz="4" w:space="0" w:color="auto"/>
            </w:tcBorders>
            <w:shd w:val="clear" w:color="auto" w:fill="auto"/>
            <w:vAlign w:val="bottom"/>
            <w:hideMark/>
          </w:tcPr>
          <w:p w:rsidR="00AC178E" w:rsidRPr="00DF193A" w:rsidRDefault="00AC178E" w:rsidP="00B35CBF">
            <w:pPr>
              <w:pStyle w:val="a3"/>
              <w:overflowPunct/>
              <w:ind w:right="0"/>
              <w:jc w:val="right"/>
              <w:rPr>
                <w:szCs w:val="24"/>
              </w:rPr>
            </w:pPr>
            <w:r>
              <w:rPr>
                <w:lang w:val="zh-CN"/>
              </w:rPr>
              <w:t>85</w:t>
            </w:r>
          </w:p>
        </w:tc>
      </w:tr>
      <w:tr w:rsidR="00AC178E" w:rsidRPr="00DF193A" w:rsidTr="001A701F">
        <w:tc>
          <w:tcPr>
            <w:tcW w:w="993" w:type="dxa"/>
            <w:tcBorders>
              <w:top w:val="single" w:sz="4" w:space="0" w:color="auto"/>
            </w:tcBorders>
            <w:shd w:val="clear" w:color="auto" w:fill="auto"/>
            <w:hideMark/>
          </w:tcPr>
          <w:p w:rsidR="00AC178E" w:rsidRPr="00B256AA" w:rsidRDefault="00AC178E" w:rsidP="00B35CBF">
            <w:pPr>
              <w:pStyle w:val="a3"/>
              <w:overflowPunct/>
              <w:ind w:right="0"/>
              <w:jc w:val="left"/>
              <w:rPr>
                <w:rFonts w:ascii="Time New Roman" w:eastAsia="黑体" w:hAnsi="Time New Roman" w:hint="eastAsia"/>
                <w:szCs w:val="24"/>
              </w:rPr>
            </w:pPr>
            <w:r>
              <w:rPr>
                <w:rFonts w:ascii="Time New Roman" w:eastAsia="黑体" w:hAnsi="Time New Roman" w:hint="eastAsia"/>
                <w:lang w:val="zh-CN"/>
              </w:rPr>
              <w:t xml:space="preserve"> </w:t>
            </w:r>
            <w:r>
              <w:rPr>
                <w:rFonts w:ascii="Time New Roman" w:eastAsia="黑体" w:hAnsi="Time New Roman"/>
                <w:lang w:val="zh-CN"/>
              </w:rPr>
              <w:t xml:space="preserve"> </w:t>
            </w:r>
            <w:r w:rsidRPr="00B256AA">
              <w:rPr>
                <w:rFonts w:ascii="Time New Roman" w:eastAsia="黑体" w:hAnsi="Time New Roman"/>
                <w:lang w:val="zh-CN"/>
              </w:rPr>
              <w:t>共计</w:t>
            </w:r>
          </w:p>
        </w:tc>
        <w:tc>
          <w:tcPr>
            <w:tcW w:w="579"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495</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48</w:t>
            </w:r>
            <w:r w:rsidRPr="00DF193A">
              <w:rPr>
                <w:b/>
                <w:bCs/>
                <w:lang w:val="zh-CN"/>
              </w:rPr>
              <w:t>0</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418</w:t>
            </w:r>
          </w:p>
        </w:tc>
        <w:tc>
          <w:tcPr>
            <w:tcW w:w="579"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42</w:t>
            </w:r>
            <w:r w:rsidRPr="00DF193A">
              <w:rPr>
                <w:b/>
                <w:bCs/>
                <w:lang w:val="zh-CN"/>
              </w:rPr>
              <w:t>0</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439</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359</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428</w:t>
            </w:r>
          </w:p>
        </w:tc>
        <w:tc>
          <w:tcPr>
            <w:tcW w:w="579"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395</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389</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421</w:t>
            </w:r>
          </w:p>
        </w:tc>
        <w:tc>
          <w:tcPr>
            <w:tcW w:w="580" w:type="dxa"/>
            <w:tcBorders>
              <w:top w:val="single" w:sz="4" w:space="0" w:color="auto"/>
            </w:tcBorders>
            <w:shd w:val="clear" w:color="auto" w:fill="auto"/>
            <w:vAlign w:val="bottom"/>
            <w:hideMark/>
          </w:tcPr>
          <w:p w:rsidR="00AC178E" w:rsidRPr="00DF193A" w:rsidRDefault="00AC178E" w:rsidP="00B35CBF">
            <w:pPr>
              <w:pStyle w:val="a3"/>
              <w:overflowPunct/>
              <w:ind w:right="0"/>
              <w:jc w:val="right"/>
              <w:rPr>
                <w:b/>
                <w:szCs w:val="24"/>
              </w:rPr>
            </w:pPr>
            <w:r>
              <w:rPr>
                <w:b/>
                <w:bCs/>
                <w:lang w:val="zh-CN"/>
              </w:rPr>
              <w:t>44</w:t>
            </w:r>
            <w:r w:rsidRPr="00DF193A">
              <w:rPr>
                <w:b/>
                <w:bCs/>
                <w:lang w:val="zh-CN"/>
              </w:rPr>
              <w:t>0</w:t>
            </w:r>
          </w:p>
        </w:tc>
      </w:tr>
    </w:tbl>
    <w:p w:rsidR="00AC178E" w:rsidRPr="00613913" w:rsidRDefault="00AC178E" w:rsidP="00AC178E">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AC178E">
        <w:rPr>
          <w:rFonts w:hint="eastAsia"/>
        </w:rPr>
        <w:t>芬兰统计局，关于犯罪和强制性措施的统计数据。</w:t>
      </w:r>
    </w:p>
    <w:p w:rsidR="0090064A" w:rsidRPr="0090064A" w:rsidRDefault="0090064A" w:rsidP="0090064A">
      <w:pPr>
        <w:pStyle w:val="H23GC"/>
        <w:rPr>
          <w:lang w:val="en-GB"/>
        </w:rPr>
      </w:pPr>
      <w:r w:rsidRPr="0090064A">
        <w:rPr>
          <w:rFonts w:hint="eastAsia"/>
          <w:lang w:val="en-GB"/>
        </w:rPr>
        <w:tab/>
      </w:r>
      <w:r w:rsidRPr="0090064A">
        <w:rPr>
          <w:rFonts w:hint="eastAsia"/>
          <w:lang w:val="en-GB"/>
        </w:rPr>
        <w:tab/>
      </w:r>
      <w:r w:rsidRPr="0090064A">
        <w:rPr>
          <w:rFonts w:hint="eastAsia"/>
          <w:lang w:val="en-GB"/>
        </w:rPr>
        <w:t>暴力侵害妇女行为</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216.</w:t>
      </w:r>
      <w:r w:rsidRPr="0090064A">
        <w:rPr>
          <w:rFonts w:hint="eastAsia"/>
          <w:lang w:val="en-GB"/>
        </w:rPr>
        <w:tab/>
        <w:t>2018</w:t>
      </w:r>
      <w:r w:rsidRPr="0090064A">
        <w:rPr>
          <w:rFonts w:hint="eastAsia"/>
          <w:lang w:val="en-GB"/>
        </w:rPr>
        <w:t>年，警方记录的家庭暴力</w:t>
      </w:r>
      <w:r w:rsidRPr="0090064A">
        <w:rPr>
          <w:rFonts w:hint="eastAsia"/>
          <w:lang w:val="en-GB"/>
        </w:rPr>
        <w:t>/</w:t>
      </w:r>
      <w:r w:rsidRPr="0090064A">
        <w:rPr>
          <w:rFonts w:hint="eastAsia"/>
          <w:lang w:val="en-GB"/>
        </w:rPr>
        <w:t>亲密关系暴力受害者有</w:t>
      </w:r>
      <w:r w:rsidRPr="0090064A">
        <w:rPr>
          <w:rFonts w:hint="eastAsia"/>
          <w:lang w:val="en-GB"/>
        </w:rPr>
        <w:t>9,900</w:t>
      </w:r>
      <w:r w:rsidRPr="0090064A">
        <w:rPr>
          <w:rFonts w:hint="eastAsia"/>
          <w:lang w:val="en-GB"/>
        </w:rPr>
        <w:t>人，比前一年增加了</w:t>
      </w:r>
      <w:r w:rsidRPr="0090064A">
        <w:rPr>
          <w:rFonts w:hint="eastAsia"/>
          <w:lang w:val="en-GB"/>
        </w:rPr>
        <w:t>1.4%</w:t>
      </w:r>
      <w:r w:rsidRPr="0090064A">
        <w:rPr>
          <w:rFonts w:hint="eastAsia"/>
          <w:lang w:val="en-GB"/>
        </w:rPr>
        <w:t>。在家庭暴力和亲密伴侣暴力的成年受害者中，</w:t>
      </w:r>
      <w:r w:rsidRPr="0090064A">
        <w:rPr>
          <w:rFonts w:hint="eastAsia"/>
          <w:lang w:val="en-GB"/>
        </w:rPr>
        <w:t>76.5%</w:t>
      </w:r>
      <w:r w:rsidRPr="0090064A">
        <w:rPr>
          <w:rFonts w:hint="eastAsia"/>
          <w:lang w:val="en-GB"/>
        </w:rPr>
        <w:t>是女性。总体而言，</w:t>
      </w:r>
      <w:r w:rsidRPr="0090064A">
        <w:rPr>
          <w:rFonts w:hint="eastAsia"/>
          <w:lang w:val="en-GB"/>
        </w:rPr>
        <w:t>77.6%</w:t>
      </w:r>
      <w:r w:rsidRPr="0090064A">
        <w:rPr>
          <w:rFonts w:hint="eastAsia"/>
          <w:lang w:val="en-GB"/>
        </w:rPr>
        <w:t>的嫌疑人是男性。</w:t>
      </w:r>
      <w:r w:rsidRPr="0090064A">
        <w:rPr>
          <w:rFonts w:hint="eastAsia"/>
          <w:lang w:val="en-GB"/>
        </w:rPr>
        <w:t>37.5%</w:t>
      </w:r>
      <w:r w:rsidRPr="0090064A">
        <w:rPr>
          <w:rFonts w:hint="eastAsia"/>
          <w:lang w:val="en-GB"/>
        </w:rPr>
        <w:t>的家庭暴力和亲密关系暴力发生在已婚夫妇或同居伴侣之间。在已婚夫妇或同居伴侣或前任夫妇之间发生的暴力案件中，</w:t>
      </w:r>
      <w:r w:rsidRPr="0090064A">
        <w:rPr>
          <w:rFonts w:hint="eastAsia"/>
          <w:lang w:val="en-GB"/>
        </w:rPr>
        <w:t>80%</w:t>
      </w:r>
      <w:r w:rsidRPr="0090064A">
        <w:rPr>
          <w:rFonts w:hint="eastAsia"/>
          <w:lang w:val="en-GB"/>
        </w:rPr>
        <w:t>以上案件的受害者是女性。</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217.</w:t>
      </w:r>
      <w:r w:rsidRPr="0090064A">
        <w:rPr>
          <w:rFonts w:hint="eastAsia"/>
          <w:lang w:val="en-GB"/>
        </w:rPr>
        <w:tab/>
        <w:t>2009</w:t>
      </w:r>
      <w:r w:rsidRPr="0090064A">
        <w:rPr>
          <w:rFonts w:hint="eastAsia"/>
          <w:lang w:val="en-GB"/>
        </w:rPr>
        <w:t>年至</w:t>
      </w:r>
      <w:r w:rsidRPr="0090064A">
        <w:rPr>
          <w:rFonts w:hint="eastAsia"/>
          <w:lang w:val="en-GB"/>
        </w:rPr>
        <w:t>2018</w:t>
      </w:r>
      <w:r w:rsidRPr="0090064A">
        <w:rPr>
          <w:rFonts w:hint="eastAsia"/>
          <w:lang w:val="en-GB"/>
        </w:rPr>
        <w:t>年，在家庭暴力和亲密关系暴力的总共</w:t>
      </w:r>
      <w:r w:rsidRPr="0090064A">
        <w:rPr>
          <w:rFonts w:hint="eastAsia"/>
          <w:lang w:val="en-GB"/>
        </w:rPr>
        <w:t>6</w:t>
      </w:r>
      <w:r w:rsidRPr="0090064A">
        <w:rPr>
          <w:rFonts w:hint="eastAsia"/>
          <w:lang w:val="en-GB"/>
        </w:rPr>
        <w:t>万名受害者中，</w:t>
      </w:r>
      <w:r w:rsidRPr="0090064A">
        <w:rPr>
          <w:rFonts w:hint="eastAsia"/>
          <w:lang w:val="en-GB"/>
        </w:rPr>
        <w:t>8,200</w:t>
      </w:r>
      <w:r w:rsidRPr="0090064A">
        <w:rPr>
          <w:rFonts w:hint="eastAsia"/>
          <w:lang w:val="en-GB"/>
        </w:rPr>
        <w:t>人在不同年份至少两次被确认为受害者，</w:t>
      </w:r>
      <w:r w:rsidRPr="0090064A">
        <w:rPr>
          <w:rFonts w:hint="eastAsia"/>
          <w:lang w:val="en-GB"/>
        </w:rPr>
        <w:t>2,000</w:t>
      </w:r>
      <w:r w:rsidRPr="0090064A">
        <w:rPr>
          <w:rFonts w:hint="eastAsia"/>
          <w:lang w:val="en-GB"/>
        </w:rPr>
        <w:t>人在不同年份至少三次被确认为受害者。在不同年份至少两次被确认的经常性受害者中，</w:t>
      </w:r>
      <w:r w:rsidRPr="0090064A">
        <w:rPr>
          <w:rFonts w:hint="eastAsia"/>
          <w:lang w:val="en-GB"/>
        </w:rPr>
        <w:t>83%</w:t>
      </w:r>
      <w:r w:rsidRPr="0090064A">
        <w:rPr>
          <w:rFonts w:hint="eastAsia"/>
          <w:lang w:val="en-GB"/>
        </w:rPr>
        <w:t>是女性。在不同年份至少三次</w:t>
      </w:r>
      <w:r w:rsidRPr="0090064A">
        <w:rPr>
          <w:rFonts w:hint="eastAsia"/>
          <w:lang w:val="en-GB"/>
        </w:rPr>
        <w:t>(</w:t>
      </w:r>
      <w:r w:rsidRPr="0090064A">
        <w:rPr>
          <w:rFonts w:hint="eastAsia"/>
          <w:lang w:val="en-GB"/>
        </w:rPr>
        <w:t>或以上</w:t>
      </w:r>
      <w:r w:rsidRPr="0090064A">
        <w:rPr>
          <w:rFonts w:hint="eastAsia"/>
          <w:lang w:val="en-GB"/>
        </w:rPr>
        <w:t>)</w:t>
      </w:r>
      <w:r w:rsidRPr="0090064A">
        <w:rPr>
          <w:rFonts w:hint="eastAsia"/>
          <w:lang w:val="en-GB"/>
        </w:rPr>
        <w:t>被确认的经常性受害者中，</w:t>
      </w:r>
      <w:r w:rsidRPr="0090064A">
        <w:rPr>
          <w:rFonts w:hint="eastAsia"/>
          <w:lang w:val="en-GB"/>
        </w:rPr>
        <w:t>89%</w:t>
      </w:r>
      <w:r w:rsidRPr="0090064A">
        <w:rPr>
          <w:rFonts w:hint="eastAsia"/>
          <w:lang w:val="en-GB"/>
        </w:rPr>
        <w:t>是女性。</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218.</w:t>
      </w:r>
      <w:r w:rsidRPr="0090064A">
        <w:rPr>
          <w:rFonts w:hint="eastAsia"/>
          <w:lang w:val="en-GB"/>
        </w:rPr>
        <w:tab/>
      </w:r>
      <w:r w:rsidRPr="0090064A">
        <w:rPr>
          <w:rFonts w:hint="eastAsia"/>
          <w:lang w:val="en-GB"/>
        </w:rPr>
        <w:t>此外，尽管其他类型的杀人案数量在过去几十年稳步下降，但女性被杀害率仍然很高。</w:t>
      </w:r>
      <w:r w:rsidRPr="0090064A">
        <w:rPr>
          <w:rFonts w:hint="eastAsia"/>
          <w:lang w:val="en-GB"/>
        </w:rPr>
        <w:t>2018</w:t>
      </w:r>
      <w:r w:rsidRPr="0090064A">
        <w:rPr>
          <w:rFonts w:hint="eastAsia"/>
          <w:lang w:val="en-GB"/>
        </w:rPr>
        <w:t>年，共有</w:t>
      </w:r>
      <w:r w:rsidRPr="0090064A">
        <w:rPr>
          <w:rFonts w:hint="eastAsia"/>
          <w:lang w:val="en-GB"/>
        </w:rPr>
        <w:t>16</w:t>
      </w:r>
      <w:r w:rsidRPr="0090064A">
        <w:rPr>
          <w:rFonts w:hint="eastAsia"/>
          <w:lang w:val="en-GB"/>
        </w:rPr>
        <w:t>名女性被其现任</w:t>
      </w:r>
      <w:r w:rsidRPr="0090064A">
        <w:rPr>
          <w:rFonts w:hint="eastAsia"/>
          <w:lang w:val="en-GB"/>
        </w:rPr>
        <w:t>/</w:t>
      </w:r>
      <w:r w:rsidRPr="0090064A">
        <w:rPr>
          <w:rFonts w:hint="eastAsia"/>
          <w:lang w:val="en-GB"/>
        </w:rPr>
        <w:t>前任伴侣杀害。因此，按人口比例计，芬兰是欧洲女性被杀害率最高的国家之一。</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219.</w:t>
      </w:r>
      <w:r w:rsidRPr="0090064A">
        <w:rPr>
          <w:rFonts w:hint="eastAsia"/>
          <w:lang w:val="en-GB"/>
        </w:rPr>
        <w:tab/>
      </w:r>
      <w:r w:rsidRPr="0090064A">
        <w:rPr>
          <w:rFonts w:hint="eastAsia"/>
          <w:lang w:val="en-GB"/>
        </w:rPr>
        <w:t>此外，根据欧洲联盟基本权利署</w:t>
      </w:r>
      <w:r w:rsidRPr="0090064A">
        <w:rPr>
          <w:rFonts w:hint="eastAsia"/>
          <w:lang w:val="en-GB"/>
        </w:rPr>
        <w:t>2015</w:t>
      </w:r>
      <w:r w:rsidRPr="0090064A">
        <w:rPr>
          <w:rFonts w:hint="eastAsia"/>
          <w:lang w:val="en-GB"/>
        </w:rPr>
        <w:t>年在欧盟范围内进行的一项关于暴力侵害妇女行为的调查显示，在芬兰，</w:t>
      </w:r>
      <w:r w:rsidRPr="0090064A">
        <w:rPr>
          <w:rFonts w:hint="eastAsia"/>
          <w:lang w:val="en-GB"/>
        </w:rPr>
        <w:t>15</w:t>
      </w:r>
      <w:r w:rsidRPr="0090064A">
        <w:rPr>
          <w:rFonts w:hint="eastAsia"/>
          <w:lang w:val="en-GB"/>
        </w:rPr>
        <w:t>岁以上女性遭受亲密伴侣暴力的频率在欧盟国家中排第二。有近三分之一处于亲密关系中的女性遭受过现任或前任伴侣的暴力。女性在家庭关系或工作任务中最常遭受暴力。</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220.</w:t>
      </w:r>
      <w:r w:rsidRPr="0090064A">
        <w:rPr>
          <w:rFonts w:hint="eastAsia"/>
          <w:lang w:val="en-GB"/>
        </w:rPr>
        <w:tab/>
        <w:t>2015</w:t>
      </w:r>
      <w:r w:rsidRPr="0090064A">
        <w:rPr>
          <w:rFonts w:hint="eastAsia"/>
          <w:lang w:val="en-GB"/>
        </w:rPr>
        <w:t>年</w:t>
      </w:r>
      <w:r w:rsidRPr="0090064A">
        <w:rPr>
          <w:rFonts w:hint="eastAsia"/>
          <w:lang w:val="en-GB"/>
        </w:rPr>
        <w:t>8</w:t>
      </w:r>
      <w:r w:rsidRPr="0090064A">
        <w:rPr>
          <w:rFonts w:hint="eastAsia"/>
          <w:lang w:val="en-GB"/>
        </w:rPr>
        <w:t>月，芬兰成为《欧洲委员会预防和打击暴力侵害妇女行为及家庭暴力公约》的缔约国。根据一项政府法令</w:t>
      </w:r>
      <w:r w:rsidRPr="0090064A">
        <w:rPr>
          <w:rFonts w:hint="eastAsia"/>
          <w:lang w:val="en-GB"/>
        </w:rPr>
        <w:t>(1008/2016)</w:t>
      </w:r>
      <w:r w:rsidRPr="0090064A">
        <w:rPr>
          <w:rFonts w:hint="eastAsia"/>
          <w:lang w:val="en-GB"/>
        </w:rPr>
        <w:t>，设立了《公约》中提及的协调机构，即打击暴力侵害妇女及家庭暴力委员会。委员会成员每四年任命一次。该协调机构由外交部、司法部、内政部、社会事务和卫生部、就业和经济部、教育和文化部、财政部等各部委的代表以及一些政府和国家机关的代表组成。该法令规定了该委员会的任务。委员会的任务主要包括起草关于执行《公约》的国家行动计划。</w:t>
      </w:r>
      <w:r w:rsidRPr="0090064A">
        <w:rPr>
          <w:rFonts w:hint="eastAsia"/>
          <w:lang w:val="en-GB"/>
        </w:rPr>
        <w:t>2017</w:t>
      </w:r>
      <w:r w:rsidRPr="0090064A">
        <w:rPr>
          <w:rFonts w:hint="eastAsia"/>
          <w:lang w:val="en-GB"/>
        </w:rPr>
        <w:t>年通过了涵盖</w:t>
      </w:r>
      <w:r w:rsidRPr="0090064A">
        <w:rPr>
          <w:rFonts w:hint="eastAsia"/>
          <w:lang w:val="en-GB"/>
        </w:rPr>
        <w:t>2018-2021</w:t>
      </w:r>
      <w:r w:rsidRPr="0090064A">
        <w:rPr>
          <w:rFonts w:hint="eastAsia"/>
          <w:lang w:val="en-GB"/>
        </w:rPr>
        <w:t>年的第一个行动计划。</w:t>
      </w:r>
    </w:p>
    <w:p w:rsidR="0090064A" w:rsidRPr="0090064A" w:rsidRDefault="0090064A" w:rsidP="0066073A">
      <w:pPr>
        <w:pStyle w:val="H23GC"/>
        <w:rPr>
          <w:lang w:val="en-GB"/>
        </w:rPr>
      </w:pPr>
      <w:r w:rsidRPr="0090064A">
        <w:rPr>
          <w:rFonts w:hint="eastAsia"/>
          <w:lang w:val="en-GB"/>
        </w:rPr>
        <w:tab/>
      </w:r>
      <w:r w:rsidRPr="0090064A">
        <w:rPr>
          <w:rFonts w:hint="eastAsia"/>
          <w:lang w:val="en-GB"/>
        </w:rPr>
        <w:tab/>
      </w:r>
      <w:r w:rsidRPr="0090064A">
        <w:rPr>
          <w:rFonts w:hint="eastAsia"/>
          <w:lang w:val="en-GB"/>
        </w:rPr>
        <w:t>性犯罪</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221.</w:t>
      </w:r>
      <w:r w:rsidRPr="0090064A">
        <w:rPr>
          <w:rFonts w:hint="eastAsia"/>
          <w:lang w:val="en-GB"/>
        </w:rPr>
        <w:tab/>
      </w:r>
      <w:r w:rsidRPr="0090064A">
        <w:rPr>
          <w:rFonts w:hint="eastAsia"/>
          <w:lang w:val="en-GB"/>
        </w:rPr>
        <w:t>在过去几十年，芬兰关于性犯罪的立法经历了相当大的变化。</w:t>
      </w:r>
      <w:r w:rsidRPr="0090064A">
        <w:rPr>
          <w:rFonts w:hint="eastAsia"/>
          <w:lang w:val="en-GB"/>
        </w:rPr>
        <w:t>1994</w:t>
      </w:r>
      <w:r w:rsidRPr="0090064A">
        <w:rPr>
          <w:rFonts w:hint="eastAsia"/>
          <w:lang w:val="en-GB"/>
        </w:rPr>
        <w:t>年颁布的一项修正案将婚内强奸定为刑事犯罪。</w:t>
      </w:r>
      <w:r w:rsidRPr="0090064A">
        <w:rPr>
          <w:rFonts w:hint="eastAsia"/>
          <w:lang w:val="en-GB"/>
        </w:rPr>
        <w:t>1999</w:t>
      </w:r>
      <w:r w:rsidRPr="0090064A">
        <w:rPr>
          <w:rFonts w:hint="eastAsia"/>
          <w:lang w:val="en-GB"/>
        </w:rPr>
        <w:t>年从强奸罪的构成要素中删除了“紧迫的危险”这项要求，在如今的强奸案中，只评估所使用的足以违背受害者意愿的暴力程度。</w:t>
      </w:r>
      <w:r w:rsidRPr="0090064A">
        <w:rPr>
          <w:rFonts w:hint="eastAsia"/>
          <w:lang w:val="en-GB"/>
        </w:rPr>
        <w:t>2011</w:t>
      </w:r>
      <w:r w:rsidRPr="0090064A">
        <w:rPr>
          <w:rFonts w:hint="eastAsia"/>
          <w:lang w:val="en-GB"/>
        </w:rPr>
        <w:t>年，对《刑法典》关于强奸这一条的第</w:t>
      </w:r>
      <w:r w:rsidRPr="0090064A">
        <w:rPr>
          <w:rFonts w:hint="eastAsia"/>
          <w:lang w:val="en-GB"/>
        </w:rPr>
        <w:t>2</w:t>
      </w:r>
      <w:r w:rsidRPr="0090064A">
        <w:rPr>
          <w:rFonts w:hint="eastAsia"/>
          <w:lang w:val="en-GB"/>
        </w:rPr>
        <w:t>款进行了修订，</w:t>
      </w:r>
      <w:r w:rsidRPr="0090064A">
        <w:rPr>
          <w:rFonts w:hint="eastAsia"/>
          <w:lang w:val="en-GB"/>
        </w:rPr>
        <w:lastRenderedPageBreak/>
        <w:t>以加强对毫无防御能力的受害者的保护。</w:t>
      </w:r>
      <w:r w:rsidRPr="0090064A">
        <w:rPr>
          <w:rFonts w:hint="eastAsia"/>
          <w:lang w:val="en-GB"/>
        </w:rPr>
        <w:t>2014</w:t>
      </w:r>
      <w:r w:rsidRPr="0090064A">
        <w:rPr>
          <w:rFonts w:hint="eastAsia"/>
          <w:lang w:val="en-GB"/>
        </w:rPr>
        <w:t>年通过了关于强奸的新定义，从法规中删除了强奸轻罪，规定所有强迫他人性交的行为都将作为</w:t>
      </w:r>
      <w:proofErr w:type="gramStart"/>
      <w:r w:rsidRPr="0090064A">
        <w:rPr>
          <w:rFonts w:hint="eastAsia"/>
          <w:lang w:val="en-GB"/>
        </w:rPr>
        <w:t>可处罚</w:t>
      </w:r>
      <w:proofErr w:type="gramEnd"/>
      <w:r w:rsidRPr="0090064A">
        <w:rPr>
          <w:rFonts w:hint="eastAsia"/>
          <w:lang w:val="en-GB"/>
        </w:rPr>
        <w:t>的强奸罪。但是，制定这一条款是为了在有减轻处罚情节的情况下对罪犯予以轻判。</w:t>
      </w:r>
      <w:r w:rsidRPr="0090064A">
        <w:rPr>
          <w:rFonts w:hint="eastAsia"/>
          <w:lang w:val="en-GB"/>
        </w:rPr>
        <w:t>2014</w:t>
      </w:r>
      <w:r w:rsidRPr="0090064A">
        <w:rPr>
          <w:rFonts w:hint="eastAsia"/>
          <w:lang w:val="en-GB"/>
        </w:rPr>
        <w:t>年，性骚扰也被定为刑事犯罪。</w:t>
      </w:r>
      <w:r w:rsidRPr="0090064A">
        <w:rPr>
          <w:rFonts w:hint="eastAsia"/>
          <w:lang w:val="en-GB"/>
        </w:rPr>
        <w:t>2019</w:t>
      </w:r>
      <w:r w:rsidRPr="0090064A">
        <w:rPr>
          <w:rFonts w:hint="eastAsia"/>
          <w:lang w:val="en-GB"/>
        </w:rPr>
        <w:t>年颁布的一项修正案提高了对儿童性虐待和严重儿童性虐待罪的最高刑期。法规中新增了“严重强奸儿童”罪，涵盖了之前作为严重强奸和严重儿童性虐待处罚的行为。</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222.</w:t>
      </w:r>
      <w:r w:rsidRPr="0090064A">
        <w:rPr>
          <w:rFonts w:hint="eastAsia"/>
          <w:lang w:val="en-GB"/>
        </w:rPr>
        <w:tab/>
        <w:t>2019</w:t>
      </w:r>
      <w:r w:rsidRPr="0090064A">
        <w:rPr>
          <w:rFonts w:hint="eastAsia"/>
          <w:lang w:val="en-GB"/>
        </w:rPr>
        <w:t>年春，司法部任命了一个工作组，准备修订《刑法典》关于性犯罪的条款。这次修订旨在使立法协调统一并使其与时俱进。正在审议加强同意在强奸罪构成要素中的地位，并将与儿童和青少年性交作为强奸罪处罚。工作组还将评估进一步修订性犯罪条款的必要性。工作组的报告定于</w:t>
      </w:r>
      <w:r w:rsidRPr="0090064A">
        <w:rPr>
          <w:rFonts w:hint="eastAsia"/>
          <w:lang w:val="en-GB"/>
        </w:rPr>
        <w:t>2020</w:t>
      </w:r>
      <w:r w:rsidRPr="0090064A">
        <w:rPr>
          <w:rFonts w:hint="eastAsia"/>
          <w:lang w:val="en-GB"/>
        </w:rPr>
        <w:t>年春季完成。</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223.</w:t>
      </w:r>
      <w:r w:rsidRPr="0090064A">
        <w:rPr>
          <w:rFonts w:hint="eastAsia"/>
          <w:lang w:val="en-GB"/>
        </w:rPr>
        <w:tab/>
      </w:r>
      <w:r w:rsidRPr="0090064A">
        <w:rPr>
          <w:rFonts w:hint="eastAsia"/>
          <w:lang w:val="en-GB"/>
        </w:rPr>
        <w:t>虽然大部分性犯罪从未向警方报案，但在</w:t>
      </w:r>
      <w:proofErr w:type="gramStart"/>
      <w:r w:rsidRPr="0090064A">
        <w:rPr>
          <w:rFonts w:hint="eastAsia"/>
          <w:lang w:val="en-GB"/>
        </w:rPr>
        <w:t>2000</w:t>
      </w:r>
      <w:proofErr w:type="gramEnd"/>
      <w:r w:rsidRPr="0090064A">
        <w:rPr>
          <w:rFonts w:hint="eastAsia"/>
          <w:lang w:val="en-GB"/>
        </w:rPr>
        <w:t>年代向警方报案的涉嫌强奸的案件数量有所增加。</w:t>
      </w:r>
      <w:r w:rsidRPr="0090064A">
        <w:rPr>
          <w:rFonts w:hint="eastAsia"/>
          <w:lang w:val="en-GB"/>
        </w:rPr>
        <w:t>2017</w:t>
      </w:r>
      <w:r w:rsidRPr="0090064A">
        <w:rPr>
          <w:rFonts w:hint="eastAsia"/>
          <w:lang w:val="en-GB"/>
        </w:rPr>
        <w:t>年，警方记录了</w:t>
      </w:r>
      <w:r w:rsidRPr="0090064A">
        <w:rPr>
          <w:rFonts w:hint="eastAsia"/>
          <w:lang w:val="en-GB"/>
        </w:rPr>
        <w:t>1,245</w:t>
      </w:r>
      <w:r w:rsidRPr="0090064A">
        <w:rPr>
          <w:rFonts w:hint="eastAsia"/>
          <w:lang w:val="en-GB"/>
        </w:rPr>
        <w:t>起强奸案，十年间增长了约</w:t>
      </w:r>
      <w:r w:rsidRPr="0090064A">
        <w:rPr>
          <w:rFonts w:hint="eastAsia"/>
          <w:lang w:val="en-GB"/>
        </w:rPr>
        <w:t>25%</w:t>
      </w:r>
      <w:r w:rsidRPr="0090064A">
        <w:rPr>
          <w:rFonts w:hint="eastAsia"/>
          <w:lang w:val="en-GB"/>
        </w:rPr>
        <w:t>。在进行审判的强奸案中，犯罪者和受害者通常相互认识。在起诉的案件中，只有约六分之一涉及陌生的罪犯者，而在三分之一的案件中，犯罪者和受害者是已婚夫妇或亲密伴侣。在向警方报案的几乎所有强奸案中，受害者都是女性，犯罪者都是男性。</w:t>
      </w:r>
      <w:r w:rsidRPr="0090064A">
        <w:rPr>
          <w:rFonts w:hint="eastAsia"/>
          <w:lang w:val="en-GB"/>
        </w:rPr>
        <w:t>2017</w:t>
      </w:r>
      <w:r w:rsidRPr="0090064A">
        <w:rPr>
          <w:rFonts w:hint="eastAsia"/>
          <w:lang w:val="en-GB"/>
        </w:rPr>
        <w:t>年，约一半受害者年龄未满</w:t>
      </w:r>
      <w:r w:rsidRPr="0090064A">
        <w:rPr>
          <w:rFonts w:hint="eastAsia"/>
          <w:lang w:val="en-GB"/>
        </w:rPr>
        <w:t>20</w:t>
      </w:r>
      <w:r w:rsidRPr="0090064A">
        <w:rPr>
          <w:rFonts w:hint="eastAsia"/>
          <w:lang w:val="en-GB"/>
        </w:rPr>
        <w:t>岁。在犯罪时，约三分之一犯罪者以及近一半受害者处于醉酒状态。据估计，约四分之一犯罪者是外国公民。强奸犯罪嫌疑人并非随机代表不同的人口群体，而是普遍来自社会地位较低的群体。</w:t>
      </w:r>
      <w:r w:rsidRPr="0090064A">
        <w:rPr>
          <w:rFonts w:hint="eastAsia"/>
          <w:lang w:val="en-GB"/>
        </w:rPr>
        <w:t>2018</w:t>
      </w:r>
      <w:r w:rsidRPr="0090064A">
        <w:rPr>
          <w:rFonts w:hint="eastAsia"/>
          <w:lang w:val="en-GB"/>
        </w:rPr>
        <w:t>年向警方报案的强奸案有</w:t>
      </w:r>
      <w:r w:rsidRPr="0090064A">
        <w:rPr>
          <w:rFonts w:hint="eastAsia"/>
          <w:lang w:val="en-GB"/>
        </w:rPr>
        <w:t>1,393</w:t>
      </w:r>
      <w:r w:rsidRPr="0090064A">
        <w:rPr>
          <w:rFonts w:hint="eastAsia"/>
          <w:lang w:val="en-GB"/>
        </w:rPr>
        <w:t>起。</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224.</w:t>
      </w:r>
      <w:r w:rsidRPr="0090064A">
        <w:rPr>
          <w:rFonts w:hint="eastAsia"/>
          <w:lang w:val="en-GB"/>
        </w:rPr>
        <w:tab/>
      </w:r>
      <w:r w:rsidRPr="0090064A">
        <w:rPr>
          <w:rFonts w:hint="eastAsia"/>
          <w:lang w:val="en-GB"/>
        </w:rPr>
        <w:t>在过去十年中，向警方报案的儿童性虐待案件数量大幅增加。尤其在</w:t>
      </w:r>
      <w:r w:rsidRPr="0090064A">
        <w:rPr>
          <w:rFonts w:hint="eastAsia"/>
          <w:lang w:val="en-GB"/>
        </w:rPr>
        <w:t>2011-2013</w:t>
      </w:r>
      <w:r w:rsidRPr="0090064A">
        <w:rPr>
          <w:rFonts w:hint="eastAsia"/>
          <w:lang w:val="en-GB"/>
        </w:rPr>
        <w:t>年，这类犯罪数量增幅较大。造成这种情况的原因</w:t>
      </w:r>
      <w:r w:rsidRPr="0090064A">
        <w:rPr>
          <w:rFonts w:hint="eastAsia"/>
          <w:lang w:val="en-GB"/>
        </w:rPr>
        <w:t>(</w:t>
      </w:r>
      <w:r w:rsidRPr="0090064A">
        <w:rPr>
          <w:rFonts w:hint="eastAsia"/>
          <w:lang w:val="en-GB"/>
        </w:rPr>
        <w:t>至少部分原因</w:t>
      </w:r>
      <w:r w:rsidRPr="0090064A">
        <w:rPr>
          <w:rFonts w:hint="eastAsia"/>
          <w:lang w:val="en-GB"/>
        </w:rPr>
        <w:t>)</w:t>
      </w:r>
      <w:r w:rsidRPr="0090064A">
        <w:rPr>
          <w:rFonts w:hint="eastAsia"/>
          <w:lang w:val="en-GB"/>
        </w:rPr>
        <w:t>是，几年前就发生了家庭内虐待或其他一系列虐待行为，等到现在才报案。自</w:t>
      </w:r>
      <w:r w:rsidRPr="0090064A">
        <w:rPr>
          <w:rFonts w:hint="eastAsia"/>
          <w:lang w:val="en-GB"/>
        </w:rPr>
        <w:t>2013</w:t>
      </w:r>
      <w:r w:rsidRPr="0090064A">
        <w:rPr>
          <w:rFonts w:hint="eastAsia"/>
          <w:lang w:val="en-GB"/>
        </w:rPr>
        <w:t>年以来，报告的儿童性虐待案件数量在几年内有所下降，但在</w:t>
      </w:r>
      <w:r w:rsidRPr="0090064A">
        <w:rPr>
          <w:rFonts w:hint="eastAsia"/>
          <w:lang w:val="en-GB"/>
        </w:rPr>
        <w:t>2018</w:t>
      </w:r>
      <w:r w:rsidRPr="0090064A">
        <w:rPr>
          <w:rFonts w:hint="eastAsia"/>
          <w:lang w:val="en-GB"/>
        </w:rPr>
        <w:t>年再次增加。然而，关于这种犯罪的统计数据并不一定表明这种犯罪有所增加，而是表明当局实施了更严格的控制，以及被发现的风险增加了，受害者研究也表明了这一点。连环犯罪对犯罪统计数字也有相当大的影响。芬兰意识到互联网在性虐待儿童和青年人的罪行方面提供了更多的机会，并特别关切诱骗现象。</w:t>
      </w:r>
    </w:p>
    <w:p w:rsidR="0090064A" w:rsidRPr="0090064A" w:rsidRDefault="0090064A" w:rsidP="00CF48EC">
      <w:pPr>
        <w:pStyle w:val="H1GC"/>
        <w:rPr>
          <w:lang w:val="en-GB"/>
        </w:rPr>
      </w:pPr>
      <w:r w:rsidRPr="0090064A">
        <w:rPr>
          <w:rFonts w:hint="eastAsia"/>
          <w:lang w:val="en-GB"/>
        </w:rPr>
        <w:tab/>
      </w:r>
      <w:r w:rsidRPr="0090064A">
        <w:rPr>
          <w:rFonts w:hint="eastAsia"/>
          <w:lang w:val="en-GB"/>
        </w:rPr>
        <w:tab/>
      </w:r>
      <w:r w:rsidRPr="0090064A">
        <w:rPr>
          <w:rFonts w:hint="eastAsia"/>
          <w:lang w:val="en-GB"/>
        </w:rPr>
        <w:t>仇恨犯罪</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225.</w:t>
      </w:r>
      <w:r w:rsidRPr="0090064A">
        <w:rPr>
          <w:rFonts w:hint="eastAsia"/>
          <w:lang w:val="en-GB"/>
        </w:rPr>
        <w:tab/>
      </w:r>
      <w:r w:rsidRPr="0090064A">
        <w:rPr>
          <w:rFonts w:hint="eastAsia"/>
          <w:lang w:val="en-GB"/>
        </w:rPr>
        <w:t>在芬兰，对向警方报案的仇恨犯罪已监控了</w:t>
      </w:r>
      <w:r w:rsidRPr="0090064A">
        <w:rPr>
          <w:rFonts w:hint="eastAsia"/>
          <w:lang w:val="en-GB"/>
        </w:rPr>
        <w:t>20</w:t>
      </w:r>
      <w:r w:rsidRPr="0090064A">
        <w:rPr>
          <w:rFonts w:hint="eastAsia"/>
          <w:lang w:val="en-GB"/>
        </w:rPr>
        <w:t>多年。关于仇恨犯罪的统计数字是依据警方接到的报案数据而编制。</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226.</w:t>
      </w:r>
      <w:r w:rsidRPr="0090064A">
        <w:rPr>
          <w:rFonts w:hint="eastAsia"/>
          <w:lang w:val="en-GB"/>
        </w:rPr>
        <w:tab/>
      </w:r>
      <w:r w:rsidRPr="0090064A">
        <w:rPr>
          <w:rFonts w:hint="eastAsia"/>
          <w:lang w:val="en-GB"/>
        </w:rPr>
        <w:t>近年来，警方加强了识别和预防仇恨犯罪的活动。根据芬兰国家警察总局的指导方针，警方在接到报案时，只要有理由怀疑案件涉及仇恨犯罪的某方面，就应将其归入仇恨犯罪类别。</w:t>
      </w:r>
      <w:r w:rsidRPr="0090064A">
        <w:rPr>
          <w:rFonts w:hint="eastAsia"/>
          <w:lang w:val="en-GB"/>
        </w:rPr>
        <w:t>2017</w:t>
      </w:r>
      <w:r w:rsidRPr="0090064A">
        <w:rPr>
          <w:rFonts w:hint="eastAsia"/>
          <w:lang w:val="en-GB"/>
        </w:rPr>
        <w:t>年，在接到的所有仇恨犯罪报案中，警方将</w:t>
      </w:r>
      <w:r w:rsidRPr="0090064A">
        <w:rPr>
          <w:rFonts w:hint="eastAsia"/>
          <w:lang w:val="en-GB"/>
        </w:rPr>
        <w:t>39%</w:t>
      </w:r>
      <w:r w:rsidRPr="0090064A">
        <w:rPr>
          <w:rFonts w:hint="eastAsia"/>
          <w:lang w:val="en-GB"/>
        </w:rPr>
        <w:t>的案件归入了仇恨犯罪的类别，而</w:t>
      </w:r>
      <w:r w:rsidRPr="0090064A">
        <w:rPr>
          <w:rFonts w:hint="eastAsia"/>
          <w:lang w:val="en-GB"/>
        </w:rPr>
        <w:t>2016</w:t>
      </w:r>
      <w:r w:rsidRPr="0090064A">
        <w:rPr>
          <w:rFonts w:hint="eastAsia"/>
          <w:lang w:val="en-GB"/>
        </w:rPr>
        <w:t>年这一比例为</w:t>
      </w:r>
      <w:r w:rsidRPr="0090064A">
        <w:rPr>
          <w:rFonts w:hint="eastAsia"/>
          <w:lang w:val="en-GB"/>
        </w:rPr>
        <w:t>23%</w:t>
      </w:r>
      <w:r w:rsidRPr="0090064A">
        <w:rPr>
          <w:rFonts w:hint="eastAsia"/>
          <w:lang w:val="en-GB"/>
        </w:rPr>
        <w:t>。分类比率上升的一个主要原因是加强了向警方提供的有关仇恨犯罪的特别培训。</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227.</w:t>
      </w:r>
      <w:r w:rsidRPr="0090064A">
        <w:rPr>
          <w:rFonts w:hint="eastAsia"/>
          <w:lang w:val="en-GB"/>
        </w:rPr>
        <w:tab/>
        <w:t>2017</w:t>
      </w:r>
      <w:r w:rsidRPr="0090064A">
        <w:rPr>
          <w:rFonts w:hint="eastAsia"/>
          <w:lang w:val="en-GB"/>
        </w:rPr>
        <w:t>年初，赫尔辛基警察局成立了全国仇恨言论调查小组，负责调查互联网上</w:t>
      </w:r>
      <w:proofErr w:type="gramStart"/>
      <w:r w:rsidRPr="0090064A">
        <w:rPr>
          <w:rFonts w:hint="eastAsia"/>
          <w:lang w:val="en-GB"/>
        </w:rPr>
        <w:t>可处罚</w:t>
      </w:r>
      <w:proofErr w:type="gramEnd"/>
      <w:r w:rsidRPr="0090064A">
        <w:rPr>
          <w:rFonts w:hint="eastAsia"/>
          <w:lang w:val="en-GB"/>
        </w:rPr>
        <w:t>的仇恨言论。</w:t>
      </w:r>
      <w:r w:rsidRPr="0090064A">
        <w:rPr>
          <w:rFonts w:hint="eastAsia"/>
          <w:lang w:val="en-GB"/>
        </w:rPr>
        <w:t>2017</w:t>
      </w:r>
      <w:r w:rsidRPr="0090064A">
        <w:rPr>
          <w:rFonts w:hint="eastAsia"/>
          <w:lang w:val="en-GB"/>
        </w:rPr>
        <w:t>年仇恨犯罪相关报案数量增加确实主要归功于该小组的举报，涉及的罪行有种族煽动、诽谤或威胁。</w:t>
      </w:r>
    </w:p>
    <w:p w:rsidR="0090064A" w:rsidRPr="0090064A" w:rsidRDefault="0090064A" w:rsidP="00CF48EC">
      <w:pPr>
        <w:pStyle w:val="H23GC"/>
        <w:rPr>
          <w:lang w:val="en-GB"/>
        </w:rPr>
      </w:pPr>
      <w:r w:rsidRPr="0090064A">
        <w:rPr>
          <w:rFonts w:hint="eastAsia"/>
          <w:lang w:val="en-GB"/>
        </w:rPr>
        <w:lastRenderedPageBreak/>
        <w:tab/>
      </w:r>
      <w:r w:rsidRPr="0090064A">
        <w:rPr>
          <w:rFonts w:hint="eastAsia"/>
          <w:lang w:val="en-GB"/>
        </w:rPr>
        <w:tab/>
      </w:r>
      <w:r w:rsidRPr="0090064A">
        <w:rPr>
          <w:rFonts w:hint="eastAsia"/>
          <w:lang w:val="en-GB"/>
        </w:rPr>
        <w:t>监禁刑罚</w:t>
      </w:r>
    </w:p>
    <w:p w:rsidR="0090064A" w:rsidRPr="0090064A" w:rsidRDefault="0090064A" w:rsidP="0090064A">
      <w:pPr>
        <w:pStyle w:val="SingleTxtGC"/>
        <w:tabs>
          <w:tab w:val="clear" w:pos="1565"/>
          <w:tab w:val="clear" w:pos="1996"/>
          <w:tab w:val="clear" w:pos="2427"/>
        </w:tabs>
        <w:rPr>
          <w:lang w:val="en-GB"/>
        </w:rPr>
      </w:pPr>
      <w:r w:rsidRPr="0090064A">
        <w:rPr>
          <w:rFonts w:hint="eastAsia"/>
          <w:lang w:val="en-GB"/>
        </w:rPr>
        <w:t>228.</w:t>
      </w:r>
      <w:r w:rsidRPr="0090064A">
        <w:rPr>
          <w:rFonts w:hint="eastAsia"/>
          <w:lang w:val="en-GB"/>
        </w:rPr>
        <w:tab/>
        <w:t>2018</w:t>
      </w:r>
      <w:r w:rsidRPr="0090064A">
        <w:rPr>
          <w:rFonts w:hint="eastAsia"/>
          <w:lang w:val="en-GB"/>
        </w:rPr>
        <w:t>年有</w:t>
      </w:r>
      <w:r w:rsidRPr="0090064A">
        <w:rPr>
          <w:rFonts w:hint="eastAsia"/>
          <w:lang w:val="en-GB"/>
        </w:rPr>
        <w:t>20,008</w:t>
      </w:r>
      <w:r w:rsidRPr="0090064A">
        <w:rPr>
          <w:rFonts w:hint="eastAsia"/>
          <w:lang w:val="en-GB"/>
        </w:rPr>
        <w:t>人被判处监禁，比前一年增加</w:t>
      </w:r>
      <w:r w:rsidRPr="0090064A">
        <w:rPr>
          <w:rFonts w:hint="eastAsia"/>
          <w:lang w:val="en-GB"/>
        </w:rPr>
        <w:t>4.4%</w:t>
      </w:r>
      <w:r w:rsidRPr="0090064A">
        <w:rPr>
          <w:rFonts w:hint="eastAsia"/>
          <w:lang w:val="en-GB"/>
        </w:rPr>
        <w:t>。打破了自</w:t>
      </w:r>
      <w:r w:rsidRPr="0090064A">
        <w:rPr>
          <w:rFonts w:hint="eastAsia"/>
          <w:lang w:val="en-GB"/>
        </w:rPr>
        <w:t>2004</w:t>
      </w:r>
      <w:r w:rsidRPr="0090064A">
        <w:rPr>
          <w:rFonts w:hint="eastAsia"/>
          <w:lang w:val="en-GB"/>
        </w:rPr>
        <w:t>年以来被判处监禁的案件数量一直下降的趋势。</w:t>
      </w:r>
      <w:proofErr w:type="gramStart"/>
      <w:r w:rsidRPr="0090064A">
        <w:rPr>
          <w:rFonts w:hint="eastAsia"/>
          <w:lang w:val="en-GB"/>
        </w:rPr>
        <w:t>监禁刑占</w:t>
      </w:r>
      <w:proofErr w:type="gramEnd"/>
      <w:r w:rsidRPr="0090064A">
        <w:rPr>
          <w:rFonts w:hint="eastAsia"/>
          <w:lang w:val="en-GB"/>
        </w:rPr>
        <w:t>28%</w:t>
      </w:r>
      <w:r w:rsidRPr="0090064A">
        <w:rPr>
          <w:rFonts w:hint="eastAsia"/>
          <w:lang w:val="en-GB"/>
        </w:rPr>
        <w:t>，</w:t>
      </w:r>
      <w:proofErr w:type="gramStart"/>
      <w:r w:rsidRPr="0090064A">
        <w:rPr>
          <w:rFonts w:hint="eastAsia"/>
          <w:lang w:val="en-GB"/>
        </w:rPr>
        <w:t>缓刑占</w:t>
      </w:r>
      <w:proofErr w:type="gramEnd"/>
      <w:r w:rsidRPr="0090064A">
        <w:rPr>
          <w:rFonts w:hint="eastAsia"/>
          <w:lang w:val="en-GB"/>
        </w:rPr>
        <w:t>64%</w:t>
      </w:r>
      <w:r w:rsidRPr="0090064A">
        <w:rPr>
          <w:rFonts w:hint="eastAsia"/>
          <w:lang w:val="en-GB"/>
        </w:rPr>
        <w:t>。</w:t>
      </w:r>
    </w:p>
    <w:p w:rsidR="006D0EA7" w:rsidRPr="008E199F" w:rsidRDefault="0090064A" w:rsidP="008E199F">
      <w:pPr>
        <w:pStyle w:val="SingleTxtGC"/>
        <w:tabs>
          <w:tab w:val="clear" w:pos="1565"/>
          <w:tab w:val="clear" w:pos="1996"/>
          <w:tab w:val="clear" w:pos="2427"/>
        </w:tabs>
        <w:rPr>
          <w:rFonts w:ascii="Time New Roman" w:eastAsia="黑体" w:hAnsi="Time New Roman" w:hint="eastAsia"/>
          <w:lang w:val="en-GB"/>
        </w:rPr>
      </w:pPr>
      <w:r w:rsidRPr="0090064A">
        <w:rPr>
          <w:rFonts w:hint="eastAsia"/>
          <w:lang w:val="en-GB"/>
        </w:rPr>
        <w:t>表</w:t>
      </w:r>
      <w:r w:rsidRPr="0090064A">
        <w:rPr>
          <w:rFonts w:hint="eastAsia"/>
          <w:lang w:val="en-GB"/>
        </w:rPr>
        <w:t>17.</w:t>
      </w:r>
      <w:r w:rsidR="008E199F">
        <w:rPr>
          <w:lang w:val="en-GB"/>
        </w:rPr>
        <w:br/>
      </w:r>
      <w:r w:rsidRPr="008E199F">
        <w:rPr>
          <w:rFonts w:ascii="Time New Roman" w:eastAsia="黑体" w:hAnsi="Time New Roman" w:hint="eastAsia"/>
          <w:lang w:val="en-GB"/>
        </w:rPr>
        <w:t>还押和监禁的平均期限</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2693"/>
        <w:gridCol w:w="3117"/>
      </w:tblGrid>
      <w:tr w:rsidR="008E199F" w:rsidRPr="00DF193A" w:rsidTr="008E199F">
        <w:trPr>
          <w:tblHeader/>
        </w:trPr>
        <w:tc>
          <w:tcPr>
            <w:tcW w:w="1560" w:type="dxa"/>
            <w:tcBorders>
              <w:top w:val="single" w:sz="4" w:space="0" w:color="auto"/>
              <w:bottom w:val="single" w:sz="12" w:space="0" w:color="auto"/>
            </w:tcBorders>
            <w:shd w:val="clear" w:color="auto" w:fill="auto"/>
            <w:vAlign w:val="bottom"/>
          </w:tcPr>
          <w:p w:rsidR="008E199F" w:rsidRPr="00DF193A" w:rsidRDefault="008E199F" w:rsidP="00B35CBF">
            <w:pPr>
              <w:pStyle w:val="a4"/>
              <w:ind w:right="0"/>
              <w:jc w:val="left"/>
              <w:rPr>
                <w:bCs/>
                <w:sz w:val="16"/>
                <w:szCs w:val="24"/>
              </w:rPr>
            </w:pPr>
            <w:r w:rsidRPr="00DF193A">
              <w:rPr>
                <w:lang w:val="zh-CN"/>
              </w:rPr>
              <w:t>年份</w:t>
            </w:r>
          </w:p>
        </w:tc>
        <w:tc>
          <w:tcPr>
            <w:tcW w:w="2693" w:type="dxa"/>
            <w:tcBorders>
              <w:top w:val="single" w:sz="4" w:space="0" w:color="auto"/>
              <w:bottom w:val="single" w:sz="12" w:space="0" w:color="auto"/>
            </w:tcBorders>
            <w:shd w:val="clear" w:color="auto" w:fill="auto"/>
            <w:vAlign w:val="bottom"/>
          </w:tcPr>
          <w:p w:rsidR="008E199F" w:rsidRPr="00DF193A" w:rsidRDefault="008E199F" w:rsidP="00B35CBF">
            <w:pPr>
              <w:pStyle w:val="a4"/>
              <w:ind w:right="0"/>
              <w:jc w:val="right"/>
              <w:rPr>
                <w:bCs/>
                <w:sz w:val="16"/>
                <w:szCs w:val="24"/>
              </w:rPr>
            </w:pPr>
            <w:r w:rsidRPr="00DF193A">
              <w:rPr>
                <w:lang w:val="zh-CN"/>
              </w:rPr>
              <w:t>平均还押期限</w:t>
            </w:r>
            <w:r>
              <w:rPr>
                <w:lang w:val="zh-CN"/>
              </w:rPr>
              <w:t>(</w:t>
            </w:r>
            <w:r w:rsidRPr="00DF193A">
              <w:rPr>
                <w:lang w:val="zh-CN"/>
              </w:rPr>
              <w:t>月</w:t>
            </w:r>
            <w:r>
              <w:rPr>
                <w:lang w:val="zh-CN"/>
              </w:rPr>
              <w:t>)</w:t>
            </w:r>
          </w:p>
        </w:tc>
        <w:tc>
          <w:tcPr>
            <w:tcW w:w="3117" w:type="dxa"/>
            <w:tcBorders>
              <w:top w:val="single" w:sz="4" w:space="0" w:color="auto"/>
              <w:bottom w:val="single" w:sz="12" w:space="0" w:color="auto"/>
            </w:tcBorders>
            <w:shd w:val="clear" w:color="auto" w:fill="auto"/>
            <w:vAlign w:val="bottom"/>
          </w:tcPr>
          <w:p w:rsidR="008E199F" w:rsidRPr="00DF193A" w:rsidRDefault="008E199F" w:rsidP="00B35CBF">
            <w:pPr>
              <w:pStyle w:val="a4"/>
              <w:ind w:right="0"/>
              <w:jc w:val="right"/>
              <w:rPr>
                <w:bCs/>
                <w:sz w:val="16"/>
                <w:szCs w:val="24"/>
              </w:rPr>
            </w:pPr>
            <w:r w:rsidRPr="00DF193A">
              <w:rPr>
                <w:lang w:val="zh-CN"/>
              </w:rPr>
              <w:t>获释囚犯服刑时的平均刑期</w:t>
            </w:r>
            <w:r>
              <w:rPr>
                <w:lang w:val="zh-CN"/>
              </w:rPr>
              <w:t>(</w:t>
            </w:r>
            <w:r w:rsidRPr="00DF193A">
              <w:rPr>
                <w:lang w:val="zh-CN"/>
              </w:rPr>
              <w:t>月</w:t>
            </w:r>
            <w:r>
              <w:rPr>
                <w:lang w:val="zh-CN"/>
              </w:rPr>
              <w:t>)</w:t>
            </w:r>
          </w:p>
        </w:tc>
      </w:tr>
      <w:tr w:rsidR="008E199F" w:rsidRPr="00DF193A" w:rsidTr="008E199F">
        <w:tc>
          <w:tcPr>
            <w:tcW w:w="1560" w:type="dxa"/>
            <w:tcBorders>
              <w:top w:val="single" w:sz="12" w:space="0" w:color="auto"/>
            </w:tcBorders>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00</w:t>
            </w:r>
            <w:r>
              <w:rPr>
                <w:lang w:val="zh-CN"/>
              </w:rPr>
              <w:t>9</w:t>
            </w:r>
          </w:p>
        </w:tc>
        <w:tc>
          <w:tcPr>
            <w:tcW w:w="2693" w:type="dxa"/>
            <w:tcBorders>
              <w:top w:val="single" w:sz="12" w:space="0" w:color="auto"/>
            </w:tcBorders>
            <w:shd w:val="clear" w:color="auto" w:fill="auto"/>
            <w:vAlign w:val="bottom"/>
          </w:tcPr>
          <w:p w:rsidR="008E199F" w:rsidRPr="00DF193A" w:rsidRDefault="008E199F" w:rsidP="00B35CBF">
            <w:pPr>
              <w:pStyle w:val="a3"/>
              <w:overflowPunct/>
              <w:ind w:right="0"/>
              <w:jc w:val="right"/>
              <w:rPr>
                <w:szCs w:val="24"/>
              </w:rPr>
            </w:pPr>
            <w:r>
              <w:rPr>
                <w:lang w:val="zh-CN"/>
              </w:rPr>
              <w:t>3.5</w:t>
            </w:r>
          </w:p>
        </w:tc>
        <w:tc>
          <w:tcPr>
            <w:tcW w:w="3117" w:type="dxa"/>
            <w:tcBorders>
              <w:top w:val="single" w:sz="12" w:space="0" w:color="auto"/>
            </w:tcBorders>
            <w:shd w:val="clear" w:color="auto" w:fill="auto"/>
            <w:vAlign w:val="bottom"/>
          </w:tcPr>
          <w:p w:rsidR="008E199F" w:rsidRPr="00DF193A" w:rsidRDefault="008E199F" w:rsidP="00B35CBF">
            <w:pPr>
              <w:pStyle w:val="a3"/>
              <w:overflowPunct/>
              <w:ind w:right="0"/>
              <w:jc w:val="right"/>
              <w:rPr>
                <w:szCs w:val="24"/>
              </w:rPr>
            </w:pPr>
            <w:r>
              <w:rPr>
                <w:lang w:val="zh-CN"/>
              </w:rPr>
              <w:t>8.7</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w:t>
            </w:r>
            <w:r w:rsidRPr="00DF193A">
              <w:rPr>
                <w:lang w:val="zh-CN"/>
              </w:rPr>
              <w:t>0</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3.6</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8.7</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11</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3.5</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9.</w:t>
            </w:r>
            <w:r w:rsidRPr="00DF193A">
              <w:rPr>
                <w:lang w:val="zh-CN"/>
              </w:rPr>
              <w:t>0</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bookmarkStart w:id="1" w:name="_Hlk14164412"/>
            <w:r>
              <w:rPr>
                <w:lang w:val="zh-CN"/>
              </w:rPr>
              <w:t>2</w:t>
            </w:r>
            <w:r w:rsidRPr="00DF193A">
              <w:rPr>
                <w:lang w:val="zh-CN"/>
              </w:rPr>
              <w:t>0</w:t>
            </w:r>
            <w:r>
              <w:rPr>
                <w:lang w:val="zh-CN"/>
              </w:rPr>
              <w:t>12</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3.4</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9.3</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bookmarkStart w:id="2" w:name="_Hlk14164145"/>
            <w:bookmarkEnd w:id="1"/>
            <w:r>
              <w:rPr>
                <w:lang w:val="zh-CN"/>
              </w:rPr>
              <w:t>2</w:t>
            </w:r>
            <w:r w:rsidRPr="00DF193A">
              <w:rPr>
                <w:lang w:val="zh-CN"/>
              </w:rPr>
              <w:t>0</w:t>
            </w:r>
            <w:r>
              <w:rPr>
                <w:lang w:val="zh-CN"/>
              </w:rPr>
              <w:t>13</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3.5</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10.</w:t>
            </w:r>
            <w:r w:rsidRPr="00DF193A">
              <w:rPr>
                <w:lang w:val="zh-CN"/>
              </w:rPr>
              <w:t>0</w:t>
            </w:r>
          </w:p>
        </w:tc>
      </w:tr>
      <w:bookmarkEnd w:id="2"/>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14</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3.8</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10.5</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15</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3.6</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10.6</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16</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3.6</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11.1</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17</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3.7</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11.3</w:t>
            </w:r>
          </w:p>
        </w:tc>
      </w:tr>
      <w:tr w:rsidR="008E199F" w:rsidRPr="00DF193A" w:rsidTr="008E199F">
        <w:tc>
          <w:tcPr>
            <w:tcW w:w="1560" w:type="dxa"/>
            <w:shd w:val="clear" w:color="auto" w:fill="auto"/>
          </w:tcPr>
          <w:p w:rsidR="008E199F" w:rsidRPr="00DF193A" w:rsidRDefault="008E199F" w:rsidP="00B35CBF">
            <w:pPr>
              <w:pStyle w:val="a3"/>
              <w:overflowPunct/>
              <w:ind w:right="0"/>
              <w:jc w:val="left"/>
              <w:rPr>
                <w:szCs w:val="24"/>
              </w:rPr>
            </w:pPr>
            <w:r>
              <w:rPr>
                <w:lang w:val="zh-CN"/>
              </w:rPr>
              <w:t>2</w:t>
            </w:r>
            <w:r w:rsidRPr="00DF193A">
              <w:rPr>
                <w:lang w:val="zh-CN"/>
              </w:rPr>
              <w:t>0</w:t>
            </w:r>
            <w:r>
              <w:rPr>
                <w:lang w:val="zh-CN"/>
              </w:rPr>
              <w:t>18</w:t>
            </w:r>
          </w:p>
        </w:tc>
        <w:tc>
          <w:tcPr>
            <w:tcW w:w="2693" w:type="dxa"/>
            <w:shd w:val="clear" w:color="auto" w:fill="auto"/>
            <w:vAlign w:val="bottom"/>
          </w:tcPr>
          <w:p w:rsidR="008E199F" w:rsidRPr="00DF193A" w:rsidRDefault="008E199F" w:rsidP="00B35CBF">
            <w:pPr>
              <w:pStyle w:val="a3"/>
              <w:overflowPunct/>
              <w:ind w:right="0"/>
              <w:jc w:val="right"/>
              <w:rPr>
                <w:szCs w:val="24"/>
              </w:rPr>
            </w:pPr>
            <w:r>
              <w:rPr>
                <w:lang w:val="zh-CN"/>
              </w:rPr>
              <w:t>3.5</w:t>
            </w:r>
          </w:p>
        </w:tc>
        <w:tc>
          <w:tcPr>
            <w:tcW w:w="3117" w:type="dxa"/>
            <w:shd w:val="clear" w:color="auto" w:fill="auto"/>
            <w:vAlign w:val="bottom"/>
          </w:tcPr>
          <w:p w:rsidR="008E199F" w:rsidRPr="00DF193A" w:rsidRDefault="008E199F" w:rsidP="00B35CBF">
            <w:pPr>
              <w:pStyle w:val="a3"/>
              <w:overflowPunct/>
              <w:ind w:right="0"/>
              <w:jc w:val="right"/>
              <w:rPr>
                <w:szCs w:val="24"/>
              </w:rPr>
            </w:pPr>
            <w:r>
              <w:rPr>
                <w:lang w:val="zh-CN"/>
              </w:rPr>
              <w:t>11.</w:t>
            </w:r>
            <w:r w:rsidRPr="00DF193A">
              <w:rPr>
                <w:lang w:val="zh-CN"/>
              </w:rPr>
              <w:t>0</w:t>
            </w:r>
          </w:p>
        </w:tc>
      </w:tr>
    </w:tbl>
    <w:p w:rsidR="008E199F" w:rsidRPr="00613913" w:rsidRDefault="008E199F" w:rsidP="008E199F">
      <w:pPr>
        <w:pStyle w:val="ac"/>
        <w:spacing w:before="120" w:after="120"/>
        <w:rPr>
          <w:lang w:val="en-GB"/>
        </w:rPr>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003A5D2F" w:rsidRPr="003A5D2F">
        <w:rPr>
          <w:rFonts w:hint="eastAsia"/>
        </w:rPr>
        <w:t>刑事制裁机构。</w:t>
      </w:r>
    </w:p>
    <w:p w:rsidR="003A5D2F" w:rsidRPr="003A5D2F" w:rsidRDefault="003A5D2F" w:rsidP="003A5D2F">
      <w:pPr>
        <w:pStyle w:val="SingleTxtGC"/>
        <w:tabs>
          <w:tab w:val="clear" w:pos="1565"/>
          <w:tab w:val="clear" w:pos="1996"/>
          <w:tab w:val="clear" w:pos="2427"/>
        </w:tabs>
        <w:rPr>
          <w:lang w:val="en-GB"/>
        </w:rPr>
      </w:pPr>
      <w:r w:rsidRPr="003A5D2F">
        <w:rPr>
          <w:rFonts w:hint="eastAsia"/>
          <w:lang w:val="en-GB"/>
        </w:rPr>
        <w:t>229.</w:t>
      </w:r>
      <w:r w:rsidRPr="003A5D2F">
        <w:rPr>
          <w:rFonts w:hint="eastAsia"/>
          <w:lang w:val="en-GB"/>
        </w:rPr>
        <w:tab/>
      </w:r>
      <w:r w:rsidRPr="003A5D2F">
        <w:rPr>
          <w:rFonts w:hint="eastAsia"/>
          <w:lang w:val="en-GB"/>
        </w:rPr>
        <w:t>自</w:t>
      </w:r>
      <w:proofErr w:type="gramStart"/>
      <w:r w:rsidRPr="003A5D2F">
        <w:rPr>
          <w:rFonts w:hint="eastAsia"/>
          <w:lang w:val="en-GB"/>
        </w:rPr>
        <w:t>1970</w:t>
      </w:r>
      <w:proofErr w:type="gramEnd"/>
      <w:r w:rsidRPr="003A5D2F">
        <w:rPr>
          <w:rFonts w:hint="eastAsia"/>
          <w:lang w:val="en-GB"/>
        </w:rPr>
        <w:t>年代以来，芬兰的监狱人口减少了三分之一以上。同期，强化了刑事制裁制度，增加了新的制裁形式，如监督刑期。</w:t>
      </w:r>
    </w:p>
    <w:p w:rsidR="001C00EA" w:rsidRPr="008E199F" w:rsidRDefault="003A5D2F" w:rsidP="003A5D2F">
      <w:pPr>
        <w:pStyle w:val="SingleTxtGC"/>
        <w:rPr>
          <w:lang w:val="en-GB"/>
        </w:rPr>
      </w:pPr>
      <w:r w:rsidRPr="003A5D2F">
        <w:rPr>
          <w:rFonts w:hint="eastAsia"/>
          <w:lang w:val="en-GB"/>
        </w:rPr>
        <w:t>表</w:t>
      </w:r>
      <w:r w:rsidRPr="003A5D2F">
        <w:rPr>
          <w:rFonts w:hint="eastAsia"/>
          <w:lang w:val="en-GB"/>
        </w:rPr>
        <w:t>18.</w:t>
      </w:r>
      <w:r>
        <w:rPr>
          <w:lang w:val="en-GB"/>
        </w:rPr>
        <w:br/>
      </w:r>
      <w:r w:rsidRPr="003A5D2F">
        <w:rPr>
          <w:rFonts w:ascii="Time New Roman" w:eastAsia="黑体" w:hAnsi="Time New Roman" w:hint="eastAsia"/>
          <w:lang w:val="en-GB"/>
        </w:rPr>
        <w:t>日均囚犯人数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9"/>
        <w:gridCol w:w="937"/>
        <w:gridCol w:w="937"/>
        <w:gridCol w:w="937"/>
        <w:gridCol w:w="937"/>
        <w:gridCol w:w="938"/>
        <w:gridCol w:w="992"/>
        <w:gridCol w:w="1133"/>
      </w:tblGrid>
      <w:tr w:rsidR="00B35CBF" w:rsidRPr="00AD35AE" w:rsidTr="00B35CBF">
        <w:trPr>
          <w:tblHeader/>
        </w:trPr>
        <w:tc>
          <w:tcPr>
            <w:tcW w:w="559" w:type="dxa"/>
            <w:vMerge w:val="restart"/>
            <w:tcBorders>
              <w:top w:val="single" w:sz="4" w:space="0" w:color="auto"/>
            </w:tcBorders>
            <w:shd w:val="clear" w:color="auto" w:fill="auto"/>
            <w:vAlign w:val="bottom"/>
          </w:tcPr>
          <w:p w:rsidR="00B35CBF" w:rsidRPr="00AD35AE" w:rsidRDefault="00B35CBF" w:rsidP="00B35CBF">
            <w:pPr>
              <w:spacing w:before="80" w:after="80" w:line="200" w:lineRule="exact"/>
              <w:ind w:right="113"/>
              <w:jc w:val="left"/>
              <w:rPr>
                <w:rFonts w:ascii="Time New Roman" w:eastAsia="楷体" w:hAnsi="Time New Roman" w:hint="eastAsia"/>
                <w:bCs/>
                <w:sz w:val="18"/>
                <w:szCs w:val="18"/>
              </w:rPr>
            </w:pPr>
            <w:r w:rsidRPr="00AD35AE">
              <w:rPr>
                <w:rFonts w:ascii="Time New Roman" w:eastAsia="楷体" w:hAnsi="Time New Roman"/>
                <w:sz w:val="18"/>
                <w:szCs w:val="18"/>
                <w:lang w:val="zh-CN"/>
              </w:rPr>
              <w:t>年份</w:t>
            </w:r>
          </w:p>
        </w:tc>
        <w:tc>
          <w:tcPr>
            <w:tcW w:w="4686" w:type="dxa"/>
            <w:gridSpan w:val="5"/>
            <w:tcBorders>
              <w:top w:val="single" w:sz="4" w:space="0" w:color="auto"/>
              <w:bottom w:val="single" w:sz="4" w:space="0" w:color="auto"/>
            </w:tcBorders>
            <w:shd w:val="clear" w:color="auto" w:fill="auto"/>
            <w:vAlign w:val="bottom"/>
          </w:tcPr>
          <w:p w:rsidR="00B35CBF" w:rsidRPr="00AD35AE" w:rsidRDefault="00B35CBF" w:rsidP="00B35CBF">
            <w:pPr>
              <w:spacing w:before="80" w:after="80" w:line="200" w:lineRule="exact"/>
              <w:ind w:right="113"/>
              <w:jc w:val="center"/>
              <w:rPr>
                <w:rFonts w:ascii="Time New Roman" w:eastAsia="楷体" w:hAnsi="Time New Roman" w:hint="eastAsia"/>
                <w:bCs/>
                <w:sz w:val="18"/>
                <w:szCs w:val="18"/>
              </w:rPr>
            </w:pPr>
            <w:r w:rsidRPr="00AD35AE">
              <w:rPr>
                <w:rFonts w:ascii="Time New Roman" w:eastAsia="楷体" w:hAnsi="Time New Roman"/>
                <w:sz w:val="18"/>
                <w:szCs w:val="18"/>
                <w:lang w:val="zh-CN"/>
              </w:rPr>
              <w:t>日均囚犯人数</w:t>
            </w:r>
          </w:p>
        </w:tc>
        <w:tc>
          <w:tcPr>
            <w:tcW w:w="992" w:type="dxa"/>
            <w:vMerge w:val="restart"/>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获释囚犯</w:t>
            </w:r>
          </w:p>
        </w:tc>
        <w:tc>
          <w:tcPr>
            <w:tcW w:w="1133" w:type="dxa"/>
            <w:vMerge w:val="restart"/>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监狱</w:t>
            </w:r>
            <w:r w:rsidR="00164297">
              <w:rPr>
                <w:rFonts w:ascii="Time New Roman" w:eastAsia="楷体" w:hAnsi="Time New Roman"/>
                <w:sz w:val="18"/>
                <w:szCs w:val="18"/>
                <w:lang w:val="zh-CN"/>
              </w:rPr>
              <w:br/>
            </w:r>
            <w:proofErr w:type="gramStart"/>
            <w:r w:rsidRPr="00AD35AE">
              <w:rPr>
                <w:rFonts w:ascii="Time New Roman" w:eastAsia="楷体" w:hAnsi="Time New Roman"/>
                <w:sz w:val="18"/>
                <w:szCs w:val="18"/>
                <w:lang w:val="zh-CN"/>
              </w:rPr>
              <w:t>可用囚位</w:t>
            </w:r>
            <w:proofErr w:type="gramEnd"/>
            <w:r w:rsidR="00164297">
              <w:rPr>
                <w:rFonts w:ascii="Time New Roman" w:eastAsia="楷体" w:hAnsi="Time New Roman"/>
                <w:sz w:val="18"/>
                <w:szCs w:val="18"/>
                <w:lang w:val="zh-CN"/>
              </w:rPr>
              <w:br/>
            </w:r>
            <w:r w:rsidRPr="00AD35AE">
              <w:rPr>
                <w:rFonts w:ascii="Time New Roman" w:eastAsia="楷体" w:hAnsi="Time New Roman"/>
                <w:sz w:val="18"/>
                <w:szCs w:val="18"/>
                <w:lang w:val="zh-CN"/>
              </w:rPr>
              <w:t>(</w:t>
            </w:r>
            <w:r w:rsidRPr="00AD35AE">
              <w:rPr>
                <w:rFonts w:ascii="Time New Roman" w:eastAsia="楷体" w:hAnsi="Time New Roman"/>
                <w:sz w:val="18"/>
                <w:szCs w:val="18"/>
                <w:lang w:val="zh-CN"/>
              </w:rPr>
              <w:t>所有监狱</w:t>
            </w:r>
            <w:r w:rsidRPr="00AD35AE">
              <w:rPr>
                <w:rFonts w:ascii="Time New Roman" w:eastAsia="楷体" w:hAnsi="Time New Roman"/>
                <w:sz w:val="18"/>
                <w:szCs w:val="18"/>
                <w:lang w:val="zh-CN"/>
              </w:rPr>
              <w:t>)</w:t>
            </w:r>
          </w:p>
        </w:tc>
      </w:tr>
      <w:tr w:rsidR="00B35CBF" w:rsidRPr="00AD35AE" w:rsidTr="00B35CBF">
        <w:trPr>
          <w:tblHeader/>
        </w:trPr>
        <w:tc>
          <w:tcPr>
            <w:tcW w:w="559" w:type="dxa"/>
            <w:vMerge/>
            <w:tcBorders>
              <w:bottom w:val="single" w:sz="12" w:space="0" w:color="auto"/>
            </w:tcBorders>
            <w:shd w:val="clear" w:color="auto" w:fill="auto"/>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p>
        </w:tc>
        <w:tc>
          <w:tcPr>
            <w:tcW w:w="937" w:type="dxa"/>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共计</w:t>
            </w:r>
          </w:p>
        </w:tc>
        <w:tc>
          <w:tcPr>
            <w:tcW w:w="937" w:type="dxa"/>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妇女</w:t>
            </w:r>
          </w:p>
        </w:tc>
        <w:tc>
          <w:tcPr>
            <w:tcW w:w="937" w:type="dxa"/>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因未缴罚款入狱者</w:t>
            </w:r>
          </w:p>
        </w:tc>
        <w:tc>
          <w:tcPr>
            <w:tcW w:w="937" w:type="dxa"/>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还押囚犯</w:t>
            </w:r>
          </w:p>
        </w:tc>
        <w:tc>
          <w:tcPr>
            <w:tcW w:w="938" w:type="dxa"/>
            <w:tcBorders>
              <w:top w:val="single" w:sz="4"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r w:rsidRPr="00AD35AE">
              <w:rPr>
                <w:rFonts w:ascii="Time New Roman" w:eastAsia="楷体" w:hAnsi="Time New Roman"/>
                <w:sz w:val="18"/>
                <w:szCs w:val="18"/>
                <w:lang w:val="zh-CN"/>
              </w:rPr>
              <w:t>外国囚犯</w:t>
            </w:r>
          </w:p>
        </w:tc>
        <w:tc>
          <w:tcPr>
            <w:tcW w:w="992" w:type="dxa"/>
            <w:vMerge/>
            <w:tcBorders>
              <w:top w:val="single" w:sz="12"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p>
        </w:tc>
        <w:tc>
          <w:tcPr>
            <w:tcW w:w="1133" w:type="dxa"/>
            <w:vMerge/>
            <w:tcBorders>
              <w:top w:val="single" w:sz="12" w:space="0" w:color="auto"/>
              <w:bottom w:val="single" w:sz="12" w:space="0" w:color="auto"/>
            </w:tcBorders>
            <w:shd w:val="clear" w:color="auto" w:fill="auto"/>
            <w:vAlign w:val="bottom"/>
          </w:tcPr>
          <w:p w:rsidR="00B35CBF" w:rsidRPr="00AD35AE" w:rsidRDefault="00B35CBF" w:rsidP="00B35CBF">
            <w:pPr>
              <w:spacing w:before="80" w:after="80" w:line="200" w:lineRule="exact"/>
              <w:ind w:right="113"/>
              <w:jc w:val="right"/>
              <w:rPr>
                <w:rFonts w:ascii="Time New Roman" w:eastAsia="楷体" w:hAnsi="Time New Roman" w:hint="eastAsia"/>
                <w:bCs/>
                <w:sz w:val="18"/>
                <w:szCs w:val="18"/>
              </w:rPr>
            </w:pPr>
          </w:p>
        </w:tc>
      </w:tr>
      <w:tr w:rsidR="00B35CBF" w:rsidRPr="00AD35AE" w:rsidTr="00B35CBF">
        <w:tc>
          <w:tcPr>
            <w:tcW w:w="559" w:type="dxa"/>
            <w:tcBorders>
              <w:top w:val="single" w:sz="12" w:space="0" w:color="auto"/>
            </w:tcBorders>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2009</w:t>
            </w:r>
          </w:p>
        </w:tc>
        <w:tc>
          <w:tcPr>
            <w:tcW w:w="937"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3 492</w:t>
            </w:r>
          </w:p>
        </w:tc>
        <w:tc>
          <w:tcPr>
            <w:tcW w:w="937"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246</w:t>
            </w:r>
          </w:p>
        </w:tc>
        <w:tc>
          <w:tcPr>
            <w:tcW w:w="937"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83</w:t>
            </w:r>
          </w:p>
        </w:tc>
        <w:tc>
          <w:tcPr>
            <w:tcW w:w="937"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569</w:t>
            </w:r>
          </w:p>
        </w:tc>
        <w:tc>
          <w:tcPr>
            <w:tcW w:w="938"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370</w:t>
            </w:r>
          </w:p>
        </w:tc>
        <w:tc>
          <w:tcPr>
            <w:tcW w:w="992"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7 246</w:t>
            </w:r>
          </w:p>
        </w:tc>
        <w:tc>
          <w:tcPr>
            <w:tcW w:w="1133" w:type="dxa"/>
            <w:tcBorders>
              <w:top w:val="single" w:sz="12" w:space="0" w:color="auto"/>
            </w:tcBorders>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3 298</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2010</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3 291</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246</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57</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599</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394</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6 506</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3 113</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2011</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3 262</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234</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53</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598</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444</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6 358</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3 092</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2012</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3 236</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224</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49</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626</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470</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6 073</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3 089</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2013</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3 175</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242</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48</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578</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464</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5 851</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3 089</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2014</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3 097</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239</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52</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619</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483</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5 700</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3 083</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2015</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3 086</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231</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52</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597</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477</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5 573</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3 007</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2016</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3 120</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229</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57</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585</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537</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5 531</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2 959</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2017</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3 035</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230</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55</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597</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540</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5 576</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2 922</w:t>
            </w:r>
          </w:p>
        </w:tc>
      </w:tr>
      <w:tr w:rsidR="00B35CBF" w:rsidRPr="00AD35AE" w:rsidTr="00B35CBF">
        <w:tc>
          <w:tcPr>
            <w:tcW w:w="559" w:type="dxa"/>
            <w:shd w:val="clear" w:color="auto" w:fill="auto"/>
          </w:tcPr>
          <w:p w:rsidR="00B35CBF" w:rsidRPr="00AD35AE" w:rsidRDefault="00B35CBF" w:rsidP="00B35CBF">
            <w:pPr>
              <w:spacing w:before="40" w:after="40" w:line="220" w:lineRule="exact"/>
              <w:ind w:right="113"/>
              <w:rPr>
                <w:rFonts w:ascii="Time New Roman" w:eastAsia="楷体" w:hAnsi="Time New Roman" w:hint="eastAsia"/>
                <w:sz w:val="18"/>
                <w:szCs w:val="18"/>
              </w:rPr>
            </w:pPr>
            <w:r w:rsidRPr="00AD35AE">
              <w:rPr>
                <w:rFonts w:ascii="Time New Roman" w:eastAsia="楷体" w:hAnsi="Time New Roman"/>
                <w:sz w:val="18"/>
                <w:szCs w:val="18"/>
                <w:lang w:val="zh-CN"/>
              </w:rPr>
              <w:t>2018</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2 910</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218</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59</w:t>
            </w:r>
          </w:p>
        </w:tc>
        <w:tc>
          <w:tcPr>
            <w:tcW w:w="937"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547</w:t>
            </w:r>
          </w:p>
        </w:tc>
        <w:tc>
          <w:tcPr>
            <w:tcW w:w="938"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482</w:t>
            </w:r>
          </w:p>
        </w:tc>
        <w:tc>
          <w:tcPr>
            <w:tcW w:w="992"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5 531</w:t>
            </w:r>
          </w:p>
        </w:tc>
        <w:tc>
          <w:tcPr>
            <w:tcW w:w="1133" w:type="dxa"/>
            <w:shd w:val="clear" w:color="auto" w:fill="auto"/>
            <w:vAlign w:val="bottom"/>
          </w:tcPr>
          <w:p w:rsidR="00B35CBF" w:rsidRPr="00AD35AE" w:rsidRDefault="00B35CBF" w:rsidP="00B35CBF">
            <w:pPr>
              <w:spacing w:before="40" w:after="40" w:line="220" w:lineRule="exact"/>
              <w:ind w:right="113"/>
              <w:jc w:val="right"/>
              <w:rPr>
                <w:rFonts w:ascii="Time New Roman" w:eastAsia="楷体" w:hAnsi="Time New Roman" w:hint="eastAsia"/>
                <w:sz w:val="18"/>
                <w:szCs w:val="18"/>
              </w:rPr>
            </w:pPr>
            <w:r w:rsidRPr="00AD35AE">
              <w:rPr>
                <w:rFonts w:ascii="Time New Roman" w:eastAsia="楷体" w:hAnsi="Time New Roman"/>
                <w:sz w:val="18"/>
                <w:szCs w:val="18"/>
                <w:lang w:val="zh-CN"/>
              </w:rPr>
              <w:t>2 975</w:t>
            </w:r>
          </w:p>
        </w:tc>
      </w:tr>
    </w:tbl>
    <w:p w:rsidR="00164297" w:rsidRPr="00164297" w:rsidRDefault="00164297" w:rsidP="00164297">
      <w:pPr>
        <w:pStyle w:val="ac"/>
        <w:spacing w:before="120" w:after="120"/>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164297">
        <w:rPr>
          <w:rFonts w:hint="eastAsia"/>
        </w:rPr>
        <w:t>刑事制裁机构</w:t>
      </w:r>
      <w:r w:rsidRPr="00164297">
        <w:rPr>
          <w:rFonts w:hint="eastAsia"/>
        </w:rPr>
        <w:t>2018</w:t>
      </w:r>
      <w:r w:rsidRPr="00164297">
        <w:rPr>
          <w:rFonts w:hint="eastAsia"/>
        </w:rPr>
        <w:t>年统计年鉴。</w:t>
      </w:r>
    </w:p>
    <w:p w:rsidR="00164297" w:rsidRPr="00164297" w:rsidRDefault="00164297" w:rsidP="00164297">
      <w:pPr>
        <w:pStyle w:val="SingleTxtGC"/>
        <w:tabs>
          <w:tab w:val="clear" w:pos="1565"/>
          <w:tab w:val="clear" w:pos="1996"/>
          <w:tab w:val="clear" w:pos="2427"/>
        </w:tabs>
        <w:rPr>
          <w:lang w:val="en-GB"/>
        </w:rPr>
      </w:pPr>
      <w:r w:rsidRPr="00164297">
        <w:rPr>
          <w:rFonts w:hint="eastAsia"/>
          <w:lang w:val="en-GB"/>
        </w:rPr>
        <w:t>230.</w:t>
      </w:r>
      <w:r w:rsidRPr="00164297">
        <w:rPr>
          <w:rFonts w:hint="eastAsia"/>
          <w:lang w:val="en-GB"/>
        </w:rPr>
        <w:tab/>
      </w:r>
      <w:r w:rsidRPr="00164297">
        <w:rPr>
          <w:rFonts w:hint="eastAsia"/>
          <w:lang w:val="en-GB"/>
        </w:rPr>
        <w:t>芬兰监狱中的死亡事件很少见，在过去几年里，此类死亡人数一直维持在低水平。</w:t>
      </w:r>
    </w:p>
    <w:p w:rsidR="00164297" w:rsidRDefault="00164297">
      <w:pPr>
        <w:tabs>
          <w:tab w:val="clear" w:pos="431"/>
        </w:tabs>
        <w:overflowPunct/>
        <w:adjustRightInd/>
        <w:snapToGrid/>
        <w:spacing w:line="240" w:lineRule="auto"/>
        <w:jc w:val="left"/>
        <w:rPr>
          <w:lang w:val="en-GB"/>
        </w:rPr>
      </w:pPr>
      <w:r>
        <w:rPr>
          <w:lang w:val="en-GB"/>
        </w:rPr>
        <w:br w:type="page"/>
      </w:r>
    </w:p>
    <w:p w:rsidR="001C00EA" w:rsidRPr="00164297" w:rsidRDefault="00164297" w:rsidP="00164297">
      <w:pPr>
        <w:pStyle w:val="SingleTxtGC"/>
        <w:rPr>
          <w:rFonts w:ascii="Time New Roman" w:eastAsia="黑体" w:hAnsi="Time New Roman" w:hint="eastAsia"/>
          <w:lang w:val="en-GB"/>
        </w:rPr>
      </w:pPr>
      <w:r w:rsidRPr="00164297">
        <w:rPr>
          <w:rFonts w:hint="eastAsia"/>
          <w:lang w:val="en-GB"/>
        </w:rPr>
        <w:lastRenderedPageBreak/>
        <w:t>表</w:t>
      </w:r>
      <w:r w:rsidRPr="00164297">
        <w:rPr>
          <w:rFonts w:hint="eastAsia"/>
          <w:lang w:val="en-GB"/>
        </w:rPr>
        <w:t>19.</w:t>
      </w:r>
      <w:r>
        <w:rPr>
          <w:lang w:val="en-GB"/>
        </w:rPr>
        <w:br/>
      </w:r>
      <w:r w:rsidRPr="00164297">
        <w:rPr>
          <w:rFonts w:ascii="Time New Roman" w:eastAsia="黑体" w:hAnsi="Time New Roman" w:hint="eastAsia"/>
          <w:lang w:val="en-GB"/>
        </w:rPr>
        <w:t>监狱内的死亡人数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61"/>
        <w:gridCol w:w="762"/>
        <w:gridCol w:w="762"/>
        <w:gridCol w:w="762"/>
        <w:gridCol w:w="761"/>
        <w:gridCol w:w="762"/>
        <w:gridCol w:w="762"/>
        <w:gridCol w:w="762"/>
      </w:tblGrid>
      <w:tr w:rsidR="00ED01BD" w:rsidRPr="00DF193A" w:rsidTr="0062476F">
        <w:trPr>
          <w:tblHeader/>
        </w:trPr>
        <w:tc>
          <w:tcPr>
            <w:tcW w:w="127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left"/>
              <w:rPr>
                <w:bCs/>
                <w:sz w:val="16"/>
                <w:szCs w:val="24"/>
              </w:rPr>
            </w:pPr>
            <w:r w:rsidRPr="00DF193A">
              <w:rPr>
                <w:lang w:val="zh-CN"/>
              </w:rPr>
              <w:t>死因</w:t>
            </w:r>
            <w:r>
              <w:rPr>
                <w:lang w:val="zh-CN"/>
              </w:rPr>
              <w:t>/</w:t>
            </w:r>
            <w:r w:rsidRPr="00DF193A">
              <w:rPr>
                <w:lang w:val="zh-CN"/>
              </w:rPr>
              <w:t>年份</w:t>
            </w:r>
          </w:p>
        </w:tc>
        <w:tc>
          <w:tcPr>
            <w:tcW w:w="76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11</w:t>
            </w:r>
          </w:p>
        </w:tc>
        <w:tc>
          <w:tcPr>
            <w:tcW w:w="7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12</w:t>
            </w:r>
          </w:p>
        </w:tc>
        <w:tc>
          <w:tcPr>
            <w:tcW w:w="7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13</w:t>
            </w:r>
          </w:p>
        </w:tc>
        <w:tc>
          <w:tcPr>
            <w:tcW w:w="7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14</w:t>
            </w:r>
          </w:p>
        </w:tc>
        <w:tc>
          <w:tcPr>
            <w:tcW w:w="76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15</w:t>
            </w:r>
          </w:p>
        </w:tc>
        <w:tc>
          <w:tcPr>
            <w:tcW w:w="7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16</w:t>
            </w:r>
          </w:p>
        </w:tc>
        <w:tc>
          <w:tcPr>
            <w:tcW w:w="7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17</w:t>
            </w:r>
          </w:p>
        </w:tc>
        <w:tc>
          <w:tcPr>
            <w:tcW w:w="7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4"/>
              <w:ind w:right="0"/>
              <w:jc w:val="right"/>
              <w:rPr>
                <w:bCs/>
                <w:sz w:val="16"/>
                <w:szCs w:val="24"/>
              </w:rPr>
            </w:pPr>
            <w:r>
              <w:rPr>
                <w:lang w:val="zh-CN"/>
              </w:rPr>
              <w:t>2</w:t>
            </w:r>
            <w:r w:rsidRPr="00DF193A">
              <w:rPr>
                <w:lang w:val="zh-CN"/>
              </w:rPr>
              <w:t>0</w:t>
            </w:r>
            <w:r>
              <w:rPr>
                <w:lang w:val="zh-CN"/>
              </w:rPr>
              <w:t>18</w:t>
            </w:r>
          </w:p>
        </w:tc>
      </w:tr>
      <w:tr w:rsidR="00ED01BD" w:rsidRPr="00DF193A" w:rsidTr="0062476F">
        <w:tc>
          <w:tcPr>
            <w:tcW w:w="1276" w:type="dxa"/>
            <w:tcBorders>
              <w:top w:val="single" w:sz="12" w:space="0" w:color="auto"/>
            </w:tcBorders>
            <w:shd w:val="clear" w:color="auto" w:fill="auto"/>
            <w:tcMar>
              <w:top w:w="0" w:type="dxa"/>
              <w:left w:w="0" w:type="dxa"/>
              <w:bottom w:w="0" w:type="dxa"/>
              <w:right w:w="0" w:type="dxa"/>
            </w:tcMar>
            <w:hideMark/>
          </w:tcPr>
          <w:p w:rsidR="00ED01BD" w:rsidRPr="00DF193A" w:rsidRDefault="00ED01BD" w:rsidP="0062476F">
            <w:pPr>
              <w:pStyle w:val="a3"/>
              <w:overflowPunct/>
              <w:ind w:right="0"/>
              <w:jc w:val="left"/>
              <w:rPr>
                <w:szCs w:val="24"/>
              </w:rPr>
            </w:pPr>
            <w:r w:rsidRPr="00DF193A">
              <w:rPr>
                <w:lang w:val="zh-CN"/>
              </w:rPr>
              <w:t>自杀</w:t>
            </w:r>
          </w:p>
        </w:tc>
        <w:tc>
          <w:tcPr>
            <w:tcW w:w="761"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7</w:t>
            </w:r>
          </w:p>
        </w:tc>
        <w:tc>
          <w:tcPr>
            <w:tcW w:w="762"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1"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tcBorders>
              <w:top w:val="single" w:sz="12" w:space="0" w:color="auto"/>
            </w:tcBorders>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r>
      <w:tr w:rsidR="00ED01BD" w:rsidRPr="00DF193A" w:rsidTr="0062476F">
        <w:tc>
          <w:tcPr>
            <w:tcW w:w="1276" w:type="dxa"/>
            <w:shd w:val="clear" w:color="auto" w:fill="auto"/>
            <w:tcMar>
              <w:top w:w="0" w:type="dxa"/>
              <w:left w:w="0" w:type="dxa"/>
              <w:bottom w:w="0" w:type="dxa"/>
              <w:right w:w="0" w:type="dxa"/>
            </w:tcMar>
            <w:hideMark/>
          </w:tcPr>
          <w:p w:rsidR="00ED01BD" w:rsidRPr="00DF193A" w:rsidRDefault="00ED01BD" w:rsidP="0062476F">
            <w:pPr>
              <w:pStyle w:val="a3"/>
              <w:overflowPunct/>
              <w:ind w:right="0"/>
              <w:jc w:val="left"/>
              <w:rPr>
                <w:szCs w:val="24"/>
              </w:rPr>
            </w:pPr>
            <w:r w:rsidRPr="00DF193A">
              <w:rPr>
                <w:lang w:val="zh-CN"/>
              </w:rPr>
              <w:t>其他</w:t>
            </w:r>
          </w:p>
        </w:tc>
        <w:tc>
          <w:tcPr>
            <w:tcW w:w="761"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3</w:t>
            </w:r>
          </w:p>
        </w:tc>
        <w:tc>
          <w:tcPr>
            <w:tcW w:w="762"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3</w:t>
            </w:r>
          </w:p>
        </w:tc>
        <w:tc>
          <w:tcPr>
            <w:tcW w:w="762"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7</w:t>
            </w:r>
          </w:p>
        </w:tc>
        <w:tc>
          <w:tcPr>
            <w:tcW w:w="761"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1</w:t>
            </w:r>
          </w:p>
        </w:tc>
        <w:tc>
          <w:tcPr>
            <w:tcW w:w="762"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2</w:t>
            </w:r>
          </w:p>
        </w:tc>
        <w:tc>
          <w:tcPr>
            <w:tcW w:w="762"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sidRPr="00DF193A">
              <w:rPr>
                <w:lang w:val="zh-CN"/>
              </w:rPr>
              <w:t>0</w:t>
            </w:r>
          </w:p>
        </w:tc>
        <w:tc>
          <w:tcPr>
            <w:tcW w:w="762" w:type="dxa"/>
            <w:shd w:val="clear" w:color="auto" w:fill="auto"/>
            <w:tcMar>
              <w:top w:w="0" w:type="dxa"/>
              <w:left w:w="0" w:type="dxa"/>
              <w:bottom w:w="0" w:type="dxa"/>
              <w:right w:w="0" w:type="dxa"/>
            </w:tcMar>
            <w:vAlign w:val="bottom"/>
            <w:hideMark/>
          </w:tcPr>
          <w:p w:rsidR="00ED01BD" w:rsidRPr="00DF193A" w:rsidRDefault="00ED01BD" w:rsidP="0062476F">
            <w:pPr>
              <w:pStyle w:val="a3"/>
              <w:overflowPunct/>
              <w:ind w:right="0"/>
              <w:jc w:val="right"/>
              <w:rPr>
                <w:szCs w:val="24"/>
              </w:rPr>
            </w:pPr>
            <w:r>
              <w:rPr>
                <w:lang w:val="zh-CN"/>
              </w:rPr>
              <w:t>1</w:t>
            </w:r>
          </w:p>
        </w:tc>
      </w:tr>
    </w:tbl>
    <w:p w:rsidR="00ED01BD" w:rsidRPr="00164297" w:rsidRDefault="00ED01BD" w:rsidP="00ED01BD">
      <w:pPr>
        <w:pStyle w:val="ac"/>
        <w:spacing w:before="120" w:after="120"/>
      </w:pPr>
      <w:r w:rsidRPr="00DA312D">
        <w:rPr>
          <w:rFonts w:hint="eastAsia"/>
        </w:rPr>
        <w:tab/>
      </w:r>
      <w:r w:rsidRPr="00DA312D">
        <w:rPr>
          <w:rFonts w:hint="eastAsia"/>
        </w:rPr>
        <w:tab/>
      </w:r>
      <w:r w:rsidRPr="00DA312D">
        <w:rPr>
          <w:rFonts w:hint="eastAsia"/>
        </w:rPr>
        <w:tab/>
      </w:r>
      <w:r w:rsidRPr="00DA312D">
        <w:rPr>
          <w:rFonts w:ascii="Time New Roman" w:eastAsia="楷体" w:hAnsi="Time New Roman" w:hint="eastAsia"/>
        </w:rPr>
        <w:t>资料来源</w:t>
      </w:r>
      <w:r w:rsidRPr="00DA312D">
        <w:rPr>
          <w:rFonts w:hint="eastAsia"/>
        </w:rPr>
        <w:t>：</w:t>
      </w:r>
      <w:r w:rsidRPr="00ED01BD">
        <w:rPr>
          <w:rFonts w:hint="eastAsia"/>
        </w:rPr>
        <w:t>刑事制裁机构。</w:t>
      </w:r>
    </w:p>
    <w:p w:rsidR="003B2DE7" w:rsidRDefault="003B2DE7" w:rsidP="003B2DE7">
      <w:pPr>
        <w:pStyle w:val="H23GC"/>
      </w:pPr>
      <w:r>
        <w:rPr>
          <w:rFonts w:hint="eastAsia"/>
        </w:rPr>
        <w:tab/>
      </w:r>
      <w:r>
        <w:rPr>
          <w:rFonts w:hint="eastAsia"/>
        </w:rPr>
        <w:tab/>
      </w:r>
      <w:r>
        <w:rPr>
          <w:rFonts w:hint="eastAsia"/>
        </w:rPr>
        <w:t>死刑</w:t>
      </w:r>
    </w:p>
    <w:p w:rsidR="003B2DE7" w:rsidRDefault="003B2DE7" w:rsidP="003B2DE7">
      <w:pPr>
        <w:pStyle w:val="SingleTxtGC"/>
        <w:tabs>
          <w:tab w:val="clear" w:pos="1565"/>
          <w:tab w:val="clear" w:pos="1996"/>
          <w:tab w:val="clear" w:pos="2427"/>
        </w:tabs>
      </w:pPr>
      <w:r>
        <w:rPr>
          <w:rFonts w:hint="eastAsia"/>
        </w:rPr>
        <w:t>231.</w:t>
      </w:r>
      <w:r>
        <w:rPr>
          <w:rFonts w:hint="eastAsia"/>
        </w:rPr>
        <w:tab/>
      </w:r>
      <w:r w:rsidRPr="003B2DE7">
        <w:rPr>
          <w:rFonts w:hint="eastAsia"/>
          <w:lang w:val="en-GB"/>
        </w:rPr>
        <w:t>1972</w:t>
      </w:r>
      <w:r>
        <w:rPr>
          <w:rFonts w:hint="eastAsia"/>
        </w:rPr>
        <w:t>年芬兰废除了死刑。在和平时期，芬兰最后一次使用死刑是在</w:t>
      </w:r>
      <w:proofErr w:type="gramStart"/>
      <w:r>
        <w:rPr>
          <w:rFonts w:hint="eastAsia"/>
        </w:rPr>
        <w:t>1800</w:t>
      </w:r>
      <w:proofErr w:type="gramEnd"/>
      <w:r>
        <w:rPr>
          <w:rFonts w:hint="eastAsia"/>
        </w:rPr>
        <w:t>年代。</w:t>
      </w:r>
    </w:p>
    <w:p w:rsidR="003B2DE7" w:rsidRDefault="003B2DE7" w:rsidP="003B2DE7">
      <w:pPr>
        <w:pStyle w:val="H23GC"/>
      </w:pPr>
      <w:r>
        <w:rPr>
          <w:rFonts w:hint="eastAsia"/>
        </w:rPr>
        <w:tab/>
      </w:r>
      <w:r>
        <w:rPr>
          <w:rFonts w:hint="eastAsia"/>
        </w:rPr>
        <w:tab/>
      </w:r>
      <w:r>
        <w:rPr>
          <w:rFonts w:hint="eastAsia"/>
        </w:rPr>
        <w:t>犯罪受害者的地位</w:t>
      </w:r>
    </w:p>
    <w:p w:rsidR="003B2DE7" w:rsidRPr="003B2DE7" w:rsidRDefault="003B2DE7" w:rsidP="003B2DE7">
      <w:pPr>
        <w:pStyle w:val="SingleTxtGC"/>
        <w:tabs>
          <w:tab w:val="clear" w:pos="1565"/>
          <w:tab w:val="clear" w:pos="1996"/>
          <w:tab w:val="clear" w:pos="2427"/>
        </w:tabs>
        <w:rPr>
          <w:lang w:val="en-GB"/>
        </w:rPr>
      </w:pPr>
      <w:r>
        <w:rPr>
          <w:rFonts w:hint="eastAsia"/>
        </w:rPr>
        <w:t>232.</w:t>
      </w:r>
      <w:r>
        <w:rPr>
          <w:rFonts w:hint="eastAsia"/>
        </w:rPr>
        <w:tab/>
      </w:r>
      <w:r>
        <w:rPr>
          <w:rFonts w:hint="eastAsia"/>
        </w:rPr>
        <w:t>犯罪受害者有权因犯罪对他们造成的损害而获得赔偿。这种损害可包括人身伤害、财产损失或纯粹的经济损失。如多个刑事诉讼程序合并，可责令支付与这些刑事诉讼程序有关的赔偿。《侵权责任法》</w:t>
      </w:r>
      <w:r>
        <w:rPr>
          <w:rFonts w:hint="eastAsia"/>
        </w:rPr>
        <w:t>(412/1974)</w:t>
      </w:r>
      <w:r>
        <w:rPr>
          <w:rFonts w:hint="eastAsia"/>
        </w:rPr>
        <w:t>管理关于支付损害赔偿的命令，责令由造成损害方支付赔偿。根据《犯罪损害赔偿法》</w:t>
      </w:r>
      <w:r>
        <w:rPr>
          <w:rFonts w:hint="eastAsia"/>
        </w:rPr>
        <w:t>(1204/2005)</w:t>
      </w:r>
      <w:r>
        <w:rPr>
          <w:rFonts w:hint="eastAsia"/>
        </w:rPr>
        <w:t>，对自然人或被继承人的财产造成的损害可由国家承担次要赔偿。在这种情况下，应当从赔偿</w:t>
      </w:r>
      <w:r w:rsidRPr="003B2DE7">
        <w:rPr>
          <w:rFonts w:hint="eastAsia"/>
          <w:lang w:val="en-GB"/>
        </w:rPr>
        <w:t>额中扣除已支付给受损方的赔偿金。根据《刑事损害赔偿法》支付的赔偿不产生利息。芬兰没有对造成损害方支付的损害赔偿金额进行统计。</w:t>
      </w:r>
    </w:p>
    <w:p w:rsidR="003B2DE7" w:rsidRDefault="003B2DE7" w:rsidP="003B2DE7">
      <w:pPr>
        <w:pStyle w:val="SingleTxtGC"/>
        <w:tabs>
          <w:tab w:val="clear" w:pos="1565"/>
          <w:tab w:val="clear" w:pos="1996"/>
          <w:tab w:val="clear" w:pos="2427"/>
        </w:tabs>
      </w:pPr>
      <w:r w:rsidRPr="003B2DE7">
        <w:rPr>
          <w:rFonts w:hint="eastAsia"/>
          <w:lang w:val="en-GB"/>
        </w:rPr>
        <w:t>233.</w:t>
      </w:r>
      <w:r w:rsidRPr="003B2DE7">
        <w:rPr>
          <w:rFonts w:hint="eastAsia"/>
          <w:lang w:val="en-GB"/>
        </w:rPr>
        <w:tab/>
      </w:r>
      <w:r w:rsidRPr="003B2DE7">
        <w:rPr>
          <w:rFonts w:hint="eastAsia"/>
          <w:lang w:val="en-GB"/>
        </w:rPr>
        <w:t>在国际上对比，在芬兰刑事诉讼中，犯罪受害者即受损害方的地位颇强。责令向犯罪受害者支付的赔偿首先由犯罪者提供，也可以由国库、保险公司或芬兰社会保险机构提供。根据《刑事损害赔偿法》支付的赔偿额度在国际上而言相当高。还为犯罪</w:t>
      </w:r>
      <w:r>
        <w:rPr>
          <w:rFonts w:hint="eastAsia"/>
        </w:rPr>
        <w:t>受害者提供广泛的咨询、指导和支助服务，并不断改善这些服务。在起草刑事立法时，还寻求在更大程度上考虑到犯罪受害者的地位。</w:t>
      </w:r>
    </w:p>
    <w:p w:rsidR="003B2DE7" w:rsidRDefault="003B2DE7" w:rsidP="009269F1">
      <w:pPr>
        <w:pStyle w:val="H23GC"/>
      </w:pPr>
      <w:r>
        <w:rPr>
          <w:rFonts w:hint="eastAsia"/>
        </w:rPr>
        <w:tab/>
        <w:t>(s)</w:t>
      </w:r>
      <w:r>
        <w:rPr>
          <w:rFonts w:hint="eastAsia"/>
        </w:rPr>
        <w:tab/>
      </w:r>
      <w:r>
        <w:rPr>
          <w:rFonts w:hint="eastAsia"/>
        </w:rPr>
        <w:t>普遍征兵制</w:t>
      </w:r>
    </w:p>
    <w:p w:rsidR="003B2DE7" w:rsidRPr="003B2DE7" w:rsidRDefault="003B2DE7" w:rsidP="003B2DE7">
      <w:pPr>
        <w:pStyle w:val="SingleTxtGC"/>
        <w:tabs>
          <w:tab w:val="clear" w:pos="1565"/>
          <w:tab w:val="clear" w:pos="1996"/>
          <w:tab w:val="clear" w:pos="2427"/>
        </w:tabs>
        <w:rPr>
          <w:lang w:val="en-GB"/>
        </w:rPr>
      </w:pPr>
      <w:r>
        <w:rPr>
          <w:rFonts w:hint="eastAsia"/>
        </w:rPr>
        <w:t>234.</w:t>
      </w:r>
      <w:r>
        <w:rPr>
          <w:rFonts w:hint="eastAsia"/>
        </w:rPr>
        <w:tab/>
      </w:r>
      <w:r>
        <w:rPr>
          <w:rFonts w:hint="eastAsia"/>
        </w:rPr>
        <w:t>普遍征兵制度保障了芬兰的军事安全。由于芬兰未加入任何军事联盟，所以要准备好依</w:t>
      </w:r>
      <w:r w:rsidRPr="003B2DE7">
        <w:rPr>
          <w:rFonts w:hint="eastAsia"/>
          <w:lang w:val="en-GB"/>
        </w:rPr>
        <w:t>靠本国资源保卫本国领土。普遍征兵为陆军、海军和空军提供了足够的兵员，以便有效应对战争和危机时期。</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235.</w:t>
      </w:r>
      <w:r w:rsidRPr="003B2DE7">
        <w:rPr>
          <w:rFonts w:hint="eastAsia"/>
          <w:lang w:val="en-GB"/>
        </w:rPr>
        <w:tab/>
      </w:r>
      <w:r w:rsidRPr="003B2DE7">
        <w:rPr>
          <w:rFonts w:hint="eastAsia"/>
          <w:lang w:val="en-GB"/>
        </w:rPr>
        <w:t>所有年龄在</w:t>
      </w:r>
      <w:r w:rsidRPr="003B2DE7">
        <w:rPr>
          <w:rFonts w:hint="eastAsia"/>
          <w:lang w:val="en-GB"/>
        </w:rPr>
        <w:t>18</w:t>
      </w:r>
      <w:r w:rsidRPr="003B2DE7">
        <w:rPr>
          <w:rFonts w:hint="eastAsia"/>
          <w:lang w:val="en-GB"/>
        </w:rPr>
        <w:t>岁到</w:t>
      </w:r>
      <w:r w:rsidRPr="003B2DE7">
        <w:rPr>
          <w:rFonts w:hint="eastAsia"/>
          <w:lang w:val="en-GB"/>
        </w:rPr>
        <w:t>60</w:t>
      </w:r>
      <w:r w:rsidRPr="003B2DE7">
        <w:rPr>
          <w:rFonts w:hint="eastAsia"/>
          <w:lang w:val="en-GB"/>
        </w:rPr>
        <w:t>岁之间的芬兰男子都有服兵役的义务。妇女可以申请志愿服兵役。所有男子都必须服兵役或非军事役。所有男子在年满</w:t>
      </w:r>
      <w:r w:rsidRPr="003B2DE7">
        <w:rPr>
          <w:rFonts w:hint="eastAsia"/>
          <w:lang w:val="en-GB"/>
        </w:rPr>
        <w:t>18</w:t>
      </w:r>
      <w:r w:rsidRPr="003B2DE7">
        <w:rPr>
          <w:rFonts w:hint="eastAsia"/>
          <w:lang w:val="en-GB"/>
        </w:rPr>
        <w:t>岁时都必须参加征兵。在征召过程中确定应征士兵服役的地点和时间，并确定他们是否适合服役。如果应征士兵不适合服兵役，可以对其免除和平时期的兵役。如果应征士兵有充分的理由推迟服兵役，可以之后服兵役。妇女可以向国防军任一区域办事处递交申请，申请志愿服兵役。</w:t>
      </w:r>
    </w:p>
    <w:p w:rsidR="003B2DE7" w:rsidRDefault="003B2DE7" w:rsidP="003B2DE7">
      <w:pPr>
        <w:pStyle w:val="SingleTxtGC"/>
        <w:tabs>
          <w:tab w:val="clear" w:pos="1565"/>
          <w:tab w:val="clear" w:pos="1996"/>
          <w:tab w:val="clear" w:pos="2427"/>
        </w:tabs>
      </w:pPr>
      <w:r w:rsidRPr="003B2DE7">
        <w:rPr>
          <w:rFonts w:hint="eastAsia"/>
          <w:lang w:val="en-GB"/>
        </w:rPr>
        <w:t>236.</w:t>
      </w:r>
      <w:r w:rsidRPr="003B2DE7">
        <w:rPr>
          <w:rFonts w:hint="eastAsia"/>
          <w:lang w:val="en-GB"/>
        </w:rPr>
        <w:tab/>
      </w:r>
      <w:r w:rsidRPr="003B2DE7">
        <w:rPr>
          <w:rFonts w:hint="eastAsia"/>
          <w:lang w:val="en-GB"/>
        </w:rPr>
        <w:t>兵役期为</w:t>
      </w:r>
      <w:r w:rsidRPr="003B2DE7">
        <w:rPr>
          <w:rFonts w:hint="eastAsia"/>
          <w:lang w:val="en-GB"/>
        </w:rPr>
        <w:t>16</w:t>
      </w:r>
      <w:r>
        <w:rPr>
          <w:rFonts w:hint="eastAsia"/>
        </w:rPr>
        <w:t>5</w:t>
      </w:r>
      <w:r>
        <w:rPr>
          <w:rFonts w:hint="eastAsia"/>
        </w:rPr>
        <w:t>天、</w:t>
      </w:r>
      <w:r>
        <w:rPr>
          <w:rFonts w:hint="eastAsia"/>
        </w:rPr>
        <w:t>255</w:t>
      </w:r>
      <w:r>
        <w:rPr>
          <w:rFonts w:hint="eastAsia"/>
        </w:rPr>
        <w:t>天或</w:t>
      </w:r>
      <w:r>
        <w:rPr>
          <w:rFonts w:hint="eastAsia"/>
        </w:rPr>
        <w:t>347</w:t>
      </w:r>
      <w:r>
        <w:rPr>
          <w:rFonts w:hint="eastAsia"/>
        </w:rPr>
        <w:t>天。非军事役期目前为</w:t>
      </w:r>
      <w:r>
        <w:rPr>
          <w:rFonts w:hint="eastAsia"/>
        </w:rPr>
        <w:t>347</w:t>
      </w:r>
      <w:r>
        <w:rPr>
          <w:rFonts w:hint="eastAsia"/>
        </w:rPr>
        <w:t>天。应征士兵服完兵役后，转入预备役。预备役人员接到命令时，可以参加复习训练，并在必要时拿起武器保卫国家。</w:t>
      </w:r>
    </w:p>
    <w:p w:rsidR="003B2DE7" w:rsidRDefault="003B2DE7" w:rsidP="009269F1">
      <w:pPr>
        <w:pStyle w:val="HChGC"/>
      </w:pPr>
      <w:r>
        <w:rPr>
          <w:rFonts w:hint="eastAsia"/>
        </w:rPr>
        <w:lastRenderedPageBreak/>
        <w:tab/>
      </w:r>
      <w:r>
        <w:rPr>
          <w:rFonts w:hint="eastAsia"/>
        </w:rPr>
        <w:t>二</w:t>
      </w:r>
      <w:r w:rsidR="009269F1">
        <w:rPr>
          <w:rFonts w:hint="eastAsia"/>
        </w:rPr>
        <w:t>.</w:t>
      </w:r>
      <w:r>
        <w:rPr>
          <w:rFonts w:hint="eastAsia"/>
        </w:rPr>
        <w:tab/>
      </w:r>
      <w:r>
        <w:rPr>
          <w:rFonts w:hint="eastAsia"/>
        </w:rPr>
        <w:t>保护和促进人权的一般框架</w:t>
      </w:r>
    </w:p>
    <w:p w:rsidR="003B2DE7" w:rsidRDefault="003B2DE7" w:rsidP="009269F1">
      <w:pPr>
        <w:pStyle w:val="H1GC"/>
      </w:pPr>
      <w:r>
        <w:rPr>
          <w:rFonts w:hint="eastAsia"/>
        </w:rPr>
        <w:tab/>
        <w:t>C.</w:t>
      </w:r>
      <w:r>
        <w:rPr>
          <w:rFonts w:hint="eastAsia"/>
        </w:rPr>
        <w:tab/>
      </w:r>
      <w:r>
        <w:rPr>
          <w:rFonts w:hint="eastAsia"/>
        </w:rPr>
        <w:t>接受国际人权规范</w:t>
      </w:r>
    </w:p>
    <w:p w:rsidR="003B2DE7" w:rsidRDefault="003B2DE7" w:rsidP="003B2DE7">
      <w:pPr>
        <w:pStyle w:val="SingleTxtGC"/>
        <w:tabs>
          <w:tab w:val="clear" w:pos="1565"/>
          <w:tab w:val="clear" w:pos="1996"/>
          <w:tab w:val="clear" w:pos="2427"/>
        </w:tabs>
      </w:pPr>
      <w:r>
        <w:rPr>
          <w:rFonts w:hint="eastAsia"/>
        </w:rPr>
        <w:t>237.</w:t>
      </w:r>
      <w:r>
        <w:rPr>
          <w:rFonts w:hint="eastAsia"/>
        </w:rPr>
        <w:tab/>
      </w:r>
      <w:r>
        <w:rPr>
          <w:rFonts w:hint="eastAsia"/>
        </w:rPr>
        <w:t>请参阅</w:t>
      </w:r>
      <w:r w:rsidRPr="003B2DE7">
        <w:rPr>
          <w:rFonts w:hint="eastAsia"/>
          <w:lang w:val="en-GB"/>
        </w:rPr>
        <w:t>附件</w:t>
      </w:r>
      <w:r>
        <w:rPr>
          <w:rFonts w:hint="eastAsia"/>
        </w:rPr>
        <w:t>三。</w:t>
      </w:r>
    </w:p>
    <w:p w:rsidR="003B2DE7" w:rsidRDefault="003B2DE7" w:rsidP="009269F1">
      <w:pPr>
        <w:pStyle w:val="H1GC"/>
      </w:pPr>
      <w:r>
        <w:rPr>
          <w:rFonts w:hint="eastAsia"/>
        </w:rPr>
        <w:tab/>
        <w:t>D.</w:t>
      </w:r>
      <w:r>
        <w:rPr>
          <w:rFonts w:hint="eastAsia"/>
        </w:rPr>
        <w:tab/>
      </w:r>
      <w:r>
        <w:rPr>
          <w:rFonts w:hint="eastAsia"/>
        </w:rPr>
        <w:t>保护人权的法律框架</w:t>
      </w:r>
    </w:p>
    <w:p w:rsidR="003B2DE7" w:rsidRDefault="003B2DE7" w:rsidP="009269F1">
      <w:pPr>
        <w:pStyle w:val="H23GC"/>
      </w:pPr>
      <w:r>
        <w:rPr>
          <w:rFonts w:hint="eastAsia"/>
        </w:rPr>
        <w:tab/>
        <w:t>(a)</w:t>
      </w:r>
      <w:r>
        <w:rPr>
          <w:rFonts w:hint="eastAsia"/>
        </w:rPr>
        <w:tab/>
      </w:r>
      <w:r>
        <w:rPr>
          <w:rFonts w:hint="eastAsia"/>
        </w:rPr>
        <w:t>国家立法保障的基本权利和人权</w:t>
      </w:r>
    </w:p>
    <w:p w:rsidR="003B2DE7" w:rsidRPr="003B2DE7" w:rsidRDefault="003B2DE7" w:rsidP="003B2DE7">
      <w:pPr>
        <w:pStyle w:val="SingleTxtGC"/>
        <w:tabs>
          <w:tab w:val="clear" w:pos="1565"/>
          <w:tab w:val="clear" w:pos="1996"/>
          <w:tab w:val="clear" w:pos="2427"/>
        </w:tabs>
        <w:rPr>
          <w:lang w:val="en-GB"/>
        </w:rPr>
      </w:pPr>
      <w:r>
        <w:rPr>
          <w:rFonts w:hint="eastAsia"/>
        </w:rPr>
        <w:t>238.</w:t>
      </w:r>
      <w:r>
        <w:rPr>
          <w:rFonts w:hint="eastAsia"/>
        </w:rPr>
        <w:tab/>
      </w:r>
      <w:r>
        <w:rPr>
          <w:rFonts w:hint="eastAsia"/>
        </w:rPr>
        <w:t>芬兰《宪法》第</w:t>
      </w:r>
      <w:r>
        <w:rPr>
          <w:rFonts w:hint="eastAsia"/>
        </w:rPr>
        <w:t>1</w:t>
      </w:r>
      <w:r>
        <w:rPr>
          <w:rFonts w:hint="eastAsia"/>
        </w:rPr>
        <w:t>条第</w:t>
      </w:r>
      <w:r>
        <w:rPr>
          <w:rFonts w:hint="eastAsia"/>
        </w:rPr>
        <w:t>2</w:t>
      </w:r>
      <w:r>
        <w:rPr>
          <w:rFonts w:hint="eastAsia"/>
        </w:rPr>
        <w:t>款保障人的尊严不可侵犯。芬兰《宪法》还将保障个人的自由和权利，并促进社会正义。根据《宪法》第</w:t>
      </w:r>
      <w:r>
        <w:rPr>
          <w:rFonts w:hint="eastAsia"/>
        </w:rPr>
        <w:t>1</w:t>
      </w:r>
      <w:r>
        <w:rPr>
          <w:rFonts w:hint="eastAsia"/>
        </w:rPr>
        <w:t>条第</w:t>
      </w:r>
      <w:r>
        <w:rPr>
          <w:rFonts w:hint="eastAsia"/>
        </w:rPr>
        <w:t>3</w:t>
      </w:r>
      <w:r>
        <w:rPr>
          <w:rFonts w:hint="eastAsia"/>
        </w:rPr>
        <w:t>款，芬兰参加旨在保护和平与人权以及社会发展的国际合作。上述条款表述并不详尽，而是允许芬兰也参加其他形式的国际合作。第</w:t>
      </w:r>
      <w:r>
        <w:rPr>
          <w:rFonts w:hint="eastAsia"/>
        </w:rPr>
        <w:t>3</w:t>
      </w:r>
      <w:r>
        <w:rPr>
          <w:rFonts w:hint="eastAsia"/>
        </w:rPr>
        <w:t>款还提到芬兰的欧盟成员国身份。《宪法》第</w:t>
      </w:r>
      <w:r>
        <w:rPr>
          <w:rFonts w:hint="eastAsia"/>
        </w:rPr>
        <w:t>2</w:t>
      </w:r>
      <w:r>
        <w:rPr>
          <w:rFonts w:hint="eastAsia"/>
        </w:rPr>
        <w:t>条第</w:t>
      </w:r>
      <w:r>
        <w:rPr>
          <w:rFonts w:hint="eastAsia"/>
        </w:rPr>
        <w:t>3</w:t>
      </w:r>
      <w:r>
        <w:rPr>
          <w:rFonts w:hint="eastAsia"/>
        </w:rPr>
        <w:t>款确认了芬兰的法治，规定公共权力的行使应基于法律，在所有公共活动中均应严格遵守法律。在芬兰，法治强调立法的至高无上，这明确适用于成文立法。此外，芬兰《宪法》第</w:t>
      </w:r>
      <w:r>
        <w:rPr>
          <w:rFonts w:hint="eastAsia"/>
        </w:rPr>
        <w:t>22</w:t>
      </w:r>
      <w:r>
        <w:rPr>
          <w:rFonts w:hint="eastAsia"/>
        </w:rPr>
        <w:t>条规定公共当局有一项特定的义务，即尊重基本</w:t>
      </w:r>
      <w:r w:rsidRPr="003B2DE7">
        <w:rPr>
          <w:rFonts w:hint="eastAsia"/>
          <w:lang w:val="en-GB"/>
        </w:rPr>
        <w:t>权利和自由以及人权。除政府外，上述义务也适用于法律起草和司法。根据该法规，公共当局应避免侵犯基本权利和人权，并按要求积极促进实现这些权利。</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239.</w:t>
      </w:r>
      <w:r w:rsidRPr="003B2DE7">
        <w:rPr>
          <w:rFonts w:hint="eastAsia"/>
          <w:lang w:val="en-GB"/>
        </w:rPr>
        <w:tab/>
      </w:r>
      <w:r w:rsidRPr="003B2DE7">
        <w:rPr>
          <w:rFonts w:hint="eastAsia"/>
          <w:lang w:val="en-GB"/>
        </w:rPr>
        <w:t>芬兰遵守保障基本权利和人权的一般原则</w:t>
      </w:r>
      <w:r w:rsidRPr="003B2DE7">
        <w:rPr>
          <w:rFonts w:hint="eastAsia"/>
          <w:lang w:val="en-GB"/>
        </w:rPr>
        <w:t>(</w:t>
      </w:r>
      <w:r w:rsidRPr="003B2DE7">
        <w:rPr>
          <w:rFonts w:hint="eastAsia"/>
          <w:lang w:val="en-GB"/>
        </w:rPr>
        <w:t>即人权的普遍性、不可分割性和相互依存性</w:t>
      </w:r>
      <w:r w:rsidRPr="003B2DE7">
        <w:rPr>
          <w:rFonts w:hint="eastAsia"/>
          <w:lang w:val="en-GB"/>
        </w:rPr>
        <w:t>)</w:t>
      </w:r>
      <w:r w:rsidRPr="003B2DE7">
        <w:rPr>
          <w:rFonts w:hint="eastAsia"/>
          <w:lang w:val="en-GB"/>
        </w:rPr>
        <w:t>并不加歧视地适用这些原则。《宪法》为基本权利和人权提供了普遍保障，保障芬兰管辖范围内的每个人都享有这些权利。</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240.</w:t>
      </w:r>
      <w:r w:rsidRPr="003B2DE7">
        <w:rPr>
          <w:rFonts w:hint="eastAsia"/>
          <w:lang w:val="en-GB"/>
        </w:rPr>
        <w:tab/>
      </w:r>
      <w:r w:rsidRPr="003B2DE7">
        <w:rPr>
          <w:rFonts w:hint="eastAsia"/>
          <w:lang w:val="en-GB"/>
        </w:rPr>
        <w:t>在国家层面，人权和基本权利的实现往往被视为一个整体，国家层面对人权的法律保护往往等同于对基本权利的法律保护。这是因为在</w:t>
      </w:r>
      <w:r w:rsidRPr="003B2DE7">
        <w:rPr>
          <w:rFonts w:hint="eastAsia"/>
          <w:lang w:val="en-GB"/>
        </w:rPr>
        <w:t>1995</w:t>
      </w:r>
      <w:r w:rsidRPr="003B2DE7">
        <w:rPr>
          <w:rFonts w:hint="eastAsia"/>
          <w:lang w:val="en-GB"/>
        </w:rPr>
        <w:t>年实施基本权利改革时，基本权利条款与国际人权文书中所载的人权条款实质内容趋同。此外，在芬兰，人权条款有助于对基本权利条款的解读。</w:t>
      </w:r>
    </w:p>
    <w:p w:rsidR="003B2DE7" w:rsidRDefault="003B2DE7" w:rsidP="003B2DE7">
      <w:pPr>
        <w:pStyle w:val="SingleTxtGC"/>
        <w:tabs>
          <w:tab w:val="clear" w:pos="1565"/>
          <w:tab w:val="clear" w:pos="1996"/>
          <w:tab w:val="clear" w:pos="2427"/>
        </w:tabs>
      </w:pPr>
      <w:r w:rsidRPr="003B2DE7">
        <w:rPr>
          <w:rFonts w:hint="eastAsia"/>
          <w:lang w:val="en-GB"/>
        </w:rPr>
        <w:t>241.</w:t>
      </w:r>
      <w:r w:rsidRPr="003B2DE7">
        <w:rPr>
          <w:rFonts w:hint="eastAsia"/>
          <w:lang w:val="en-GB"/>
        </w:rPr>
        <w:tab/>
      </w:r>
      <w:r w:rsidRPr="003B2DE7">
        <w:rPr>
          <w:rFonts w:hint="eastAsia"/>
          <w:lang w:val="en-GB"/>
        </w:rPr>
        <w:t>芬兰《宪</w:t>
      </w:r>
      <w:r>
        <w:rPr>
          <w:rFonts w:hint="eastAsia"/>
        </w:rPr>
        <w:t>法》规定的公民及政治权利以及经济、社会和文化权利如下：</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w:t>
      </w:r>
      <w:r w:rsidRPr="00145A4B">
        <w:rPr>
          <w:rFonts w:ascii="Time New Roman" w:eastAsia="楷体" w:hAnsi="Time New Roman" w:hint="eastAsia"/>
        </w:rPr>
        <w:t>条第</w:t>
      </w:r>
      <w:r w:rsidRPr="00145A4B">
        <w:rPr>
          <w:rFonts w:ascii="Time New Roman" w:eastAsia="楷体" w:hAnsi="Time New Roman" w:hint="eastAsia"/>
        </w:rPr>
        <w:t>2</w:t>
      </w:r>
      <w:r w:rsidRPr="00145A4B">
        <w:rPr>
          <w:rFonts w:ascii="Time New Roman" w:eastAsia="楷体" w:hAnsi="Time New Roman" w:hint="eastAsia"/>
        </w:rPr>
        <w:t>款和第</w:t>
      </w:r>
      <w:r w:rsidRPr="00145A4B">
        <w:rPr>
          <w:rFonts w:ascii="Time New Roman" w:eastAsia="楷体" w:hAnsi="Time New Roman" w:hint="eastAsia"/>
        </w:rPr>
        <w:t>7</w:t>
      </w:r>
      <w:r w:rsidRPr="00145A4B">
        <w:rPr>
          <w:rFonts w:ascii="Time New Roman" w:eastAsia="楷体" w:hAnsi="Time New Roman" w:hint="eastAsia"/>
        </w:rPr>
        <w:t>条：个人的自决权</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6</w:t>
      </w:r>
      <w:r w:rsidRPr="00145A4B">
        <w:rPr>
          <w:rFonts w:ascii="Time New Roman" w:eastAsia="楷体" w:hAnsi="Time New Roman" w:hint="eastAsia"/>
        </w:rPr>
        <w:t>条：平等；不歧视；儿童平等待遇和性别平等</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7</w:t>
      </w:r>
      <w:r w:rsidRPr="00145A4B">
        <w:rPr>
          <w:rFonts w:ascii="Time New Roman" w:eastAsia="楷体" w:hAnsi="Time New Roman" w:hint="eastAsia"/>
        </w:rPr>
        <w:t>条：生命权、人身自由、人身完整和安全；禁止死刑、酷刑和有辱尊严的待遇；禁止任意剥夺自由</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8</w:t>
      </w:r>
      <w:r w:rsidRPr="00145A4B">
        <w:rPr>
          <w:rFonts w:ascii="Time New Roman" w:eastAsia="楷体" w:hAnsi="Time New Roman" w:hint="eastAsia"/>
        </w:rPr>
        <w:t>条：刑事事项的罪刑法定原则</w:t>
      </w:r>
      <w:r w:rsidRPr="00145A4B">
        <w:rPr>
          <w:rFonts w:ascii="Time New Roman" w:eastAsia="楷体" w:hAnsi="Time New Roman" w:hint="eastAsia"/>
        </w:rPr>
        <w:t>(</w:t>
      </w:r>
      <w:r w:rsidRPr="00145A4B">
        <w:rPr>
          <w:rFonts w:ascii="Time New Roman" w:eastAsia="楷体" w:hAnsi="Time New Roman" w:hint="eastAsia"/>
        </w:rPr>
        <w:t>法无明文</w:t>
      </w:r>
      <w:proofErr w:type="gramStart"/>
      <w:r w:rsidRPr="00145A4B">
        <w:rPr>
          <w:rFonts w:ascii="Time New Roman" w:eastAsia="楷体" w:hAnsi="Time New Roman" w:hint="eastAsia"/>
        </w:rPr>
        <w:t>不</w:t>
      </w:r>
      <w:proofErr w:type="gramEnd"/>
      <w:r w:rsidRPr="00145A4B">
        <w:rPr>
          <w:rFonts w:ascii="Time New Roman" w:eastAsia="楷体" w:hAnsi="Time New Roman" w:hint="eastAsia"/>
        </w:rPr>
        <w:t>罪不罚</w:t>
      </w:r>
      <w:r w:rsidRPr="00145A4B">
        <w:rPr>
          <w:rFonts w:ascii="Time New Roman" w:eastAsia="楷体" w:hAnsi="Time New Roman" w:hint="eastAsia"/>
        </w:rPr>
        <w:t>)</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9</w:t>
      </w:r>
      <w:r w:rsidRPr="00145A4B">
        <w:rPr>
          <w:rFonts w:ascii="Time New Roman" w:eastAsia="楷体" w:hAnsi="Time New Roman" w:hint="eastAsia"/>
        </w:rPr>
        <w:t>条：行动自由和选择居住地的自由；离开国家的自由；禁止阻止公民入境，禁止引渡公民到国外；有限的引渡权以及禁止将外国公民引渡到他们可能遭受有辱尊严的待遇的国家</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10</w:t>
      </w:r>
      <w:r w:rsidRPr="00145A4B">
        <w:rPr>
          <w:rFonts w:ascii="Time New Roman" w:eastAsia="楷体" w:hAnsi="Time New Roman" w:hint="eastAsia"/>
        </w:rPr>
        <w:t>条：保护私生活、荣誉和家庭的神圣性；保护通信、电话和其他机密通信的保密性；还包括保护家庭生活</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11</w:t>
      </w:r>
      <w:r w:rsidRPr="00145A4B">
        <w:rPr>
          <w:rFonts w:ascii="Time New Roman" w:eastAsia="楷体" w:hAnsi="Time New Roman" w:hint="eastAsia"/>
        </w:rPr>
        <w:t>条：宗教和良心自由</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12</w:t>
      </w:r>
      <w:r w:rsidRPr="00145A4B">
        <w:rPr>
          <w:rFonts w:ascii="Time New Roman" w:eastAsia="楷体" w:hAnsi="Time New Roman" w:hint="eastAsia"/>
        </w:rPr>
        <w:t>条：表达自由以及官方文件和录音的公开</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lastRenderedPageBreak/>
        <w:t>第</w:t>
      </w:r>
      <w:r w:rsidRPr="00145A4B">
        <w:rPr>
          <w:rFonts w:ascii="Time New Roman" w:eastAsia="楷体" w:hAnsi="Time New Roman" w:hint="eastAsia"/>
        </w:rPr>
        <w:t>13</w:t>
      </w:r>
      <w:r w:rsidRPr="00145A4B">
        <w:rPr>
          <w:rFonts w:ascii="Time New Roman" w:eastAsia="楷体" w:hAnsi="Time New Roman" w:hint="eastAsia"/>
        </w:rPr>
        <w:t>条：集会和结社自由；安排集会和示威的权利；组建工会的自由</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14</w:t>
      </w:r>
      <w:r w:rsidRPr="00145A4B">
        <w:rPr>
          <w:rFonts w:ascii="Time New Roman" w:eastAsia="楷体" w:hAnsi="Time New Roman" w:hint="eastAsia"/>
        </w:rPr>
        <w:t>条：选举权和参与权；法定年龄公民在选举中的选举权和被选举权以及参加社会活动的权利</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15</w:t>
      </w:r>
      <w:r w:rsidRPr="00145A4B">
        <w:rPr>
          <w:rFonts w:ascii="Time New Roman" w:eastAsia="楷体" w:hAnsi="Time New Roman" w:hint="eastAsia"/>
        </w:rPr>
        <w:t>条：财产保护</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16</w:t>
      </w:r>
      <w:r w:rsidRPr="00145A4B">
        <w:rPr>
          <w:rFonts w:ascii="Time New Roman" w:eastAsia="楷体" w:hAnsi="Time New Roman" w:hint="eastAsia"/>
        </w:rPr>
        <w:t>条：教育权利；受教育权和文化权；科学、艺术和高等教育的自由</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17</w:t>
      </w:r>
      <w:r w:rsidRPr="00145A4B">
        <w:rPr>
          <w:rFonts w:ascii="Time New Roman" w:eastAsia="楷体" w:hAnsi="Time New Roman" w:hint="eastAsia"/>
        </w:rPr>
        <w:t>条：语言权利；在法院和其他当局使用芬兰语或瑞典语的权利；萨米人、罗姆人和其他群体保持和发展其语言和文化的权利，以及使用手语者的权利</w:t>
      </w:r>
    </w:p>
    <w:p w:rsidR="003B2DE7" w:rsidRPr="00FE499C" w:rsidRDefault="003B2DE7" w:rsidP="00145A4B">
      <w:pPr>
        <w:pStyle w:val="SingleTxtGC"/>
        <w:ind w:left="1729"/>
        <w:rPr>
          <w:rFonts w:ascii="Time New Roman" w:eastAsia="楷体" w:hAnsi="Time New Roman" w:hint="eastAsia"/>
          <w:spacing w:val="-2"/>
        </w:rPr>
      </w:pPr>
      <w:r w:rsidRPr="00FE499C">
        <w:rPr>
          <w:rFonts w:ascii="Time New Roman" w:eastAsia="楷体" w:hAnsi="Time New Roman" w:hint="eastAsia"/>
          <w:spacing w:val="-2"/>
        </w:rPr>
        <w:t>第</w:t>
      </w:r>
      <w:r w:rsidRPr="00FE499C">
        <w:rPr>
          <w:rFonts w:ascii="Time New Roman" w:eastAsia="楷体" w:hAnsi="Time New Roman" w:hint="eastAsia"/>
          <w:spacing w:val="-2"/>
        </w:rPr>
        <w:t>18</w:t>
      </w:r>
      <w:r w:rsidRPr="00FE499C">
        <w:rPr>
          <w:rFonts w:ascii="Time New Roman" w:eastAsia="楷体" w:hAnsi="Time New Roman" w:hint="eastAsia"/>
          <w:spacing w:val="-2"/>
        </w:rPr>
        <w:t>条：工作权和从事商业活动的自由；保护劳动力；保护免受非法解雇</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19</w:t>
      </w:r>
      <w:r w:rsidRPr="00145A4B">
        <w:rPr>
          <w:rFonts w:ascii="Time New Roman" w:eastAsia="楷体" w:hAnsi="Time New Roman" w:hint="eastAsia"/>
        </w:rPr>
        <w:t>条：社会权利；享有</w:t>
      </w:r>
      <w:proofErr w:type="gramStart"/>
      <w:r w:rsidRPr="00145A4B">
        <w:rPr>
          <w:rFonts w:ascii="Time New Roman" w:eastAsia="楷体" w:hAnsi="Time New Roman" w:hint="eastAsia"/>
        </w:rPr>
        <w:t>有</w:t>
      </w:r>
      <w:proofErr w:type="gramEnd"/>
      <w:r w:rsidRPr="00145A4B">
        <w:rPr>
          <w:rFonts w:ascii="Time New Roman" w:eastAsia="楷体" w:hAnsi="Time New Roman" w:hint="eastAsia"/>
        </w:rPr>
        <w:t>尊严的生活所必需的不可或缺的生存和照料的权利；发生基本社会风险时的基本生存权利；获得适当医疗保健和社会服务的权利，提高公共健康水平，支持抚养儿童的人，公共当局有责任促进每个人的住房权并让每个人有机会安排自己的住房</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20</w:t>
      </w:r>
      <w:r w:rsidRPr="00145A4B">
        <w:rPr>
          <w:rFonts w:ascii="Time New Roman" w:eastAsia="楷体" w:hAnsi="Time New Roman" w:hint="eastAsia"/>
        </w:rPr>
        <w:t>条：每个人有责任保护自然及其生物多样性、环境和国家遗产</w:t>
      </w:r>
    </w:p>
    <w:p w:rsidR="003B2DE7" w:rsidRPr="00145A4B" w:rsidRDefault="003B2DE7" w:rsidP="00145A4B">
      <w:pPr>
        <w:pStyle w:val="SingleTxtGC"/>
        <w:ind w:left="1729"/>
        <w:rPr>
          <w:rFonts w:ascii="Time New Roman" w:eastAsia="楷体" w:hAnsi="Time New Roman" w:hint="eastAsia"/>
        </w:rPr>
      </w:pPr>
      <w:r w:rsidRPr="00145A4B">
        <w:rPr>
          <w:rFonts w:ascii="Time New Roman" w:eastAsia="楷体" w:hAnsi="Time New Roman" w:hint="eastAsia"/>
        </w:rPr>
        <w:t>第</w:t>
      </w:r>
      <w:r w:rsidRPr="00145A4B">
        <w:rPr>
          <w:rFonts w:ascii="Time New Roman" w:eastAsia="楷体" w:hAnsi="Time New Roman" w:hint="eastAsia"/>
        </w:rPr>
        <w:t>21</w:t>
      </w:r>
      <w:r w:rsidRPr="00145A4B">
        <w:rPr>
          <w:rFonts w:ascii="Time New Roman" w:eastAsia="楷体" w:hAnsi="Time New Roman" w:hint="eastAsia"/>
        </w:rPr>
        <w:t>条：受法律保护；由法院或其他当局妥善处理案件的权利，以及获得公正审判和善治的权利</w:t>
      </w:r>
    </w:p>
    <w:p w:rsidR="003B2DE7" w:rsidRPr="003B2DE7" w:rsidRDefault="003B2DE7" w:rsidP="003B2DE7">
      <w:pPr>
        <w:pStyle w:val="SingleTxtGC"/>
        <w:tabs>
          <w:tab w:val="clear" w:pos="1565"/>
          <w:tab w:val="clear" w:pos="1996"/>
          <w:tab w:val="clear" w:pos="2427"/>
        </w:tabs>
        <w:rPr>
          <w:lang w:val="en-GB"/>
        </w:rPr>
      </w:pPr>
      <w:r>
        <w:rPr>
          <w:rFonts w:hint="eastAsia"/>
        </w:rPr>
        <w:t>242.</w:t>
      </w:r>
      <w:r>
        <w:rPr>
          <w:rFonts w:hint="eastAsia"/>
        </w:rPr>
        <w:tab/>
      </w:r>
      <w:r>
        <w:rPr>
          <w:rFonts w:hint="eastAsia"/>
        </w:rPr>
        <w:t>芬兰的基本权利保护制度强调正式保护，或与遵守的程序有关的保护。只能在芬兰《宪法》第</w:t>
      </w:r>
      <w:r>
        <w:rPr>
          <w:rFonts w:hint="eastAsia"/>
        </w:rPr>
        <w:t>73</w:t>
      </w:r>
      <w:r>
        <w:rPr>
          <w:rFonts w:hint="eastAsia"/>
        </w:rPr>
        <w:t>条规定的宪法立法颁布程序中修改和</w:t>
      </w:r>
      <w:proofErr w:type="gramStart"/>
      <w:r>
        <w:rPr>
          <w:rFonts w:hint="eastAsia"/>
        </w:rPr>
        <w:t>克减基本</w:t>
      </w:r>
      <w:proofErr w:type="gramEnd"/>
      <w:r>
        <w:rPr>
          <w:rFonts w:hint="eastAsia"/>
        </w:rPr>
        <w:t>权利。上述程序要求在二读时以多数票搁置立法提案，直到议会选举后的第一届议会会议为止。该提</w:t>
      </w:r>
      <w:r w:rsidRPr="003B2DE7">
        <w:rPr>
          <w:rFonts w:hint="eastAsia"/>
          <w:lang w:val="en-GB"/>
        </w:rPr>
        <w:t>案应在委员会发布报告后，在全体会议上公开宣读，以至少三分之二多数票支持的决定予以通过，不作实质性修改。</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243.</w:t>
      </w:r>
      <w:r w:rsidRPr="003B2DE7">
        <w:rPr>
          <w:rFonts w:hint="eastAsia"/>
          <w:lang w:val="en-GB"/>
        </w:rPr>
        <w:tab/>
      </w:r>
      <w:r w:rsidRPr="003B2DE7">
        <w:rPr>
          <w:rFonts w:hint="eastAsia"/>
          <w:lang w:val="en-GB"/>
        </w:rPr>
        <w:t>除了正式保护之外，宪法委员会的一般限制要求和特殊限制要求已经成为限制基本权利的既定要求。一般要求如下：通过法律颁布；充分的界定和具体性；可接受性以及存在迫切的社会需求；核心基本权利不可侵犯；必要性以及与所寻求目标的相称性；充分的法律保护；以及限制性要符合国际义务。这些限制符合《欧洲人权公约》和欧洲人权法院判例法中规定的限制人权的条件，应尽可能以符合这些条件的方式加以解读。</w:t>
      </w:r>
    </w:p>
    <w:p w:rsidR="003B2DE7" w:rsidRDefault="003B2DE7" w:rsidP="003B2DE7">
      <w:pPr>
        <w:pStyle w:val="SingleTxtGC"/>
        <w:tabs>
          <w:tab w:val="clear" w:pos="1565"/>
          <w:tab w:val="clear" w:pos="1996"/>
          <w:tab w:val="clear" w:pos="2427"/>
        </w:tabs>
      </w:pPr>
      <w:r w:rsidRPr="003B2DE7">
        <w:rPr>
          <w:rFonts w:hint="eastAsia"/>
          <w:lang w:val="en-GB"/>
        </w:rPr>
        <w:t>244.</w:t>
      </w:r>
      <w:r w:rsidRPr="003B2DE7">
        <w:rPr>
          <w:rFonts w:hint="eastAsia"/>
          <w:lang w:val="en-GB"/>
        </w:rPr>
        <w:tab/>
      </w:r>
      <w:r w:rsidRPr="003B2DE7">
        <w:rPr>
          <w:rFonts w:hint="eastAsia"/>
          <w:lang w:val="en-GB"/>
        </w:rPr>
        <w:t>芬兰《宪法》载有一项条款，涉及在特殊情况</w:t>
      </w:r>
      <w:proofErr w:type="gramStart"/>
      <w:r w:rsidRPr="003B2DE7">
        <w:rPr>
          <w:rFonts w:hint="eastAsia"/>
          <w:lang w:val="en-GB"/>
        </w:rPr>
        <w:t>下符合</w:t>
      </w:r>
      <w:proofErr w:type="gramEnd"/>
      <w:r w:rsidRPr="003B2DE7">
        <w:rPr>
          <w:rFonts w:hint="eastAsia"/>
          <w:lang w:val="en-GB"/>
        </w:rPr>
        <w:t>芬兰国际人权义务的基本权利和自由的临时例外情况。在芬兰遭受武装袭击或法律规定的其他紧急状态对国家构成严</w:t>
      </w:r>
      <w:r>
        <w:rPr>
          <w:rFonts w:hint="eastAsia"/>
        </w:rPr>
        <w:t>重威胁的情况下，因特殊原因依法给予授权且授权适用范围严格受限，基于该授权发布一项法律或政令，其中规定必要的基本权利临时例外情况。</w:t>
      </w:r>
    </w:p>
    <w:p w:rsidR="003B2DE7" w:rsidRDefault="003B2DE7" w:rsidP="000F6F93">
      <w:pPr>
        <w:pStyle w:val="H23GC"/>
      </w:pPr>
      <w:r>
        <w:rPr>
          <w:rFonts w:hint="eastAsia"/>
        </w:rPr>
        <w:tab/>
        <w:t>(b)</w:t>
      </w:r>
      <w:r>
        <w:rPr>
          <w:rFonts w:hint="eastAsia"/>
        </w:rPr>
        <w:tab/>
      </w:r>
      <w:r>
        <w:rPr>
          <w:rFonts w:hint="eastAsia"/>
        </w:rPr>
        <w:t>国家立法中的人权文书</w:t>
      </w:r>
    </w:p>
    <w:p w:rsidR="003B2DE7" w:rsidRPr="003B2DE7" w:rsidRDefault="003B2DE7" w:rsidP="003B2DE7">
      <w:pPr>
        <w:pStyle w:val="SingleTxtGC"/>
        <w:tabs>
          <w:tab w:val="clear" w:pos="1565"/>
          <w:tab w:val="clear" w:pos="1996"/>
          <w:tab w:val="clear" w:pos="2427"/>
        </w:tabs>
        <w:rPr>
          <w:lang w:val="en-GB"/>
        </w:rPr>
      </w:pPr>
      <w:r>
        <w:rPr>
          <w:rFonts w:hint="eastAsia"/>
        </w:rPr>
        <w:t>245.</w:t>
      </w:r>
      <w:r>
        <w:rPr>
          <w:rFonts w:hint="eastAsia"/>
        </w:rPr>
        <w:tab/>
      </w:r>
      <w:r>
        <w:rPr>
          <w:rFonts w:hint="eastAsia"/>
        </w:rPr>
        <w:t>此类条约必须得到议会的认可，其他国际义务若包含立法性质的条款、在其他方面意义重大或根据芬兰《宪法》需要议会批准，也必须得到议会的认可。</w:t>
      </w:r>
      <w:proofErr w:type="gramStart"/>
      <w:r>
        <w:rPr>
          <w:rFonts w:hint="eastAsia"/>
        </w:rPr>
        <w:t>不</w:t>
      </w:r>
      <w:proofErr w:type="gramEnd"/>
      <w:r>
        <w:rPr>
          <w:rFonts w:hint="eastAsia"/>
        </w:rPr>
        <w:t>认同此类义</w:t>
      </w:r>
      <w:r w:rsidRPr="003B2DE7">
        <w:rPr>
          <w:rFonts w:hint="eastAsia"/>
          <w:lang w:val="en-GB"/>
        </w:rPr>
        <w:t>务也需要议会的认可。因此，芬兰对国际人权文书的承诺始终要得到议会的批准。关于国际人权文书，芬兰采用二元模式，将国际文书规定的义务分别转化为国内法。在大部分情况下，执行国际文书的方式是通过一项简短的总括条款将国际文书纳入国内法，声明文书在国内生效。</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lastRenderedPageBreak/>
        <w:t>246.</w:t>
      </w:r>
      <w:r w:rsidRPr="003B2DE7">
        <w:rPr>
          <w:rFonts w:hint="eastAsia"/>
          <w:lang w:val="en-GB"/>
        </w:rPr>
        <w:tab/>
      </w:r>
      <w:r w:rsidRPr="003B2DE7">
        <w:rPr>
          <w:rFonts w:hint="eastAsia"/>
          <w:lang w:val="en-GB"/>
        </w:rPr>
        <w:t>在批准人权文书之前确定是否需要修改国家立法，以符合新的人权义务。仅仅颁布一项总括法律规定该文书为国家法律的一部分可能还不够，批准人权文书可能需要修订现有法律或颁布新法律。</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247.</w:t>
      </w:r>
      <w:r w:rsidRPr="003B2DE7">
        <w:rPr>
          <w:rFonts w:hint="eastAsia"/>
          <w:lang w:val="en-GB"/>
        </w:rPr>
        <w:tab/>
      </w:r>
      <w:r w:rsidRPr="003B2DE7">
        <w:rPr>
          <w:rFonts w:hint="eastAsia"/>
          <w:lang w:val="en-GB"/>
        </w:rPr>
        <w:t>根据芬兰《宪法》第</w:t>
      </w:r>
      <w:r w:rsidRPr="003B2DE7">
        <w:rPr>
          <w:rFonts w:hint="eastAsia"/>
          <w:lang w:val="en-GB"/>
        </w:rPr>
        <w:t>80</w:t>
      </w:r>
      <w:r w:rsidRPr="003B2DE7">
        <w:rPr>
          <w:rFonts w:hint="eastAsia"/>
          <w:lang w:val="en-GB"/>
        </w:rPr>
        <w:t>条，关于个人权利和义务的原则应由法律规定，因此所有人权文书也在法律层面生效。在规范等级中，对芬兰具有约束力的人权文书具有宪法地位。</w:t>
      </w:r>
    </w:p>
    <w:p w:rsidR="003B2DE7" w:rsidRDefault="003B2DE7" w:rsidP="003B2DE7">
      <w:pPr>
        <w:pStyle w:val="SingleTxtGC"/>
        <w:tabs>
          <w:tab w:val="clear" w:pos="1565"/>
          <w:tab w:val="clear" w:pos="1996"/>
          <w:tab w:val="clear" w:pos="2427"/>
        </w:tabs>
      </w:pPr>
      <w:r w:rsidRPr="003B2DE7">
        <w:rPr>
          <w:rFonts w:hint="eastAsia"/>
          <w:lang w:val="en-GB"/>
        </w:rPr>
        <w:t>248.</w:t>
      </w:r>
      <w:r w:rsidRPr="003B2DE7">
        <w:rPr>
          <w:rFonts w:hint="eastAsia"/>
          <w:lang w:val="en-GB"/>
        </w:rPr>
        <w:tab/>
      </w:r>
      <w:r w:rsidRPr="003B2DE7">
        <w:rPr>
          <w:rFonts w:hint="eastAsia"/>
          <w:lang w:val="en-GB"/>
        </w:rPr>
        <w:t>国际文书所保障的人权是个人权利的最低标准，在立法起草过程中不得削弱，在政府或司法过程中也不得削弱，但可以超越。在实践中，基本权利和人权具体体现在法律</w:t>
      </w:r>
      <w:r>
        <w:rPr>
          <w:rFonts w:hint="eastAsia"/>
        </w:rPr>
        <w:t>层面的规范以及案例法和公共当局的其他活动中。</w:t>
      </w:r>
    </w:p>
    <w:p w:rsidR="003B2DE7" w:rsidRDefault="003B2DE7" w:rsidP="000F6F93">
      <w:pPr>
        <w:pStyle w:val="H23GC"/>
      </w:pPr>
      <w:r>
        <w:rPr>
          <w:rFonts w:hint="eastAsia"/>
        </w:rPr>
        <w:tab/>
        <w:t>(c)</w:t>
      </w:r>
      <w:r>
        <w:rPr>
          <w:rFonts w:hint="eastAsia"/>
        </w:rPr>
        <w:tab/>
      </w:r>
      <w:r>
        <w:rPr>
          <w:rFonts w:hint="eastAsia"/>
        </w:rPr>
        <w:t>对合法性的监督</w:t>
      </w:r>
    </w:p>
    <w:p w:rsidR="003B2DE7" w:rsidRDefault="003B2DE7" w:rsidP="000F6F93">
      <w:pPr>
        <w:pStyle w:val="H23GC"/>
      </w:pPr>
      <w:r>
        <w:rPr>
          <w:rFonts w:hint="eastAsia"/>
        </w:rPr>
        <w:tab/>
      </w:r>
      <w:r>
        <w:rPr>
          <w:rFonts w:hint="eastAsia"/>
        </w:rPr>
        <w:tab/>
      </w:r>
      <w:r>
        <w:rPr>
          <w:rFonts w:hint="eastAsia"/>
        </w:rPr>
        <w:t>议会宪法委员会</w:t>
      </w:r>
    </w:p>
    <w:p w:rsidR="003B2DE7" w:rsidRDefault="003B2DE7" w:rsidP="003B2DE7">
      <w:pPr>
        <w:pStyle w:val="SingleTxtGC"/>
        <w:tabs>
          <w:tab w:val="clear" w:pos="1565"/>
          <w:tab w:val="clear" w:pos="1996"/>
          <w:tab w:val="clear" w:pos="2427"/>
        </w:tabs>
      </w:pPr>
      <w:r>
        <w:rPr>
          <w:rFonts w:hint="eastAsia"/>
        </w:rPr>
        <w:t>249.</w:t>
      </w:r>
      <w:r>
        <w:rPr>
          <w:rFonts w:hint="eastAsia"/>
        </w:rPr>
        <w:tab/>
      </w:r>
      <w:r>
        <w:rPr>
          <w:rFonts w:hint="eastAsia"/>
        </w:rPr>
        <w:t>对拟议立法合宪性的监督主要是由议会宪法委员会进行的事前监督。根据芬兰《宪法》第</w:t>
      </w:r>
      <w:r>
        <w:rPr>
          <w:rFonts w:hint="eastAsia"/>
        </w:rPr>
        <w:t>74</w:t>
      </w:r>
      <w:r>
        <w:rPr>
          <w:rFonts w:hint="eastAsia"/>
        </w:rPr>
        <w:t>条，宪法委员会应发表声明，说明立法提案的合宪性和提交其审议的其他事项以及这些事项与国际人权条约的关系。宪法委员会由议员组成。</w:t>
      </w:r>
    </w:p>
    <w:p w:rsidR="003B2DE7" w:rsidRDefault="003B2DE7" w:rsidP="000F6F93">
      <w:pPr>
        <w:pStyle w:val="H23GC"/>
      </w:pPr>
      <w:r>
        <w:rPr>
          <w:rFonts w:hint="eastAsia"/>
        </w:rPr>
        <w:tab/>
      </w:r>
      <w:r>
        <w:rPr>
          <w:rFonts w:hint="eastAsia"/>
        </w:rPr>
        <w:tab/>
      </w:r>
      <w:r>
        <w:rPr>
          <w:rFonts w:hint="eastAsia"/>
        </w:rPr>
        <w:t>法院</w:t>
      </w:r>
    </w:p>
    <w:p w:rsidR="003B2DE7" w:rsidRDefault="003B2DE7" w:rsidP="003B2DE7">
      <w:pPr>
        <w:pStyle w:val="SingleTxtGC"/>
        <w:tabs>
          <w:tab w:val="clear" w:pos="1565"/>
          <w:tab w:val="clear" w:pos="1996"/>
          <w:tab w:val="clear" w:pos="2427"/>
        </w:tabs>
      </w:pPr>
      <w:r>
        <w:rPr>
          <w:rFonts w:hint="eastAsia"/>
        </w:rPr>
        <w:t>250.</w:t>
      </w:r>
      <w:r>
        <w:rPr>
          <w:rFonts w:hint="eastAsia"/>
        </w:rPr>
        <w:tab/>
      </w:r>
      <w:r>
        <w:rPr>
          <w:rFonts w:hint="eastAsia"/>
        </w:rPr>
        <w:t>对基本权利和人权遵守情况的事后监督是基于法院在司法过程中对法律的宪法解释以及法院不适用违宪条款的义务。根据芬兰《宪法》第</w:t>
      </w:r>
      <w:r>
        <w:rPr>
          <w:rFonts w:hint="eastAsia"/>
        </w:rPr>
        <w:t>106</w:t>
      </w:r>
      <w:r>
        <w:rPr>
          <w:rFonts w:hint="eastAsia"/>
        </w:rPr>
        <w:t>条，在法院审理的事项中，如果一项法律的适用明显与《宪法》冲突，则法院应优先考虑《宪法》的规定。根据《宪法》第</w:t>
      </w:r>
      <w:r>
        <w:rPr>
          <w:rFonts w:hint="eastAsia"/>
        </w:rPr>
        <w:t>107</w:t>
      </w:r>
      <w:r>
        <w:rPr>
          <w:rFonts w:hint="eastAsia"/>
        </w:rPr>
        <w:t>条，如果一项法令或级别低于法律的另一项法规中的规定与《宪法》或另一项法律相冲突，法院或任何其他公共当局不得适用该规定。《宪法》第</w:t>
      </w:r>
      <w:r>
        <w:rPr>
          <w:rFonts w:hint="eastAsia"/>
        </w:rPr>
        <w:t>107</w:t>
      </w:r>
      <w:r>
        <w:rPr>
          <w:rFonts w:hint="eastAsia"/>
        </w:rPr>
        <w:t>条适用于所有当局，即使冲突不明显也可适用。得益于宪法委员会的事前监督，芬兰很少需要依靠事后监督。</w:t>
      </w:r>
    </w:p>
    <w:p w:rsidR="003B2DE7" w:rsidRDefault="003B2DE7" w:rsidP="000F6F93">
      <w:pPr>
        <w:pStyle w:val="H23GC"/>
      </w:pPr>
      <w:r>
        <w:rPr>
          <w:rFonts w:hint="eastAsia"/>
        </w:rPr>
        <w:tab/>
      </w:r>
      <w:r>
        <w:rPr>
          <w:rFonts w:hint="eastAsia"/>
        </w:rPr>
        <w:tab/>
      </w:r>
      <w:r>
        <w:rPr>
          <w:rFonts w:hint="eastAsia"/>
        </w:rPr>
        <w:t>议会监察员</w:t>
      </w:r>
    </w:p>
    <w:p w:rsidR="003B2DE7" w:rsidRPr="003B2DE7" w:rsidRDefault="003B2DE7" w:rsidP="003B2DE7">
      <w:pPr>
        <w:pStyle w:val="SingleTxtGC"/>
        <w:tabs>
          <w:tab w:val="clear" w:pos="1565"/>
          <w:tab w:val="clear" w:pos="1996"/>
          <w:tab w:val="clear" w:pos="2427"/>
        </w:tabs>
        <w:rPr>
          <w:lang w:val="en-GB"/>
        </w:rPr>
      </w:pPr>
      <w:r>
        <w:rPr>
          <w:rFonts w:hint="eastAsia"/>
        </w:rPr>
        <w:t>251.</w:t>
      </w:r>
      <w:r>
        <w:rPr>
          <w:rFonts w:hint="eastAsia"/>
        </w:rPr>
        <w:tab/>
      </w:r>
      <w:r>
        <w:rPr>
          <w:rFonts w:hint="eastAsia"/>
        </w:rPr>
        <w:t>议会监察员由议会选举产生，任期四年，行使监督权，以确保法院和其他当局以及公职人员、公共机构雇员和其他履行公共职责的人员遵守法律并履行职责。监察员主要通过调查接到的投诉来监督当局所采取行动的合法性。监察员的职责由芬兰</w:t>
      </w:r>
      <w:r w:rsidRPr="003B2DE7">
        <w:rPr>
          <w:rFonts w:hint="eastAsia"/>
          <w:lang w:val="en-GB"/>
        </w:rPr>
        <w:t>《宪法》和《议会监察员法》</w:t>
      </w:r>
      <w:r w:rsidRPr="003B2DE7">
        <w:rPr>
          <w:rFonts w:hint="eastAsia"/>
          <w:lang w:val="en-GB"/>
        </w:rPr>
        <w:t>(197/2002)</w:t>
      </w:r>
      <w:r w:rsidRPr="003B2DE7">
        <w:rPr>
          <w:rFonts w:hint="eastAsia"/>
          <w:lang w:val="en-GB"/>
        </w:rPr>
        <w:t>规定。关于议会监察员的规定也适用于副监察员。早在</w:t>
      </w:r>
      <w:r w:rsidRPr="003B2DE7">
        <w:rPr>
          <w:rFonts w:hint="eastAsia"/>
          <w:lang w:val="en-GB"/>
        </w:rPr>
        <w:t>1920</w:t>
      </w:r>
      <w:r w:rsidRPr="003B2DE7">
        <w:rPr>
          <w:rFonts w:hint="eastAsia"/>
          <w:lang w:val="en-GB"/>
        </w:rPr>
        <w:t>年芬兰就建立了议会监察员制度，在世界上</w:t>
      </w:r>
      <w:proofErr w:type="gramStart"/>
      <w:r w:rsidRPr="003B2DE7">
        <w:rPr>
          <w:rFonts w:hint="eastAsia"/>
          <w:lang w:val="en-GB"/>
        </w:rPr>
        <w:t>同类制度</w:t>
      </w:r>
      <w:proofErr w:type="gramEnd"/>
      <w:r w:rsidRPr="003B2DE7">
        <w:rPr>
          <w:rFonts w:hint="eastAsia"/>
          <w:lang w:val="en-GB"/>
        </w:rPr>
        <w:t>中历史第二悠久。</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252.</w:t>
      </w:r>
      <w:r w:rsidRPr="003B2DE7">
        <w:rPr>
          <w:rFonts w:hint="eastAsia"/>
          <w:lang w:val="en-GB"/>
        </w:rPr>
        <w:tab/>
      </w:r>
      <w:r w:rsidRPr="003B2DE7">
        <w:rPr>
          <w:rFonts w:hint="eastAsia"/>
          <w:lang w:val="en-GB"/>
        </w:rPr>
        <w:t>监察员可主动开展调查。监察员还可在公共办公室和机构进行现场调查。监察员有一项特殊义务，即定期视察监狱和其他机构，如精神病院，因为可能有人被强行关押在这些机构中。监察员还会探访国防军和边防卫队。</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253.</w:t>
      </w:r>
      <w:r w:rsidRPr="003B2DE7">
        <w:rPr>
          <w:rFonts w:hint="eastAsia"/>
          <w:lang w:val="en-GB"/>
        </w:rPr>
        <w:tab/>
      </w:r>
      <w:r w:rsidRPr="003B2DE7">
        <w:rPr>
          <w:rFonts w:hint="eastAsia"/>
          <w:lang w:val="en-GB"/>
        </w:rPr>
        <w:t>监察员的工作重点是促进基本权利和人权。此外，在进行讲演、发表声明或撰写文章时，他会强调这些权利在执行公共任务和立法起草中的重要性。除了提供咨询服务和客户服务外，监察员还积极向公众提供有关其活动的信息。议会监察员与人权中心及其代表团一起，是芬兰国家人权机构的一部分。</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lastRenderedPageBreak/>
        <w:t>254.</w:t>
      </w:r>
      <w:r w:rsidRPr="003B2DE7">
        <w:rPr>
          <w:rFonts w:hint="eastAsia"/>
          <w:lang w:val="en-GB"/>
        </w:rPr>
        <w:tab/>
        <w:t>2014</w:t>
      </w:r>
      <w:r w:rsidRPr="003B2DE7">
        <w:rPr>
          <w:rFonts w:hint="eastAsia"/>
          <w:lang w:val="en-GB"/>
        </w:rPr>
        <w:t>年，议会监察员成为《禁止酷刑公约任择议定书》下的国家防范机制。该职位拓展了监察员的权限，使其能够视察所有被剥夺自由或可能被剥夺自由的私人场所。例如，船上或飞机上的拘留设施，或与某些公共活动有关的拘留设施。在以国家防范机制的身份履行职责时，监察员可以依靠经验丰富的专家的协助。此外，监察员与人权中心及其代表团一道负有促进、保护和监督《残疾人权利公约》执行情况的法定职责。监督儿童权利的工作已指派给一名副监察员。</w:t>
      </w:r>
    </w:p>
    <w:p w:rsidR="003B2DE7" w:rsidRDefault="003B2DE7" w:rsidP="003B2DE7">
      <w:pPr>
        <w:pStyle w:val="SingleTxtGC"/>
        <w:tabs>
          <w:tab w:val="clear" w:pos="1565"/>
          <w:tab w:val="clear" w:pos="1996"/>
          <w:tab w:val="clear" w:pos="2427"/>
        </w:tabs>
      </w:pPr>
      <w:r w:rsidRPr="003B2DE7">
        <w:rPr>
          <w:rFonts w:hint="eastAsia"/>
          <w:lang w:val="en-GB"/>
        </w:rPr>
        <w:t>255.</w:t>
      </w:r>
      <w:r w:rsidRPr="003B2DE7">
        <w:rPr>
          <w:rFonts w:hint="eastAsia"/>
          <w:lang w:val="en-GB"/>
        </w:rPr>
        <w:tab/>
      </w:r>
      <w:r w:rsidRPr="003B2DE7">
        <w:rPr>
          <w:rFonts w:hint="eastAsia"/>
          <w:lang w:val="en-GB"/>
        </w:rPr>
        <w:t>议会监察员向议会提交年度报告，报告司法、公共行政和执行公共任务的情况，以及立法</w:t>
      </w:r>
      <w:r>
        <w:rPr>
          <w:rFonts w:hint="eastAsia"/>
        </w:rPr>
        <w:t>中发现的缺陷。</w:t>
      </w:r>
    </w:p>
    <w:p w:rsidR="003B2DE7" w:rsidRDefault="003B2DE7" w:rsidP="000F6F93">
      <w:pPr>
        <w:pStyle w:val="H23GC"/>
      </w:pPr>
      <w:r>
        <w:rPr>
          <w:rFonts w:hint="eastAsia"/>
        </w:rPr>
        <w:tab/>
      </w:r>
      <w:r>
        <w:rPr>
          <w:rFonts w:hint="eastAsia"/>
        </w:rPr>
        <w:tab/>
      </w:r>
      <w:r>
        <w:rPr>
          <w:rFonts w:hint="eastAsia"/>
        </w:rPr>
        <w:t>政府司法长官</w:t>
      </w:r>
    </w:p>
    <w:p w:rsidR="003B2DE7" w:rsidRPr="003B2DE7" w:rsidRDefault="003B2DE7" w:rsidP="003B2DE7">
      <w:pPr>
        <w:pStyle w:val="SingleTxtGC"/>
        <w:tabs>
          <w:tab w:val="clear" w:pos="1565"/>
          <w:tab w:val="clear" w:pos="1996"/>
          <w:tab w:val="clear" w:pos="2427"/>
        </w:tabs>
        <w:rPr>
          <w:lang w:val="en-GB"/>
        </w:rPr>
      </w:pPr>
      <w:r>
        <w:rPr>
          <w:rFonts w:hint="eastAsia"/>
        </w:rPr>
        <w:t>256.</w:t>
      </w:r>
      <w:r>
        <w:rPr>
          <w:rFonts w:hint="eastAsia"/>
        </w:rPr>
        <w:tab/>
      </w:r>
      <w:r>
        <w:rPr>
          <w:rFonts w:hint="eastAsia"/>
        </w:rPr>
        <w:t>除议会监察员之外，第二个最高合法性监督员是政府司法长官，其职责是监督政府、各部委和共和国总统的官方行为的合法性。司法长官出席政府的所有全体会议和总统会议</w:t>
      </w:r>
      <w:r>
        <w:rPr>
          <w:rFonts w:hint="eastAsia"/>
        </w:rPr>
        <w:t>(</w:t>
      </w:r>
      <w:r>
        <w:rPr>
          <w:rFonts w:hint="eastAsia"/>
        </w:rPr>
        <w:t>共和国总统在这些会议上就政府提交的提案</w:t>
      </w:r>
      <w:proofErr w:type="gramStart"/>
      <w:r>
        <w:rPr>
          <w:rFonts w:hint="eastAsia"/>
        </w:rPr>
        <w:t>作出</w:t>
      </w:r>
      <w:proofErr w:type="gramEnd"/>
      <w:r>
        <w:rPr>
          <w:rFonts w:hint="eastAsia"/>
        </w:rPr>
        <w:t>决定</w:t>
      </w:r>
      <w:r>
        <w:rPr>
          <w:rFonts w:hint="eastAsia"/>
        </w:rPr>
        <w:t>)</w:t>
      </w:r>
      <w:r>
        <w:rPr>
          <w:rFonts w:hint="eastAsia"/>
        </w:rPr>
        <w:t>，并参加政府讨</w:t>
      </w:r>
      <w:r w:rsidRPr="003B2DE7">
        <w:rPr>
          <w:rFonts w:hint="eastAsia"/>
          <w:lang w:val="en-GB"/>
        </w:rPr>
        <w:t>论。在实践中，司法长官会提前收到讲演议程并对其进行审查，以此监督合法性。司法长官的主要职责是促进实施芬兰《宪法》规定的法治。</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257.</w:t>
      </w:r>
      <w:r w:rsidRPr="003B2DE7">
        <w:rPr>
          <w:rFonts w:hint="eastAsia"/>
          <w:lang w:val="en-GB"/>
        </w:rPr>
        <w:tab/>
        <w:t>2018</w:t>
      </w:r>
      <w:r w:rsidRPr="003B2DE7">
        <w:rPr>
          <w:rFonts w:hint="eastAsia"/>
          <w:lang w:val="en-GB"/>
        </w:rPr>
        <w:t>年，司法长官还引入了一个新程序，对立法起草和立法提案进行事前监督，对那些对基本权利和人权以及法治的适用有重要影响的政府提案草案进行初步审查。初步审查的一个要素是确定是不是按照对芬兰有约束力的国际文书所要求的方式实现基本权利和人权。初步审查还注意在执行国际公约时适当适用国家的灵活余地。</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258.</w:t>
      </w:r>
      <w:r w:rsidRPr="003B2DE7">
        <w:rPr>
          <w:rFonts w:hint="eastAsia"/>
          <w:lang w:val="en-GB"/>
        </w:rPr>
        <w:tab/>
      </w:r>
      <w:r w:rsidRPr="003B2DE7">
        <w:rPr>
          <w:rFonts w:hint="eastAsia"/>
          <w:lang w:val="en-GB"/>
        </w:rPr>
        <w:t>司法长官必须应请求向总统、政府和各部委提供关于法律问题的信息和声明。声明通常以书面形式发布，但在某些情况下，也会以口头声明的形式发布。</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259.</w:t>
      </w:r>
      <w:r w:rsidRPr="003B2DE7">
        <w:rPr>
          <w:rFonts w:hint="eastAsia"/>
          <w:lang w:val="en-GB"/>
        </w:rPr>
        <w:tab/>
      </w:r>
      <w:r w:rsidRPr="003B2DE7">
        <w:rPr>
          <w:rFonts w:hint="eastAsia"/>
          <w:lang w:val="en-GB"/>
        </w:rPr>
        <w:t>司法长官努力确保法院、其他当局和被指派执行公共任务的其他个人或机构遵守法律并履行其被指派的义务。司法长官有权对当局、机构、办事处以及属于其监督权限范围的其他单位进行检查。</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260.</w:t>
      </w:r>
      <w:r w:rsidRPr="003B2DE7">
        <w:rPr>
          <w:rFonts w:hint="eastAsia"/>
          <w:lang w:val="en-GB"/>
        </w:rPr>
        <w:tab/>
      </w:r>
      <w:r w:rsidRPr="003B2DE7">
        <w:rPr>
          <w:rFonts w:hint="eastAsia"/>
          <w:lang w:val="en-GB"/>
        </w:rPr>
        <w:t>司法长官从公共利益的角度监督律师的行为，以确保他们遵守《律师法》和律师职业行为守则。司法长官有权就对律师、公共法律援助律师和持照律师实施的纪律惩罚相关事宜提出上诉。在进行监督时，司法长官特别注意实现公正审判权，以及在涉及律师、公共法律援助律师和持照律师事宜的其他方面实现基本权利和人权。</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261.</w:t>
      </w:r>
      <w:r w:rsidRPr="003B2DE7">
        <w:rPr>
          <w:rFonts w:hint="eastAsia"/>
          <w:lang w:val="en-GB"/>
        </w:rPr>
        <w:tab/>
      </w:r>
      <w:r w:rsidRPr="003B2DE7">
        <w:rPr>
          <w:rFonts w:hint="eastAsia"/>
          <w:lang w:val="en-GB"/>
        </w:rPr>
        <w:t>司法长官在履行其所有职责时，也监督基本权利和人权的实现。这项职责包括处理申诉，通过检查和其他方式提出意见，以及主动监督立法、政府</w:t>
      </w:r>
      <w:proofErr w:type="gramStart"/>
      <w:r w:rsidRPr="003B2DE7">
        <w:rPr>
          <w:rFonts w:hint="eastAsia"/>
          <w:lang w:val="en-GB"/>
        </w:rPr>
        <w:t>最</w:t>
      </w:r>
      <w:proofErr w:type="gramEnd"/>
      <w:r w:rsidRPr="003B2DE7">
        <w:rPr>
          <w:rFonts w:hint="eastAsia"/>
          <w:lang w:val="en-GB"/>
        </w:rPr>
        <w:t>高层和律师。司法长官也可以主动处理事项。除了审议个案之外，司法长官还特别注意监督实现基本权利和人权的结构性先决条件。</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262.</w:t>
      </w:r>
      <w:r w:rsidRPr="003B2DE7">
        <w:rPr>
          <w:rFonts w:hint="eastAsia"/>
          <w:lang w:val="en-GB"/>
        </w:rPr>
        <w:tab/>
      </w:r>
      <w:r w:rsidRPr="003B2DE7">
        <w:rPr>
          <w:rFonts w:hint="eastAsia"/>
          <w:lang w:val="en-GB"/>
        </w:rPr>
        <w:t>共和国总统任命司法长官和</w:t>
      </w:r>
      <w:proofErr w:type="gramStart"/>
      <w:r w:rsidRPr="003B2DE7">
        <w:rPr>
          <w:rFonts w:hint="eastAsia"/>
          <w:lang w:val="en-GB"/>
        </w:rPr>
        <w:t>副司法</w:t>
      </w:r>
      <w:proofErr w:type="gramEnd"/>
      <w:r w:rsidRPr="003B2DE7">
        <w:rPr>
          <w:rFonts w:hint="eastAsia"/>
          <w:lang w:val="en-GB"/>
        </w:rPr>
        <w:t>长官，并任命</w:t>
      </w:r>
      <w:proofErr w:type="gramStart"/>
      <w:r w:rsidRPr="003B2DE7">
        <w:rPr>
          <w:rFonts w:hint="eastAsia"/>
          <w:lang w:val="en-GB"/>
        </w:rPr>
        <w:t>副司法</w:t>
      </w:r>
      <w:proofErr w:type="gramEnd"/>
      <w:r w:rsidRPr="003B2DE7">
        <w:rPr>
          <w:rFonts w:hint="eastAsia"/>
          <w:lang w:val="en-GB"/>
        </w:rPr>
        <w:t>长官的替补者。</w:t>
      </w:r>
      <w:proofErr w:type="gramStart"/>
      <w:r w:rsidRPr="003B2DE7">
        <w:rPr>
          <w:rFonts w:hint="eastAsia"/>
          <w:lang w:val="en-GB"/>
        </w:rPr>
        <w:t>副司法</w:t>
      </w:r>
      <w:proofErr w:type="gramEnd"/>
      <w:r w:rsidRPr="003B2DE7">
        <w:rPr>
          <w:rFonts w:hint="eastAsia"/>
          <w:lang w:val="en-GB"/>
        </w:rPr>
        <w:t>长官及其替补者独立解决提请他们注意的问题。司法长官尤其要按要求解决与政府监督有关的问题，以及原则问题或具有深远影响的问题。</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263.</w:t>
      </w:r>
      <w:r w:rsidRPr="003B2DE7">
        <w:rPr>
          <w:rFonts w:hint="eastAsia"/>
          <w:lang w:val="en-GB"/>
        </w:rPr>
        <w:tab/>
      </w:r>
      <w:r w:rsidRPr="003B2DE7">
        <w:rPr>
          <w:rFonts w:hint="eastAsia"/>
          <w:lang w:val="en-GB"/>
        </w:rPr>
        <w:t>司法长官向议会和政府提交年度报告，阐述其开展的活动以及关于法律遵守情况的意见。</w:t>
      </w:r>
    </w:p>
    <w:p w:rsidR="003B2DE7" w:rsidRDefault="003B2DE7" w:rsidP="007830C3">
      <w:pPr>
        <w:pStyle w:val="H23GC"/>
      </w:pPr>
      <w:r>
        <w:rPr>
          <w:rFonts w:hint="eastAsia"/>
        </w:rPr>
        <w:lastRenderedPageBreak/>
        <w:tab/>
        <w:t>(d)</w:t>
      </w:r>
      <w:r>
        <w:rPr>
          <w:rFonts w:hint="eastAsia"/>
        </w:rPr>
        <w:tab/>
      </w:r>
      <w:r>
        <w:rPr>
          <w:rFonts w:hint="eastAsia"/>
        </w:rPr>
        <w:t>芬兰法院中的人权</w:t>
      </w:r>
    </w:p>
    <w:p w:rsidR="003B2DE7" w:rsidRPr="003B2DE7" w:rsidRDefault="003B2DE7" w:rsidP="003B2DE7">
      <w:pPr>
        <w:pStyle w:val="SingleTxtGC"/>
        <w:tabs>
          <w:tab w:val="clear" w:pos="1565"/>
          <w:tab w:val="clear" w:pos="1996"/>
          <w:tab w:val="clear" w:pos="2427"/>
        </w:tabs>
        <w:rPr>
          <w:lang w:val="en-GB"/>
        </w:rPr>
      </w:pPr>
      <w:r>
        <w:rPr>
          <w:rFonts w:hint="eastAsia"/>
        </w:rPr>
        <w:t>264.</w:t>
      </w:r>
      <w:r>
        <w:rPr>
          <w:rFonts w:hint="eastAsia"/>
        </w:rPr>
        <w:tab/>
      </w:r>
      <w:r>
        <w:rPr>
          <w:rFonts w:hint="eastAsia"/>
        </w:rPr>
        <w:t>判例法中提及基本权利和人权的次数大幅增加，特别是自</w:t>
      </w:r>
      <w:r>
        <w:rPr>
          <w:rFonts w:hint="eastAsia"/>
        </w:rPr>
        <w:t>1990</w:t>
      </w:r>
      <w:r>
        <w:rPr>
          <w:rFonts w:hint="eastAsia"/>
        </w:rPr>
        <w:t>年芬兰加入《欧洲人权公约》、</w:t>
      </w:r>
      <w:r>
        <w:rPr>
          <w:rFonts w:hint="eastAsia"/>
        </w:rPr>
        <w:t>1995</w:t>
      </w:r>
      <w:r>
        <w:rPr>
          <w:rFonts w:hint="eastAsia"/>
        </w:rPr>
        <w:t>年进行基本权利改革以及</w:t>
      </w:r>
      <w:r>
        <w:rPr>
          <w:rFonts w:hint="eastAsia"/>
        </w:rPr>
        <w:t>2000</w:t>
      </w:r>
      <w:r>
        <w:rPr>
          <w:rFonts w:hint="eastAsia"/>
        </w:rPr>
        <w:t>年</w:t>
      </w:r>
      <w:r>
        <w:rPr>
          <w:rFonts w:hint="eastAsia"/>
        </w:rPr>
        <w:t>3</w:t>
      </w:r>
      <w:r>
        <w:rPr>
          <w:rFonts w:hint="eastAsia"/>
        </w:rPr>
        <w:t>月</w:t>
      </w:r>
      <w:r>
        <w:rPr>
          <w:rFonts w:hint="eastAsia"/>
        </w:rPr>
        <w:t>1</w:t>
      </w:r>
      <w:r>
        <w:rPr>
          <w:rFonts w:hint="eastAsia"/>
        </w:rPr>
        <w:t>日芬兰新《宪法》生效以来。芬兰于</w:t>
      </w:r>
      <w:r>
        <w:rPr>
          <w:rFonts w:hint="eastAsia"/>
        </w:rPr>
        <w:t>1995</w:t>
      </w:r>
      <w:r>
        <w:rPr>
          <w:rFonts w:hint="eastAsia"/>
        </w:rPr>
        <w:t>年加入欧洲联盟，这也标志着其加强了对基本权利和人权的重视</w:t>
      </w:r>
      <w:r w:rsidRPr="003B2DE7">
        <w:rPr>
          <w:rFonts w:hint="eastAsia"/>
          <w:lang w:val="en-GB"/>
        </w:rPr>
        <w:t>。最高行政法院是这方面的先驱，于</w:t>
      </w:r>
      <w:r w:rsidRPr="003B2DE7">
        <w:rPr>
          <w:rFonts w:hint="eastAsia"/>
          <w:lang w:val="en-GB"/>
        </w:rPr>
        <w:t>1988</w:t>
      </w:r>
      <w:r w:rsidRPr="003B2DE7">
        <w:rPr>
          <w:rFonts w:hint="eastAsia"/>
          <w:lang w:val="en-GB"/>
        </w:rPr>
        <w:t>年提及《公民及政治权利公约》，在芬兰法律史上首次提及该公约。同年，最高行政法院发布了有史以来芬兰最高法院首次援引《关于难民地位的公约》的裁决。</w:t>
      </w:r>
    </w:p>
    <w:p w:rsidR="003B2DE7" w:rsidRDefault="003B2DE7" w:rsidP="003B2DE7">
      <w:pPr>
        <w:pStyle w:val="SingleTxtGC"/>
        <w:tabs>
          <w:tab w:val="clear" w:pos="1565"/>
          <w:tab w:val="clear" w:pos="1996"/>
          <w:tab w:val="clear" w:pos="2427"/>
        </w:tabs>
      </w:pPr>
      <w:r w:rsidRPr="003B2DE7">
        <w:rPr>
          <w:rFonts w:hint="eastAsia"/>
          <w:lang w:val="en-GB"/>
        </w:rPr>
        <w:t>265.</w:t>
      </w:r>
      <w:r w:rsidRPr="003B2DE7">
        <w:rPr>
          <w:rFonts w:hint="eastAsia"/>
          <w:lang w:val="en-GB"/>
        </w:rPr>
        <w:tab/>
      </w:r>
      <w:r w:rsidRPr="003B2DE7">
        <w:rPr>
          <w:rFonts w:hint="eastAsia"/>
          <w:lang w:val="en-GB"/>
        </w:rPr>
        <w:t>在法律层面对违反人权义务的行为</w:t>
      </w:r>
      <w:proofErr w:type="gramStart"/>
      <w:r w:rsidRPr="003B2DE7">
        <w:rPr>
          <w:rFonts w:hint="eastAsia"/>
          <w:lang w:val="en-GB"/>
        </w:rPr>
        <w:t>作出</w:t>
      </w:r>
      <w:proofErr w:type="gramEnd"/>
      <w:r w:rsidRPr="003B2DE7">
        <w:rPr>
          <w:rFonts w:hint="eastAsia"/>
          <w:lang w:val="en-GB"/>
        </w:rPr>
        <w:t>规定，例如规定了特别上诉程序。具体而言，如果主</w:t>
      </w:r>
      <w:r>
        <w:rPr>
          <w:rFonts w:hint="eastAsia"/>
        </w:rPr>
        <w:t>管监督国际人权义务的司法或监督机构在审理案件时发现司法错误，违反行为的受害者可以就法院的错误提出申诉。如今，下级法院的判决推理中也有直接提及人权公约以及委员会发布的结论性意见。</w:t>
      </w:r>
    </w:p>
    <w:p w:rsidR="003B2DE7" w:rsidRDefault="003B2DE7" w:rsidP="007830C3">
      <w:pPr>
        <w:pStyle w:val="H23GC"/>
      </w:pPr>
      <w:r>
        <w:rPr>
          <w:rFonts w:hint="eastAsia"/>
        </w:rPr>
        <w:tab/>
        <w:t>(e)</w:t>
      </w:r>
      <w:r>
        <w:rPr>
          <w:rFonts w:hint="eastAsia"/>
        </w:rPr>
        <w:tab/>
      </w:r>
      <w:r>
        <w:rPr>
          <w:rFonts w:hint="eastAsia"/>
        </w:rPr>
        <w:t>侵犯人权行为和法律补救</w:t>
      </w:r>
    </w:p>
    <w:p w:rsidR="003B2DE7" w:rsidRPr="003B2DE7" w:rsidRDefault="003B2DE7" w:rsidP="003B2DE7">
      <w:pPr>
        <w:pStyle w:val="SingleTxtGC"/>
        <w:tabs>
          <w:tab w:val="clear" w:pos="1565"/>
          <w:tab w:val="clear" w:pos="1996"/>
          <w:tab w:val="clear" w:pos="2427"/>
        </w:tabs>
        <w:rPr>
          <w:lang w:val="en-GB"/>
        </w:rPr>
      </w:pPr>
      <w:r>
        <w:rPr>
          <w:rFonts w:hint="eastAsia"/>
        </w:rPr>
        <w:t>266.</w:t>
      </w:r>
      <w:r>
        <w:rPr>
          <w:rFonts w:hint="eastAsia"/>
        </w:rPr>
        <w:tab/>
      </w:r>
      <w:r>
        <w:rPr>
          <w:rFonts w:hint="eastAsia"/>
        </w:rPr>
        <w:t>任何认为自己的人权受到侵犯的人都可以诉诸法院。在实践中，个人可以在涉及两个人的民事案件、普通法院的刑事案件以及行政法院的行政案件中援用其人权。如果发现某一当局的决定或在某些情况下某一私人当事方的行为违反了人权规定，该</w:t>
      </w:r>
      <w:r w:rsidRPr="003B2DE7">
        <w:rPr>
          <w:rFonts w:hint="eastAsia"/>
          <w:lang w:val="en-GB"/>
        </w:rPr>
        <w:t>决定或行为将被推翻。在所有芬兰法院和最高法院及以下各级法院都可援用人权。</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267.</w:t>
      </w:r>
      <w:r w:rsidRPr="003B2DE7">
        <w:rPr>
          <w:rFonts w:hint="eastAsia"/>
          <w:lang w:val="en-GB"/>
        </w:rPr>
        <w:tab/>
      </w:r>
      <w:r w:rsidRPr="003B2DE7">
        <w:rPr>
          <w:rFonts w:hint="eastAsia"/>
          <w:lang w:val="en-GB"/>
        </w:rPr>
        <w:t>当侵犯人权行为造成损害时，侵权行为的受害者有权根据《侵权责任法》获得赔偿。但是，为了产生赔偿责任，通常要求能够确立损害，并确定是由造成损害方的错误或遗漏造成的，并确定是造成损害方行事疏忽。此外，《侵权责任法》还限制了可赔偿损害的形式。作为补充，如果某一特定程序被认定侵犯人权，而国家立法没有规定对此侵权行为予以适当赔偿的事实机会，则可以通过解读《侵权责任法》与人权公约规范</w:t>
      </w:r>
      <w:r w:rsidRPr="003B2DE7">
        <w:rPr>
          <w:rFonts w:hint="eastAsia"/>
          <w:lang w:val="en-GB"/>
        </w:rPr>
        <w:t>(</w:t>
      </w:r>
      <w:r w:rsidRPr="003B2DE7">
        <w:rPr>
          <w:rFonts w:hint="eastAsia"/>
          <w:lang w:val="en-GB"/>
        </w:rPr>
        <w:t>例如《欧洲人权公约》第</w:t>
      </w:r>
      <w:r w:rsidRPr="003B2DE7">
        <w:rPr>
          <w:rFonts w:hint="eastAsia"/>
          <w:lang w:val="en-GB"/>
        </w:rPr>
        <w:t>13</w:t>
      </w:r>
      <w:r w:rsidRPr="003B2DE7">
        <w:rPr>
          <w:rFonts w:hint="eastAsia"/>
          <w:lang w:val="en-GB"/>
        </w:rPr>
        <w:t>条</w:t>
      </w:r>
      <w:r w:rsidRPr="003B2DE7">
        <w:rPr>
          <w:rFonts w:hint="eastAsia"/>
          <w:lang w:val="en-GB"/>
        </w:rPr>
        <w:t>)</w:t>
      </w:r>
      <w:r w:rsidRPr="003B2DE7">
        <w:rPr>
          <w:rFonts w:hint="eastAsia"/>
          <w:lang w:val="en-GB"/>
        </w:rPr>
        <w:t>来确定赔偿责任。</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268.</w:t>
      </w:r>
      <w:r w:rsidRPr="003B2DE7">
        <w:rPr>
          <w:rFonts w:hint="eastAsia"/>
          <w:lang w:val="en-GB"/>
        </w:rPr>
        <w:tab/>
      </w:r>
      <w:r w:rsidRPr="003B2DE7">
        <w:rPr>
          <w:rFonts w:hint="eastAsia"/>
          <w:lang w:val="en-GB"/>
        </w:rPr>
        <w:t>在芬兰，损害赔偿是根据恢复原状原则裁定支付的，这意味着赔偿将弥补遭受损害方的全部损失。另一方面，芬兰的损害赔偿金额不会过高，不至于在赔偿之后使遭受损害方不当得利。芬兰也不使用惩罚性赔偿。在芬兰，人权被载入法律，侵犯人权造成的损害始终是非法的，所以允许对人身伤害、财产损害和纯粹的经济损失进行充分赔偿。公共机构也可能被认定负有赔偿责任，但在处理公共机构时适用的要求比处理私人机构时更高。</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269.</w:t>
      </w:r>
      <w:r w:rsidRPr="003B2DE7">
        <w:rPr>
          <w:rFonts w:hint="eastAsia"/>
          <w:lang w:val="en-GB"/>
        </w:rPr>
        <w:tab/>
      </w:r>
      <w:r w:rsidRPr="003B2DE7">
        <w:rPr>
          <w:rFonts w:hint="eastAsia"/>
          <w:lang w:val="en-GB"/>
        </w:rPr>
        <w:t>如果侵犯人权行为是由刑事犯罪引起的，侵权行为的受害者，在这种情况下是刑事犯罪的受害者，可以报警以便警方进行调查。在审前调查和审查指控之后，通常由主管地区法院审理刑事事项。芬兰的制裁制度原则上侧重于犯罪者，而不是受害者。但是，由于芬兰执行欧盟关于受害者权利的指令</w:t>
      </w:r>
      <w:r w:rsidRPr="003B2DE7">
        <w:rPr>
          <w:rFonts w:hint="eastAsia"/>
          <w:lang w:val="en-GB"/>
        </w:rPr>
        <w:t>(</w:t>
      </w:r>
      <w:r w:rsidRPr="003B2DE7">
        <w:rPr>
          <w:rFonts w:hint="eastAsia"/>
          <w:lang w:val="en-GB"/>
        </w:rPr>
        <w:t>欧洲议会和欧盟理事会</w:t>
      </w:r>
      <w:r w:rsidRPr="003B2DE7">
        <w:rPr>
          <w:rFonts w:hint="eastAsia"/>
          <w:lang w:val="en-GB"/>
        </w:rPr>
        <w:t>2012</w:t>
      </w:r>
      <w:r w:rsidRPr="003B2DE7">
        <w:rPr>
          <w:rFonts w:hint="eastAsia"/>
          <w:lang w:val="en-GB"/>
        </w:rPr>
        <w:t>年</w:t>
      </w:r>
      <w:r w:rsidRPr="003B2DE7">
        <w:rPr>
          <w:rFonts w:hint="eastAsia"/>
          <w:lang w:val="en-GB"/>
        </w:rPr>
        <w:t>10</w:t>
      </w:r>
      <w:r w:rsidRPr="003B2DE7">
        <w:rPr>
          <w:rFonts w:hint="eastAsia"/>
          <w:lang w:val="en-GB"/>
        </w:rPr>
        <w:t>月</w:t>
      </w:r>
      <w:r w:rsidRPr="003B2DE7">
        <w:rPr>
          <w:rFonts w:hint="eastAsia"/>
          <w:lang w:val="en-GB"/>
        </w:rPr>
        <w:t>25</w:t>
      </w:r>
      <w:r w:rsidRPr="003B2DE7">
        <w:rPr>
          <w:rFonts w:hint="eastAsia"/>
          <w:lang w:val="en-GB"/>
        </w:rPr>
        <w:t>日的第</w:t>
      </w:r>
      <w:r w:rsidRPr="003B2DE7">
        <w:rPr>
          <w:rFonts w:hint="eastAsia"/>
          <w:lang w:val="en-GB"/>
        </w:rPr>
        <w:t>2012/29/EU</w:t>
      </w:r>
      <w:r w:rsidRPr="003B2DE7">
        <w:rPr>
          <w:rFonts w:hint="eastAsia"/>
          <w:lang w:val="en-GB"/>
        </w:rPr>
        <w:t>号指令，该指令确立了关于犯罪受害者权利、支持和保护的最低标准</w:t>
      </w:r>
      <w:r w:rsidRPr="003B2DE7">
        <w:rPr>
          <w:rFonts w:hint="eastAsia"/>
          <w:lang w:val="en-GB"/>
        </w:rPr>
        <w:t>)</w:t>
      </w:r>
      <w:r w:rsidRPr="003B2DE7">
        <w:rPr>
          <w:rFonts w:hint="eastAsia"/>
          <w:lang w:val="en-GB"/>
        </w:rPr>
        <w:t>，所以保障了犯罪受害者在刑事诉讼中的合理权利，此外芬兰还引入了受害者附加费，用于资助犯罪受害者的支助服务，如芬兰受害者支助组织。刑事事项也可以在公正调解人的协助下进行调解，以便处理犯罪给受害者造成的精神和物质损害，并允许各方主动商定恢复原状的措施。</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270.</w:t>
      </w:r>
      <w:r w:rsidRPr="003B2DE7">
        <w:rPr>
          <w:rFonts w:hint="eastAsia"/>
          <w:lang w:val="en-GB"/>
        </w:rPr>
        <w:tab/>
      </w:r>
      <w:r w:rsidRPr="003B2DE7">
        <w:rPr>
          <w:rFonts w:hint="eastAsia"/>
          <w:lang w:val="en-GB"/>
        </w:rPr>
        <w:t>在所有政府活动中，基本前提应当是对有利于基本权利和人权的法律和行动的解读。法治要求公共机构在其所有活动中遵守法律。由于基本权利和人权已</w:t>
      </w:r>
      <w:r w:rsidRPr="003B2DE7">
        <w:rPr>
          <w:rFonts w:hint="eastAsia"/>
          <w:lang w:val="en-GB"/>
        </w:rPr>
        <w:lastRenderedPageBreak/>
        <w:t>载入法律，任何违反这些权利的行为</w:t>
      </w:r>
      <w:r w:rsidRPr="003B2DE7">
        <w:rPr>
          <w:rFonts w:hint="eastAsia"/>
          <w:lang w:val="en-GB"/>
        </w:rPr>
        <w:t>(</w:t>
      </w:r>
      <w:r w:rsidRPr="003B2DE7">
        <w:rPr>
          <w:rFonts w:hint="eastAsia"/>
          <w:lang w:val="en-GB"/>
        </w:rPr>
        <w:t>例如行政决定</w:t>
      </w:r>
      <w:r w:rsidRPr="003B2DE7">
        <w:rPr>
          <w:rFonts w:hint="eastAsia"/>
          <w:lang w:val="en-GB"/>
        </w:rPr>
        <w:t>)</w:t>
      </w:r>
      <w:r w:rsidRPr="003B2DE7">
        <w:rPr>
          <w:rFonts w:hint="eastAsia"/>
          <w:lang w:val="en-GB"/>
        </w:rPr>
        <w:t>通常都是非法的。可以向行政法院提出修改决定的申请或提出上诉，以寻求修改违法的行政决定。行政法院和最高行政法院将推翻违法的行政决定。</w:t>
      </w:r>
    </w:p>
    <w:p w:rsidR="003B2DE7" w:rsidRDefault="003B2DE7" w:rsidP="003B2DE7">
      <w:pPr>
        <w:pStyle w:val="SingleTxtGC"/>
        <w:tabs>
          <w:tab w:val="clear" w:pos="1565"/>
          <w:tab w:val="clear" w:pos="1996"/>
          <w:tab w:val="clear" w:pos="2427"/>
        </w:tabs>
      </w:pPr>
      <w:r w:rsidRPr="003B2DE7">
        <w:rPr>
          <w:rFonts w:hint="eastAsia"/>
          <w:lang w:val="en-GB"/>
        </w:rPr>
        <w:t>271.</w:t>
      </w:r>
      <w:r w:rsidRPr="003B2DE7">
        <w:rPr>
          <w:rFonts w:hint="eastAsia"/>
          <w:lang w:val="en-GB"/>
        </w:rPr>
        <w:tab/>
      </w:r>
      <w:r w:rsidRPr="003B2DE7">
        <w:rPr>
          <w:rFonts w:hint="eastAsia"/>
          <w:lang w:val="en-GB"/>
        </w:rPr>
        <w:t>任何人都可以对主管部门、主管部门雇用的人员或履行公共行政职责的其他实体的违法行为或不履行义务提出行政申诉。应向负责监督相关活动的机构提出申诉。最终，申</w:t>
      </w:r>
      <w:r>
        <w:rPr>
          <w:rFonts w:hint="eastAsia"/>
        </w:rPr>
        <w:t>诉会被提交给合法性最高监督员。</w:t>
      </w:r>
    </w:p>
    <w:p w:rsidR="003B2DE7" w:rsidRDefault="003B2DE7" w:rsidP="007830C3">
      <w:pPr>
        <w:pStyle w:val="H23GC"/>
      </w:pPr>
      <w:r>
        <w:rPr>
          <w:rFonts w:hint="eastAsia"/>
        </w:rPr>
        <w:tab/>
        <w:t>(f)</w:t>
      </w:r>
      <w:r>
        <w:rPr>
          <w:rFonts w:hint="eastAsia"/>
        </w:rPr>
        <w:tab/>
      </w:r>
      <w:r>
        <w:rPr>
          <w:rFonts w:hint="eastAsia"/>
        </w:rPr>
        <w:t>监督人权的实现</w:t>
      </w:r>
    </w:p>
    <w:p w:rsidR="003B2DE7" w:rsidRDefault="003B2DE7" w:rsidP="007830C3">
      <w:pPr>
        <w:pStyle w:val="H23GC"/>
      </w:pPr>
      <w:r>
        <w:rPr>
          <w:rFonts w:hint="eastAsia"/>
        </w:rPr>
        <w:tab/>
      </w:r>
      <w:r>
        <w:rPr>
          <w:rFonts w:hint="eastAsia"/>
        </w:rPr>
        <w:tab/>
      </w:r>
      <w:r>
        <w:rPr>
          <w:rFonts w:hint="eastAsia"/>
        </w:rPr>
        <w:t>合法性最高监督员</w:t>
      </w:r>
    </w:p>
    <w:p w:rsidR="003B2DE7" w:rsidRDefault="003B2DE7" w:rsidP="003B2DE7">
      <w:pPr>
        <w:pStyle w:val="SingleTxtGC"/>
        <w:tabs>
          <w:tab w:val="clear" w:pos="1565"/>
          <w:tab w:val="clear" w:pos="1996"/>
          <w:tab w:val="clear" w:pos="2427"/>
        </w:tabs>
      </w:pPr>
      <w:r>
        <w:rPr>
          <w:rFonts w:hint="eastAsia"/>
        </w:rPr>
        <w:t>272.</w:t>
      </w:r>
      <w:r>
        <w:rPr>
          <w:rFonts w:hint="eastAsia"/>
        </w:rPr>
        <w:tab/>
      </w:r>
      <w:r>
        <w:rPr>
          <w:rFonts w:hint="eastAsia"/>
        </w:rPr>
        <w:t>芬兰有两名合法性最高监督员，即议会监察员和政府司法长官</w:t>
      </w:r>
      <w:r>
        <w:rPr>
          <w:rFonts w:hint="eastAsia"/>
        </w:rPr>
        <w:t>(</w:t>
      </w:r>
      <w:r>
        <w:rPr>
          <w:rFonts w:hint="eastAsia"/>
        </w:rPr>
        <w:t>见第</w:t>
      </w:r>
      <w:r>
        <w:rPr>
          <w:rFonts w:hint="eastAsia"/>
        </w:rPr>
        <w:t>250-262</w:t>
      </w:r>
      <w:r>
        <w:rPr>
          <w:rFonts w:hint="eastAsia"/>
        </w:rPr>
        <w:t>段</w:t>
      </w:r>
      <w:r>
        <w:rPr>
          <w:rFonts w:hint="eastAsia"/>
        </w:rPr>
        <w:t>)</w:t>
      </w:r>
      <w:r>
        <w:rPr>
          <w:rFonts w:hint="eastAsia"/>
        </w:rPr>
        <w:t>。根据</w:t>
      </w:r>
      <w:r w:rsidRPr="003B2DE7">
        <w:rPr>
          <w:rFonts w:hint="eastAsia"/>
          <w:lang w:val="en-GB"/>
        </w:rPr>
        <w:t>芬兰《宪法》第</w:t>
      </w:r>
      <w:r w:rsidRPr="003B2DE7">
        <w:rPr>
          <w:rFonts w:hint="eastAsia"/>
          <w:lang w:val="en-GB"/>
        </w:rPr>
        <w:t>108</w:t>
      </w:r>
      <w:r w:rsidRPr="003B2DE7">
        <w:rPr>
          <w:rFonts w:hint="eastAsia"/>
          <w:lang w:val="en-GB"/>
        </w:rPr>
        <w:t>和第</w:t>
      </w:r>
      <w:r w:rsidRPr="003B2DE7">
        <w:rPr>
          <w:rFonts w:hint="eastAsia"/>
          <w:lang w:val="en-GB"/>
        </w:rPr>
        <w:t>109</w:t>
      </w:r>
      <w:r w:rsidRPr="003B2DE7">
        <w:rPr>
          <w:rFonts w:hint="eastAsia"/>
          <w:lang w:val="en-GB"/>
        </w:rPr>
        <w:t>条，这两名监督员在履行职责时都应监督基本权利和人权的落实情况。他们还应每年报告开展的活动、关于法律遵守情况的意见、司法状况</w:t>
      </w:r>
      <w:r>
        <w:rPr>
          <w:rFonts w:hint="eastAsia"/>
        </w:rPr>
        <w:t>以及在立法中发现的缺陷。</w:t>
      </w:r>
    </w:p>
    <w:p w:rsidR="003B2DE7" w:rsidRDefault="003B2DE7" w:rsidP="007830C3">
      <w:pPr>
        <w:pStyle w:val="H23GC"/>
      </w:pPr>
      <w:r>
        <w:rPr>
          <w:rFonts w:hint="eastAsia"/>
        </w:rPr>
        <w:tab/>
      </w:r>
      <w:r>
        <w:rPr>
          <w:rFonts w:hint="eastAsia"/>
        </w:rPr>
        <w:tab/>
      </w:r>
      <w:r>
        <w:rPr>
          <w:rFonts w:hint="eastAsia"/>
        </w:rPr>
        <w:t>不歧视问题监察员</w:t>
      </w:r>
    </w:p>
    <w:p w:rsidR="003B2DE7" w:rsidRDefault="003B2DE7" w:rsidP="003B2DE7">
      <w:pPr>
        <w:pStyle w:val="SingleTxtGC"/>
        <w:tabs>
          <w:tab w:val="clear" w:pos="1565"/>
          <w:tab w:val="clear" w:pos="1996"/>
          <w:tab w:val="clear" w:pos="2427"/>
        </w:tabs>
      </w:pPr>
      <w:r>
        <w:rPr>
          <w:rFonts w:hint="eastAsia"/>
        </w:rPr>
        <w:t>273.</w:t>
      </w:r>
      <w:r>
        <w:rPr>
          <w:rFonts w:hint="eastAsia"/>
        </w:rPr>
        <w:tab/>
      </w:r>
      <w:r>
        <w:rPr>
          <w:rFonts w:hint="eastAsia"/>
        </w:rPr>
        <w:t>不歧视问题监察员由政府任命，任期不超过五年。该监察员是一个独立自主的权力职位。被任命为监察员的人在任命期间免除任何其他职务。对监察员的资质要求包括硕士学位、对基本权利和人权以及该职位的职权范围有良好的了解，以及经过考验的领导才能和管理技能。</w:t>
      </w:r>
    </w:p>
    <w:p w:rsidR="003B2DE7" w:rsidRPr="003B2DE7" w:rsidRDefault="003B2DE7" w:rsidP="003B2DE7">
      <w:pPr>
        <w:pStyle w:val="SingleTxtGC"/>
        <w:tabs>
          <w:tab w:val="clear" w:pos="1565"/>
          <w:tab w:val="clear" w:pos="1996"/>
          <w:tab w:val="clear" w:pos="2427"/>
        </w:tabs>
        <w:rPr>
          <w:lang w:val="en-GB"/>
        </w:rPr>
      </w:pPr>
      <w:r>
        <w:rPr>
          <w:rFonts w:hint="eastAsia"/>
        </w:rPr>
        <w:t>274.</w:t>
      </w:r>
      <w:r>
        <w:rPr>
          <w:rFonts w:hint="eastAsia"/>
        </w:rPr>
        <w:tab/>
      </w:r>
      <w:r>
        <w:rPr>
          <w:rFonts w:hint="eastAsia"/>
        </w:rPr>
        <w:t>不歧视问题监察员的任务是以《不歧视法》规定的方式监督该法的遵守情况，并在整体上促进平等和防止歧视。监察员还担任贩运人口问题国家报告员。监察员应在关于歧视申诉的调查中协助受歧视者，协助规划促进平等的措施，发布防止歧视</w:t>
      </w:r>
      <w:r w:rsidRPr="003B2DE7">
        <w:rPr>
          <w:rFonts w:hint="eastAsia"/>
          <w:lang w:val="en-GB"/>
        </w:rPr>
        <w:t>和促进平等的一般性建议，并采取措施在涉及不遵守《不歧视法》的案件中达成和解。</w:t>
      </w:r>
      <w:proofErr w:type="gramStart"/>
      <w:r w:rsidRPr="003B2DE7">
        <w:rPr>
          <w:rFonts w:hint="eastAsia"/>
          <w:lang w:val="en-GB"/>
        </w:rPr>
        <w:t>除了促进</w:t>
      </w:r>
      <w:proofErr w:type="gramEnd"/>
      <w:r w:rsidRPr="003B2DE7">
        <w:rPr>
          <w:rFonts w:hint="eastAsia"/>
          <w:lang w:val="en-GB"/>
        </w:rPr>
        <w:t>平等和解决歧视问题，监察员的职权还包括监督外国公民权利的实现情况、贩运人口问题国家报告员的职责以及将外国公民驱逐出境的情况。在履行这些职责时，监察员应委托编写报告、提交倡议、发布声明、促进信息传播、教育和培训，并参与欧洲和国际合作。</w:t>
      </w:r>
    </w:p>
    <w:p w:rsidR="003B2DE7" w:rsidRPr="003B2DE7" w:rsidRDefault="003B2DE7" w:rsidP="003B2DE7">
      <w:pPr>
        <w:pStyle w:val="SingleTxtGC"/>
        <w:tabs>
          <w:tab w:val="clear" w:pos="1565"/>
          <w:tab w:val="clear" w:pos="1996"/>
          <w:tab w:val="clear" w:pos="2427"/>
        </w:tabs>
        <w:rPr>
          <w:lang w:val="en-GB"/>
        </w:rPr>
      </w:pPr>
      <w:r w:rsidRPr="003B2DE7">
        <w:rPr>
          <w:rFonts w:hint="eastAsia"/>
          <w:lang w:val="en-GB"/>
        </w:rPr>
        <w:t>275.</w:t>
      </w:r>
      <w:r w:rsidRPr="003B2DE7">
        <w:rPr>
          <w:rFonts w:hint="eastAsia"/>
          <w:lang w:val="en-GB"/>
        </w:rPr>
        <w:tab/>
      </w:r>
      <w:r w:rsidRPr="003B2DE7">
        <w:rPr>
          <w:rFonts w:hint="eastAsia"/>
          <w:lang w:val="en-GB"/>
        </w:rPr>
        <w:t>此外，不歧视问题监察员还获得了某些权利，以便能够有效履行监察员的职责，例如，尽管有保密规定，但监察员有权从任何当局或履行公共行政职责的其他实体免费获得必要信息以履行《不歧视法》和《外国人法》规定的监察员的监督职责。监察员也有权从任何当局或履行公共行政职责的其他实体</w:t>
      </w:r>
      <w:r w:rsidRPr="003B2DE7">
        <w:rPr>
          <w:rFonts w:hint="eastAsia"/>
          <w:lang w:val="en-GB"/>
        </w:rPr>
        <w:t>(</w:t>
      </w:r>
      <w:r w:rsidRPr="003B2DE7">
        <w:rPr>
          <w:rFonts w:hint="eastAsia"/>
          <w:lang w:val="en-GB"/>
        </w:rPr>
        <w:t>例如学校</w:t>
      </w:r>
      <w:r w:rsidRPr="003B2DE7">
        <w:rPr>
          <w:rFonts w:hint="eastAsia"/>
          <w:lang w:val="en-GB"/>
        </w:rPr>
        <w:t>)</w:t>
      </w:r>
      <w:r w:rsidRPr="003B2DE7">
        <w:rPr>
          <w:rFonts w:hint="eastAsia"/>
          <w:lang w:val="en-GB"/>
        </w:rPr>
        <w:t>及其雇员那里获得与履行监察员职责有关的任何事实。此外，在属于监察员监督《不歧视法》遵守情况的权限范围内的事项上，如果有必要，监察员可以对当局、教育提供者和教育机构或商品或服务提供者的场所进行检查。监察员有权处以有条件的罚款，以强制要求有关人员遵守提供信息渠道的义务。法院在审理涉及适用《不歧视法》的案件时，应为不歧视问题监察员保留陈述意见的机会，因为此类案件属于监察员的职权范围。</w:t>
      </w:r>
    </w:p>
    <w:p w:rsidR="003B2DE7" w:rsidRDefault="003B2DE7" w:rsidP="003B2DE7">
      <w:pPr>
        <w:pStyle w:val="SingleTxtGC"/>
        <w:tabs>
          <w:tab w:val="clear" w:pos="1565"/>
          <w:tab w:val="clear" w:pos="1996"/>
          <w:tab w:val="clear" w:pos="2427"/>
        </w:tabs>
      </w:pPr>
      <w:r w:rsidRPr="003B2DE7">
        <w:rPr>
          <w:rFonts w:hint="eastAsia"/>
          <w:lang w:val="en-GB"/>
        </w:rPr>
        <w:t>276.</w:t>
      </w:r>
      <w:r w:rsidRPr="003B2DE7">
        <w:rPr>
          <w:rFonts w:hint="eastAsia"/>
          <w:lang w:val="en-GB"/>
        </w:rPr>
        <w:tab/>
      </w:r>
      <w:r w:rsidRPr="003B2DE7">
        <w:rPr>
          <w:rFonts w:hint="eastAsia"/>
          <w:lang w:val="en-GB"/>
        </w:rPr>
        <w:t>不歧视问题监察员</w:t>
      </w:r>
      <w:r>
        <w:rPr>
          <w:rFonts w:hint="eastAsia"/>
        </w:rPr>
        <w:t>向政府提交年度活动报告，每四年向议会提交一份关于实现平等情况的报告。</w:t>
      </w:r>
    </w:p>
    <w:p w:rsidR="003B2DE7" w:rsidRDefault="003B2DE7" w:rsidP="007830C3">
      <w:pPr>
        <w:pStyle w:val="H23GC"/>
      </w:pPr>
      <w:r>
        <w:rPr>
          <w:rFonts w:hint="eastAsia"/>
        </w:rPr>
        <w:lastRenderedPageBreak/>
        <w:tab/>
      </w:r>
      <w:r>
        <w:rPr>
          <w:rFonts w:hint="eastAsia"/>
        </w:rPr>
        <w:tab/>
      </w:r>
      <w:r>
        <w:rPr>
          <w:rFonts w:hint="eastAsia"/>
        </w:rPr>
        <w:t>平等问题监察员</w:t>
      </w:r>
    </w:p>
    <w:p w:rsidR="003B2DE7" w:rsidRPr="003B2DE7" w:rsidRDefault="003B2DE7" w:rsidP="003B2DE7">
      <w:pPr>
        <w:pStyle w:val="SingleTxtGC"/>
        <w:tabs>
          <w:tab w:val="clear" w:pos="1565"/>
          <w:tab w:val="clear" w:pos="1996"/>
          <w:tab w:val="clear" w:pos="2427"/>
        </w:tabs>
        <w:rPr>
          <w:lang w:val="en-GB"/>
        </w:rPr>
      </w:pPr>
      <w:r>
        <w:rPr>
          <w:rFonts w:hint="eastAsia"/>
        </w:rPr>
        <w:t>277.</w:t>
      </w:r>
      <w:r>
        <w:rPr>
          <w:rFonts w:hint="eastAsia"/>
        </w:rPr>
        <w:tab/>
      </w:r>
      <w:r>
        <w:rPr>
          <w:rFonts w:hint="eastAsia"/>
        </w:rPr>
        <w:t>《男女平等法》</w:t>
      </w:r>
      <w:r>
        <w:rPr>
          <w:rFonts w:hint="eastAsia"/>
        </w:rPr>
        <w:t>(</w:t>
      </w:r>
      <w:r>
        <w:rPr>
          <w:rFonts w:hint="eastAsia"/>
        </w:rPr>
        <w:t>即《平等法》</w:t>
      </w:r>
      <w:r>
        <w:rPr>
          <w:rFonts w:hint="eastAsia"/>
        </w:rPr>
        <w:t>(609/1986))</w:t>
      </w:r>
      <w:r>
        <w:rPr>
          <w:rFonts w:hint="eastAsia"/>
        </w:rPr>
        <w:t>的目标是防止基于性别的歧视，促进男女平等，从而提高妇女地位，特别是在工作生活中的地位。此外，该法的目标是防止基</w:t>
      </w:r>
      <w:r w:rsidRPr="003B2DE7">
        <w:rPr>
          <w:rFonts w:hint="eastAsia"/>
          <w:lang w:val="en-GB"/>
        </w:rPr>
        <w:t>于性别认同或性别表达的歧视。政府任命平等问题监察员，任期不超过五年，负责监督《平等法》的遵守情况。平等问题监察员是司法部行政部门内的一个独立自主的权力职位。</w:t>
      </w:r>
    </w:p>
    <w:p w:rsidR="003B2DE7" w:rsidRDefault="003B2DE7" w:rsidP="003B2DE7">
      <w:pPr>
        <w:pStyle w:val="SingleTxtGC"/>
        <w:tabs>
          <w:tab w:val="clear" w:pos="1565"/>
          <w:tab w:val="clear" w:pos="1996"/>
          <w:tab w:val="clear" w:pos="2427"/>
        </w:tabs>
      </w:pPr>
      <w:r w:rsidRPr="003B2DE7">
        <w:rPr>
          <w:rFonts w:hint="eastAsia"/>
          <w:lang w:val="en-GB"/>
        </w:rPr>
        <w:t>278.</w:t>
      </w:r>
      <w:r w:rsidRPr="003B2DE7">
        <w:rPr>
          <w:rFonts w:hint="eastAsia"/>
          <w:lang w:val="en-GB"/>
        </w:rPr>
        <w:tab/>
      </w:r>
      <w:r w:rsidRPr="003B2DE7">
        <w:rPr>
          <w:rFonts w:hint="eastAsia"/>
          <w:lang w:val="en-GB"/>
        </w:rPr>
        <w:t>监察员监督《平等法》关于禁止歧视的规定的遵守情况，以及依据该法促进平等、打击基于性别、性别认同或性别表达的歧视方面的义务履行情况。此外，监察员应通过倡议、建议和指导，促进实现《平等法》的目标，并提供关于平等立法及其实际适用的信息。在发现不遵守《平等法》规定的义务或其他违反该法规定的行为时，监</w:t>
      </w:r>
      <w:r>
        <w:rPr>
          <w:rFonts w:hint="eastAsia"/>
        </w:rPr>
        <w:t>察员应提供建议和指导，以确保违法行为不会继续或再次发生。此外，监察员可以采取措施，在涉及《平等法》所指歧视的案件中达成和解。在歧视案件中，监察员应就《平等法》的解释发表意见。监察员以建议的方式发表意见。</w:t>
      </w:r>
    </w:p>
    <w:p w:rsidR="003B2DE7" w:rsidRPr="003B2DE7" w:rsidRDefault="003B2DE7" w:rsidP="003B2DE7">
      <w:pPr>
        <w:pStyle w:val="SingleTxtGC"/>
        <w:tabs>
          <w:tab w:val="clear" w:pos="1565"/>
          <w:tab w:val="clear" w:pos="1996"/>
          <w:tab w:val="clear" w:pos="2427"/>
        </w:tabs>
        <w:rPr>
          <w:lang w:val="en-GB"/>
        </w:rPr>
      </w:pPr>
      <w:r>
        <w:rPr>
          <w:rFonts w:hint="eastAsia"/>
        </w:rPr>
        <w:t>279.</w:t>
      </w:r>
      <w:r>
        <w:rPr>
          <w:rFonts w:hint="eastAsia"/>
        </w:rPr>
        <w:tab/>
      </w:r>
      <w:r>
        <w:rPr>
          <w:rFonts w:hint="eastAsia"/>
        </w:rPr>
        <w:t>尽管有关于事项或文件保密性的规定，但平等问题监察员有权从当局免费获得必要信息以监督《平等法》的遵守情况。监察员还有权在其规定的合理期限内从所有相关方</w:t>
      </w:r>
      <w:r>
        <w:rPr>
          <w:rFonts w:hint="eastAsia"/>
        </w:rPr>
        <w:t>(</w:t>
      </w:r>
      <w:r>
        <w:rPr>
          <w:rFonts w:hint="eastAsia"/>
        </w:rPr>
        <w:t>例如雇主</w:t>
      </w:r>
      <w:r>
        <w:rPr>
          <w:rFonts w:hint="eastAsia"/>
        </w:rPr>
        <w:t>)</w:t>
      </w:r>
      <w:r>
        <w:rPr>
          <w:rFonts w:hint="eastAsia"/>
        </w:rPr>
        <w:t>获得必要的信息，以监督《平等法》的遵守情况，并有权要求相关方出示其拥有的任何文件，除非该人根据法律有权利或责任拒绝作证或出示文件。此</w:t>
      </w:r>
      <w:r w:rsidRPr="003B2DE7">
        <w:rPr>
          <w:rFonts w:hint="eastAsia"/>
          <w:lang w:val="en-GB"/>
        </w:rPr>
        <w:t>外，如果有理由怀疑已经采取了违反《平等法》的行动或该法规定的平等义务未得到遵守，监察员有权在工作场所、教育机构、代表劳动力市场利益的组织或商品和服务提供商的商业设施进行检查。为履行这些职责，监察员有权在进行检查时获得其他当局的行政协助。监察员还可以提供建议，例如在编制平等方案过程中。</w:t>
      </w:r>
    </w:p>
    <w:p w:rsidR="003B2DE7" w:rsidRDefault="003B2DE7" w:rsidP="003B2DE7">
      <w:pPr>
        <w:pStyle w:val="SingleTxtGC"/>
        <w:tabs>
          <w:tab w:val="clear" w:pos="1565"/>
          <w:tab w:val="clear" w:pos="1996"/>
          <w:tab w:val="clear" w:pos="2427"/>
        </w:tabs>
      </w:pPr>
      <w:r w:rsidRPr="003B2DE7">
        <w:rPr>
          <w:rFonts w:hint="eastAsia"/>
          <w:lang w:val="en-GB"/>
        </w:rPr>
        <w:t>280.</w:t>
      </w:r>
      <w:r w:rsidRPr="003B2DE7">
        <w:rPr>
          <w:rFonts w:hint="eastAsia"/>
          <w:lang w:val="en-GB"/>
        </w:rPr>
        <w:tab/>
      </w:r>
      <w:r w:rsidRPr="003B2DE7">
        <w:rPr>
          <w:rFonts w:hint="eastAsia"/>
          <w:lang w:val="en-GB"/>
        </w:rPr>
        <w:t>平等问题监察</w:t>
      </w:r>
      <w:r>
        <w:rPr>
          <w:rFonts w:hint="eastAsia"/>
        </w:rPr>
        <w:t>员向政府提交年度活动报告，每四年向议会提交一份关于实现平等情况的报告。</w:t>
      </w:r>
    </w:p>
    <w:p w:rsidR="003B2DE7" w:rsidRDefault="003B2DE7" w:rsidP="00DF6E91">
      <w:pPr>
        <w:pStyle w:val="H23GC"/>
      </w:pPr>
      <w:r>
        <w:rPr>
          <w:rFonts w:hint="eastAsia"/>
        </w:rPr>
        <w:tab/>
      </w:r>
      <w:r>
        <w:rPr>
          <w:rFonts w:hint="eastAsia"/>
        </w:rPr>
        <w:tab/>
      </w:r>
      <w:r>
        <w:rPr>
          <w:rFonts w:hint="eastAsia"/>
        </w:rPr>
        <w:t>儿童问题监察员</w:t>
      </w:r>
    </w:p>
    <w:p w:rsidR="003B2DE7" w:rsidRDefault="003B2DE7" w:rsidP="003B2DE7">
      <w:pPr>
        <w:pStyle w:val="SingleTxtGC"/>
        <w:tabs>
          <w:tab w:val="clear" w:pos="1565"/>
          <w:tab w:val="clear" w:pos="1996"/>
          <w:tab w:val="clear" w:pos="2427"/>
        </w:tabs>
      </w:pPr>
      <w:r>
        <w:rPr>
          <w:rFonts w:hint="eastAsia"/>
        </w:rPr>
        <w:t>281.</w:t>
      </w:r>
      <w:r>
        <w:rPr>
          <w:rFonts w:hint="eastAsia"/>
        </w:rPr>
        <w:tab/>
      </w:r>
      <w:r>
        <w:rPr>
          <w:rFonts w:hint="eastAsia"/>
        </w:rPr>
        <w:t>儿童问题监察员是一个独立公正的中央政府权力职位，其任务授权以《儿童问题监察员法》</w:t>
      </w:r>
      <w:r>
        <w:rPr>
          <w:rFonts w:hint="eastAsia"/>
        </w:rPr>
        <w:t>(1221/2004)</w:t>
      </w:r>
      <w:r>
        <w:rPr>
          <w:rFonts w:hint="eastAsia"/>
        </w:rPr>
        <w:t>为基础。根据该法，监察员有责任保护全社会儿童的利益和权利。监察员无权处理个别儿童或家庭的事务，也不能推翻其他当局的决定。</w:t>
      </w:r>
      <w:r w:rsidRPr="003B2DE7">
        <w:rPr>
          <w:rFonts w:hint="eastAsia"/>
          <w:lang w:val="en-GB"/>
        </w:rPr>
        <w:t>监察员</w:t>
      </w:r>
      <w:r>
        <w:rPr>
          <w:rFonts w:hint="eastAsia"/>
        </w:rPr>
        <w:t>与其他公共当局、地方政府、地区委员会、研究人员、非政府组织、宗教团体、企业、参与执行儿童政策的其他各方以及一系列儿童权利专家密切合作。</w:t>
      </w:r>
    </w:p>
    <w:p w:rsidR="003B2DE7" w:rsidRDefault="003B2DE7" w:rsidP="003B2DE7">
      <w:pPr>
        <w:pStyle w:val="SingleTxtGC"/>
        <w:tabs>
          <w:tab w:val="clear" w:pos="1565"/>
          <w:tab w:val="clear" w:pos="1996"/>
          <w:tab w:val="clear" w:pos="2427"/>
        </w:tabs>
      </w:pPr>
      <w:r>
        <w:rPr>
          <w:rFonts w:hint="eastAsia"/>
        </w:rPr>
        <w:t>282.</w:t>
      </w:r>
      <w:r>
        <w:rPr>
          <w:rFonts w:hint="eastAsia"/>
        </w:rPr>
        <w:tab/>
      </w:r>
      <w:r>
        <w:rPr>
          <w:rFonts w:hint="eastAsia"/>
        </w:rPr>
        <w:t>儿童</w:t>
      </w:r>
      <w:r w:rsidRPr="003B2DE7">
        <w:rPr>
          <w:rFonts w:hint="eastAsia"/>
          <w:lang w:val="en-GB"/>
        </w:rPr>
        <w:t>问题</w:t>
      </w:r>
      <w:r>
        <w:rPr>
          <w:rFonts w:hint="eastAsia"/>
        </w:rPr>
        <w:t>监察员与议会监察员一起组成了联合国儿童权利委员会要求的儿童权利国家监督机构。根据法律，儿童问题监察员的职责如下：</w:t>
      </w:r>
    </w:p>
    <w:p w:rsidR="003B2DE7" w:rsidRDefault="003B2DE7" w:rsidP="00DF6E91">
      <w:pPr>
        <w:pStyle w:val="Bullet1GC"/>
      </w:pPr>
      <w:r>
        <w:rPr>
          <w:rFonts w:hint="eastAsia"/>
        </w:rPr>
        <w:t>确保儿童和青年人的福祉，保护他们的权利；</w:t>
      </w:r>
    </w:p>
    <w:p w:rsidR="003B2DE7" w:rsidRDefault="003B2DE7" w:rsidP="00DF6E91">
      <w:pPr>
        <w:pStyle w:val="Bullet1GC"/>
      </w:pPr>
      <w:r>
        <w:rPr>
          <w:rFonts w:hint="eastAsia"/>
        </w:rPr>
        <w:t>促进儿童的利益；</w:t>
      </w:r>
    </w:p>
    <w:p w:rsidR="003B2DE7" w:rsidRDefault="003B2DE7" w:rsidP="00DF6E91">
      <w:pPr>
        <w:pStyle w:val="Bullet1GC"/>
      </w:pPr>
      <w:r>
        <w:rPr>
          <w:rFonts w:hint="eastAsia"/>
        </w:rPr>
        <w:t>征询儿童和青年人的意见，并将他们的意见传达给决策者；</w:t>
      </w:r>
    </w:p>
    <w:p w:rsidR="003B2DE7" w:rsidRDefault="003B2DE7" w:rsidP="00DF6E91">
      <w:pPr>
        <w:pStyle w:val="Bullet1GC"/>
      </w:pPr>
      <w:r>
        <w:rPr>
          <w:rFonts w:hint="eastAsia"/>
        </w:rPr>
        <w:t>向政府当局和从事儿童工作的组织以及公众传播关于儿童权利的信息；</w:t>
      </w:r>
    </w:p>
    <w:p w:rsidR="003B2DE7" w:rsidRDefault="003B2DE7" w:rsidP="00DF6E91">
      <w:pPr>
        <w:pStyle w:val="Bullet1GC"/>
      </w:pPr>
      <w:r>
        <w:rPr>
          <w:rFonts w:hint="eastAsia"/>
        </w:rPr>
        <w:lastRenderedPageBreak/>
        <w:t>鼓励参与执行儿童相关政策的各方之间合作；</w:t>
      </w:r>
    </w:p>
    <w:p w:rsidR="003B2DE7" w:rsidRDefault="003B2DE7" w:rsidP="00DF6E91">
      <w:pPr>
        <w:pStyle w:val="Bullet1GC"/>
      </w:pPr>
      <w:r>
        <w:rPr>
          <w:rFonts w:hint="eastAsia"/>
        </w:rPr>
        <w:t>促进遵守联合国《儿童权利公约》。</w:t>
      </w:r>
    </w:p>
    <w:p w:rsidR="001C00EA" w:rsidRPr="00ED01BD" w:rsidRDefault="003B2DE7" w:rsidP="003B2DE7">
      <w:pPr>
        <w:pStyle w:val="SingleTxtGC"/>
        <w:tabs>
          <w:tab w:val="clear" w:pos="1565"/>
          <w:tab w:val="clear" w:pos="1996"/>
          <w:tab w:val="clear" w:pos="2427"/>
        </w:tabs>
      </w:pPr>
      <w:r>
        <w:rPr>
          <w:rFonts w:hint="eastAsia"/>
        </w:rPr>
        <w:t>283.</w:t>
      </w:r>
      <w:r>
        <w:rPr>
          <w:rFonts w:hint="eastAsia"/>
        </w:rPr>
        <w:tab/>
      </w:r>
      <w:r>
        <w:rPr>
          <w:rFonts w:hint="eastAsia"/>
        </w:rPr>
        <w:t>儿童问题监察员向芬兰政府提交年度报告，每四年向芬兰议会提交报告。监察员还向联合国儿童权利委员会提交与审查政府定期报告有关的报告，向该委员会报告儿童和青年人的福祉和现状。监察员的年度报告概述了监察员在这一年的工作、儿童权利状况、在儿童福利方面取得的进展以及监察员注意到的任何立法问题。</w:t>
      </w:r>
    </w:p>
    <w:p w:rsidR="00342D76" w:rsidRDefault="00342D76" w:rsidP="00342D76">
      <w:pPr>
        <w:pStyle w:val="H23GC"/>
      </w:pPr>
      <w:r>
        <w:rPr>
          <w:rFonts w:hint="eastAsia"/>
        </w:rPr>
        <w:tab/>
      </w:r>
      <w:r>
        <w:rPr>
          <w:rFonts w:hint="eastAsia"/>
        </w:rPr>
        <w:tab/>
      </w:r>
      <w:r>
        <w:rPr>
          <w:rFonts w:hint="eastAsia"/>
        </w:rPr>
        <w:t>数据保护监察员</w:t>
      </w:r>
    </w:p>
    <w:p w:rsidR="00342D76" w:rsidRDefault="00342D76" w:rsidP="00342D76">
      <w:pPr>
        <w:pStyle w:val="SingleTxtGC"/>
        <w:tabs>
          <w:tab w:val="clear" w:pos="1565"/>
          <w:tab w:val="clear" w:pos="1996"/>
          <w:tab w:val="clear" w:pos="2427"/>
        </w:tabs>
      </w:pPr>
      <w:r>
        <w:rPr>
          <w:rFonts w:hint="eastAsia"/>
        </w:rPr>
        <w:t>284.</w:t>
      </w:r>
      <w:r>
        <w:rPr>
          <w:rFonts w:hint="eastAsia"/>
        </w:rPr>
        <w:tab/>
      </w:r>
      <w:r>
        <w:rPr>
          <w:rFonts w:hint="eastAsia"/>
        </w:rPr>
        <w:t>数据保护监察员办公室是一个独立自主的机构。数据保护监察员和数据保护副监察员由政府任命，每次任期五年。</w:t>
      </w:r>
    </w:p>
    <w:p w:rsidR="00342D76" w:rsidRDefault="00342D76" w:rsidP="00342D76">
      <w:pPr>
        <w:pStyle w:val="SingleTxtGC"/>
        <w:tabs>
          <w:tab w:val="clear" w:pos="1565"/>
          <w:tab w:val="clear" w:pos="1996"/>
          <w:tab w:val="clear" w:pos="2427"/>
        </w:tabs>
      </w:pPr>
      <w:r>
        <w:rPr>
          <w:rFonts w:hint="eastAsia"/>
        </w:rPr>
        <w:t>285.</w:t>
      </w:r>
      <w:r>
        <w:rPr>
          <w:rFonts w:hint="eastAsia"/>
        </w:rPr>
        <w:tab/>
      </w:r>
      <w:r>
        <w:rPr>
          <w:rFonts w:hint="eastAsia"/>
        </w:rPr>
        <w:t>数据保护监察员办公室承担以下职责：</w:t>
      </w:r>
    </w:p>
    <w:p w:rsidR="00342D76" w:rsidRDefault="00342D76" w:rsidP="009501EC">
      <w:pPr>
        <w:pStyle w:val="Bullet1GC"/>
      </w:pPr>
      <w:r>
        <w:rPr>
          <w:rFonts w:hint="eastAsia"/>
        </w:rPr>
        <w:t>监督数据保护立法和其他个人数据处理相关法律的遵守情况；</w:t>
      </w:r>
    </w:p>
    <w:p w:rsidR="00342D76" w:rsidRDefault="00342D76" w:rsidP="009501EC">
      <w:pPr>
        <w:pStyle w:val="Bullet1GC"/>
      </w:pPr>
      <w:r>
        <w:rPr>
          <w:rFonts w:hint="eastAsia"/>
        </w:rPr>
        <w:t>提高对处理个人数据方面的风险、规则、保障措施、义务和权利的认识；</w:t>
      </w:r>
    </w:p>
    <w:p w:rsidR="00342D76" w:rsidRDefault="00342D76" w:rsidP="009501EC">
      <w:pPr>
        <w:pStyle w:val="Bullet1GC"/>
      </w:pPr>
      <w:r>
        <w:rPr>
          <w:rFonts w:hint="eastAsia"/>
        </w:rPr>
        <w:t>开展调查和检查；</w:t>
      </w:r>
    </w:p>
    <w:p w:rsidR="00342D76" w:rsidRDefault="00342D76" w:rsidP="009501EC">
      <w:pPr>
        <w:pStyle w:val="Bullet1GC"/>
      </w:pPr>
      <w:r>
        <w:rPr>
          <w:rFonts w:hint="eastAsia"/>
        </w:rPr>
        <w:t>对违反《通用数据保护条例》的行为处以行政制裁；</w:t>
      </w:r>
    </w:p>
    <w:p w:rsidR="00342D76" w:rsidRDefault="00342D76" w:rsidP="009501EC">
      <w:pPr>
        <w:pStyle w:val="Bullet1GC"/>
      </w:pPr>
      <w:r>
        <w:rPr>
          <w:rFonts w:hint="eastAsia"/>
        </w:rPr>
        <w:t>就处理个人数据方面影响保护个人权利和自由的立法和行政变革发表声明；</w:t>
      </w:r>
    </w:p>
    <w:p w:rsidR="00342D76" w:rsidRDefault="00342D76" w:rsidP="009501EC">
      <w:pPr>
        <w:pStyle w:val="Bullet1GC"/>
      </w:pPr>
      <w:r>
        <w:rPr>
          <w:rFonts w:hint="eastAsia"/>
        </w:rPr>
        <w:t>发表关于个人信息处理方面的违法犯罪行为的声明；</w:t>
      </w:r>
    </w:p>
    <w:p w:rsidR="00342D76" w:rsidRDefault="00342D76" w:rsidP="009501EC">
      <w:pPr>
        <w:pStyle w:val="Bullet1GC"/>
      </w:pPr>
      <w:r>
        <w:rPr>
          <w:rFonts w:hint="eastAsia"/>
        </w:rPr>
        <w:t>监督处理信用状况信息和公司信用评级的工作；</w:t>
      </w:r>
    </w:p>
    <w:p w:rsidR="00342D76" w:rsidRDefault="00342D76" w:rsidP="009501EC">
      <w:pPr>
        <w:pStyle w:val="Bullet1GC"/>
      </w:pPr>
      <w:r>
        <w:rPr>
          <w:rFonts w:hint="eastAsia"/>
        </w:rPr>
        <w:t>处理相关请求，下达有关数据主体权利的命令，以及与处理个人数据有关的其他违规行为的通知；</w:t>
      </w:r>
    </w:p>
    <w:p w:rsidR="00342D76" w:rsidRDefault="00342D76" w:rsidP="009501EC">
      <w:pPr>
        <w:pStyle w:val="Bullet1GC"/>
      </w:pPr>
      <w:r>
        <w:rPr>
          <w:rFonts w:hint="eastAsia"/>
        </w:rPr>
        <w:t>接收数据保护官申报表；</w:t>
      </w:r>
    </w:p>
    <w:p w:rsidR="00342D76" w:rsidRDefault="00342D76" w:rsidP="009501EC">
      <w:pPr>
        <w:pStyle w:val="Bullet1GC"/>
      </w:pPr>
      <w:r>
        <w:rPr>
          <w:rFonts w:hint="eastAsia"/>
        </w:rPr>
        <w:t>受理侵犯个人数据的报告；</w:t>
      </w:r>
    </w:p>
    <w:p w:rsidR="00342D76" w:rsidRDefault="00342D76" w:rsidP="009501EC">
      <w:pPr>
        <w:pStyle w:val="Bullet1GC"/>
      </w:pPr>
      <w:r>
        <w:rPr>
          <w:rFonts w:hint="eastAsia"/>
        </w:rPr>
        <w:t>拟定需要进行数据保护影响评估的情况列表；</w:t>
      </w:r>
    </w:p>
    <w:p w:rsidR="00342D76" w:rsidRDefault="00342D76" w:rsidP="009501EC">
      <w:pPr>
        <w:pStyle w:val="Bullet1GC"/>
      </w:pPr>
      <w:r>
        <w:rPr>
          <w:rFonts w:hint="eastAsia"/>
        </w:rPr>
        <w:t>对高风险数据处理工作的事先磋商进行评估；</w:t>
      </w:r>
    </w:p>
    <w:p w:rsidR="00342D76" w:rsidRDefault="00342D76" w:rsidP="009501EC">
      <w:pPr>
        <w:pStyle w:val="Bullet1GC"/>
      </w:pPr>
      <w:r>
        <w:rPr>
          <w:rFonts w:hint="eastAsia"/>
        </w:rPr>
        <w:t>批准业务守则和标准条款；</w:t>
      </w:r>
    </w:p>
    <w:p w:rsidR="00342D76" w:rsidRDefault="00342D76" w:rsidP="009501EC">
      <w:pPr>
        <w:pStyle w:val="Bullet1GC"/>
      </w:pPr>
      <w:r>
        <w:rPr>
          <w:rFonts w:hint="eastAsia"/>
        </w:rPr>
        <w:t>鼓励采用证书，认证发证机构以及撤销颁发的证书；</w:t>
      </w:r>
    </w:p>
    <w:p w:rsidR="00342D76" w:rsidRDefault="00342D76" w:rsidP="009501EC">
      <w:pPr>
        <w:pStyle w:val="Bullet1GC"/>
      </w:pPr>
      <w:r>
        <w:rPr>
          <w:rFonts w:hint="eastAsia"/>
        </w:rPr>
        <w:t>在一站式原则范围内与欧盟其他数据保护机构合作，并在需要时将有关事宜转交欧洲数据保护委员会。</w:t>
      </w:r>
    </w:p>
    <w:p w:rsidR="00342D76" w:rsidRDefault="00342D76" w:rsidP="009501EC">
      <w:pPr>
        <w:pStyle w:val="H23GC"/>
      </w:pPr>
      <w:r>
        <w:rPr>
          <w:rFonts w:hint="eastAsia"/>
        </w:rPr>
        <w:tab/>
      </w:r>
      <w:r>
        <w:rPr>
          <w:rFonts w:hint="eastAsia"/>
        </w:rPr>
        <w:tab/>
      </w:r>
      <w:r>
        <w:rPr>
          <w:rFonts w:hint="eastAsia"/>
        </w:rPr>
        <w:t>情报监察员</w:t>
      </w:r>
    </w:p>
    <w:p w:rsidR="00342D76" w:rsidRDefault="00342D76" w:rsidP="00342D76">
      <w:pPr>
        <w:pStyle w:val="SingleTxtGC"/>
        <w:tabs>
          <w:tab w:val="clear" w:pos="1565"/>
          <w:tab w:val="clear" w:pos="1996"/>
          <w:tab w:val="clear" w:pos="2427"/>
        </w:tabs>
      </w:pPr>
      <w:r>
        <w:rPr>
          <w:rFonts w:hint="eastAsia"/>
        </w:rPr>
        <w:t>286.</w:t>
      </w:r>
      <w:r>
        <w:rPr>
          <w:rFonts w:hint="eastAsia"/>
        </w:rPr>
        <w:tab/>
      </w:r>
      <w:r>
        <w:rPr>
          <w:rFonts w:hint="eastAsia"/>
        </w:rPr>
        <w:t>议会通过新的《情报收集监督法</w:t>
      </w:r>
      <w:r>
        <w:rPr>
          <w:rFonts w:hint="eastAsia"/>
        </w:rPr>
        <w:t>(121/2019)</w:t>
      </w:r>
      <w:r>
        <w:rPr>
          <w:rFonts w:hint="eastAsia"/>
        </w:rPr>
        <w:t>》后，设立了与数据保护监察员办公室相关的情报监察员职位，以监督情报活动的合法性。监察员是是一个独立自主的机构，由政府任命，每次任期五年。在任命之前，政府应为议会情报监督委员会保留就此事发表意见的机会。</w:t>
      </w:r>
    </w:p>
    <w:p w:rsidR="00342D76" w:rsidRDefault="00342D76" w:rsidP="00342D76">
      <w:pPr>
        <w:pStyle w:val="SingleTxtGC"/>
        <w:tabs>
          <w:tab w:val="clear" w:pos="1565"/>
          <w:tab w:val="clear" w:pos="1996"/>
          <w:tab w:val="clear" w:pos="2427"/>
        </w:tabs>
      </w:pPr>
      <w:r>
        <w:rPr>
          <w:rFonts w:hint="eastAsia"/>
        </w:rPr>
        <w:lastRenderedPageBreak/>
        <w:t>287.</w:t>
      </w:r>
      <w:r>
        <w:rPr>
          <w:rFonts w:hint="eastAsia"/>
        </w:rPr>
        <w:tab/>
      </w:r>
      <w:r>
        <w:rPr>
          <w:rFonts w:hint="eastAsia"/>
        </w:rPr>
        <w:t>情报监察员作为情报活动合法性的监督机构，承担以下职责：</w:t>
      </w:r>
    </w:p>
    <w:p w:rsidR="00342D76" w:rsidRDefault="00342D76" w:rsidP="009501EC">
      <w:pPr>
        <w:pStyle w:val="Bullet1GC"/>
      </w:pPr>
      <w:r>
        <w:rPr>
          <w:rFonts w:hint="eastAsia"/>
        </w:rPr>
        <w:t>监督使用情报收集方法和情报信息以及其他情报活动的合法性；</w:t>
      </w:r>
    </w:p>
    <w:p w:rsidR="00342D76" w:rsidRDefault="00342D76" w:rsidP="009501EC">
      <w:pPr>
        <w:pStyle w:val="Bullet1GC"/>
      </w:pPr>
      <w:r>
        <w:rPr>
          <w:rFonts w:hint="eastAsia"/>
        </w:rPr>
        <w:t>监督情报活动中基本权利和人权的实现情况；</w:t>
      </w:r>
    </w:p>
    <w:p w:rsidR="00342D76" w:rsidRDefault="00342D76" w:rsidP="009501EC">
      <w:pPr>
        <w:pStyle w:val="Bullet1GC"/>
      </w:pPr>
      <w:r>
        <w:rPr>
          <w:rFonts w:hint="eastAsia"/>
        </w:rPr>
        <w:t>促进情报活动中实现法律保护和采用相关最佳做法；</w:t>
      </w:r>
    </w:p>
    <w:p w:rsidR="00342D76" w:rsidRDefault="00342D76" w:rsidP="009501EC">
      <w:pPr>
        <w:pStyle w:val="Bullet1GC"/>
      </w:pPr>
      <w:r>
        <w:rPr>
          <w:rFonts w:hint="eastAsia"/>
        </w:rPr>
        <w:t>监测和评估监察员职权范围内的立法职能，并提出监察员认为必要的发展建议。</w:t>
      </w:r>
    </w:p>
    <w:p w:rsidR="00342D76" w:rsidRDefault="00342D76" w:rsidP="00342D76">
      <w:pPr>
        <w:pStyle w:val="SingleTxtGC"/>
        <w:tabs>
          <w:tab w:val="clear" w:pos="1565"/>
          <w:tab w:val="clear" w:pos="1996"/>
          <w:tab w:val="clear" w:pos="2427"/>
        </w:tabs>
      </w:pPr>
      <w:r>
        <w:rPr>
          <w:rFonts w:hint="eastAsia"/>
        </w:rPr>
        <w:t>288.</w:t>
      </w:r>
      <w:r>
        <w:rPr>
          <w:rFonts w:hint="eastAsia"/>
        </w:rPr>
        <w:tab/>
      </w:r>
      <w:r>
        <w:rPr>
          <w:rFonts w:hint="eastAsia"/>
        </w:rPr>
        <w:t>向法院提出的关于情报收集方法的所有指控，以及法院对情报收集方法的授权和情报当局</w:t>
      </w:r>
      <w:proofErr w:type="gramStart"/>
      <w:r>
        <w:rPr>
          <w:rFonts w:hint="eastAsia"/>
        </w:rPr>
        <w:t>作出</w:t>
      </w:r>
      <w:proofErr w:type="gramEnd"/>
      <w:r>
        <w:rPr>
          <w:rFonts w:hint="eastAsia"/>
        </w:rPr>
        <w:t>的决定，都必须立即告知情报监察员。监察员有权从履行公共行政职责的机关和其他实体获得履行其监督职责所需的信息和报告。监察员还可为了监督其职权范围内事项的情报活动的合法性，对公共机关和负有公共行政职责的其他各方的房地进行检查。在此类检查中，监察员有权进入实施监督所需的所有必要房地和信息系统。法院考虑授权使用情报收集方法时，监察员有权出庭和陈述意见，并有权对法院的裁定提出上诉。</w:t>
      </w:r>
    </w:p>
    <w:p w:rsidR="00342D76" w:rsidRDefault="00342D76" w:rsidP="00342D76">
      <w:pPr>
        <w:pStyle w:val="SingleTxtGC"/>
        <w:tabs>
          <w:tab w:val="clear" w:pos="1565"/>
          <w:tab w:val="clear" w:pos="1996"/>
          <w:tab w:val="clear" w:pos="2427"/>
        </w:tabs>
      </w:pPr>
      <w:r>
        <w:rPr>
          <w:rFonts w:hint="eastAsia"/>
        </w:rPr>
        <w:t>289.</w:t>
      </w:r>
      <w:r>
        <w:rPr>
          <w:rFonts w:hint="eastAsia"/>
        </w:rPr>
        <w:tab/>
      </w:r>
      <w:r>
        <w:rPr>
          <w:rFonts w:hint="eastAsia"/>
        </w:rPr>
        <w:t>任何人如认为自己的权利在情报活动中受到侵犯，或者认为已经采取了其他非法行动，均可就监察员职权范围内的事项向情报监察员提出申诉。接到申诉后，监察员可就情报活动的合法性、基本权利和人权的实现情况或法律保护的实现情况等方面，采取其认为必要的措施。在此情况下，申诉方会获得监察员认为必要的报告。</w:t>
      </w:r>
    </w:p>
    <w:p w:rsidR="00342D76" w:rsidRDefault="00342D76" w:rsidP="00342D76">
      <w:pPr>
        <w:pStyle w:val="SingleTxtGC"/>
        <w:tabs>
          <w:tab w:val="clear" w:pos="1565"/>
          <w:tab w:val="clear" w:pos="1996"/>
          <w:tab w:val="clear" w:pos="2427"/>
        </w:tabs>
      </w:pPr>
      <w:r>
        <w:rPr>
          <w:rFonts w:hint="eastAsia"/>
        </w:rPr>
        <w:t>290.</w:t>
      </w:r>
      <w:r>
        <w:rPr>
          <w:rFonts w:hint="eastAsia"/>
        </w:rPr>
        <w:tab/>
      </w:r>
      <w:r>
        <w:rPr>
          <w:rFonts w:hint="eastAsia"/>
        </w:rPr>
        <w:t>任何人如成为或怀疑其成为情报收集的对象，均可要求情报监察员调查所使用的情报收集方法的合法性。监察员如果认为当局在情报活动过程中有违法行为，可下令暂停或停止使用相关情报收集方法。</w:t>
      </w:r>
    </w:p>
    <w:p w:rsidR="00342D76" w:rsidRDefault="00342D76" w:rsidP="00342D76">
      <w:pPr>
        <w:pStyle w:val="SingleTxtGC"/>
        <w:tabs>
          <w:tab w:val="clear" w:pos="1565"/>
          <w:tab w:val="clear" w:pos="1996"/>
          <w:tab w:val="clear" w:pos="2427"/>
        </w:tabs>
      </w:pPr>
      <w:r>
        <w:rPr>
          <w:rFonts w:hint="eastAsia"/>
        </w:rPr>
        <w:t>291.</w:t>
      </w:r>
      <w:r>
        <w:rPr>
          <w:rFonts w:hint="eastAsia"/>
        </w:rPr>
        <w:tab/>
      </w:r>
      <w:r>
        <w:rPr>
          <w:rFonts w:hint="eastAsia"/>
        </w:rPr>
        <w:t>情报监察员每年向议会、议会监察员和政府提交一份关于其活动的报告，并将任何重要的监督结果提交议会情报监督委员会审议。</w:t>
      </w:r>
    </w:p>
    <w:p w:rsidR="00342D76" w:rsidRDefault="00342D76" w:rsidP="009501EC">
      <w:pPr>
        <w:pStyle w:val="H23GC"/>
      </w:pPr>
      <w:r>
        <w:rPr>
          <w:rFonts w:hint="eastAsia"/>
        </w:rPr>
        <w:tab/>
        <w:t>(g)</w:t>
      </w:r>
      <w:r>
        <w:rPr>
          <w:rFonts w:hint="eastAsia"/>
        </w:rPr>
        <w:tab/>
      </w:r>
      <w:r>
        <w:rPr>
          <w:rFonts w:hint="eastAsia"/>
        </w:rPr>
        <w:t>区域人权机制</w:t>
      </w:r>
    </w:p>
    <w:p w:rsidR="00342D76" w:rsidRDefault="00342D76" w:rsidP="009501EC">
      <w:pPr>
        <w:pStyle w:val="H23GC"/>
      </w:pPr>
      <w:r>
        <w:rPr>
          <w:rFonts w:hint="eastAsia"/>
        </w:rPr>
        <w:tab/>
      </w:r>
      <w:r>
        <w:rPr>
          <w:rFonts w:hint="eastAsia"/>
        </w:rPr>
        <w:tab/>
      </w:r>
      <w:r>
        <w:rPr>
          <w:rFonts w:hint="eastAsia"/>
        </w:rPr>
        <w:t>欧洲委员会和欧洲人权法院</w:t>
      </w:r>
    </w:p>
    <w:p w:rsidR="00342D76" w:rsidRDefault="00342D76" w:rsidP="00342D76">
      <w:pPr>
        <w:pStyle w:val="SingleTxtGC"/>
        <w:tabs>
          <w:tab w:val="clear" w:pos="1565"/>
          <w:tab w:val="clear" w:pos="1996"/>
          <w:tab w:val="clear" w:pos="2427"/>
        </w:tabs>
      </w:pPr>
      <w:r>
        <w:rPr>
          <w:rFonts w:hint="eastAsia"/>
        </w:rPr>
        <w:t>292.</w:t>
      </w:r>
      <w:r>
        <w:rPr>
          <w:rFonts w:hint="eastAsia"/>
        </w:rPr>
        <w:tab/>
      </w:r>
      <w:r>
        <w:rPr>
          <w:rFonts w:hint="eastAsia"/>
        </w:rPr>
        <w:t>芬兰于</w:t>
      </w:r>
      <w:r>
        <w:rPr>
          <w:rFonts w:hint="eastAsia"/>
        </w:rPr>
        <w:t>1989</w:t>
      </w:r>
      <w:r>
        <w:rPr>
          <w:rFonts w:hint="eastAsia"/>
        </w:rPr>
        <w:t>年加入欧洲委员会。芬兰于</w:t>
      </w:r>
      <w:r>
        <w:rPr>
          <w:rFonts w:hint="eastAsia"/>
        </w:rPr>
        <w:t>1990</w:t>
      </w:r>
      <w:r>
        <w:rPr>
          <w:rFonts w:hint="eastAsia"/>
        </w:rPr>
        <w:t>年批准了《欧洲人权公约》，芬兰同时接受了欧洲人权法院的职权。由于上述二元模式，《欧洲人权公约》的批准要求芬兰颁布大量立法修正案，因此简单的全面强制执行不是一个选项。在批准《欧洲人权公约》的情况下，芬兰承认当时的人权事务委员会审议个人来文的权限，也承认欧洲人权法院的权限。芬兰颁布了一项经宪制性程序通过</w:t>
      </w:r>
      <w:r>
        <w:rPr>
          <w:rFonts w:hint="eastAsia"/>
        </w:rPr>
        <w:t>(</w:t>
      </w:r>
      <w:r>
        <w:rPr>
          <w:rFonts w:hint="eastAsia"/>
        </w:rPr>
        <w:t>即获得议会三分之二多数票</w:t>
      </w:r>
      <w:r>
        <w:rPr>
          <w:rFonts w:hint="eastAsia"/>
        </w:rPr>
        <w:t>)</w:t>
      </w:r>
      <w:r>
        <w:rPr>
          <w:rFonts w:hint="eastAsia"/>
        </w:rPr>
        <w:t>的法案，从而完成了《欧洲人权公约》的实施。不过，接受欧洲人权法院的权限并不需要修订芬兰《宪法》。</w:t>
      </w:r>
    </w:p>
    <w:p w:rsidR="00342D76" w:rsidRDefault="00342D76" w:rsidP="00342D76">
      <w:pPr>
        <w:pStyle w:val="SingleTxtGC"/>
        <w:tabs>
          <w:tab w:val="clear" w:pos="1565"/>
          <w:tab w:val="clear" w:pos="1996"/>
          <w:tab w:val="clear" w:pos="2427"/>
        </w:tabs>
      </w:pPr>
      <w:r>
        <w:rPr>
          <w:rFonts w:hint="eastAsia"/>
        </w:rPr>
        <w:t>293.</w:t>
      </w:r>
      <w:r>
        <w:rPr>
          <w:rFonts w:hint="eastAsia"/>
        </w:rPr>
        <w:tab/>
      </w:r>
      <w:r>
        <w:rPr>
          <w:rFonts w:hint="eastAsia"/>
        </w:rPr>
        <w:t>奥兰议会也需要批准该法案，以便完成批准工作。芬兰以《欧洲人权公约》的英文本和法文本为正本。判例法中第一次提到《欧洲人权公约》出现在上诉法院</w:t>
      </w:r>
      <w:r>
        <w:rPr>
          <w:rFonts w:hint="eastAsia"/>
        </w:rPr>
        <w:t>1990</w:t>
      </w:r>
      <w:r>
        <w:rPr>
          <w:rFonts w:hint="eastAsia"/>
        </w:rPr>
        <w:t>年</w:t>
      </w:r>
      <w:r>
        <w:rPr>
          <w:rFonts w:hint="eastAsia"/>
        </w:rPr>
        <w:t>9</w:t>
      </w:r>
      <w:r>
        <w:rPr>
          <w:rFonts w:hint="eastAsia"/>
        </w:rPr>
        <w:t>月</w:t>
      </w:r>
      <w:r>
        <w:rPr>
          <w:rFonts w:hint="eastAsia"/>
        </w:rPr>
        <w:t>12</w:t>
      </w:r>
      <w:r>
        <w:rPr>
          <w:rFonts w:hint="eastAsia"/>
        </w:rPr>
        <w:t>日发布的一项判决中</w:t>
      </w:r>
      <w:r>
        <w:rPr>
          <w:rFonts w:hint="eastAsia"/>
        </w:rPr>
        <w:t>(</w:t>
      </w:r>
      <w:r>
        <w:rPr>
          <w:rFonts w:hint="eastAsia"/>
        </w:rPr>
        <w:t>《欧洲人权公约》第</w:t>
      </w:r>
      <w:r>
        <w:rPr>
          <w:rFonts w:hint="eastAsia"/>
        </w:rPr>
        <w:t>6</w:t>
      </w:r>
      <w:r>
        <w:rPr>
          <w:rFonts w:hint="eastAsia"/>
        </w:rPr>
        <w:t>条</w:t>
      </w:r>
      <w:r>
        <w:rPr>
          <w:rFonts w:hint="eastAsia"/>
        </w:rPr>
        <w:t>)</w:t>
      </w:r>
      <w:r>
        <w:rPr>
          <w:rFonts w:hint="eastAsia"/>
        </w:rPr>
        <w:t>。最高法院也在其裁决中开始援引《欧洲人权公约》和欧洲人权法院的判决，将其作为“有利于人权”的法律解释的一个要素。</w:t>
      </w:r>
    </w:p>
    <w:p w:rsidR="00342D76" w:rsidRDefault="00342D76" w:rsidP="00342D76">
      <w:pPr>
        <w:pStyle w:val="SingleTxtGC"/>
        <w:tabs>
          <w:tab w:val="clear" w:pos="1565"/>
          <w:tab w:val="clear" w:pos="1996"/>
          <w:tab w:val="clear" w:pos="2427"/>
        </w:tabs>
      </w:pPr>
      <w:r>
        <w:rPr>
          <w:rFonts w:hint="eastAsia"/>
        </w:rPr>
        <w:t>294.</w:t>
      </w:r>
      <w:r>
        <w:rPr>
          <w:rFonts w:hint="eastAsia"/>
        </w:rPr>
        <w:tab/>
      </w:r>
      <w:r>
        <w:rPr>
          <w:rFonts w:hint="eastAsia"/>
        </w:rPr>
        <w:t>欧洲人权法院对涉及芬兰的案件共</w:t>
      </w:r>
      <w:proofErr w:type="gramStart"/>
      <w:r>
        <w:rPr>
          <w:rFonts w:hint="eastAsia"/>
        </w:rPr>
        <w:t>作出</w:t>
      </w:r>
      <w:proofErr w:type="gramEnd"/>
      <w:r>
        <w:rPr>
          <w:rFonts w:hint="eastAsia"/>
        </w:rPr>
        <w:t>190</w:t>
      </w:r>
      <w:r>
        <w:rPr>
          <w:rFonts w:hint="eastAsia"/>
        </w:rPr>
        <w:t>项判决，其中</w:t>
      </w:r>
      <w:r>
        <w:rPr>
          <w:rFonts w:hint="eastAsia"/>
        </w:rPr>
        <w:t>141</w:t>
      </w:r>
      <w:r>
        <w:rPr>
          <w:rFonts w:hint="eastAsia"/>
        </w:rPr>
        <w:t>项判决判定国家败诉。在芬兰，欧洲人权法院的判例法影响到表达自由权和保护隐私权的解</w:t>
      </w:r>
      <w:r>
        <w:rPr>
          <w:rFonts w:hint="eastAsia"/>
        </w:rPr>
        <w:lastRenderedPageBreak/>
        <w:t>释，以及在这些权利之间取得平衡等方面。由于多项判决认定违反合理时间的要求，芬兰通过了关于对诉讼时间过长进行赔偿的立法；而在涉及一事不再</w:t>
      </w:r>
      <w:proofErr w:type="gramStart"/>
      <w:r>
        <w:rPr>
          <w:rFonts w:hint="eastAsia"/>
        </w:rPr>
        <w:t>理原则</w:t>
      </w:r>
      <w:proofErr w:type="gramEnd"/>
      <w:r>
        <w:rPr>
          <w:rFonts w:hint="eastAsia"/>
        </w:rPr>
        <w:t>的税务案件中，芬兰最高法院在某些方面采取了比欧洲人权法院更严格的办法。</w:t>
      </w:r>
    </w:p>
    <w:p w:rsidR="00342D76" w:rsidRDefault="00342D76" w:rsidP="00342D76">
      <w:pPr>
        <w:pStyle w:val="SingleTxtGC"/>
        <w:tabs>
          <w:tab w:val="clear" w:pos="1565"/>
          <w:tab w:val="clear" w:pos="1996"/>
          <w:tab w:val="clear" w:pos="2427"/>
        </w:tabs>
      </w:pPr>
      <w:r>
        <w:rPr>
          <w:rFonts w:hint="eastAsia"/>
        </w:rPr>
        <w:t>295.</w:t>
      </w:r>
      <w:r>
        <w:rPr>
          <w:rFonts w:hint="eastAsia"/>
        </w:rPr>
        <w:tab/>
      </w:r>
      <w:r>
        <w:rPr>
          <w:rFonts w:hint="eastAsia"/>
        </w:rPr>
        <w:t>在芬兰，欧洲人权法院判决的执行由驻欧洲人权法院政府代表，即外交部人权法院和公约股的负责人进行监督和协调。执行判决的措施</w:t>
      </w:r>
      <w:r>
        <w:rPr>
          <w:rFonts w:hint="eastAsia"/>
        </w:rPr>
        <w:t>(</w:t>
      </w:r>
      <w:r>
        <w:rPr>
          <w:rFonts w:hint="eastAsia"/>
        </w:rPr>
        <w:t>除支付赔偿和分发判决外</w:t>
      </w:r>
      <w:r>
        <w:rPr>
          <w:rFonts w:hint="eastAsia"/>
        </w:rPr>
        <w:t>)</w:t>
      </w:r>
      <w:r>
        <w:rPr>
          <w:rFonts w:hint="eastAsia"/>
        </w:rPr>
        <w:t>由各部门部委与该政府代表合作评估，政府代表还编写所有行动计划和报告。</w:t>
      </w:r>
    </w:p>
    <w:p w:rsidR="00342D76" w:rsidRDefault="00342D76" w:rsidP="00342D76">
      <w:pPr>
        <w:pStyle w:val="SingleTxtGC"/>
        <w:tabs>
          <w:tab w:val="clear" w:pos="1565"/>
          <w:tab w:val="clear" w:pos="1996"/>
          <w:tab w:val="clear" w:pos="2427"/>
        </w:tabs>
      </w:pPr>
      <w:r>
        <w:rPr>
          <w:rFonts w:hint="eastAsia"/>
        </w:rPr>
        <w:t>296.</w:t>
      </w:r>
      <w:r>
        <w:rPr>
          <w:rFonts w:hint="eastAsia"/>
        </w:rPr>
        <w:tab/>
      </w:r>
      <w:r>
        <w:rPr>
          <w:rFonts w:hint="eastAsia"/>
        </w:rPr>
        <w:t>迄今为止，芬兰作为当事方的共</w:t>
      </w:r>
      <w:r>
        <w:rPr>
          <w:rFonts w:hint="eastAsia"/>
        </w:rPr>
        <w:t>173</w:t>
      </w:r>
      <w:r>
        <w:rPr>
          <w:rFonts w:hint="eastAsia"/>
        </w:rPr>
        <w:t>起案件已提交欧洲委员会部长委员会监督执行。其中，</w:t>
      </w:r>
      <w:r>
        <w:rPr>
          <w:rFonts w:hint="eastAsia"/>
        </w:rPr>
        <w:t>144</w:t>
      </w:r>
      <w:r>
        <w:rPr>
          <w:rFonts w:hint="eastAsia"/>
        </w:rPr>
        <w:t>起案件已最终解决并结案，</w:t>
      </w:r>
      <w:r>
        <w:rPr>
          <w:rFonts w:hint="eastAsia"/>
        </w:rPr>
        <w:t>29</w:t>
      </w:r>
      <w:r>
        <w:rPr>
          <w:rFonts w:hint="eastAsia"/>
        </w:rPr>
        <w:t>起未结案。已经对这些案件采取了国家执行措施，但行动报告尚未完成。</w:t>
      </w:r>
    </w:p>
    <w:p w:rsidR="00342D76" w:rsidRDefault="00342D76" w:rsidP="009501EC">
      <w:pPr>
        <w:pStyle w:val="H23GC"/>
      </w:pPr>
      <w:r>
        <w:rPr>
          <w:rFonts w:hint="eastAsia"/>
        </w:rPr>
        <w:tab/>
      </w:r>
      <w:r>
        <w:rPr>
          <w:rFonts w:hint="eastAsia"/>
        </w:rPr>
        <w:tab/>
      </w:r>
      <w:r>
        <w:rPr>
          <w:rFonts w:hint="eastAsia"/>
        </w:rPr>
        <w:t>欧洲联盟</w:t>
      </w:r>
    </w:p>
    <w:p w:rsidR="00342D76" w:rsidRDefault="00342D76" w:rsidP="00342D76">
      <w:pPr>
        <w:pStyle w:val="SingleTxtGC"/>
        <w:tabs>
          <w:tab w:val="clear" w:pos="1565"/>
          <w:tab w:val="clear" w:pos="1996"/>
          <w:tab w:val="clear" w:pos="2427"/>
        </w:tabs>
      </w:pPr>
      <w:r>
        <w:rPr>
          <w:rFonts w:hint="eastAsia"/>
        </w:rPr>
        <w:t>297.</w:t>
      </w:r>
      <w:r>
        <w:rPr>
          <w:rFonts w:hint="eastAsia"/>
        </w:rPr>
        <w:tab/>
      </w:r>
      <w:r>
        <w:rPr>
          <w:rFonts w:hint="eastAsia"/>
        </w:rPr>
        <w:t>除欧盟成员国的宪法外，《欧洲联盟基本权利宪章》也加强了人权和基本权利。此外，欧盟内部也出台了促进基本权利的法规。虽然《宪章》是对各国制度的补充，但并不代替各国制度。不尊重个人基本权利的案件应由国家法院裁决。在成员国不遵守欧盟法律并侵犯个人权利的特殊情况下，欧盟委员会可以向欧洲联盟法院起诉该成员国。</w:t>
      </w:r>
    </w:p>
    <w:p w:rsidR="00342D76" w:rsidRDefault="00342D76" w:rsidP="009501EC">
      <w:pPr>
        <w:pStyle w:val="H1GC"/>
      </w:pPr>
      <w:r>
        <w:rPr>
          <w:rFonts w:hint="eastAsia"/>
        </w:rPr>
        <w:tab/>
        <w:t>E.</w:t>
      </w:r>
      <w:r>
        <w:rPr>
          <w:rFonts w:hint="eastAsia"/>
        </w:rPr>
        <w:tab/>
      </w:r>
      <w:r>
        <w:rPr>
          <w:rFonts w:hint="eastAsia"/>
        </w:rPr>
        <w:t>促进人权的框架</w:t>
      </w:r>
    </w:p>
    <w:p w:rsidR="00342D76" w:rsidRDefault="00342D76" w:rsidP="009501EC">
      <w:pPr>
        <w:pStyle w:val="H23GC"/>
      </w:pPr>
      <w:r>
        <w:rPr>
          <w:rFonts w:hint="eastAsia"/>
        </w:rPr>
        <w:tab/>
        <w:t>(a)</w:t>
      </w:r>
      <w:r>
        <w:rPr>
          <w:rFonts w:hint="eastAsia"/>
        </w:rPr>
        <w:tab/>
      </w:r>
      <w:r>
        <w:rPr>
          <w:rFonts w:hint="eastAsia"/>
        </w:rPr>
        <w:t>芬兰议会</w:t>
      </w:r>
    </w:p>
    <w:p w:rsidR="00342D76" w:rsidRDefault="00342D76" w:rsidP="00342D76">
      <w:pPr>
        <w:pStyle w:val="SingleTxtGC"/>
        <w:tabs>
          <w:tab w:val="clear" w:pos="1565"/>
          <w:tab w:val="clear" w:pos="1996"/>
          <w:tab w:val="clear" w:pos="2427"/>
        </w:tabs>
      </w:pPr>
      <w:r>
        <w:rPr>
          <w:rFonts w:hint="eastAsia"/>
        </w:rPr>
        <w:t>298.</w:t>
      </w:r>
      <w:r>
        <w:rPr>
          <w:rFonts w:hint="eastAsia"/>
        </w:rPr>
        <w:tab/>
      </w:r>
      <w:r>
        <w:rPr>
          <w:rFonts w:hint="eastAsia"/>
        </w:rPr>
        <w:t>基本前提是所有人权等价，公民权利和政治权利以及经济、社会及文化权利与所有其他人权具有同等价值。所有人权都同等重要，并且相互依存。人权义务对在国家、地区和地方各级行使公共权力的机构具有约束力。根据芬兰《宪法》第</w:t>
      </w:r>
      <w:r>
        <w:rPr>
          <w:rFonts w:hint="eastAsia"/>
        </w:rPr>
        <w:t>124</w:t>
      </w:r>
      <w:r>
        <w:rPr>
          <w:rFonts w:hint="eastAsia"/>
        </w:rPr>
        <w:t>条，只有在有法案授权或有法案依据的情况下，才可将公共行政任务委托给公共机关以外的其他人，且这样做必须为</w:t>
      </w:r>
      <w:proofErr w:type="gramStart"/>
      <w:r>
        <w:rPr>
          <w:rFonts w:hint="eastAsia"/>
        </w:rPr>
        <w:t>妥善履行</w:t>
      </w:r>
      <w:proofErr w:type="gramEnd"/>
      <w:r>
        <w:rPr>
          <w:rFonts w:hint="eastAsia"/>
        </w:rPr>
        <w:t>该任务所必需，并且不得威胁基本权利和自由、法律补救办法和善治的其他要求。在这种情况下，接受委托的一方也应在其活动中尊重基本权利和人权，并遵守芬兰的国际义务。</w:t>
      </w:r>
    </w:p>
    <w:p w:rsidR="00342D76" w:rsidRDefault="00342D76" w:rsidP="00342D76">
      <w:pPr>
        <w:pStyle w:val="SingleTxtGC"/>
        <w:tabs>
          <w:tab w:val="clear" w:pos="1565"/>
          <w:tab w:val="clear" w:pos="1996"/>
          <w:tab w:val="clear" w:pos="2427"/>
        </w:tabs>
      </w:pPr>
      <w:r>
        <w:rPr>
          <w:rFonts w:hint="eastAsia"/>
        </w:rPr>
        <w:t>299.</w:t>
      </w:r>
      <w:r>
        <w:rPr>
          <w:rFonts w:hint="eastAsia"/>
        </w:rPr>
        <w:tab/>
      </w:r>
      <w:r>
        <w:rPr>
          <w:rFonts w:hint="eastAsia"/>
        </w:rPr>
        <w:t>根据芬兰《宪法》第</w:t>
      </w:r>
      <w:r>
        <w:rPr>
          <w:rFonts w:hint="eastAsia"/>
        </w:rPr>
        <w:t>3</w:t>
      </w:r>
      <w:r>
        <w:rPr>
          <w:rFonts w:hint="eastAsia"/>
        </w:rPr>
        <w:t>条，芬兰的立法权由议会行使，议会还决定国家财政问题。议会在行使立法权时必须遵守法律。除其他外，议会在起草立法时必须确保法案不违背宪法，从而不违反基本权利和人权。立法起草过程中对基本权利和人权的关注主要体现在取得立法声明以及政府审议的过程中，这两个程序都发生在法案通过和生效之前。</w:t>
      </w:r>
    </w:p>
    <w:p w:rsidR="00342D76" w:rsidRDefault="00342D76" w:rsidP="00342D76">
      <w:pPr>
        <w:pStyle w:val="SingleTxtGC"/>
        <w:tabs>
          <w:tab w:val="clear" w:pos="1565"/>
          <w:tab w:val="clear" w:pos="1996"/>
          <w:tab w:val="clear" w:pos="2427"/>
        </w:tabs>
      </w:pPr>
      <w:r>
        <w:rPr>
          <w:rFonts w:hint="eastAsia"/>
        </w:rPr>
        <w:t>300.</w:t>
      </w:r>
      <w:r>
        <w:rPr>
          <w:rFonts w:hint="eastAsia"/>
        </w:rPr>
        <w:tab/>
      </w:r>
      <w:r>
        <w:rPr>
          <w:rFonts w:hint="eastAsia"/>
        </w:rPr>
        <w:t>根据芬兰《宪法》第</w:t>
      </w:r>
      <w:r>
        <w:rPr>
          <w:rFonts w:hint="eastAsia"/>
        </w:rPr>
        <w:t>35</w:t>
      </w:r>
      <w:r>
        <w:rPr>
          <w:rFonts w:hint="eastAsia"/>
        </w:rPr>
        <w:t>条，议会为每个选举任期任命大委员会、宪制法律委员会、外交事务委员会、财政委员会、审计委员会和议会议事规则规定的其他常设委员会。宪制法律委员会的主要职能是就提交其审议的法案以及其他事项的合宪性及其对国际人权文书的影响发表声明。宪制法律委员会起草《宪法》以及与其密切相关的立法，如与奥兰自治、选举、公民身份、语言和政党有关的立法。宪制法律委员会是议会的一个常设特别委员会。</w:t>
      </w:r>
    </w:p>
    <w:p w:rsidR="00342D76" w:rsidRDefault="00342D76" w:rsidP="00342D76">
      <w:pPr>
        <w:pStyle w:val="SingleTxtGC"/>
        <w:tabs>
          <w:tab w:val="clear" w:pos="1565"/>
          <w:tab w:val="clear" w:pos="1996"/>
          <w:tab w:val="clear" w:pos="2427"/>
        </w:tabs>
      </w:pPr>
      <w:r>
        <w:rPr>
          <w:rFonts w:hint="eastAsia"/>
        </w:rPr>
        <w:t>301.</w:t>
      </w:r>
      <w:r>
        <w:rPr>
          <w:rFonts w:hint="eastAsia"/>
        </w:rPr>
        <w:tab/>
      </w:r>
      <w:r>
        <w:rPr>
          <w:rFonts w:hint="eastAsia"/>
        </w:rPr>
        <w:t>宪制法律委员会应至少由</w:t>
      </w:r>
      <w:r>
        <w:rPr>
          <w:rFonts w:hint="eastAsia"/>
        </w:rPr>
        <w:t>17</w:t>
      </w:r>
      <w:r>
        <w:rPr>
          <w:rFonts w:hint="eastAsia"/>
        </w:rPr>
        <w:t>名从议会议员中任命的委员组成。委员会负责起草与颁布或修订《宪法》或与其密切相关的立法有关的法律。委员会的报告通常涉及适切性方面，也可提出对芬兰《宪法》的解释。应另一委员会或议会全</w:t>
      </w:r>
      <w:r>
        <w:rPr>
          <w:rFonts w:hint="eastAsia"/>
        </w:rPr>
        <w:lastRenderedPageBreak/>
        <w:t>体会议的请求，宪制法律委员会应提交意见，评估正在进行的立法起草项目的合宪性及其与国际人权公约的关系。在立法起草项目中，如果拟议的立法与《宪法》的关系不明确，或者在委员会未曾就其发表意见的专题事项上，通常会征求该委员会的意见。</w:t>
      </w:r>
    </w:p>
    <w:p w:rsidR="00342D76" w:rsidRDefault="00342D76" w:rsidP="00342D76">
      <w:pPr>
        <w:pStyle w:val="SingleTxtGC"/>
        <w:tabs>
          <w:tab w:val="clear" w:pos="1565"/>
          <w:tab w:val="clear" w:pos="1996"/>
          <w:tab w:val="clear" w:pos="2427"/>
        </w:tabs>
      </w:pPr>
      <w:r>
        <w:rPr>
          <w:rFonts w:hint="eastAsia"/>
        </w:rPr>
        <w:t>302.</w:t>
      </w:r>
      <w:r>
        <w:rPr>
          <w:rFonts w:hint="eastAsia"/>
        </w:rPr>
        <w:tab/>
      </w:r>
      <w:r>
        <w:rPr>
          <w:rFonts w:hint="eastAsia"/>
        </w:rPr>
        <w:t>由于宪制法律委员会负责立法的合宪性问题，因此，该委员会例如在编写意见时，通常根据既定惯例并依据议会的议事规则，征求宪制性法律专家的意见，并不时征求其他法律部门的意见。委员会广泛征求了法律研究人员和教授的意见。就所涉人员而言，宪制法律委员会的专家咨询制度已相当成熟、普遍和广泛，实际上可将它视为委员会对立法合宪性进行事前监督的最重要工具。咨询程序本身多以书面形式进行，即请有关专家就处理的问题提交书面意见。</w:t>
      </w:r>
    </w:p>
    <w:p w:rsidR="00342D76" w:rsidRDefault="00342D76" w:rsidP="00073EE3">
      <w:pPr>
        <w:pStyle w:val="H23GC"/>
      </w:pPr>
      <w:r>
        <w:rPr>
          <w:rFonts w:hint="eastAsia"/>
        </w:rPr>
        <w:tab/>
        <w:t>(b)</w:t>
      </w:r>
      <w:r>
        <w:rPr>
          <w:rFonts w:hint="eastAsia"/>
        </w:rPr>
        <w:tab/>
      </w:r>
      <w:r>
        <w:rPr>
          <w:rFonts w:hint="eastAsia"/>
        </w:rPr>
        <w:t>地方政府</w:t>
      </w:r>
    </w:p>
    <w:p w:rsidR="00342D76" w:rsidRDefault="00342D76" w:rsidP="00342D76">
      <w:pPr>
        <w:pStyle w:val="SingleTxtGC"/>
        <w:tabs>
          <w:tab w:val="clear" w:pos="1565"/>
          <w:tab w:val="clear" w:pos="1996"/>
          <w:tab w:val="clear" w:pos="2427"/>
        </w:tabs>
      </w:pPr>
      <w:r>
        <w:rPr>
          <w:rFonts w:hint="eastAsia"/>
        </w:rPr>
        <w:t>303.</w:t>
      </w:r>
      <w:r>
        <w:rPr>
          <w:rFonts w:hint="eastAsia"/>
        </w:rPr>
        <w:tab/>
      </w:r>
      <w:r>
        <w:rPr>
          <w:rFonts w:hint="eastAsia"/>
        </w:rPr>
        <w:t>地方政府层面也应促进人权。这项义务的依据是芬兰《宪法》第</w:t>
      </w:r>
      <w:r>
        <w:rPr>
          <w:rFonts w:hint="eastAsia"/>
        </w:rPr>
        <w:t>22</w:t>
      </w:r>
      <w:r>
        <w:rPr>
          <w:rFonts w:hint="eastAsia"/>
        </w:rPr>
        <w:t>条，其中“公共机关”指中央和地方政府。公共机关保障基本权利、基本自由和人权的义务是对包含制裁措施的人权制度的延伸，上述规定将基本权利与人权同等对待就明显体现出这一点。然而，地方政府在保障基本权利和人权的责任方面没有任何制裁措施。尽管如此，基本权利和人权方面的法律利益趋同，公共机关的行动在许多情况下可同时实现这两个目标。</w:t>
      </w:r>
    </w:p>
    <w:p w:rsidR="00342D76" w:rsidRDefault="00342D76" w:rsidP="00073EE3">
      <w:pPr>
        <w:pStyle w:val="H23GC"/>
      </w:pPr>
      <w:r>
        <w:rPr>
          <w:rFonts w:hint="eastAsia"/>
        </w:rPr>
        <w:tab/>
        <w:t>(c)</w:t>
      </w:r>
      <w:r>
        <w:rPr>
          <w:rFonts w:hint="eastAsia"/>
        </w:rPr>
        <w:tab/>
      </w:r>
      <w:r>
        <w:rPr>
          <w:rFonts w:hint="eastAsia"/>
        </w:rPr>
        <w:t>国家人权机构</w:t>
      </w:r>
    </w:p>
    <w:p w:rsidR="00342D76" w:rsidRDefault="00342D76" w:rsidP="00342D76">
      <w:pPr>
        <w:pStyle w:val="SingleTxtGC"/>
        <w:tabs>
          <w:tab w:val="clear" w:pos="1565"/>
          <w:tab w:val="clear" w:pos="1996"/>
          <w:tab w:val="clear" w:pos="2427"/>
        </w:tabs>
      </w:pPr>
      <w:r>
        <w:rPr>
          <w:rFonts w:hint="eastAsia"/>
        </w:rPr>
        <w:t>304.</w:t>
      </w:r>
      <w:r>
        <w:rPr>
          <w:rFonts w:hint="eastAsia"/>
        </w:rPr>
        <w:tab/>
      </w:r>
      <w:r>
        <w:rPr>
          <w:rFonts w:hint="eastAsia"/>
        </w:rPr>
        <w:t>芬兰国家人权机构由人权中心及其代表团以及议会监察员组成。芬兰国家人权机构在</w:t>
      </w:r>
      <w:r>
        <w:rPr>
          <w:rFonts w:hint="eastAsia"/>
        </w:rPr>
        <w:t>2014</w:t>
      </w:r>
      <w:r>
        <w:rPr>
          <w:rFonts w:hint="eastAsia"/>
        </w:rPr>
        <w:t>年和</w:t>
      </w:r>
      <w:r>
        <w:rPr>
          <w:rFonts w:hint="eastAsia"/>
        </w:rPr>
        <w:t>2019</w:t>
      </w:r>
      <w:r>
        <w:rPr>
          <w:rFonts w:hint="eastAsia"/>
        </w:rPr>
        <w:t>年获得“</w:t>
      </w:r>
      <w:r>
        <w:rPr>
          <w:rFonts w:hint="eastAsia"/>
        </w:rPr>
        <w:t>A</w:t>
      </w:r>
      <w:r>
        <w:rPr>
          <w:rFonts w:hint="eastAsia"/>
        </w:rPr>
        <w:t>”类认证。</w:t>
      </w:r>
    </w:p>
    <w:p w:rsidR="00342D76" w:rsidRDefault="00342D76" w:rsidP="00342D76">
      <w:pPr>
        <w:pStyle w:val="SingleTxtGC"/>
        <w:tabs>
          <w:tab w:val="clear" w:pos="1565"/>
          <w:tab w:val="clear" w:pos="1996"/>
          <w:tab w:val="clear" w:pos="2427"/>
        </w:tabs>
      </w:pPr>
      <w:r>
        <w:rPr>
          <w:rFonts w:hint="eastAsia"/>
        </w:rPr>
        <w:t>305.</w:t>
      </w:r>
      <w:r>
        <w:rPr>
          <w:rFonts w:hint="eastAsia"/>
        </w:rPr>
        <w:tab/>
      </w:r>
      <w:r>
        <w:rPr>
          <w:rFonts w:hint="eastAsia"/>
        </w:rPr>
        <w:t>国家人权机构作为一个整体，根据依照联合国《残疾人权利公约》第三十三条第二款制定的相关法案，促进、保护和监测该公约的执行情况。</w:t>
      </w:r>
    </w:p>
    <w:p w:rsidR="00342D76" w:rsidRDefault="00342D76" w:rsidP="00342D76">
      <w:pPr>
        <w:pStyle w:val="SingleTxtGC"/>
        <w:tabs>
          <w:tab w:val="clear" w:pos="1565"/>
          <w:tab w:val="clear" w:pos="1996"/>
          <w:tab w:val="clear" w:pos="2427"/>
        </w:tabs>
      </w:pPr>
      <w:r>
        <w:rPr>
          <w:rFonts w:hint="eastAsia"/>
        </w:rPr>
        <w:t>306.</w:t>
      </w:r>
      <w:r>
        <w:rPr>
          <w:rFonts w:hint="eastAsia"/>
        </w:rPr>
        <w:tab/>
      </w:r>
      <w:r>
        <w:rPr>
          <w:rFonts w:hint="eastAsia"/>
        </w:rPr>
        <w:t>国家人权机构活动的另一个重点是促进老年人权利，目的是加强与老年人有关的活动和决策以及更广泛的态度方面的立法视角。</w:t>
      </w:r>
    </w:p>
    <w:p w:rsidR="00342D76" w:rsidRDefault="00342D76" w:rsidP="00073EE3">
      <w:pPr>
        <w:pStyle w:val="H23GC"/>
      </w:pPr>
      <w:r>
        <w:rPr>
          <w:rFonts w:hint="eastAsia"/>
        </w:rPr>
        <w:tab/>
      </w:r>
      <w:r>
        <w:rPr>
          <w:rFonts w:hint="eastAsia"/>
        </w:rPr>
        <w:tab/>
      </w:r>
      <w:r>
        <w:rPr>
          <w:rFonts w:hint="eastAsia"/>
        </w:rPr>
        <w:t>人权中心</w:t>
      </w:r>
    </w:p>
    <w:p w:rsidR="00342D76" w:rsidRDefault="00342D76" w:rsidP="00342D76">
      <w:pPr>
        <w:pStyle w:val="SingleTxtGC"/>
        <w:tabs>
          <w:tab w:val="clear" w:pos="1565"/>
          <w:tab w:val="clear" w:pos="1996"/>
          <w:tab w:val="clear" w:pos="2427"/>
        </w:tabs>
      </w:pPr>
      <w:r>
        <w:rPr>
          <w:rFonts w:hint="eastAsia"/>
        </w:rPr>
        <w:t>307.</w:t>
      </w:r>
      <w:r>
        <w:rPr>
          <w:rFonts w:hint="eastAsia"/>
        </w:rPr>
        <w:tab/>
      </w:r>
      <w:r>
        <w:rPr>
          <w:rFonts w:hint="eastAsia"/>
        </w:rPr>
        <w:t>人权中心于</w:t>
      </w:r>
      <w:r>
        <w:rPr>
          <w:rFonts w:hint="eastAsia"/>
        </w:rPr>
        <w:t>2012</w:t>
      </w:r>
      <w:r>
        <w:rPr>
          <w:rFonts w:hint="eastAsia"/>
        </w:rPr>
        <w:t>年</w:t>
      </w:r>
      <w:r>
        <w:rPr>
          <w:rFonts w:hint="eastAsia"/>
        </w:rPr>
        <w:t>3</w:t>
      </w:r>
      <w:r>
        <w:rPr>
          <w:rFonts w:hint="eastAsia"/>
        </w:rPr>
        <w:t>月开始运作。《议会监察员法》对其职责</w:t>
      </w:r>
      <w:proofErr w:type="gramStart"/>
      <w:r>
        <w:rPr>
          <w:rFonts w:hint="eastAsia"/>
        </w:rPr>
        <w:t>作出</w:t>
      </w:r>
      <w:proofErr w:type="gramEnd"/>
      <w:r>
        <w:rPr>
          <w:rFonts w:hint="eastAsia"/>
        </w:rPr>
        <w:t>规定。人权中心是一个独立自主的专家机构，任务是促进基本权利和人权的落实，并加强各行为者之间的合作和信息交流。它在行政上与议会监察员办公室衔接。</w:t>
      </w:r>
    </w:p>
    <w:p w:rsidR="00342D76" w:rsidRDefault="00342D76" w:rsidP="00342D76">
      <w:pPr>
        <w:pStyle w:val="SingleTxtGC"/>
        <w:tabs>
          <w:tab w:val="clear" w:pos="1565"/>
          <w:tab w:val="clear" w:pos="1996"/>
          <w:tab w:val="clear" w:pos="2427"/>
        </w:tabs>
      </w:pPr>
      <w:r>
        <w:rPr>
          <w:rFonts w:hint="eastAsia"/>
        </w:rPr>
        <w:t>308.</w:t>
      </w:r>
      <w:r>
        <w:rPr>
          <w:rFonts w:hint="eastAsia"/>
        </w:rPr>
        <w:tab/>
      </w:r>
      <w:r>
        <w:rPr>
          <w:rFonts w:hint="eastAsia"/>
        </w:rPr>
        <w:t>人权中心的法定任务是：</w:t>
      </w:r>
    </w:p>
    <w:p w:rsidR="00342D76" w:rsidRDefault="00342D76" w:rsidP="00073EE3">
      <w:pPr>
        <w:pStyle w:val="Bullet1GC"/>
      </w:pPr>
      <w:r>
        <w:rPr>
          <w:rFonts w:hint="eastAsia"/>
        </w:rPr>
        <w:t>促进基本权利和人权方面的信息提供、培训、教育和研究；</w:t>
      </w:r>
    </w:p>
    <w:p w:rsidR="00342D76" w:rsidRDefault="00342D76" w:rsidP="00073EE3">
      <w:pPr>
        <w:pStyle w:val="Bullet1GC"/>
      </w:pPr>
      <w:r>
        <w:rPr>
          <w:rFonts w:hint="eastAsia"/>
        </w:rPr>
        <w:t>起草关于基本权利和人权落实情况的报告；</w:t>
      </w:r>
    </w:p>
    <w:p w:rsidR="00342D76" w:rsidRDefault="00342D76" w:rsidP="00073EE3">
      <w:pPr>
        <w:pStyle w:val="Bullet1GC"/>
      </w:pPr>
      <w:r>
        <w:rPr>
          <w:rFonts w:hint="eastAsia"/>
        </w:rPr>
        <w:t>采取促进和落实基本权利和人权的相关举措并发表声明；</w:t>
      </w:r>
    </w:p>
    <w:p w:rsidR="00342D76" w:rsidRDefault="00342D76" w:rsidP="00073EE3">
      <w:pPr>
        <w:pStyle w:val="Bullet1GC"/>
      </w:pPr>
      <w:r>
        <w:rPr>
          <w:rFonts w:hint="eastAsia"/>
        </w:rPr>
        <w:t>参与有关促进和保护基本权利和人权的欧洲和国际合作；</w:t>
      </w:r>
    </w:p>
    <w:p w:rsidR="00342D76" w:rsidRDefault="00342D76" w:rsidP="00073EE3">
      <w:pPr>
        <w:pStyle w:val="Bullet1GC"/>
      </w:pPr>
      <w:r>
        <w:rPr>
          <w:rFonts w:hint="eastAsia"/>
        </w:rPr>
        <w:t>执行与促进和落实基本权利和人权相关的其他类似任务；</w:t>
      </w:r>
    </w:p>
    <w:p w:rsidR="00342D76" w:rsidRDefault="00342D76" w:rsidP="00073EE3">
      <w:pPr>
        <w:pStyle w:val="Bullet1GC"/>
      </w:pPr>
      <w:r>
        <w:rPr>
          <w:rFonts w:hint="eastAsia"/>
        </w:rPr>
        <w:t>促进、保护和监测联合国《残疾人权利公约》的实施。</w:t>
      </w:r>
    </w:p>
    <w:p w:rsidR="00342D76" w:rsidRDefault="00342D76" w:rsidP="00342D76">
      <w:pPr>
        <w:pStyle w:val="SingleTxtGC"/>
        <w:tabs>
          <w:tab w:val="clear" w:pos="1565"/>
          <w:tab w:val="clear" w:pos="1996"/>
          <w:tab w:val="clear" w:pos="2427"/>
        </w:tabs>
      </w:pPr>
      <w:r>
        <w:rPr>
          <w:rFonts w:hint="eastAsia"/>
        </w:rPr>
        <w:t>309.</w:t>
      </w:r>
      <w:r>
        <w:rPr>
          <w:rFonts w:hint="eastAsia"/>
        </w:rPr>
        <w:tab/>
      </w:r>
      <w:r>
        <w:rPr>
          <w:rFonts w:hint="eastAsia"/>
        </w:rPr>
        <w:t>中心不处理投诉或其他个人案件。</w:t>
      </w:r>
    </w:p>
    <w:p w:rsidR="00342D76" w:rsidRDefault="00342D76" w:rsidP="00342D76">
      <w:pPr>
        <w:pStyle w:val="SingleTxtGC"/>
        <w:tabs>
          <w:tab w:val="clear" w:pos="1565"/>
          <w:tab w:val="clear" w:pos="1996"/>
          <w:tab w:val="clear" w:pos="2427"/>
        </w:tabs>
      </w:pPr>
      <w:r>
        <w:rPr>
          <w:rFonts w:hint="eastAsia"/>
        </w:rPr>
        <w:lastRenderedPageBreak/>
        <w:t>310.</w:t>
      </w:r>
      <w:r>
        <w:rPr>
          <w:rFonts w:hint="eastAsia"/>
        </w:rPr>
        <w:tab/>
      </w:r>
      <w:r>
        <w:rPr>
          <w:rFonts w:hint="eastAsia"/>
        </w:rPr>
        <w:t>人权中心监测芬兰遵守国际人权文书，执行国际条约监测机构通过的关于芬兰的结论性意见，以及执行欧洲人权法院和其他国际条约机构的判决及其他裁决的情况。</w:t>
      </w:r>
    </w:p>
    <w:p w:rsidR="00342D76" w:rsidRDefault="00342D76" w:rsidP="00342D76">
      <w:pPr>
        <w:pStyle w:val="SingleTxtGC"/>
        <w:tabs>
          <w:tab w:val="clear" w:pos="1565"/>
          <w:tab w:val="clear" w:pos="1996"/>
          <w:tab w:val="clear" w:pos="2427"/>
        </w:tabs>
      </w:pPr>
      <w:r>
        <w:rPr>
          <w:rFonts w:hint="eastAsia"/>
        </w:rPr>
        <w:t>311.</w:t>
      </w:r>
      <w:r>
        <w:rPr>
          <w:rFonts w:hint="eastAsia"/>
        </w:rPr>
        <w:tab/>
      </w:r>
      <w:r>
        <w:rPr>
          <w:rFonts w:hint="eastAsia"/>
        </w:rPr>
        <w:t>中心在欧洲国家人权机构网络和国家人权机构全球联盟及其专题工作组内开展广泛的国际合作。</w:t>
      </w:r>
    </w:p>
    <w:p w:rsidR="00342D76" w:rsidRDefault="00342D76" w:rsidP="00073EE3">
      <w:pPr>
        <w:pStyle w:val="H23GC"/>
      </w:pPr>
      <w:r>
        <w:rPr>
          <w:rFonts w:hint="eastAsia"/>
        </w:rPr>
        <w:tab/>
      </w:r>
      <w:r>
        <w:rPr>
          <w:rFonts w:hint="eastAsia"/>
        </w:rPr>
        <w:tab/>
      </w:r>
      <w:r>
        <w:rPr>
          <w:rFonts w:hint="eastAsia"/>
        </w:rPr>
        <w:t>人权代表团</w:t>
      </w:r>
    </w:p>
    <w:p w:rsidR="00342D76" w:rsidRDefault="00342D76" w:rsidP="00342D76">
      <w:pPr>
        <w:pStyle w:val="SingleTxtGC"/>
        <w:tabs>
          <w:tab w:val="clear" w:pos="1565"/>
          <w:tab w:val="clear" w:pos="1996"/>
          <w:tab w:val="clear" w:pos="2427"/>
        </w:tabs>
      </w:pPr>
      <w:r>
        <w:rPr>
          <w:rFonts w:hint="eastAsia"/>
        </w:rPr>
        <w:t>312.</w:t>
      </w:r>
      <w:r>
        <w:rPr>
          <w:rFonts w:hint="eastAsia"/>
        </w:rPr>
        <w:tab/>
      </w:r>
      <w:r>
        <w:rPr>
          <w:rFonts w:hint="eastAsia"/>
        </w:rPr>
        <w:t>人权中心设有一个</w:t>
      </w:r>
      <w:r>
        <w:rPr>
          <w:rFonts w:hint="eastAsia"/>
        </w:rPr>
        <w:t>20</w:t>
      </w:r>
      <w:r>
        <w:rPr>
          <w:rFonts w:hint="eastAsia"/>
        </w:rPr>
        <w:t>至</w:t>
      </w:r>
      <w:r>
        <w:rPr>
          <w:rFonts w:hint="eastAsia"/>
        </w:rPr>
        <w:t>40</w:t>
      </w:r>
      <w:r>
        <w:rPr>
          <w:rFonts w:hint="eastAsia"/>
        </w:rPr>
        <w:t>人的人权代表团，其成员广泛代表芬兰的各个人权行为者。代表团的组成在专业知识和代表性方面体现出多样性，采用透明的遴选过程。代表团在基本权利和人权领域发挥合作机构的作用，帮助加强不同行为者之间的信息交流。它还处理具有深远影响和重大意义的人权问题。代表团定期提出关于基本权利和人权议题的倡议和意见，并努力在国内人权政策等方面加以倡导。代表团由议会监察员与人权中心主任协商后任命，任期四年，人权中心主任兼任代表团团长。代表团副团长由遴选产生。代表团每年召开二到四次会议。</w:t>
      </w:r>
    </w:p>
    <w:p w:rsidR="00342D76" w:rsidRDefault="00342D76" w:rsidP="00342D76">
      <w:pPr>
        <w:pStyle w:val="SingleTxtGC"/>
        <w:tabs>
          <w:tab w:val="clear" w:pos="1565"/>
          <w:tab w:val="clear" w:pos="1996"/>
          <w:tab w:val="clear" w:pos="2427"/>
        </w:tabs>
      </w:pPr>
      <w:r>
        <w:rPr>
          <w:rFonts w:hint="eastAsia"/>
        </w:rPr>
        <w:t>313.</w:t>
      </w:r>
      <w:r>
        <w:rPr>
          <w:rFonts w:hint="eastAsia"/>
        </w:rPr>
        <w:tab/>
      </w:r>
      <w:r>
        <w:rPr>
          <w:rFonts w:hint="eastAsia"/>
        </w:rPr>
        <w:t>人权代表团的会议和工作由</w:t>
      </w:r>
      <w:r>
        <w:rPr>
          <w:rFonts w:hint="eastAsia"/>
        </w:rPr>
        <w:t>6</w:t>
      </w:r>
      <w:r>
        <w:rPr>
          <w:rFonts w:hint="eastAsia"/>
        </w:rPr>
        <w:t>至</w:t>
      </w:r>
      <w:r>
        <w:rPr>
          <w:rFonts w:hint="eastAsia"/>
        </w:rPr>
        <w:t>8</w:t>
      </w:r>
      <w:r>
        <w:rPr>
          <w:rFonts w:hint="eastAsia"/>
        </w:rPr>
        <w:t>名代表团成员组成的工作委员会与人权中心共同筹备。代表团也有权设立分部，从代表团成员中任命成员。可以为了准备和审议具体任务而指定分部。代表团的一个常设分部是残疾人权利委员会，该委员会以代表团议事规则确定的方式参与履行联合国《残疾人权利公约》第三十三条第二款规定的职责。必要时，代表团也可设立临时分部。</w:t>
      </w:r>
    </w:p>
    <w:p w:rsidR="00342D76" w:rsidRDefault="00342D76" w:rsidP="00370A86">
      <w:pPr>
        <w:pStyle w:val="H23GC"/>
      </w:pPr>
      <w:r>
        <w:rPr>
          <w:rFonts w:hint="eastAsia"/>
        </w:rPr>
        <w:tab/>
        <w:t>(d)</w:t>
      </w:r>
      <w:r>
        <w:rPr>
          <w:rFonts w:hint="eastAsia"/>
        </w:rPr>
        <w:tab/>
      </w:r>
      <w:r>
        <w:rPr>
          <w:rFonts w:hint="eastAsia"/>
        </w:rPr>
        <w:t>基本权利和人权联络人政府网络</w:t>
      </w:r>
    </w:p>
    <w:p w:rsidR="00342D76" w:rsidRDefault="00342D76" w:rsidP="00342D76">
      <w:pPr>
        <w:pStyle w:val="SingleTxtGC"/>
        <w:tabs>
          <w:tab w:val="clear" w:pos="1565"/>
          <w:tab w:val="clear" w:pos="1996"/>
          <w:tab w:val="clear" w:pos="2427"/>
        </w:tabs>
      </w:pPr>
      <w:r>
        <w:rPr>
          <w:rFonts w:hint="eastAsia"/>
        </w:rPr>
        <w:t>314.</w:t>
      </w:r>
      <w:r>
        <w:rPr>
          <w:rFonts w:hint="eastAsia"/>
        </w:rPr>
        <w:tab/>
      </w:r>
      <w:r>
        <w:rPr>
          <w:rFonts w:hint="eastAsia"/>
        </w:rPr>
        <w:t>基本权利和人权联络人政府网络有助于芬兰加强实现基本权利和人权的工作。该网络的职责包括监测芬兰的基本权利和人权状况以及国家履行国际义务和政府基本权利和人权政策的情况。该网络还参与加强政府内部协调以及加强基本权利和人权方面的对话。此外，该网络发起研究和发展项目，旨在提供关于在芬兰实现基本权利和人权的信息，并促进基本权利和人权的实现。各部委在该网络中均有代表，其中还包括议会监察员、政府司法长官和人权中心的专家。</w:t>
      </w:r>
    </w:p>
    <w:p w:rsidR="00342D76" w:rsidRDefault="00342D76" w:rsidP="00342D76">
      <w:pPr>
        <w:pStyle w:val="SingleTxtGC"/>
        <w:tabs>
          <w:tab w:val="clear" w:pos="1565"/>
          <w:tab w:val="clear" w:pos="1996"/>
          <w:tab w:val="clear" w:pos="2427"/>
        </w:tabs>
      </w:pPr>
      <w:r>
        <w:rPr>
          <w:rFonts w:hint="eastAsia"/>
        </w:rPr>
        <w:t>315.</w:t>
      </w:r>
      <w:r>
        <w:rPr>
          <w:rFonts w:hint="eastAsia"/>
        </w:rPr>
        <w:tab/>
      </w:r>
      <w:r>
        <w:rPr>
          <w:rFonts w:hint="eastAsia"/>
        </w:rPr>
        <w:t>基本权利和人权联络人政府网络的一项主要职责是监督《基本权利和人权国家行动计划》的实施情况。网络的建立为系统监测计划实施情况提供了新的工具。该网络定期举行会议，并独立起草议程。该网络经常对根据国际人权文书提出的建议进行分析和基准设定，并监测其执行情况。利益攸关方之间的交流增多也可归功于基本权利和人权联络人网络。</w:t>
      </w:r>
    </w:p>
    <w:p w:rsidR="00342D76" w:rsidRDefault="00342D76" w:rsidP="00370A86">
      <w:pPr>
        <w:pStyle w:val="H1GC"/>
      </w:pPr>
      <w:r>
        <w:rPr>
          <w:rFonts w:hint="eastAsia"/>
        </w:rPr>
        <w:tab/>
        <w:t>F.</w:t>
      </w:r>
      <w:r>
        <w:rPr>
          <w:rFonts w:hint="eastAsia"/>
        </w:rPr>
        <w:tab/>
      </w:r>
      <w:r>
        <w:rPr>
          <w:rFonts w:hint="eastAsia"/>
        </w:rPr>
        <w:t>人权文书的公布、传播和宣传</w:t>
      </w:r>
    </w:p>
    <w:p w:rsidR="00342D76" w:rsidRDefault="00342D76" w:rsidP="00370A86">
      <w:pPr>
        <w:pStyle w:val="H23GC"/>
      </w:pPr>
      <w:r>
        <w:rPr>
          <w:rFonts w:hint="eastAsia"/>
        </w:rPr>
        <w:tab/>
        <w:t>(a)</w:t>
      </w:r>
      <w:r>
        <w:rPr>
          <w:rFonts w:hint="eastAsia"/>
        </w:rPr>
        <w:tab/>
      </w:r>
      <w:r>
        <w:rPr>
          <w:rFonts w:hint="eastAsia"/>
        </w:rPr>
        <w:t>人权意识</w:t>
      </w:r>
    </w:p>
    <w:p w:rsidR="00342D76" w:rsidRDefault="00342D76" w:rsidP="00342D76">
      <w:pPr>
        <w:pStyle w:val="SingleTxtGC"/>
        <w:tabs>
          <w:tab w:val="clear" w:pos="1565"/>
          <w:tab w:val="clear" w:pos="1996"/>
          <w:tab w:val="clear" w:pos="2427"/>
        </w:tabs>
      </w:pPr>
      <w:r>
        <w:rPr>
          <w:rFonts w:hint="eastAsia"/>
        </w:rPr>
        <w:t>316.</w:t>
      </w:r>
      <w:r>
        <w:rPr>
          <w:rFonts w:hint="eastAsia"/>
        </w:rPr>
        <w:tab/>
      </w:r>
      <w:r>
        <w:rPr>
          <w:rFonts w:hint="eastAsia"/>
        </w:rPr>
        <w:t>人权文书的芬兰语和瑞典语译本公布在《芬兰法典条约汇编》中。《法典》可在各大公共图书馆查阅，此外，还可在芬兰法律信息网</w:t>
      </w:r>
      <w:r>
        <w:rPr>
          <w:rFonts w:hint="eastAsia"/>
        </w:rPr>
        <w:t>(</w:t>
      </w:r>
      <w:proofErr w:type="spellStart"/>
      <w:r>
        <w:rPr>
          <w:rFonts w:hint="eastAsia"/>
        </w:rPr>
        <w:t>www.finlex.fi</w:t>
      </w:r>
      <w:proofErr w:type="spellEnd"/>
      <w:r>
        <w:rPr>
          <w:rFonts w:hint="eastAsia"/>
        </w:rPr>
        <w:t>/</w:t>
      </w:r>
      <w:proofErr w:type="spellStart"/>
      <w:r>
        <w:rPr>
          <w:rFonts w:hint="eastAsia"/>
        </w:rPr>
        <w:t>en</w:t>
      </w:r>
      <w:proofErr w:type="spellEnd"/>
      <w:r>
        <w:rPr>
          <w:rFonts w:hint="eastAsia"/>
        </w:rPr>
        <w:t>)</w:t>
      </w:r>
      <w:r>
        <w:rPr>
          <w:rFonts w:hint="eastAsia"/>
        </w:rPr>
        <w:t>和外交部网站</w:t>
      </w:r>
      <w:r>
        <w:rPr>
          <w:rFonts w:hint="eastAsia"/>
        </w:rPr>
        <w:t>(https://</w:t>
      </w:r>
      <w:proofErr w:type="spellStart"/>
      <w:r>
        <w:rPr>
          <w:rFonts w:hint="eastAsia"/>
        </w:rPr>
        <w:t>um.fi</w:t>
      </w:r>
      <w:proofErr w:type="spellEnd"/>
      <w:r>
        <w:rPr>
          <w:rFonts w:hint="eastAsia"/>
        </w:rPr>
        <w:t>/</w:t>
      </w:r>
      <w:proofErr w:type="spellStart"/>
      <w:r>
        <w:rPr>
          <w:rFonts w:hint="eastAsia"/>
        </w:rPr>
        <w:t>kahdenvaliset</w:t>
      </w:r>
      <w:proofErr w:type="spellEnd"/>
      <w:r>
        <w:rPr>
          <w:rFonts w:hint="eastAsia"/>
        </w:rPr>
        <w:t>-ja-</w:t>
      </w:r>
      <w:proofErr w:type="spellStart"/>
      <w:r>
        <w:rPr>
          <w:rFonts w:hint="eastAsia"/>
        </w:rPr>
        <w:t>monenvaliset</w:t>
      </w:r>
      <w:proofErr w:type="spellEnd"/>
      <w:r>
        <w:rPr>
          <w:rFonts w:hint="eastAsia"/>
        </w:rPr>
        <w:t>-</w:t>
      </w:r>
      <w:proofErr w:type="spellStart"/>
      <w:r>
        <w:rPr>
          <w:rFonts w:hint="eastAsia"/>
        </w:rPr>
        <w:t>sopimukset</w:t>
      </w:r>
      <w:proofErr w:type="spellEnd"/>
      <w:r>
        <w:rPr>
          <w:rFonts w:hint="eastAsia"/>
        </w:rPr>
        <w:t>)</w:t>
      </w:r>
      <w:r>
        <w:rPr>
          <w:rFonts w:hint="eastAsia"/>
        </w:rPr>
        <w:t>上在线查阅这些文书。芬兰境内的公共图书馆等提供免费互联网访问权限。</w:t>
      </w:r>
    </w:p>
    <w:p w:rsidR="00342D76" w:rsidRDefault="00342D76" w:rsidP="00342D76">
      <w:pPr>
        <w:pStyle w:val="SingleTxtGC"/>
        <w:tabs>
          <w:tab w:val="clear" w:pos="1565"/>
          <w:tab w:val="clear" w:pos="1996"/>
          <w:tab w:val="clear" w:pos="2427"/>
        </w:tabs>
      </w:pPr>
      <w:r>
        <w:rPr>
          <w:rFonts w:hint="eastAsia"/>
        </w:rPr>
        <w:lastRenderedPageBreak/>
        <w:t>317.</w:t>
      </w:r>
      <w:r>
        <w:rPr>
          <w:rFonts w:hint="eastAsia"/>
        </w:rPr>
        <w:tab/>
      </w:r>
      <w:r>
        <w:rPr>
          <w:rFonts w:hint="eastAsia"/>
        </w:rPr>
        <w:t>外交部网站上公布这些文书执行情况的政府定期报告</w:t>
      </w:r>
      <w:r>
        <w:rPr>
          <w:rFonts w:hint="eastAsia"/>
        </w:rPr>
        <w:t>(https://</w:t>
      </w:r>
      <w:proofErr w:type="spellStart"/>
      <w:r>
        <w:rPr>
          <w:rFonts w:hint="eastAsia"/>
        </w:rPr>
        <w:t>um.fi</w:t>
      </w:r>
      <w:proofErr w:type="spellEnd"/>
      <w:r>
        <w:rPr>
          <w:rFonts w:hint="eastAsia"/>
        </w:rPr>
        <w:t>/</w:t>
      </w:r>
      <w:proofErr w:type="spellStart"/>
      <w:r>
        <w:rPr>
          <w:rFonts w:hint="eastAsia"/>
        </w:rPr>
        <w:t>kahde</w:t>
      </w:r>
      <w:proofErr w:type="spellEnd"/>
      <w:r w:rsidR="00370A86">
        <w:t xml:space="preserve"> </w:t>
      </w:r>
      <w:proofErr w:type="spellStart"/>
      <w:r>
        <w:rPr>
          <w:rFonts w:hint="eastAsia"/>
        </w:rPr>
        <w:t>nvaliset</w:t>
      </w:r>
      <w:proofErr w:type="spellEnd"/>
      <w:r>
        <w:rPr>
          <w:rFonts w:hint="eastAsia"/>
        </w:rPr>
        <w:t>-ja-</w:t>
      </w:r>
      <w:proofErr w:type="spellStart"/>
      <w:r>
        <w:rPr>
          <w:rFonts w:hint="eastAsia"/>
        </w:rPr>
        <w:t>monenvaliset</w:t>
      </w:r>
      <w:proofErr w:type="spellEnd"/>
      <w:r>
        <w:rPr>
          <w:rFonts w:hint="eastAsia"/>
        </w:rPr>
        <w:t>-</w:t>
      </w:r>
      <w:proofErr w:type="spellStart"/>
      <w:r>
        <w:rPr>
          <w:rFonts w:hint="eastAsia"/>
        </w:rPr>
        <w:t>sopimukset</w:t>
      </w:r>
      <w:proofErr w:type="spellEnd"/>
      <w:r>
        <w:rPr>
          <w:rFonts w:hint="eastAsia"/>
        </w:rPr>
        <w:t>)</w:t>
      </w:r>
      <w:r>
        <w:rPr>
          <w:rFonts w:hint="eastAsia"/>
        </w:rPr>
        <w:t>，网站还以三种语言</w:t>
      </w:r>
      <w:r>
        <w:rPr>
          <w:rFonts w:hint="eastAsia"/>
        </w:rPr>
        <w:t>(</w:t>
      </w:r>
      <w:r>
        <w:rPr>
          <w:rFonts w:hint="eastAsia"/>
        </w:rPr>
        <w:t>英语、芬兰语、瑞典语</w:t>
      </w:r>
      <w:r>
        <w:rPr>
          <w:rFonts w:hint="eastAsia"/>
        </w:rPr>
        <w:t>)</w:t>
      </w:r>
      <w:r>
        <w:rPr>
          <w:rFonts w:hint="eastAsia"/>
        </w:rPr>
        <w:t>提供结论性意见。</w:t>
      </w:r>
    </w:p>
    <w:p w:rsidR="00342D76" w:rsidRDefault="00342D76" w:rsidP="004538F1">
      <w:pPr>
        <w:pStyle w:val="H23GC"/>
      </w:pPr>
      <w:r>
        <w:rPr>
          <w:rFonts w:hint="eastAsia"/>
        </w:rPr>
        <w:tab/>
      </w:r>
      <w:r>
        <w:rPr>
          <w:rFonts w:hint="eastAsia"/>
        </w:rPr>
        <w:tab/>
      </w:r>
      <w:r>
        <w:rPr>
          <w:rFonts w:hint="eastAsia"/>
        </w:rPr>
        <w:t>《基本权利和人权国家行动计划》</w:t>
      </w:r>
    </w:p>
    <w:p w:rsidR="00342D76" w:rsidRDefault="00342D76" w:rsidP="00342D76">
      <w:pPr>
        <w:pStyle w:val="SingleTxtGC"/>
        <w:tabs>
          <w:tab w:val="clear" w:pos="1565"/>
          <w:tab w:val="clear" w:pos="1996"/>
          <w:tab w:val="clear" w:pos="2427"/>
        </w:tabs>
      </w:pPr>
      <w:r>
        <w:rPr>
          <w:rFonts w:hint="eastAsia"/>
        </w:rPr>
        <w:t>318.</w:t>
      </w:r>
      <w:r>
        <w:rPr>
          <w:rFonts w:hint="eastAsia"/>
        </w:rPr>
        <w:tab/>
      </w:r>
      <w:r>
        <w:rPr>
          <w:rFonts w:hint="eastAsia"/>
        </w:rPr>
        <w:t>在提高人权意识方面，《基本权利和人权国家行动计划</w:t>
      </w:r>
      <w:r>
        <w:rPr>
          <w:rFonts w:hint="eastAsia"/>
        </w:rPr>
        <w:t>(2012-2013</w:t>
      </w:r>
      <w:r>
        <w:rPr>
          <w:rFonts w:hint="eastAsia"/>
        </w:rPr>
        <w:t>年</w:t>
      </w:r>
      <w:r>
        <w:rPr>
          <w:rFonts w:hint="eastAsia"/>
        </w:rPr>
        <w:t>)</w:t>
      </w:r>
      <w:r>
        <w:rPr>
          <w:rFonts w:hint="eastAsia"/>
        </w:rPr>
        <w:t>》和《基本权利和人权国家行动计划</w:t>
      </w:r>
      <w:r>
        <w:rPr>
          <w:rFonts w:hint="eastAsia"/>
        </w:rPr>
        <w:t>(2017-2019</w:t>
      </w:r>
      <w:r>
        <w:rPr>
          <w:rFonts w:hint="eastAsia"/>
        </w:rPr>
        <w:t>年</w:t>
      </w:r>
      <w:r>
        <w:rPr>
          <w:rFonts w:hint="eastAsia"/>
        </w:rPr>
        <w:t>)</w:t>
      </w:r>
      <w:r>
        <w:rPr>
          <w:rFonts w:hint="eastAsia"/>
        </w:rPr>
        <w:t>》发挥了重要作用。目前正在起草第三个《基本权利和人权国家行动计划</w:t>
      </w:r>
      <w:r>
        <w:rPr>
          <w:rFonts w:hint="eastAsia"/>
        </w:rPr>
        <w:t>(2020-2023</w:t>
      </w:r>
      <w:r>
        <w:rPr>
          <w:rFonts w:hint="eastAsia"/>
        </w:rPr>
        <w:t>年</w:t>
      </w:r>
      <w:r>
        <w:rPr>
          <w:rFonts w:hint="eastAsia"/>
        </w:rPr>
        <w:t>)</w:t>
      </w:r>
      <w:r>
        <w:rPr>
          <w:rFonts w:hint="eastAsia"/>
        </w:rPr>
        <w:t>》。它将侧重于制定基本权利和人权指标。将开发一个成体系的监测系统，根据可衡量的指标监测基本权利和人权的落实情况。</w:t>
      </w:r>
    </w:p>
    <w:p w:rsidR="00342D76" w:rsidRDefault="00342D76" w:rsidP="00342D76">
      <w:pPr>
        <w:pStyle w:val="SingleTxtGC"/>
        <w:tabs>
          <w:tab w:val="clear" w:pos="1565"/>
          <w:tab w:val="clear" w:pos="1996"/>
          <w:tab w:val="clear" w:pos="2427"/>
        </w:tabs>
      </w:pPr>
      <w:r>
        <w:rPr>
          <w:rFonts w:hint="eastAsia"/>
        </w:rPr>
        <w:t>319.</w:t>
      </w:r>
      <w:r>
        <w:rPr>
          <w:rFonts w:hint="eastAsia"/>
        </w:rPr>
        <w:tab/>
      </w:r>
      <w:r>
        <w:rPr>
          <w:rFonts w:hint="eastAsia"/>
        </w:rPr>
        <w:t>关于第二个《基本权利和人权国家行动计划</w:t>
      </w:r>
      <w:r>
        <w:rPr>
          <w:rFonts w:hint="eastAsia"/>
        </w:rPr>
        <w:t>(2017-2019</w:t>
      </w:r>
      <w:r>
        <w:rPr>
          <w:rFonts w:hint="eastAsia"/>
        </w:rPr>
        <w:t>年</w:t>
      </w:r>
      <w:r>
        <w:rPr>
          <w:rFonts w:hint="eastAsia"/>
        </w:rPr>
        <w:t>)</w:t>
      </w:r>
      <w:r>
        <w:rPr>
          <w:rFonts w:hint="eastAsia"/>
        </w:rPr>
        <w:t>》，政府于</w:t>
      </w:r>
      <w:r>
        <w:rPr>
          <w:rFonts w:hint="eastAsia"/>
        </w:rPr>
        <w:t>2017</w:t>
      </w:r>
      <w:r>
        <w:rPr>
          <w:rFonts w:hint="eastAsia"/>
        </w:rPr>
        <w:t>年</w:t>
      </w:r>
      <w:r>
        <w:rPr>
          <w:rFonts w:hint="eastAsia"/>
        </w:rPr>
        <w:t>2</w:t>
      </w:r>
      <w:r>
        <w:rPr>
          <w:rFonts w:hint="eastAsia"/>
        </w:rPr>
        <w:t>月</w:t>
      </w:r>
      <w:r>
        <w:rPr>
          <w:rFonts w:hint="eastAsia"/>
        </w:rPr>
        <w:t>16</w:t>
      </w:r>
      <w:r>
        <w:rPr>
          <w:rFonts w:hint="eastAsia"/>
        </w:rPr>
        <w:t>日原则上决定接受该行动计划。这份行动计划的目标是促进公共机关保证遵守芬兰《宪法》第</w:t>
      </w:r>
      <w:r>
        <w:rPr>
          <w:rFonts w:hint="eastAsia"/>
        </w:rPr>
        <w:t>22</w:t>
      </w:r>
      <w:r>
        <w:rPr>
          <w:rFonts w:hint="eastAsia"/>
        </w:rPr>
        <w:t>条规定的基本权利、自由和人权方面的义务。根据这份行动计划采取的措施旨在就已确定的基本权利和人权问题采取行动，并补充各政策部门正在开展的促进基本权利和人权的工作。</w:t>
      </w:r>
    </w:p>
    <w:p w:rsidR="00342D76" w:rsidRDefault="00342D76" w:rsidP="00342D76">
      <w:pPr>
        <w:pStyle w:val="SingleTxtGC"/>
        <w:tabs>
          <w:tab w:val="clear" w:pos="1565"/>
          <w:tab w:val="clear" w:pos="1996"/>
          <w:tab w:val="clear" w:pos="2427"/>
        </w:tabs>
      </w:pPr>
      <w:r>
        <w:rPr>
          <w:rFonts w:hint="eastAsia"/>
        </w:rPr>
        <w:t>320.</w:t>
      </w:r>
      <w:r>
        <w:rPr>
          <w:rFonts w:hint="eastAsia"/>
        </w:rPr>
        <w:tab/>
      </w:r>
      <w:r>
        <w:rPr>
          <w:rFonts w:hint="eastAsia"/>
        </w:rPr>
        <w:t>在编写行动计划时，特别注意到国际条约监督机构向芬兰提出的建议、法制监察员和特别监察员的意见，以及民间组织提出的值得关注的领域。国家行动计划侧重的主要领域是基本权利和人权教育、平等、自决权以及基本权利和数字化。行动计划共包括</w:t>
      </w:r>
      <w:r>
        <w:rPr>
          <w:rFonts w:hint="eastAsia"/>
        </w:rPr>
        <w:t>43</w:t>
      </w:r>
      <w:r>
        <w:rPr>
          <w:rFonts w:hint="eastAsia"/>
        </w:rPr>
        <w:t>个项目，尽管社会在一个时期内会发生许多变化，但行动计划力求为在特定时期实现人权提供一个框架。</w:t>
      </w:r>
    </w:p>
    <w:p w:rsidR="00342D76" w:rsidRDefault="00342D76" w:rsidP="00342D76">
      <w:pPr>
        <w:pStyle w:val="SingleTxtGC"/>
        <w:tabs>
          <w:tab w:val="clear" w:pos="1565"/>
          <w:tab w:val="clear" w:pos="1996"/>
          <w:tab w:val="clear" w:pos="2427"/>
        </w:tabs>
      </w:pPr>
      <w:r>
        <w:rPr>
          <w:rFonts w:hint="eastAsia"/>
        </w:rPr>
        <w:t>321.</w:t>
      </w:r>
      <w:r>
        <w:rPr>
          <w:rFonts w:hint="eastAsia"/>
        </w:rPr>
        <w:tab/>
      </w:r>
      <w:r>
        <w:rPr>
          <w:rFonts w:hint="eastAsia"/>
        </w:rPr>
        <w:t>行动计划中选定的优先领域范围广泛，涵盖多个横向主题，即与几个部委的任务相关的主题。优先领域使得每个部委都可参与落实行动计划的目标和措施。横向主题的选择也促进了各部委在实现基本权利和人权方面不断合作。</w:t>
      </w:r>
    </w:p>
    <w:p w:rsidR="00342D76" w:rsidRDefault="00342D76" w:rsidP="00342D76">
      <w:pPr>
        <w:pStyle w:val="SingleTxtGC"/>
        <w:tabs>
          <w:tab w:val="clear" w:pos="1565"/>
          <w:tab w:val="clear" w:pos="1996"/>
          <w:tab w:val="clear" w:pos="2427"/>
        </w:tabs>
      </w:pPr>
      <w:r>
        <w:rPr>
          <w:rFonts w:hint="eastAsia"/>
        </w:rPr>
        <w:t>322.</w:t>
      </w:r>
      <w:r>
        <w:rPr>
          <w:rFonts w:hint="eastAsia"/>
        </w:rPr>
        <w:tab/>
      </w:r>
      <w:r>
        <w:rPr>
          <w:rFonts w:hint="eastAsia"/>
        </w:rPr>
        <w:t>行动计划还旨在提高某些专业群体和人口群体以及公众对基本权利和人权的认识。行动计划的实施也旨在确保芬兰在基本权利和人权方面的国家政策与国际政策相一致。</w:t>
      </w:r>
    </w:p>
    <w:p w:rsidR="00342D76" w:rsidRDefault="00342D76" w:rsidP="00342D76">
      <w:pPr>
        <w:pStyle w:val="SingleTxtGC"/>
        <w:tabs>
          <w:tab w:val="clear" w:pos="1565"/>
          <w:tab w:val="clear" w:pos="1996"/>
          <w:tab w:val="clear" w:pos="2427"/>
        </w:tabs>
      </w:pPr>
      <w:r>
        <w:rPr>
          <w:rFonts w:hint="eastAsia"/>
        </w:rPr>
        <w:t>323.</w:t>
      </w:r>
      <w:r>
        <w:rPr>
          <w:rFonts w:hint="eastAsia"/>
        </w:rPr>
        <w:tab/>
      </w:r>
      <w:r>
        <w:rPr>
          <w:rFonts w:hint="eastAsia"/>
        </w:rPr>
        <w:t>行动计划中的每项措施都确定了监测其执行情况的指标。这些指标主要是执行情况的一般指标。通过制定平等指标和基本权利晴雨表，在行动计划框架内继续开展指标工作。</w:t>
      </w:r>
    </w:p>
    <w:p w:rsidR="00342D76" w:rsidRDefault="00342D76" w:rsidP="00342D76">
      <w:pPr>
        <w:pStyle w:val="SingleTxtGC"/>
        <w:tabs>
          <w:tab w:val="clear" w:pos="1565"/>
          <w:tab w:val="clear" w:pos="1996"/>
          <w:tab w:val="clear" w:pos="2427"/>
        </w:tabs>
      </w:pPr>
      <w:r>
        <w:rPr>
          <w:rFonts w:hint="eastAsia"/>
        </w:rPr>
        <w:t>324.</w:t>
      </w:r>
      <w:r>
        <w:rPr>
          <w:rFonts w:hint="eastAsia"/>
        </w:rPr>
        <w:tab/>
      </w:r>
      <w:r>
        <w:rPr>
          <w:rFonts w:hint="eastAsia"/>
        </w:rPr>
        <w:t>行动计划下的基本权利和人权教育培训项目加强了政府官员的基本权利和人权能力，制定了对法规项目的基本权利和人权影响评估，促进了学校的基本权利和人权教育培训，增加了寻求庇护者对基本权利和人权的了解。行动计划还包括</w:t>
      </w:r>
      <w:r>
        <w:rPr>
          <w:rFonts w:hint="eastAsia"/>
        </w:rPr>
        <w:t>2019</w:t>
      </w:r>
      <w:r>
        <w:rPr>
          <w:rFonts w:hint="eastAsia"/>
        </w:rPr>
        <w:t>年实施的国家基本权利晴雨表，作为对欧盟基本权利</w:t>
      </w:r>
      <w:proofErr w:type="gramStart"/>
      <w:r>
        <w:rPr>
          <w:rFonts w:hint="eastAsia"/>
        </w:rPr>
        <w:t>署基本</w:t>
      </w:r>
      <w:proofErr w:type="gramEnd"/>
      <w:r>
        <w:rPr>
          <w:rFonts w:hint="eastAsia"/>
        </w:rPr>
        <w:t>权利调查的补充，以确定芬兰国内讲瑞典语、俄语和阿拉伯语的人以及残疾人对基本权利和人权及其实现的看法、经验和认识。</w:t>
      </w:r>
    </w:p>
    <w:p w:rsidR="00342D76" w:rsidRDefault="00342D76" w:rsidP="00342D76">
      <w:pPr>
        <w:pStyle w:val="SingleTxtGC"/>
        <w:tabs>
          <w:tab w:val="clear" w:pos="1565"/>
          <w:tab w:val="clear" w:pos="1996"/>
          <w:tab w:val="clear" w:pos="2427"/>
        </w:tabs>
      </w:pPr>
      <w:r>
        <w:rPr>
          <w:rFonts w:hint="eastAsia"/>
        </w:rPr>
        <w:t>325.</w:t>
      </w:r>
      <w:r>
        <w:rPr>
          <w:rFonts w:hint="eastAsia"/>
        </w:rPr>
        <w:tab/>
      </w:r>
      <w:r>
        <w:rPr>
          <w:rFonts w:hint="eastAsia"/>
        </w:rPr>
        <w:t>行动计划下的教育培训项目也有政府以外的伙伴参与，如人权中心、芬兰国家教育机构、萨米议会和赫尔辛基大学的教师教育方案。</w:t>
      </w:r>
    </w:p>
    <w:p w:rsidR="00342D76" w:rsidRDefault="00342D76" w:rsidP="00342D76">
      <w:pPr>
        <w:pStyle w:val="SingleTxtGC"/>
        <w:tabs>
          <w:tab w:val="clear" w:pos="1565"/>
          <w:tab w:val="clear" w:pos="1996"/>
          <w:tab w:val="clear" w:pos="2427"/>
        </w:tabs>
      </w:pPr>
      <w:r>
        <w:rPr>
          <w:rFonts w:hint="eastAsia"/>
        </w:rPr>
        <w:t>326.</w:t>
      </w:r>
      <w:r>
        <w:rPr>
          <w:rFonts w:hint="eastAsia"/>
        </w:rPr>
        <w:tab/>
      </w:r>
      <w:r>
        <w:rPr>
          <w:rFonts w:hint="eastAsia"/>
        </w:rPr>
        <w:t>行动计划指出，增加基于研究的信息和降低报告歧视的门槛是更好地发现和曝光歧视的关键手段；可以通过影响不同群体的态度和安全感，影响他们之间的互动并促使他们融入社会来防止歧视。行动计划下的项目提高了平等意识，影响了态度和公民辩论文化，促进了各个人口群体之间良好关系的发展，改善了不</w:t>
      </w:r>
      <w:r>
        <w:rPr>
          <w:rFonts w:hint="eastAsia"/>
        </w:rPr>
        <w:lastRenderedPageBreak/>
        <w:t>同人口群体的平等机会，对地方政府的</w:t>
      </w:r>
      <w:proofErr w:type="gramStart"/>
      <w:r>
        <w:rPr>
          <w:rFonts w:hint="eastAsia"/>
        </w:rPr>
        <w:t>平等规划</w:t>
      </w:r>
      <w:proofErr w:type="gramEnd"/>
      <w:r>
        <w:rPr>
          <w:rFonts w:hint="eastAsia"/>
        </w:rPr>
        <w:t>提供支持，并提高了政府评估平等实现情况、识别和解决歧视以及促进平等的能力。作为行动计划的一部分，歧视监测小组还建立了一套监测以下五个方面的平等和歧视指标：</w:t>
      </w:r>
      <w:r w:rsidR="004538F1">
        <w:rPr>
          <w:rFonts w:hint="eastAsia"/>
        </w:rPr>
        <w:t>(</w:t>
      </w:r>
      <w:r>
        <w:rPr>
          <w:rFonts w:hint="eastAsia"/>
        </w:rPr>
        <w:t>1)</w:t>
      </w:r>
      <w:r w:rsidR="004538F1">
        <w:t xml:space="preserve"> </w:t>
      </w:r>
      <w:r>
        <w:rPr>
          <w:rFonts w:hint="eastAsia"/>
        </w:rPr>
        <w:t>态度；</w:t>
      </w:r>
      <w:r w:rsidR="004538F1">
        <w:rPr>
          <w:rFonts w:hint="eastAsia"/>
        </w:rPr>
        <w:t>(</w:t>
      </w:r>
      <w:r>
        <w:rPr>
          <w:rFonts w:hint="eastAsia"/>
        </w:rPr>
        <w:t>2)</w:t>
      </w:r>
      <w:r w:rsidR="004538F1">
        <w:t xml:space="preserve"> </w:t>
      </w:r>
      <w:r>
        <w:rPr>
          <w:rFonts w:hint="eastAsia"/>
        </w:rPr>
        <w:t>歧视的经历和观察；</w:t>
      </w:r>
      <w:r w:rsidR="004538F1">
        <w:rPr>
          <w:rFonts w:hint="eastAsia"/>
        </w:rPr>
        <w:t>(</w:t>
      </w:r>
      <w:r>
        <w:rPr>
          <w:rFonts w:hint="eastAsia"/>
        </w:rPr>
        <w:t>3)</w:t>
      </w:r>
      <w:r w:rsidR="004538F1">
        <w:t xml:space="preserve"> </w:t>
      </w:r>
      <w:r>
        <w:rPr>
          <w:rFonts w:hint="eastAsia"/>
        </w:rPr>
        <w:t>关于歧视的判决和投诉；</w:t>
      </w:r>
      <w:r w:rsidR="004538F1">
        <w:rPr>
          <w:rFonts w:hint="eastAsia"/>
        </w:rPr>
        <w:t>(</w:t>
      </w:r>
      <w:r>
        <w:rPr>
          <w:rFonts w:hint="eastAsia"/>
        </w:rPr>
        <w:t>4)</w:t>
      </w:r>
      <w:r w:rsidR="004538F1">
        <w:t xml:space="preserve"> </w:t>
      </w:r>
      <w:r>
        <w:rPr>
          <w:rFonts w:hint="eastAsia"/>
        </w:rPr>
        <w:t>仇恨犯罪和仇恨言论；</w:t>
      </w:r>
      <w:r w:rsidR="004538F1">
        <w:rPr>
          <w:rFonts w:hint="eastAsia"/>
        </w:rPr>
        <w:t>(</w:t>
      </w:r>
      <w:r>
        <w:rPr>
          <w:rFonts w:hint="eastAsia"/>
        </w:rPr>
        <w:t>5)</w:t>
      </w:r>
      <w:r w:rsidR="004538F1">
        <w:t xml:space="preserve"> </w:t>
      </w:r>
      <w:r>
        <w:rPr>
          <w:rFonts w:hint="eastAsia"/>
        </w:rPr>
        <w:t>促进平等。网站“</w:t>
      </w:r>
      <w:proofErr w:type="spellStart"/>
      <w:r>
        <w:rPr>
          <w:rFonts w:hint="eastAsia"/>
        </w:rPr>
        <w:t>www.yhdenvertaisuus.fi</w:t>
      </w:r>
      <w:proofErr w:type="spellEnd"/>
      <w:r>
        <w:rPr>
          <w:rFonts w:hint="eastAsia"/>
        </w:rPr>
        <w:t>”的监测指标页面上定期汇编与这些受监测的专题部门有关的研究数据和统计数据。</w:t>
      </w:r>
    </w:p>
    <w:p w:rsidR="00342D76" w:rsidRDefault="00342D76" w:rsidP="00327DF5">
      <w:pPr>
        <w:pStyle w:val="H23GC"/>
      </w:pPr>
      <w:r>
        <w:rPr>
          <w:rFonts w:hint="eastAsia"/>
        </w:rPr>
        <w:tab/>
      </w:r>
      <w:r>
        <w:rPr>
          <w:rFonts w:hint="eastAsia"/>
        </w:rPr>
        <w:tab/>
      </w:r>
      <w:r>
        <w:rPr>
          <w:rFonts w:hint="eastAsia"/>
        </w:rPr>
        <w:t>教育系统中的人权意识</w:t>
      </w:r>
    </w:p>
    <w:p w:rsidR="00342D76" w:rsidRDefault="00342D76" w:rsidP="00342D76">
      <w:pPr>
        <w:pStyle w:val="SingleTxtGC"/>
        <w:tabs>
          <w:tab w:val="clear" w:pos="1565"/>
          <w:tab w:val="clear" w:pos="1996"/>
          <w:tab w:val="clear" w:pos="2427"/>
        </w:tabs>
      </w:pPr>
      <w:r>
        <w:rPr>
          <w:rFonts w:hint="eastAsia"/>
        </w:rPr>
        <w:t>327.</w:t>
      </w:r>
      <w:r>
        <w:rPr>
          <w:rFonts w:hint="eastAsia"/>
        </w:rPr>
        <w:tab/>
      </w:r>
      <w:r>
        <w:rPr>
          <w:rFonts w:hint="eastAsia"/>
        </w:rPr>
        <w:t>人权已被纳入</w:t>
      </w:r>
      <w:r>
        <w:rPr>
          <w:rFonts w:hint="eastAsia"/>
        </w:rPr>
        <w:t>2016</w:t>
      </w:r>
      <w:r>
        <w:rPr>
          <w:rFonts w:hint="eastAsia"/>
        </w:rPr>
        <w:t>年</w:t>
      </w:r>
      <w:r>
        <w:rPr>
          <w:rFonts w:hint="eastAsia"/>
        </w:rPr>
        <w:t>8</w:t>
      </w:r>
      <w:r>
        <w:rPr>
          <w:rFonts w:hint="eastAsia"/>
        </w:rPr>
        <w:t>月生效的新的国家基础教育课程的各个部分。此外，从事儿童和青年工作的人员的职业教育中还提供民主教育和平等教育，并将其作为专题纳入向他们提供的进修和继续教育中。此外，在基础教育和幼儿教育和保育中明确开展平等工作。人权中心、司法部和赫尔辛基大学于</w:t>
      </w:r>
      <w:r>
        <w:rPr>
          <w:rFonts w:hint="eastAsia"/>
        </w:rPr>
        <w:t>2018</w:t>
      </w:r>
      <w:r>
        <w:rPr>
          <w:rFonts w:hint="eastAsia"/>
        </w:rPr>
        <w:t>年启动了一个联合项目，研究如何使民主教育和人权教育成为教师教育和学校文化的组成部分，而不仅仅是偶尔开展的主题日方式。民主教育和人权教育的内容是教师专业技能的核心，并且在我们越发多样化的社会中日益重要。该项目是司法部推动发展民主公民教育和人权教育以及促进青年参与的更广泛的“</w:t>
      </w:r>
      <w:r>
        <w:rPr>
          <w:rFonts w:hint="eastAsia"/>
        </w:rPr>
        <w:t>DINO</w:t>
      </w:r>
      <w:r>
        <w:rPr>
          <w:rFonts w:hint="eastAsia"/>
        </w:rPr>
        <w:t>”</w:t>
      </w:r>
      <w:r>
        <w:rPr>
          <w:rFonts w:hint="eastAsia"/>
        </w:rPr>
        <w:t>(</w:t>
      </w:r>
      <w:r>
        <w:rPr>
          <w:rFonts w:hint="eastAsia"/>
        </w:rPr>
        <w:t>发展民主及人权教育，促进青年参与</w:t>
      </w:r>
      <w:r>
        <w:rPr>
          <w:rFonts w:hint="eastAsia"/>
        </w:rPr>
        <w:t>)</w:t>
      </w:r>
      <w:r>
        <w:rPr>
          <w:rFonts w:hint="eastAsia"/>
        </w:rPr>
        <w:t>协调项目的一部分。</w:t>
      </w:r>
    </w:p>
    <w:p w:rsidR="00342D76" w:rsidRDefault="00342D76" w:rsidP="00201EAD">
      <w:pPr>
        <w:pStyle w:val="H23GC"/>
      </w:pPr>
      <w:r>
        <w:rPr>
          <w:rFonts w:hint="eastAsia"/>
        </w:rPr>
        <w:tab/>
        <w:t>(b)</w:t>
      </w:r>
      <w:r>
        <w:rPr>
          <w:rFonts w:hint="eastAsia"/>
        </w:rPr>
        <w:tab/>
      </w:r>
      <w:r>
        <w:rPr>
          <w:rFonts w:hint="eastAsia"/>
        </w:rPr>
        <w:t>基本权利和人权研究</w:t>
      </w:r>
    </w:p>
    <w:p w:rsidR="00342D76" w:rsidRDefault="00342D76" w:rsidP="00342D76">
      <w:pPr>
        <w:pStyle w:val="SingleTxtGC"/>
        <w:tabs>
          <w:tab w:val="clear" w:pos="1565"/>
          <w:tab w:val="clear" w:pos="1996"/>
          <w:tab w:val="clear" w:pos="2427"/>
        </w:tabs>
      </w:pPr>
      <w:r>
        <w:rPr>
          <w:rFonts w:hint="eastAsia"/>
        </w:rPr>
        <w:t>328.</w:t>
      </w:r>
      <w:r>
        <w:rPr>
          <w:rFonts w:hint="eastAsia"/>
        </w:rPr>
        <w:tab/>
      </w:r>
      <w:r>
        <w:rPr>
          <w:rFonts w:hint="eastAsia"/>
        </w:rPr>
        <w:t>芬兰的基本权利和人权研究状况良好。芬兰在这一研究领域拥有扎实的专业知识，该领域在过去几十年里已经成为一门成熟的学科。芬兰注意到人权研究的数量庞大，其内容涉及多个层面。虽然人权研究主要在大学及其研究机构进行，但包括政府研究机构、政府和各部委、民间组织和咨询机构以及独立研究人员在内的其他方面也在开展研究。研究推崇多学科性，由于研究中采用多种方法，人们认为这样</w:t>
      </w:r>
      <w:proofErr w:type="gramStart"/>
      <w:r>
        <w:rPr>
          <w:rFonts w:hint="eastAsia"/>
        </w:rPr>
        <w:t>做丰富</w:t>
      </w:r>
      <w:proofErr w:type="gramEnd"/>
      <w:r>
        <w:rPr>
          <w:rFonts w:hint="eastAsia"/>
        </w:rPr>
        <w:t>了参与研究的所有各方，并促进了研究人员的思考。</w:t>
      </w:r>
    </w:p>
    <w:p w:rsidR="00342D76" w:rsidRDefault="00342D76" w:rsidP="00342D76">
      <w:pPr>
        <w:pStyle w:val="SingleTxtGC"/>
        <w:tabs>
          <w:tab w:val="clear" w:pos="1565"/>
          <w:tab w:val="clear" w:pos="1996"/>
          <w:tab w:val="clear" w:pos="2427"/>
        </w:tabs>
      </w:pPr>
      <w:r>
        <w:rPr>
          <w:rFonts w:hint="eastAsia"/>
        </w:rPr>
        <w:t>329.</w:t>
      </w:r>
      <w:r>
        <w:rPr>
          <w:rFonts w:hint="eastAsia"/>
        </w:rPr>
        <w:tab/>
      </w:r>
      <w:r>
        <w:rPr>
          <w:rFonts w:hint="eastAsia"/>
        </w:rPr>
        <w:t>随着基本权利和人权被纳入芬兰法律，这项研究已经有了坚实的基础。迄今为止，研究的重点是基本权利，这反映在大多数研究以芬兰语或瑞典语发表，不过近年来英语研究出版物已更加普遍。尽管如此，从研究课题的选择上看，以芬兰</w:t>
      </w:r>
      <w:proofErr w:type="gramStart"/>
      <w:r>
        <w:rPr>
          <w:rFonts w:hint="eastAsia"/>
        </w:rPr>
        <w:t>语提供</w:t>
      </w:r>
      <w:proofErr w:type="gramEnd"/>
      <w:r>
        <w:rPr>
          <w:rFonts w:hint="eastAsia"/>
        </w:rPr>
        <w:t>的基本权利和人权课程和学习单元的数量仍然很少。</w:t>
      </w:r>
    </w:p>
    <w:p w:rsidR="00342D76" w:rsidRDefault="00342D76" w:rsidP="00342D76">
      <w:pPr>
        <w:pStyle w:val="SingleTxtGC"/>
        <w:tabs>
          <w:tab w:val="clear" w:pos="1565"/>
          <w:tab w:val="clear" w:pos="1996"/>
          <w:tab w:val="clear" w:pos="2427"/>
        </w:tabs>
      </w:pPr>
      <w:r>
        <w:rPr>
          <w:rFonts w:hint="eastAsia"/>
        </w:rPr>
        <w:t>330.</w:t>
      </w:r>
      <w:r>
        <w:rPr>
          <w:rFonts w:hint="eastAsia"/>
        </w:rPr>
        <w:tab/>
      </w:r>
      <w:r>
        <w:rPr>
          <w:rFonts w:hint="eastAsia"/>
        </w:rPr>
        <w:t>大学的相关研究可在几个院系进行，但重点是法律和公法学科。芬兰在几所大学设立了专门研究基本权利和人权的研究机构。芬兰卫生和福利研究所以及芬兰国际事务研究所等独立于大学的政府研究机构负责开展对社会有益的部门研究。这些研究所的研究人员在其研究中处理基本权利和人权问题。中央政府机关，如政府和各部委，也委托对基本权利和人权进行研究，以便在决策和立法起草中利用研究结果。</w:t>
      </w:r>
    </w:p>
    <w:p w:rsidR="00342D76" w:rsidRDefault="00342D76" w:rsidP="00201EAD">
      <w:pPr>
        <w:pStyle w:val="H23GC"/>
      </w:pPr>
      <w:r>
        <w:rPr>
          <w:rFonts w:hint="eastAsia"/>
        </w:rPr>
        <w:tab/>
        <w:t>(c)</w:t>
      </w:r>
      <w:r>
        <w:rPr>
          <w:rFonts w:hint="eastAsia"/>
        </w:rPr>
        <w:tab/>
      </w:r>
      <w:r>
        <w:rPr>
          <w:rFonts w:hint="eastAsia"/>
        </w:rPr>
        <w:t>公民参与促进人权的作用</w:t>
      </w:r>
    </w:p>
    <w:p w:rsidR="00342D76" w:rsidRDefault="00342D76" w:rsidP="00342D76">
      <w:pPr>
        <w:pStyle w:val="SingleTxtGC"/>
        <w:tabs>
          <w:tab w:val="clear" w:pos="1565"/>
          <w:tab w:val="clear" w:pos="1996"/>
          <w:tab w:val="clear" w:pos="2427"/>
        </w:tabs>
      </w:pPr>
      <w:r>
        <w:rPr>
          <w:rFonts w:hint="eastAsia"/>
        </w:rPr>
        <w:t>331.</w:t>
      </w:r>
      <w:r>
        <w:rPr>
          <w:rFonts w:hint="eastAsia"/>
        </w:rPr>
        <w:tab/>
      </w:r>
      <w:r>
        <w:rPr>
          <w:rFonts w:hint="eastAsia"/>
        </w:rPr>
        <w:t>在芬兰民主制度中，芬兰《宪法》保障个人参与和影响社会发展及个人生活条件的权利。公民参与的正式渠道包括投票、公民动议、民间组织和政治组织。此外，公民参与还包括与国会议员和地方议会议员沟通、游说和专家咨询、公开辩论、请愿，有时还包括抵制和示威。</w:t>
      </w:r>
    </w:p>
    <w:p w:rsidR="00342D76" w:rsidRDefault="00342D76" w:rsidP="00342D76">
      <w:pPr>
        <w:pStyle w:val="SingleTxtGC"/>
        <w:tabs>
          <w:tab w:val="clear" w:pos="1565"/>
          <w:tab w:val="clear" w:pos="1996"/>
          <w:tab w:val="clear" w:pos="2427"/>
        </w:tabs>
      </w:pPr>
      <w:r>
        <w:rPr>
          <w:rFonts w:hint="eastAsia"/>
        </w:rPr>
        <w:t>332.</w:t>
      </w:r>
      <w:r>
        <w:rPr>
          <w:rFonts w:hint="eastAsia"/>
        </w:rPr>
        <w:tab/>
      </w:r>
      <w:r>
        <w:rPr>
          <w:rFonts w:hint="eastAsia"/>
        </w:rPr>
        <w:t>根据芬兰立法，当局必须以公开和透明的方式行事。必须向公民提供相关机会，使他们得以保护自身权益，获得有关当局正在制定的决策的信息，并对有</w:t>
      </w:r>
      <w:r>
        <w:rPr>
          <w:rFonts w:hint="eastAsia"/>
        </w:rPr>
        <w:lastRenderedPageBreak/>
        <w:t>关他们的事项的决策施加影响。公共机关在筹备影响公民生活的事项时，必须征求公民的意见。根据《政府活动公开法》，当局的活动遵循公开原则。例如，官方文件通常属于公共领域。当局还必须向公众通报其活动和服务，以及私人和公司在属于当局职权范围的事务中的权利和义务。人人都有权获得有关当局正在筹备的事项的信息，并参与和影响社会发展及自身的生活环境。在线</w:t>
      </w:r>
      <w:proofErr w:type="gramStart"/>
      <w:r>
        <w:rPr>
          <w:rFonts w:hint="eastAsia"/>
        </w:rPr>
        <w:t>民主服务</w:t>
      </w:r>
      <w:proofErr w:type="gramEnd"/>
      <w:r>
        <w:rPr>
          <w:rFonts w:hint="eastAsia"/>
        </w:rPr>
        <w:t>使公民和利益攸关方能够参与相关事项的筹备工作并为决策做出贡献。</w:t>
      </w:r>
    </w:p>
    <w:p w:rsidR="00342D76" w:rsidRDefault="00342D76" w:rsidP="00342D76">
      <w:pPr>
        <w:pStyle w:val="SingleTxtGC"/>
        <w:tabs>
          <w:tab w:val="clear" w:pos="1565"/>
          <w:tab w:val="clear" w:pos="1996"/>
          <w:tab w:val="clear" w:pos="2427"/>
        </w:tabs>
      </w:pPr>
      <w:r>
        <w:rPr>
          <w:rFonts w:hint="eastAsia"/>
        </w:rPr>
        <w:t>333.</w:t>
      </w:r>
      <w:r>
        <w:rPr>
          <w:rFonts w:hint="eastAsia"/>
        </w:rPr>
        <w:tab/>
      </w:r>
      <w:r>
        <w:rPr>
          <w:rFonts w:hint="eastAsia"/>
        </w:rPr>
        <w:t>协商是基本权利和人权法律的起草过程的一个组成部分。协商是指法律起草过程中的一个阶段，这个阶段可以获得主要利益攸关方就正在筹备的事项的意见、知识和经验。与公民和利益攸关方协商的目的是确保法律起草过程公开、透明和高质量。</w:t>
      </w:r>
    </w:p>
    <w:p w:rsidR="00342D76" w:rsidRDefault="00342D76" w:rsidP="00201EAD">
      <w:pPr>
        <w:pStyle w:val="H23GC"/>
      </w:pPr>
      <w:r>
        <w:rPr>
          <w:rFonts w:hint="eastAsia"/>
        </w:rPr>
        <w:tab/>
        <w:t>(d)</w:t>
      </w:r>
      <w:r>
        <w:rPr>
          <w:rFonts w:hint="eastAsia"/>
        </w:rPr>
        <w:tab/>
      </w:r>
      <w:r>
        <w:rPr>
          <w:rFonts w:hint="eastAsia"/>
        </w:rPr>
        <w:t>人权预算拨款</w:t>
      </w:r>
    </w:p>
    <w:p w:rsidR="00342D76" w:rsidRDefault="00342D76" w:rsidP="00342D76">
      <w:pPr>
        <w:pStyle w:val="SingleTxtGC"/>
        <w:tabs>
          <w:tab w:val="clear" w:pos="1565"/>
          <w:tab w:val="clear" w:pos="1996"/>
          <w:tab w:val="clear" w:pos="2427"/>
        </w:tabs>
      </w:pPr>
      <w:r>
        <w:rPr>
          <w:rFonts w:hint="eastAsia"/>
        </w:rPr>
        <w:t>334.</w:t>
      </w:r>
      <w:r>
        <w:rPr>
          <w:rFonts w:hint="eastAsia"/>
        </w:rPr>
        <w:tab/>
      </w:r>
      <w:r>
        <w:rPr>
          <w:rFonts w:hint="eastAsia"/>
        </w:rPr>
        <w:t>促进人权的预算拨款主要包括司法部行政部门用于国家人权问题的拨款和外交部行政部门用于发展合作的拨款。</w:t>
      </w:r>
    </w:p>
    <w:p w:rsidR="00342D76" w:rsidRDefault="00342D76" w:rsidP="00201EAD">
      <w:pPr>
        <w:pStyle w:val="H23GC"/>
      </w:pPr>
      <w:r>
        <w:rPr>
          <w:rFonts w:hint="eastAsia"/>
        </w:rPr>
        <w:tab/>
        <w:t>(e)</w:t>
      </w:r>
      <w:r>
        <w:rPr>
          <w:rFonts w:hint="eastAsia"/>
        </w:rPr>
        <w:tab/>
      </w:r>
      <w:r>
        <w:rPr>
          <w:rFonts w:hint="eastAsia"/>
        </w:rPr>
        <w:t>发展合作</w:t>
      </w:r>
    </w:p>
    <w:p w:rsidR="00342D76" w:rsidRDefault="00342D76" w:rsidP="00342D76">
      <w:pPr>
        <w:pStyle w:val="SingleTxtGC"/>
        <w:tabs>
          <w:tab w:val="clear" w:pos="1565"/>
          <w:tab w:val="clear" w:pos="1996"/>
          <w:tab w:val="clear" w:pos="2427"/>
        </w:tabs>
      </w:pPr>
      <w:r>
        <w:rPr>
          <w:rFonts w:hint="eastAsia"/>
        </w:rPr>
        <w:t>335.</w:t>
      </w:r>
      <w:r>
        <w:rPr>
          <w:rFonts w:hint="eastAsia"/>
        </w:rPr>
        <w:tab/>
        <w:t>2019</w:t>
      </w:r>
      <w:r>
        <w:rPr>
          <w:rFonts w:hint="eastAsia"/>
        </w:rPr>
        <w:t>年，芬兰的发展合作拨款为</w:t>
      </w:r>
      <w:r>
        <w:rPr>
          <w:rFonts w:hint="eastAsia"/>
        </w:rPr>
        <w:t>9.89</w:t>
      </w:r>
      <w:r>
        <w:rPr>
          <w:rFonts w:hint="eastAsia"/>
        </w:rPr>
        <w:t>亿欧元，占国民总收入的</w:t>
      </w:r>
      <w:r>
        <w:rPr>
          <w:rFonts w:hint="eastAsia"/>
        </w:rPr>
        <w:t>0.41%</w:t>
      </w:r>
      <w:r>
        <w:rPr>
          <w:rFonts w:hint="eastAsia"/>
        </w:rPr>
        <w:t>。拨款将用于资助官方发展援助和其他发展合作活动。</w:t>
      </w:r>
    </w:p>
    <w:p w:rsidR="00342D76" w:rsidRDefault="00342D76" w:rsidP="00342D76">
      <w:pPr>
        <w:pStyle w:val="SingleTxtGC"/>
        <w:tabs>
          <w:tab w:val="clear" w:pos="1565"/>
          <w:tab w:val="clear" w:pos="1996"/>
          <w:tab w:val="clear" w:pos="2427"/>
        </w:tabs>
      </w:pPr>
      <w:r>
        <w:rPr>
          <w:rFonts w:hint="eastAsia"/>
        </w:rPr>
        <w:t>336.</w:t>
      </w:r>
      <w:r>
        <w:rPr>
          <w:rFonts w:hint="eastAsia"/>
        </w:rPr>
        <w:tab/>
      </w:r>
      <w:r>
        <w:rPr>
          <w:rFonts w:hint="eastAsia"/>
        </w:rPr>
        <w:t>外交部负责芬兰官方发展援助专属预算项目。其中的资金用于芬兰与伙伴国家之间的双边发展合作，支持联合国机构、开发银行和芬兰民间组织所做的工作，以及人道主义援助。</w:t>
      </w:r>
    </w:p>
    <w:p w:rsidR="00342D76" w:rsidRDefault="00342D76" w:rsidP="00342D76">
      <w:pPr>
        <w:pStyle w:val="SingleTxtGC"/>
        <w:tabs>
          <w:tab w:val="clear" w:pos="1565"/>
          <w:tab w:val="clear" w:pos="1996"/>
          <w:tab w:val="clear" w:pos="2427"/>
        </w:tabs>
      </w:pPr>
      <w:r>
        <w:rPr>
          <w:rFonts w:hint="eastAsia"/>
        </w:rPr>
        <w:t>337.</w:t>
      </w:r>
      <w:r>
        <w:rPr>
          <w:rFonts w:hint="eastAsia"/>
        </w:rPr>
        <w:tab/>
      </w:r>
      <w:r>
        <w:rPr>
          <w:rFonts w:hint="eastAsia"/>
        </w:rPr>
        <w:t>从统计数字上看，其他发展合作资金包括接收难民产生的费用、芬兰对欧洲联盟发展合作预算的捐款以及属于各行政部门发展援助的其他专款。还包括对芬兰工业合作基金“</w:t>
      </w:r>
      <w:proofErr w:type="spellStart"/>
      <w:r>
        <w:rPr>
          <w:rFonts w:hint="eastAsia"/>
        </w:rPr>
        <w:t>Finnfund</w:t>
      </w:r>
      <w:proofErr w:type="spellEnd"/>
      <w:r>
        <w:rPr>
          <w:rFonts w:hint="eastAsia"/>
        </w:rPr>
        <w:t>”</w:t>
      </w:r>
      <w:r>
        <w:rPr>
          <w:rFonts w:hint="eastAsia"/>
        </w:rPr>
        <w:t>2019</w:t>
      </w:r>
      <w:r>
        <w:rPr>
          <w:rFonts w:hint="eastAsia"/>
        </w:rPr>
        <w:t>年的估计投资额</w:t>
      </w:r>
      <w:r>
        <w:rPr>
          <w:rFonts w:hint="eastAsia"/>
        </w:rPr>
        <w:t>(</w:t>
      </w:r>
      <w:r>
        <w:rPr>
          <w:rFonts w:hint="eastAsia"/>
        </w:rPr>
        <w:t>这些投资被归为发展合作活动</w:t>
      </w:r>
      <w:r>
        <w:rPr>
          <w:rFonts w:hint="eastAsia"/>
        </w:rPr>
        <w:t>)</w:t>
      </w:r>
      <w:r>
        <w:rPr>
          <w:rFonts w:hint="eastAsia"/>
        </w:rPr>
        <w:t>，以及对其他发展政策的估计投资额。</w:t>
      </w:r>
    </w:p>
    <w:p w:rsidR="00342D76" w:rsidRDefault="00342D76" w:rsidP="00342D76">
      <w:pPr>
        <w:pStyle w:val="SingleTxtGC"/>
        <w:tabs>
          <w:tab w:val="clear" w:pos="1565"/>
          <w:tab w:val="clear" w:pos="1996"/>
          <w:tab w:val="clear" w:pos="2427"/>
        </w:tabs>
      </w:pPr>
      <w:r>
        <w:rPr>
          <w:rFonts w:hint="eastAsia"/>
        </w:rPr>
        <w:t>338.</w:t>
      </w:r>
      <w:r>
        <w:rPr>
          <w:rFonts w:hint="eastAsia"/>
        </w:rPr>
        <w:tab/>
      </w:r>
      <w:r>
        <w:rPr>
          <w:rFonts w:hint="eastAsia"/>
        </w:rPr>
        <w:t>芬兰承诺达到官方发展援助占国民总收入</w:t>
      </w:r>
      <w:r>
        <w:rPr>
          <w:rFonts w:hint="eastAsia"/>
        </w:rPr>
        <w:t>0.7%</w:t>
      </w:r>
      <w:r>
        <w:rPr>
          <w:rFonts w:hint="eastAsia"/>
        </w:rPr>
        <w:t>的目标水平。</w:t>
      </w:r>
    </w:p>
    <w:p w:rsidR="00342D76" w:rsidRDefault="00342D76" w:rsidP="00342D76">
      <w:pPr>
        <w:pStyle w:val="SingleTxtGC"/>
        <w:tabs>
          <w:tab w:val="clear" w:pos="1565"/>
          <w:tab w:val="clear" w:pos="1996"/>
          <w:tab w:val="clear" w:pos="2427"/>
        </w:tabs>
      </w:pPr>
      <w:r>
        <w:rPr>
          <w:rFonts w:hint="eastAsia"/>
        </w:rPr>
        <w:t>339.</w:t>
      </w:r>
      <w:r>
        <w:rPr>
          <w:rFonts w:hint="eastAsia"/>
        </w:rPr>
        <w:tab/>
        <w:t>2018</w:t>
      </w:r>
      <w:r>
        <w:rPr>
          <w:rFonts w:hint="eastAsia"/>
        </w:rPr>
        <w:t>年的十大伙伴国家或地区是：阿富汗、埃塞俄比亚、尼泊尔、印度尼西亚、肯尼亚、莫桑比克、坦桑尼亚、索马里、阿拉伯叙利亚共和国和越南。</w:t>
      </w:r>
    </w:p>
    <w:p w:rsidR="00342D76" w:rsidRDefault="00342D76" w:rsidP="00342D76">
      <w:pPr>
        <w:pStyle w:val="SingleTxtGC"/>
        <w:tabs>
          <w:tab w:val="clear" w:pos="1565"/>
          <w:tab w:val="clear" w:pos="1996"/>
          <w:tab w:val="clear" w:pos="2427"/>
        </w:tabs>
      </w:pPr>
      <w:r>
        <w:rPr>
          <w:rFonts w:hint="eastAsia"/>
        </w:rPr>
        <w:t>340.</w:t>
      </w:r>
      <w:r>
        <w:rPr>
          <w:rFonts w:hint="eastAsia"/>
        </w:rPr>
        <w:tab/>
      </w:r>
      <w:r>
        <w:rPr>
          <w:rFonts w:hint="eastAsia"/>
        </w:rPr>
        <w:t>芬兰承诺每年将其发展援助拨款的</w:t>
      </w:r>
      <w:r>
        <w:rPr>
          <w:rFonts w:hint="eastAsia"/>
        </w:rPr>
        <w:t>10%</w:t>
      </w:r>
      <w:r>
        <w:rPr>
          <w:rFonts w:hint="eastAsia"/>
        </w:rPr>
        <w:t>用于向官方发展援助受援国提供人道主义援助。芬兰援助的对象是向联合国提出正式援助请求的国家，前提是这些国家的人道主义状况已经过可靠的需求评估，并且人道主义援助组织已发出联合国协调的联合呼吁。在</w:t>
      </w:r>
      <w:proofErr w:type="gramStart"/>
      <w:r>
        <w:rPr>
          <w:rFonts w:hint="eastAsia"/>
        </w:rPr>
        <w:t>作出</w:t>
      </w:r>
      <w:proofErr w:type="gramEnd"/>
      <w:r>
        <w:rPr>
          <w:rFonts w:hint="eastAsia"/>
        </w:rPr>
        <w:t>援助决定时，芬兰考虑以下几个因素：危机的程度、受危机影响的人口比例、死亡和患病人数、需要紧急援助的人数以及五岁以下严重营养不良的儿童人数。外交部通过联合国机构、国际红十字运动和芬兰各援助组织调拨人道主义援助资金。</w:t>
      </w:r>
    </w:p>
    <w:p w:rsidR="00342D76" w:rsidRDefault="00342D76" w:rsidP="00201EAD">
      <w:pPr>
        <w:pStyle w:val="H1GC"/>
      </w:pPr>
      <w:r>
        <w:rPr>
          <w:rFonts w:hint="eastAsia"/>
        </w:rPr>
        <w:tab/>
        <w:t>G.</w:t>
      </w:r>
      <w:r>
        <w:rPr>
          <w:rFonts w:hint="eastAsia"/>
        </w:rPr>
        <w:tab/>
      </w:r>
      <w:r>
        <w:rPr>
          <w:rFonts w:hint="eastAsia"/>
        </w:rPr>
        <w:t>国家层面的报告程序</w:t>
      </w:r>
    </w:p>
    <w:p w:rsidR="00342D76" w:rsidRDefault="00342D76" w:rsidP="00201EAD">
      <w:pPr>
        <w:pStyle w:val="H23GC"/>
      </w:pPr>
      <w:r>
        <w:rPr>
          <w:rFonts w:hint="eastAsia"/>
        </w:rPr>
        <w:tab/>
        <w:t>(a)</w:t>
      </w:r>
      <w:r>
        <w:rPr>
          <w:rFonts w:hint="eastAsia"/>
        </w:rPr>
        <w:tab/>
      </w:r>
      <w:r>
        <w:rPr>
          <w:rFonts w:hint="eastAsia"/>
        </w:rPr>
        <w:t>定期报告的国家协调工作</w:t>
      </w:r>
    </w:p>
    <w:p w:rsidR="00342D76" w:rsidRDefault="00342D76" w:rsidP="00342D76">
      <w:pPr>
        <w:pStyle w:val="SingleTxtGC"/>
        <w:tabs>
          <w:tab w:val="clear" w:pos="1565"/>
          <w:tab w:val="clear" w:pos="1996"/>
          <w:tab w:val="clear" w:pos="2427"/>
        </w:tabs>
      </w:pPr>
      <w:r>
        <w:rPr>
          <w:rFonts w:hint="eastAsia"/>
        </w:rPr>
        <w:t>341.</w:t>
      </w:r>
      <w:r>
        <w:rPr>
          <w:rFonts w:hint="eastAsia"/>
        </w:rPr>
        <w:tab/>
      </w:r>
      <w:r>
        <w:rPr>
          <w:rFonts w:hint="eastAsia"/>
        </w:rPr>
        <w:t>芬兰关于联合国和欧洲委员会核心人权条约以及联合国普遍定期审议的定期报告由外交部人权法院和公约股集中负责。外交部编写和协调报告草案，完成</w:t>
      </w:r>
      <w:r>
        <w:rPr>
          <w:rFonts w:hint="eastAsia"/>
        </w:rPr>
        <w:lastRenderedPageBreak/>
        <w:t>报告并将其提交给各委员会。此外，外交部为芬兰参加条约机构的听证会做准备，并协调政府对条约机构一般性意见</w:t>
      </w:r>
      <w:r>
        <w:rPr>
          <w:rFonts w:hint="eastAsia"/>
        </w:rPr>
        <w:t>/</w:t>
      </w:r>
      <w:r>
        <w:rPr>
          <w:rFonts w:hint="eastAsia"/>
        </w:rPr>
        <w:t>建议草案发表评论。</w:t>
      </w:r>
    </w:p>
    <w:p w:rsidR="00342D76" w:rsidRDefault="00342D76" w:rsidP="009123B4">
      <w:pPr>
        <w:pStyle w:val="H23GC"/>
      </w:pPr>
      <w:r>
        <w:rPr>
          <w:rFonts w:hint="eastAsia"/>
        </w:rPr>
        <w:tab/>
        <w:t>(b)</w:t>
      </w:r>
      <w:r>
        <w:rPr>
          <w:rFonts w:hint="eastAsia"/>
        </w:rPr>
        <w:tab/>
      </w:r>
      <w:r>
        <w:rPr>
          <w:rFonts w:hint="eastAsia"/>
        </w:rPr>
        <w:t>政府和非政府机构的参与</w:t>
      </w:r>
    </w:p>
    <w:p w:rsidR="00342D76" w:rsidRDefault="00342D76" w:rsidP="00342D76">
      <w:pPr>
        <w:pStyle w:val="SingleTxtGC"/>
        <w:tabs>
          <w:tab w:val="clear" w:pos="1565"/>
          <w:tab w:val="clear" w:pos="1996"/>
          <w:tab w:val="clear" w:pos="2427"/>
        </w:tabs>
      </w:pPr>
      <w:r>
        <w:rPr>
          <w:rFonts w:hint="eastAsia"/>
        </w:rPr>
        <w:t>342.</w:t>
      </w:r>
      <w:r>
        <w:rPr>
          <w:rFonts w:hint="eastAsia"/>
        </w:rPr>
        <w:tab/>
      </w:r>
      <w:r>
        <w:rPr>
          <w:rFonts w:hint="eastAsia"/>
        </w:rPr>
        <w:t>提交给国际条约机构的定期报告由外交部与其他部委合作，并与法制监察员、特别监察员、咨询委员会、教会和宗教群体以及民间社会协商后公开编写。外交部编写报告草稿，将其分发征求意见并提交协商。通过在线服务“</w:t>
      </w:r>
      <w:proofErr w:type="spellStart"/>
      <w:r>
        <w:rPr>
          <w:rFonts w:hint="eastAsia"/>
        </w:rPr>
        <w:t>Lausuntopalvelu.fi</w:t>
      </w:r>
      <w:proofErr w:type="spellEnd"/>
      <w:r>
        <w:rPr>
          <w:rFonts w:hint="eastAsia"/>
        </w:rPr>
        <w:t>”征求对报告草案的意见，该服务也允许私人提交意见。</w:t>
      </w:r>
    </w:p>
    <w:p w:rsidR="00342D76" w:rsidRDefault="00342D76" w:rsidP="00342D76">
      <w:pPr>
        <w:pStyle w:val="SingleTxtGC"/>
        <w:tabs>
          <w:tab w:val="clear" w:pos="1565"/>
          <w:tab w:val="clear" w:pos="1996"/>
          <w:tab w:val="clear" w:pos="2427"/>
        </w:tabs>
      </w:pPr>
      <w:r>
        <w:rPr>
          <w:rFonts w:hint="eastAsia"/>
        </w:rPr>
        <w:t>343.</w:t>
      </w:r>
      <w:r>
        <w:rPr>
          <w:rFonts w:hint="eastAsia"/>
        </w:rPr>
        <w:tab/>
      </w:r>
      <w:r>
        <w:rPr>
          <w:rFonts w:hint="eastAsia"/>
        </w:rPr>
        <w:t>由人权中心代表参与国际合作的国家人权机构也广泛参与定期报告工作，在报告进程的各个阶段起草自己的意见，组织与报告有关的活动，向民间组织提供指导，并参加条约机构的听证会。</w:t>
      </w:r>
    </w:p>
    <w:p w:rsidR="00342D76" w:rsidRDefault="00342D76" w:rsidP="009123B4">
      <w:pPr>
        <w:pStyle w:val="H23GC"/>
      </w:pPr>
      <w:r>
        <w:rPr>
          <w:rFonts w:hint="eastAsia"/>
        </w:rPr>
        <w:tab/>
        <w:t>(c)</w:t>
      </w:r>
      <w:r>
        <w:rPr>
          <w:rFonts w:hint="eastAsia"/>
        </w:rPr>
        <w:tab/>
      </w:r>
      <w:r>
        <w:rPr>
          <w:rFonts w:hint="eastAsia"/>
        </w:rPr>
        <w:t>报告草稿听证会</w:t>
      </w:r>
    </w:p>
    <w:p w:rsidR="00342D76" w:rsidRDefault="00342D76" w:rsidP="00342D76">
      <w:pPr>
        <w:pStyle w:val="SingleTxtGC"/>
        <w:tabs>
          <w:tab w:val="clear" w:pos="1565"/>
          <w:tab w:val="clear" w:pos="1996"/>
          <w:tab w:val="clear" w:pos="2427"/>
        </w:tabs>
      </w:pPr>
      <w:r>
        <w:rPr>
          <w:rFonts w:hint="eastAsia"/>
        </w:rPr>
        <w:t>344.</w:t>
      </w:r>
      <w:r>
        <w:rPr>
          <w:rFonts w:hint="eastAsia"/>
        </w:rPr>
        <w:tab/>
      </w:r>
      <w:r>
        <w:rPr>
          <w:rFonts w:hint="eastAsia"/>
        </w:rPr>
        <w:t>外交部组织关于报告草稿的全国听证会，以便当局与民间社会直接互动。</w:t>
      </w:r>
    </w:p>
    <w:p w:rsidR="00342D76" w:rsidRDefault="00342D76" w:rsidP="009123B4">
      <w:pPr>
        <w:pStyle w:val="H23GC"/>
      </w:pPr>
      <w:r>
        <w:rPr>
          <w:rFonts w:hint="eastAsia"/>
        </w:rPr>
        <w:tab/>
        <w:t>(d)</w:t>
      </w:r>
      <w:r>
        <w:rPr>
          <w:rFonts w:hint="eastAsia"/>
        </w:rPr>
        <w:tab/>
      </w:r>
      <w:r>
        <w:rPr>
          <w:rFonts w:hint="eastAsia"/>
        </w:rPr>
        <w:t>结论性意见的后续行动和分发</w:t>
      </w:r>
    </w:p>
    <w:p w:rsidR="00342D76" w:rsidRDefault="00342D76" w:rsidP="00342D76">
      <w:pPr>
        <w:pStyle w:val="SingleTxtGC"/>
        <w:tabs>
          <w:tab w:val="clear" w:pos="1565"/>
          <w:tab w:val="clear" w:pos="1996"/>
          <w:tab w:val="clear" w:pos="2427"/>
        </w:tabs>
      </w:pPr>
      <w:r>
        <w:rPr>
          <w:rFonts w:hint="eastAsia"/>
        </w:rPr>
        <w:t>345.</w:t>
      </w:r>
      <w:r>
        <w:rPr>
          <w:rFonts w:hint="eastAsia"/>
        </w:rPr>
        <w:tab/>
      </w:r>
      <w:r>
        <w:rPr>
          <w:rFonts w:hint="eastAsia"/>
        </w:rPr>
        <w:t>结论性意见被译成芬兰的国语</w:t>
      </w:r>
      <w:r w:rsidR="009123B4">
        <w:rPr>
          <w:rFonts w:hint="eastAsia"/>
          <w:spacing w:val="-50"/>
        </w:rPr>
        <w:t>―</w:t>
      </w:r>
      <w:r w:rsidR="009123B4">
        <w:rPr>
          <w:rFonts w:hint="eastAsia"/>
        </w:rPr>
        <w:t>―</w:t>
      </w:r>
      <w:r>
        <w:rPr>
          <w:rFonts w:hint="eastAsia"/>
        </w:rPr>
        <w:t>芬兰语和瑞典语，与萨米人有关的建议必要时还被翻译成北萨米语。政府就联合国条约机构的结论性意见发布新闻稿，此外，结论性意见还直接分发给共和国总统、议会、各部委、最高法院和法制监察员、国家人权机构、特别监察员、咨询委员会、芬兰地方和地区当局协会、奥兰政府、教会、宗教团体、大学人权研究所和多个民间组织。结论性意见的各语种版本可在外交部网站上查阅。</w:t>
      </w:r>
    </w:p>
    <w:p w:rsidR="00342D76" w:rsidRDefault="00342D76" w:rsidP="00342D76">
      <w:pPr>
        <w:pStyle w:val="SingleTxtGC"/>
        <w:tabs>
          <w:tab w:val="clear" w:pos="1565"/>
          <w:tab w:val="clear" w:pos="1996"/>
          <w:tab w:val="clear" w:pos="2427"/>
        </w:tabs>
      </w:pPr>
      <w:r>
        <w:rPr>
          <w:rFonts w:hint="eastAsia"/>
        </w:rPr>
        <w:t>346.</w:t>
      </w:r>
      <w:r>
        <w:rPr>
          <w:rFonts w:hint="eastAsia"/>
        </w:rPr>
        <w:tab/>
      </w:r>
      <w:r>
        <w:rPr>
          <w:rFonts w:hint="eastAsia"/>
        </w:rPr>
        <w:t>基本权利和人权联络人政府网络也参与审议向芬兰提出的建议，并努力促进各部委落实这些建议。一些研讨会还讨论结论性意见的落实问题。</w:t>
      </w:r>
    </w:p>
    <w:p w:rsidR="00342D76" w:rsidRDefault="00342D76" w:rsidP="009123B4">
      <w:pPr>
        <w:pStyle w:val="H1GC"/>
      </w:pPr>
      <w:r>
        <w:rPr>
          <w:rFonts w:hint="eastAsia"/>
        </w:rPr>
        <w:tab/>
        <w:t>H.</w:t>
      </w:r>
      <w:r>
        <w:rPr>
          <w:rFonts w:hint="eastAsia"/>
        </w:rPr>
        <w:tab/>
      </w:r>
      <w:r>
        <w:rPr>
          <w:rFonts w:hint="eastAsia"/>
        </w:rPr>
        <w:t>人权方面的其他信息</w:t>
      </w:r>
    </w:p>
    <w:p w:rsidR="00342D76" w:rsidRDefault="00342D76" w:rsidP="009123B4">
      <w:pPr>
        <w:pStyle w:val="H23GC"/>
      </w:pPr>
      <w:r>
        <w:rPr>
          <w:rFonts w:hint="eastAsia"/>
        </w:rPr>
        <w:tab/>
      </w:r>
      <w:r>
        <w:rPr>
          <w:rFonts w:hint="eastAsia"/>
        </w:rPr>
        <w:tab/>
      </w:r>
      <w:r>
        <w:rPr>
          <w:rFonts w:hint="eastAsia"/>
        </w:rPr>
        <w:t>《</w:t>
      </w:r>
      <w:r>
        <w:rPr>
          <w:rFonts w:hint="eastAsia"/>
        </w:rPr>
        <w:t>2030</w:t>
      </w:r>
      <w:r>
        <w:rPr>
          <w:rFonts w:hint="eastAsia"/>
        </w:rPr>
        <w:t>年议程》</w:t>
      </w:r>
    </w:p>
    <w:p w:rsidR="00342D76" w:rsidRDefault="00342D76" w:rsidP="00342D76">
      <w:pPr>
        <w:pStyle w:val="SingleTxtGC"/>
        <w:tabs>
          <w:tab w:val="clear" w:pos="1565"/>
          <w:tab w:val="clear" w:pos="1996"/>
          <w:tab w:val="clear" w:pos="2427"/>
        </w:tabs>
      </w:pPr>
      <w:r>
        <w:rPr>
          <w:rFonts w:hint="eastAsia"/>
        </w:rPr>
        <w:t>347.</w:t>
      </w:r>
      <w:r>
        <w:rPr>
          <w:rFonts w:hint="eastAsia"/>
        </w:rPr>
        <w:tab/>
      </w:r>
      <w:r>
        <w:rPr>
          <w:rFonts w:hint="eastAsia"/>
        </w:rPr>
        <w:t>总理办公室于</w:t>
      </w:r>
      <w:r>
        <w:rPr>
          <w:rFonts w:hint="eastAsia"/>
        </w:rPr>
        <w:t>2016</w:t>
      </w:r>
      <w:r>
        <w:rPr>
          <w:rFonts w:hint="eastAsia"/>
        </w:rPr>
        <w:t>年初通过国家可持续发展委员会秘书处承担起协调《</w:t>
      </w:r>
      <w:r>
        <w:rPr>
          <w:rFonts w:hint="eastAsia"/>
        </w:rPr>
        <w:t>2030</w:t>
      </w:r>
      <w:r>
        <w:rPr>
          <w:rFonts w:hint="eastAsia"/>
        </w:rPr>
        <w:t>年议程》国家实施工作以及协调国家可持续发展政策的责任。设在总理办公室的协调秘书处负责规划、筹备、协调和确保《</w:t>
      </w:r>
      <w:r>
        <w:rPr>
          <w:rFonts w:hint="eastAsia"/>
        </w:rPr>
        <w:t>2030</w:t>
      </w:r>
      <w:r>
        <w:rPr>
          <w:rFonts w:hint="eastAsia"/>
        </w:rPr>
        <w:t>年议程》在全国的实施。协调秘书处由国家可持续发展委员会总秘书处、外交部和总理办公室的代表组成。</w:t>
      </w:r>
    </w:p>
    <w:p w:rsidR="00342D76" w:rsidRDefault="00342D76" w:rsidP="00342D76">
      <w:pPr>
        <w:pStyle w:val="SingleTxtGC"/>
        <w:tabs>
          <w:tab w:val="clear" w:pos="1565"/>
          <w:tab w:val="clear" w:pos="1996"/>
          <w:tab w:val="clear" w:pos="2427"/>
        </w:tabs>
      </w:pPr>
      <w:r>
        <w:rPr>
          <w:rFonts w:hint="eastAsia"/>
        </w:rPr>
        <w:t>348.</w:t>
      </w:r>
      <w:r>
        <w:rPr>
          <w:rFonts w:hint="eastAsia"/>
        </w:rPr>
        <w:tab/>
      </w:r>
      <w:r>
        <w:rPr>
          <w:rFonts w:hint="eastAsia"/>
        </w:rPr>
        <w:t>由总理主持的国家可持续发展委员会是负责监测和评估《</w:t>
      </w:r>
      <w:r>
        <w:rPr>
          <w:rFonts w:hint="eastAsia"/>
        </w:rPr>
        <w:t>2030</w:t>
      </w:r>
      <w:r>
        <w:rPr>
          <w:rFonts w:hint="eastAsia"/>
        </w:rPr>
        <w:t>年议程》实施情况的关键行为者。该委员会的任务是将《</w:t>
      </w:r>
      <w:r>
        <w:rPr>
          <w:rFonts w:hint="eastAsia"/>
        </w:rPr>
        <w:t>2030</w:t>
      </w:r>
      <w:r>
        <w:rPr>
          <w:rFonts w:hint="eastAsia"/>
        </w:rPr>
        <w:t>年议程》的实施工作纳入国家的各项可持续发展努力。委员会的第二项职责是促进、监测和评估“全国可持续发展社会承诺”的执行情况，并通报其结果。芬兰创新基金</w:t>
      </w:r>
      <w:proofErr w:type="spellStart"/>
      <w:r>
        <w:rPr>
          <w:rFonts w:hint="eastAsia"/>
        </w:rPr>
        <w:t>Sitra</w:t>
      </w:r>
      <w:proofErr w:type="spellEnd"/>
      <w:r>
        <w:rPr>
          <w:rFonts w:hint="eastAsia"/>
        </w:rPr>
        <w:t>主持的可持续发展专家小组可对委员会的工作以及在上述承诺方面取得的进展提供准备、提出质疑并开展评估。</w:t>
      </w:r>
    </w:p>
    <w:p w:rsidR="00342D76" w:rsidRDefault="00342D76" w:rsidP="00342D76">
      <w:pPr>
        <w:pStyle w:val="SingleTxtGC"/>
        <w:tabs>
          <w:tab w:val="clear" w:pos="1565"/>
          <w:tab w:val="clear" w:pos="1996"/>
          <w:tab w:val="clear" w:pos="2427"/>
        </w:tabs>
      </w:pPr>
      <w:r>
        <w:rPr>
          <w:rFonts w:hint="eastAsia"/>
        </w:rPr>
        <w:t>349.</w:t>
      </w:r>
      <w:r>
        <w:rPr>
          <w:rFonts w:hint="eastAsia"/>
        </w:rPr>
        <w:tab/>
      </w:r>
      <w:r>
        <w:rPr>
          <w:rFonts w:hint="eastAsia"/>
        </w:rPr>
        <w:t>实施《</w:t>
      </w:r>
      <w:r>
        <w:rPr>
          <w:rFonts w:hint="eastAsia"/>
        </w:rPr>
        <w:t>2030</w:t>
      </w:r>
      <w:r>
        <w:rPr>
          <w:rFonts w:hint="eastAsia"/>
        </w:rPr>
        <w:t>年议程》的第二个关键行动者是发展政策委员会。国家可持续发展委员会主要从国家政策行动的角度监测和评估芬兰国内在可持续发展方面的进展，而发展政策委员会则从对外视角出发，监测和评估芬兰的发展政策和国际</w:t>
      </w:r>
      <w:r>
        <w:rPr>
          <w:rFonts w:hint="eastAsia"/>
        </w:rPr>
        <w:lastRenderedPageBreak/>
        <w:t>承诺的实现情况。发展政策委员会监测《</w:t>
      </w:r>
      <w:r>
        <w:rPr>
          <w:rFonts w:hint="eastAsia"/>
        </w:rPr>
        <w:t>2030</w:t>
      </w:r>
      <w:r>
        <w:rPr>
          <w:rFonts w:hint="eastAsia"/>
        </w:rPr>
        <w:t>年议程》在芬兰发展政策中的落实情况，并监督《政府方案》和政府发展政策的执行情况。</w:t>
      </w:r>
    </w:p>
    <w:p w:rsidR="00342D76" w:rsidRDefault="00342D76" w:rsidP="00342D76">
      <w:pPr>
        <w:pStyle w:val="SingleTxtGC"/>
        <w:tabs>
          <w:tab w:val="clear" w:pos="1565"/>
          <w:tab w:val="clear" w:pos="1996"/>
          <w:tab w:val="clear" w:pos="2427"/>
        </w:tabs>
      </w:pPr>
      <w:r>
        <w:rPr>
          <w:rFonts w:hint="eastAsia"/>
        </w:rPr>
        <w:t>350.</w:t>
      </w:r>
      <w:r>
        <w:rPr>
          <w:rFonts w:hint="eastAsia"/>
        </w:rPr>
        <w:tab/>
      </w:r>
      <w:r>
        <w:rPr>
          <w:rFonts w:hint="eastAsia"/>
        </w:rPr>
        <w:t>政府制定了一项实施《</w:t>
      </w:r>
      <w:r>
        <w:rPr>
          <w:rFonts w:hint="eastAsia"/>
        </w:rPr>
        <w:t>2030</w:t>
      </w:r>
      <w:r>
        <w:rPr>
          <w:rFonts w:hint="eastAsia"/>
        </w:rPr>
        <w:t>年议程》的国家行动计划，该计划已被纳入《政府方案》。实施《</w:t>
      </w:r>
      <w:r>
        <w:rPr>
          <w:rFonts w:hint="eastAsia"/>
        </w:rPr>
        <w:t>2030</w:t>
      </w:r>
      <w:r>
        <w:rPr>
          <w:rFonts w:hint="eastAsia"/>
        </w:rPr>
        <w:t>年议程》工作的基础包括政府的政策和立法行动，以及执行对芬兰具有约束力的国家和国际文书及战略。各行政部门实施了许多直接实施或支持《</w:t>
      </w:r>
      <w:r>
        <w:rPr>
          <w:rFonts w:hint="eastAsia"/>
        </w:rPr>
        <w:t>2030</w:t>
      </w:r>
      <w:r>
        <w:rPr>
          <w:rFonts w:hint="eastAsia"/>
        </w:rPr>
        <w:t>年议程》的战略、方案和措施。</w:t>
      </w:r>
    </w:p>
    <w:p w:rsidR="00342D76" w:rsidRDefault="00342D76" w:rsidP="00342D76">
      <w:pPr>
        <w:pStyle w:val="SingleTxtGC"/>
        <w:tabs>
          <w:tab w:val="clear" w:pos="1565"/>
          <w:tab w:val="clear" w:pos="1996"/>
          <w:tab w:val="clear" w:pos="2427"/>
        </w:tabs>
      </w:pPr>
      <w:r>
        <w:rPr>
          <w:rFonts w:hint="eastAsia"/>
        </w:rPr>
        <w:t>351.</w:t>
      </w:r>
      <w:r>
        <w:rPr>
          <w:rFonts w:hint="eastAsia"/>
        </w:rPr>
        <w:tab/>
      </w:r>
      <w:r>
        <w:rPr>
          <w:rFonts w:hint="eastAsia"/>
        </w:rPr>
        <w:t>为此，对芬兰实施《</w:t>
      </w:r>
      <w:r>
        <w:rPr>
          <w:rFonts w:hint="eastAsia"/>
        </w:rPr>
        <w:t>2030</w:t>
      </w:r>
      <w:r>
        <w:rPr>
          <w:rFonts w:hint="eastAsia"/>
        </w:rPr>
        <w:t>年议程》的能力和基线情况进行了研究。研究指出了芬兰需要克服的最大差距的领域和已经超出目标的领域，以及芬兰可以与其他国家分享其专门知识的领域。芬兰在</w:t>
      </w:r>
      <w:r>
        <w:rPr>
          <w:rFonts w:hint="eastAsia"/>
        </w:rPr>
        <w:t>2016</w:t>
      </w:r>
      <w:r>
        <w:rPr>
          <w:rFonts w:hint="eastAsia"/>
        </w:rPr>
        <w:t>年秋季修订了国家可持续发展指标，国家指标网络和民间组织都参与了这项努力。</w:t>
      </w:r>
    </w:p>
    <w:p w:rsidR="00342D76" w:rsidRDefault="00342D76" w:rsidP="00342D76">
      <w:pPr>
        <w:pStyle w:val="SingleTxtGC"/>
        <w:tabs>
          <w:tab w:val="clear" w:pos="1565"/>
          <w:tab w:val="clear" w:pos="1996"/>
          <w:tab w:val="clear" w:pos="2427"/>
        </w:tabs>
      </w:pPr>
      <w:r>
        <w:rPr>
          <w:rFonts w:hint="eastAsia"/>
        </w:rPr>
        <w:t>352.</w:t>
      </w:r>
      <w:r>
        <w:rPr>
          <w:rFonts w:hint="eastAsia"/>
        </w:rPr>
        <w:tab/>
      </w:r>
      <w:r>
        <w:rPr>
          <w:rFonts w:hint="eastAsia"/>
        </w:rPr>
        <w:t>芬兰是第一批在</w:t>
      </w:r>
      <w:r>
        <w:rPr>
          <w:rFonts w:hint="eastAsia"/>
        </w:rPr>
        <w:t>2016</w:t>
      </w:r>
      <w:r>
        <w:rPr>
          <w:rFonts w:hint="eastAsia"/>
        </w:rPr>
        <w:t>年</w:t>
      </w:r>
      <w:r>
        <w:rPr>
          <w:rFonts w:hint="eastAsia"/>
        </w:rPr>
        <w:t>7</w:t>
      </w:r>
      <w:r>
        <w:rPr>
          <w:rFonts w:hint="eastAsia"/>
        </w:rPr>
        <w:t>月联合国可持续发展高级别政治论坛上报告《</w:t>
      </w:r>
      <w:r>
        <w:rPr>
          <w:rFonts w:hint="eastAsia"/>
        </w:rPr>
        <w:t>2030</w:t>
      </w:r>
      <w:r>
        <w:rPr>
          <w:rFonts w:hint="eastAsia"/>
        </w:rPr>
        <w:t>年议程》实施计划的国家之一。</w:t>
      </w:r>
    </w:p>
    <w:p w:rsidR="00342D76" w:rsidRDefault="00342D76" w:rsidP="003D41F2">
      <w:pPr>
        <w:pStyle w:val="HChGC"/>
      </w:pPr>
      <w:r>
        <w:rPr>
          <w:rFonts w:hint="eastAsia"/>
        </w:rPr>
        <w:tab/>
      </w:r>
      <w:r>
        <w:rPr>
          <w:rFonts w:hint="eastAsia"/>
        </w:rPr>
        <w:t>三</w:t>
      </w:r>
      <w:r>
        <w:rPr>
          <w:rFonts w:hint="eastAsia"/>
        </w:rPr>
        <w:t>.</w:t>
      </w:r>
      <w:r>
        <w:rPr>
          <w:rFonts w:hint="eastAsia"/>
        </w:rPr>
        <w:tab/>
      </w:r>
      <w:r>
        <w:rPr>
          <w:rFonts w:hint="eastAsia"/>
        </w:rPr>
        <w:t>不歧视、平等和法律救济</w:t>
      </w:r>
    </w:p>
    <w:p w:rsidR="00342D76" w:rsidRDefault="00342D76" w:rsidP="003D41F2">
      <w:pPr>
        <w:pStyle w:val="H1GC"/>
      </w:pPr>
      <w:r>
        <w:rPr>
          <w:rFonts w:hint="eastAsia"/>
        </w:rPr>
        <w:tab/>
        <w:t>I.</w:t>
      </w:r>
      <w:r>
        <w:rPr>
          <w:rFonts w:hint="eastAsia"/>
        </w:rPr>
        <w:tab/>
      </w:r>
      <w:r>
        <w:rPr>
          <w:rFonts w:hint="eastAsia"/>
        </w:rPr>
        <w:t>关于平等和不歧视的总体情况</w:t>
      </w:r>
    </w:p>
    <w:p w:rsidR="00342D76" w:rsidRDefault="00342D76" w:rsidP="00342D76">
      <w:pPr>
        <w:pStyle w:val="SingleTxtGC"/>
        <w:tabs>
          <w:tab w:val="clear" w:pos="1565"/>
          <w:tab w:val="clear" w:pos="1996"/>
          <w:tab w:val="clear" w:pos="2427"/>
        </w:tabs>
      </w:pPr>
      <w:r>
        <w:rPr>
          <w:rFonts w:hint="eastAsia"/>
        </w:rPr>
        <w:t>353.</w:t>
      </w:r>
      <w:r>
        <w:rPr>
          <w:rFonts w:hint="eastAsia"/>
        </w:rPr>
        <w:tab/>
      </w:r>
      <w:r>
        <w:rPr>
          <w:rFonts w:hint="eastAsia"/>
        </w:rPr>
        <w:t>芬兰《宪法》</w:t>
      </w:r>
      <w:r>
        <w:rPr>
          <w:rFonts w:hint="eastAsia"/>
        </w:rPr>
        <w:t>(</w:t>
      </w:r>
      <w:r>
        <w:rPr>
          <w:rFonts w:hint="eastAsia"/>
        </w:rPr>
        <w:t>第</w:t>
      </w:r>
      <w:r>
        <w:rPr>
          <w:rFonts w:hint="eastAsia"/>
        </w:rPr>
        <w:t>6</w:t>
      </w:r>
      <w:r>
        <w:rPr>
          <w:rFonts w:hint="eastAsia"/>
        </w:rPr>
        <w:t>条</w:t>
      </w:r>
      <w:r>
        <w:rPr>
          <w:rFonts w:hint="eastAsia"/>
        </w:rPr>
        <w:t>)</w:t>
      </w:r>
      <w:r>
        <w:rPr>
          <w:rFonts w:hint="eastAsia"/>
        </w:rPr>
        <w:t>所载的平等条款确认受芬兰管辖的每个人在法律面前一律平等。这项规定对个人与政府之间的关系特别重要，也适用于私人之间的关系。该条款不仅表达了法律面前人人平等的传统要求，而且表达了事实平等的概念。该条包括一般平等条款</w:t>
      </w:r>
      <w:r>
        <w:rPr>
          <w:rFonts w:hint="eastAsia"/>
        </w:rPr>
        <w:t>(</w:t>
      </w:r>
      <w:r>
        <w:rPr>
          <w:rFonts w:hint="eastAsia"/>
        </w:rPr>
        <w:t>第</w:t>
      </w:r>
      <w:r>
        <w:rPr>
          <w:rFonts w:hint="eastAsia"/>
        </w:rPr>
        <w:t>1</w:t>
      </w:r>
      <w:r>
        <w:rPr>
          <w:rFonts w:hint="eastAsia"/>
        </w:rPr>
        <w:t>款</w:t>
      </w:r>
      <w:r>
        <w:rPr>
          <w:rFonts w:hint="eastAsia"/>
        </w:rPr>
        <w:t>)</w:t>
      </w:r>
      <w:r>
        <w:rPr>
          <w:rFonts w:hint="eastAsia"/>
        </w:rPr>
        <w:t>、禁止歧视</w:t>
      </w:r>
      <w:r>
        <w:rPr>
          <w:rFonts w:hint="eastAsia"/>
        </w:rPr>
        <w:t>(</w:t>
      </w:r>
      <w:r>
        <w:rPr>
          <w:rFonts w:hint="eastAsia"/>
        </w:rPr>
        <w:t>第</w:t>
      </w:r>
      <w:r>
        <w:rPr>
          <w:rFonts w:hint="eastAsia"/>
        </w:rPr>
        <w:t>2</w:t>
      </w:r>
      <w:r>
        <w:rPr>
          <w:rFonts w:hint="eastAsia"/>
        </w:rPr>
        <w:t>款</w:t>
      </w:r>
      <w:r>
        <w:rPr>
          <w:rFonts w:hint="eastAsia"/>
        </w:rPr>
        <w:t>)</w:t>
      </w:r>
      <w:r>
        <w:rPr>
          <w:rFonts w:hint="eastAsia"/>
        </w:rPr>
        <w:t>、将儿童作为个人加以平等对待和儿童有权在与其发育水平相应的程度上影响自身相关事务的规定</w:t>
      </w:r>
      <w:r>
        <w:rPr>
          <w:rFonts w:hint="eastAsia"/>
        </w:rPr>
        <w:t>(</w:t>
      </w:r>
      <w:r>
        <w:rPr>
          <w:rFonts w:hint="eastAsia"/>
        </w:rPr>
        <w:t>第</w:t>
      </w:r>
      <w:r>
        <w:rPr>
          <w:rFonts w:hint="eastAsia"/>
        </w:rPr>
        <w:t>3</w:t>
      </w:r>
      <w:r>
        <w:rPr>
          <w:rFonts w:hint="eastAsia"/>
        </w:rPr>
        <w:t>款</w:t>
      </w:r>
      <w:r>
        <w:rPr>
          <w:rFonts w:hint="eastAsia"/>
        </w:rPr>
        <w:t>)</w:t>
      </w:r>
      <w:r>
        <w:rPr>
          <w:rFonts w:hint="eastAsia"/>
        </w:rPr>
        <w:t>，以及关于性别平等的规定</w:t>
      </w:r>
      <w:r>
        <w:rPr>
          <w:rFonts w:hint="eastAsia"/>
        </w:rPr>
        <w:t>(</w:t>
      </w:r>
      <w:r>
        <w:rPr>
          <w:rFonts w:hint="eastAsia"/>
        </w:rPr>
        <w:t>第</w:t>
      </w:r>
      <w:r>
        <w:rPr>
          <w:rFonts w:hint="eastAsia"/>
        </w:rPr>
        <w:t>4</w:t>
      </w:r>
      <w:r>
        <w:rPr>
          <w:rFonts w:hint="eastAsia"/>
        </w:rPr>
        <w:t>款</w:t>
      </w:r>
      <w:r>
        <w:rPr>
          <w:rFonts w:hint="eastAsia"/>
        </w:rPr>
        <w:t>)</w:t>
      </w:r>
      <w:r>
        <w:rPr>
          <w:rFonts w:hint="eastAsia"/>
        </w:rPr>
        <w:t>。</w:t>
      </w:r>
    </w:p>
    <w:p w:rsidR="00342D76" w:rsidRDefault="00342D76" w:rsidP="00342D76">
      <w:pPr>
        <w:pStyle w:val="SingleTxtGC"/>
        <w:tabs>
          <w:tab w:val="clear" w:pos="1565"/>
          <w:tab w:val="clear" w:pos="1996"/>
          <w:tab w:val="clear" w:pos="2427"/>
        </w:tabs>
      </w:pPr>
      <w:r>
        <w:rPr>
          <w:rFonts w:hint="eastAsia"/>
        </w:rPr>
        <w:t>354.</w:t>
      </w:r>
      <w:r>
        <w:rPr>
          <w:rFonts w:hint="eastAsia"/>
        </w:rPr>
        <w:tab/>
      </w:r>
      <w:r>
        <w:rPr>
          <w:rFonts w:hint="eastAsia"/>
        </w:rPr>
        <w:t>芬兰《宪法》关于平等和不歧视的规定设定了最低标准，</w:t>
      </w:r>
      <w:proofErr w:type="gramStart"/>
      <w:r>
        <w:rPr>
          <w:rFonts w:hint="eastAsia"/>
        </w:rPr>
        <w:t>故专门</w:t>
      </w:r>
      <w:proofErr w:type="gramEnd"/>
      <w:r>
        <w:rPr>
          <w:rFonts w:hint="eastAsia"/>
        </w:rPr>
        <w:t>法规</w:t>
      </w:r>
      <w:r>
        <w:rPr>
          <w:rFonts w:hint="eastAsia"/>
        </w:rPr>
        <w:t>(</w:t>
      </w:r>
      <w:r>
        <w:rPr>
          <w:rFonts w:hint="eastAsia"/>
        </w:rPr>
        <w:t>如《不歧视法》</w:t>
      </w:r>
      <w:r>
        <w:rPr>
          <w:rFonts w:hint="eastAsia"/>
        </w:rPr>
        <w:t>)</w:t>
      </w:r>
      <w:r>
        <w:rPr>
          <w:rFonts w:hint="eastAsia"/>
        </w:rPr>
        <w:t>的范围更广。如有利于保护基本权利，则通常可对《宪法》规定的平等和不歧视的最低标准加以克减。尽管如此，《宪法》第</w:t>
      </w:r>
      <w:r>
        <w:rPr>
          <w:rFonts w:hint="eastAsia"/>
        </w:rPr>
        <w:t>6</w:t>
      </w:r>
      <w:r>
        <w:rPr>
          <w:rFonts w:hint="eastAsia"/>
        </w:rPr>
        <w:t>条仍是一条对立法者和法院裁决的指导性条款。</w:t>
      </w:r>
    </w:p>
    <w:p w:rsidR="00342D76" w:rsidRDefault="00342D76" w:rsidP="00342D76">
      <w:pPr>
        <w:pStyle w:val="SingleTxtGC"/>
        <w:tabs>
          <w:tab w:val="clear" w:pos="1565"/>
          <w:tab w:val="clear" w:pos="1996"/>
          <w:tab w:val="clear" w:pos="2427"/>
        </w:tabs>
      </w:pPr>
      <w:r>
        <w:rPr>
          <w:rFonts w:hint="eastAsia"/>
        </w:rPr>
        <w:t>355.</w:t>
      </w:r>
      <w:r>
        <w:rPr>
          <w:rFonts w:hint="eastAsia"/>
        </w:rPr>
        <w:tab/>
      </w:r>
      <w:r>
        <w:rPr>
          <w:rFonts w:hint="eastAsia"/>
        </w:rPr>
        <w:t>芬兰《宪法》第</w:t>
      </w:r>
      <w:r>
        <w:rPr>
          <w:rFonts w:hint="eastAsia"/>
        </w:rPr>
        <w:t>6</w:t>
      </w:r>
      <w:r>
        <w:rPr>
          <w:rFonts w:hint="eastAsia"/>
        </w:rPr>
        <w:t>条不在《宪法》第</w:t>
      </w:r>
      <w:r>
        <w:rPr>
          <w:rFonts w:hint="eastAsia"/>
        </w:rPr>
        <w:t>23</w:t>
      </w:r>
      <w:r>
        <w:rPr>
          <w:rFonts w:hint="eastAsia"/>
        </w:rPr>
        <w:t>条规定的危机情况下例外权力的适用范围之内。芬兰可通过法案或政府颁布的法令，对国家在受到武装攻击或</w:t>
      </w:r>
      <w:r>
        <w:rPr>
          <w:rFonts w:hint="eastAsia"/>
        </w:rPr>
        <w:t>(</w:t>
      </w:r>
      <w:proofErr w:type="gramStart"/>
      <w:r>
        <w:rPr>
          <w:rFonts w:hint="eastAsia"/>
        </w:rPr>
        <w:t>依相关</w:t>
      </w:r>
      <w:proofErr w:type="gramEnd"/>
      <w:r>
        <w:rPr>
          <w:rFonts w:hint="eastAsia"/>
        </w:rPr>
        <w:t>法案规定</w:t>
      </w:r>
      <w:r>
        <w:rPr>
          <w:rFonts w:hint="eastAsia"/>
        </w:rPr>
        <w:t>)</w:t>
      </w:r>
      <w:r>
        <w:rPr>
          <w:rFonts w:hint="eastAsia"/>
        </w:rPr>
        <w:t>处于对国家构成严重威胁的其他紧急情况下所需采取的临时例外措施</w:t>
      </w:r>
      <w:proofErr w:type="gramStart"/>
      <w:r>
        <w:rPr>
          <w:rFonts w:hint="eastAsia"/>
        </w:rPr>
        <w:t>作出</w:t>
      </w:r>
      <w:proofErr w:type="gramEnd"/>
      <w:r>
        <w:rPr>
          <w:rFonts w:hint="eastAsia"/>
        </w:rPr>
        <w:t>规定，政府法令应基于为专门原因制定的法案的授权且其适用范围受到严格限定；而平等和不歧视规定不存在此种临时例外措施。</w:t>
      </w:r>
    </w:p>
    <w:p w:rsidR="00342D76" w:rsidRDefault="00342D76" w:rsidP="00342D76">
      <w:pPr>
        <w:pStyle w:val="SingleTxtGC"/>
        <w:tabs>
          <w:tab w:val="clear" w:pos="1565"/>
          <w:tab w:val="clear" w:pos="1996"/>
          <w:tab w:val="clear" w:pos="2427"/>
        </w:tabs>
      </w:pPr>
      <w:r>
        <w:rPr>
          <w:rFonts w:hint="eastAsia"/>
        </w:rPr>
        <w:t>356.</w:t>
      </w:r>
      <w:r>
        <w:rPr>
          <w:rFonts w:hint="eastAsia"/>
        </w:rPr>
        <w:tab/>
      </w:r>
      <w:r>
        <w:rPr>
          <w:rFonts w:hint="eastAsia"/>
        </w:rPr>
        <w:t>芬兰《宪法》中的一般平等条款表达了不歧视和平等的主要原则。它包括禁止任意性待遇和在同等案件中给予平等待遇的要求。不得任意将某人或某群人置于比其他人更有利或更不利的位置。然而，该条款并不要求在所有方面给予所有人同等待遇，除非情况相同。在通过立法扩大福利和权利以及规定义务时，平等观点都具有重要意义。另一方面，立法具有这样的特点，即出于某种可接受的社会利益，为了促进事实平等</w:t>
      </w:r>
      <w:proofErr w:type="gramStart"/>
      <w:r>
        <w:rPr>
          <w:rFonts w:hint="eastAsia"/>
        </w:rPr>
        <w:t>等</w:t>
      </w:r>
      <w:proofErr w:type="gramEnd"/>
      <w:r>
        <w:rPr>
          <w:rFonts w:hint="eastAsia"/>
        </w:rPr>
        <w:t>目的，人们在立法中的待遇不尽相同。</w:t>
      </w:r>
    </w:p>
    <w:p w:rsidR="00342D76" w:rsidRDefault="00342D76" w:rsidP="00342D76">
      <w:pPr>
        <w:pStyle w:val="SingleTxtGC"/>
        <w:tabs>
          <w:tab w:val="clear" w:pos="1565"/>
          <w:tab w:val="clear" w:pos="1996"/>
          <w:tab w:val="clear" w:pos="2427"/>
        </w:tabs>
      </w:pPr>
      <w:r>
        <w:rPr>
          <w:rFonts w:hint="eastAsia"/>
        </w:rPr>
        <w:t>357.</w:t>
      </w:r>
      <w:r>
        <w:rPr>
          <w:rFonts w:hint="eastAsia"/>
        </w:rPr>
        <w:tab/>
      </w:r>
      <w:r>
        <w:rPr>
          <w:rFonts w:hint="eastAsia"/>
        </w:rPr>
        <w:t>芬兰《宪法》中的不歧视规定补充了一般平等条款。《宪法》第</w:t>
      </w:r>
      <w:r>
        <w:rPr>
          <w:rFonts w:hint="eastAsia"/>
        </w:rPr>
        <w:t>6</w:t>
      </w:r>
      <w:r>
        <w:rPr>
          <w:rFonts w:hint="eastAsia"/>
        </w:rPr>
        <w:t>条第</w:t>
      </w:r>
      <w:r>
        <w:rPr>
          <w:rFonts w:hint="eastAsia"/>
        </w:rPr>
        <w:t>2</w:t>
      </w:r>
      <w:r>
        <w:rPr>
          <w:rFonts w:hint="eastAsia"/>
        </w:rPr>
        <w:t>款载有禁止歧视的某些理由的清单，明确提到性别、年龄、出身、语言、宗教、信仰、意见、健康和残疾。然而，这份清单并非详尽无遗。其他重要的个人原因</w:t>
      </w:r>
      <w:r>
        <w:rPr>
          <w:rFonts w:hint="eastAsia"/>
        </w:rPr>
        <w:lastRenderedPageBreak/>
        <w:t>也等同于这些具体列明的禁止歧视的理由。此类其他原因包括社会地位、财富、参与社团活动、家庭关系、是否怀孕、是否为婚生子女、性取向和居住地等。</w:t>
      </w:r>
    </w:p>
    <w:p w:rsidR="00342D76" w:rsidRDefault="00342D76" w:rsidP="00342D76">
      <w:pPr>
        <w:pStyle w:val="SingleTxtGC"/>
        <w:tabs>
          <w:tab w:val="clear" w:pos="1565"/>
          <w:tab w:val="clear" w:pos="1996"/>
          <w:tab w:val="clear" w:pos="2427"/>
        </w:tabs>
      </w:pPr>
      <w:r>
        <w:rPr>
          <w:rFonts w:hint="eastAsia"/>
        </w:rPr>
        <w:t>358.</w:t>
      </w:r>
      <w:r>
        <w:rPr>
          <w:rFonts w:hint="eastAsia"/>
        </w:rPr>
        <w:tab/>
      </w:r>
      <w:r>
        <w:rPr>
          <w:rFonts w:hint="eastAsia"/>
        </w:rPr>
        <w:t>不歧视规定并不禁止一切形式的区别对待，即使这种区别对待以该规定中明确提到的原因为基础。本质问题是，从基本权利制度的角度来看，这种区别对待是否有正当理由。然而，这种正当理由须满足较高要求，特别是在该条规定列举的禁止歧视的理由方面。宪制法律委员会的实践不仅提请人们注意区别对待是否可接受，而且提请注意所选择的区别手段是否相称。不歧视规定也适用于人口隔离。即使服务本身无差别，也禁止以隔离的方式向不同人口群体提供服务；但在特定情况下基于可接受的理由，这种做法可被定为具有正当性。</w:t>
      </w:r>
    </w:p>
    <w:p w:rsidR="00342D76" w:rsidRDefault="00342D76" w:rsidP="00342D76">
      <w:pPr>
        <w:pStyle w:val="SingleTxtGC"/>
        <w:tabs>
          <w:tab w:val="clear" w:pos="1565"/>
          <w:tab w:val="clear" w:pos="1996"/>
          <w:tab w:val="clear" w:pos="2427"/>
        </w:tabs>
      </w:pPr>
      <w:r>
        <w:rPr>
          <w:rFonts w:hint="eastAsia"/>
        </w:rPr>
        <w:t>359.</w:t>
      </w:r>
      <w:r>
        <w:rPr>
          <w:rFonts w:hint="eastAsia"/>
        </w:rPr>
        <w:tab/>
      </w:r>
      <w:r>
        <w:rPr>
          <w:rFonts w:hint="eastAsia"/>
        </w:rPr>
        <w:t>芬兰《宪法》还禁止间接歧视，即禁止事实上</w:t>
      </w:r>
      <w:r>
        <w:rPr>
          <w:rFonts w:hint="eastAsia"/>
        </w:rPr>
        <w:t>(</w:t>
      </w:r>
      <w:r>
        <w:rPr>
          <w:rFonts w:hint="eastAsia"/>
        </w:rPr>
        <w:t>若仅通过间接方式</w:t>
      </w:r>
      <w:r>
        <w:rPr>
          <w:rFonts w:hint="eastAsia"/>
        </w:rPr>
        <w:t>)</w:t>
      </w:r>
      <w:r>
        <w:rPr>
          <w:rFonts w:hint="eastAsia"/>
        </w:rPr>
        <w:t>导致歧视结果的措施。偏袒某个人或某个群体或将其置于特权地位的做法如实质上转化为对他人的歧视，则同样受到禁止。</w:t>
      </w:r>
    </w:p>
    <w:p w:rsidR="00342D76" w:rsidRDefault="00342D76" w:rsidP="00342D76">
      <w:pPr>
        <w:pStyle w:val="SingleTxtGC"/>
        <w:tabs>
          <w:tab w:val="clear" w:pos="1565"/>
          <w:tab w:val="clear" w:pos="1996"/>
          <w:tab w:val="clear" w:pos="2427"/>
        </w:tabs>
      </w:pPr>
      <w:r>
        <w:rPr>
          <w:rFonts w:hint="eastAsia"/>
        </w:rPr>
        <w:t>360.</w:t>
      </w:r>
      <w:r>
        <w:rPr>
          <w:rFonts w:hint="eastAsia"/>
        </w:rPr>
        <w:tab/>
      </w:r>
      <w:r>
        <w:rPr>
          <w:rFonts w:hint="eastAsia"/>
        </w:rPr>
        <w:t>芬兰《宪法》的平等和不歧视规定不排除保障事实平等所必需的积极的区别对待，即改善特定群体</w:t>
      </w:r>
      <w:r>
        <w:rPr>
          <w:rFonts w:hint="eastAsia"/>
        </w:rPr>
        <w:t>(</w:t>
      </w:r>
      <w:r>
        <w:rPr>
          <w:rFonts w:hint="eastAsia"/>
        </w:rPr>
        <w:t>如妇女、儿童、少数族裔、失业者</w:t>
      </w:r>
      <w:r>
        <w:rPr>
          <w:rFonts w:hint="eastAsia"/>
        </w:rPr>
        <w:t>)</w:t>
      </w:r>
      <w:r>
        <w:rPr>
          <w:rFonts w:hint="eastAsia"/>
        </w:rPr>
        <w:t>的地位和状况的措施。</w:t>
      </w:r>
    </w:p>
    <w:p w:rsidR="00342D76" w:rsidRDefault="00342D76" w:rsidP="00342D76">
      <w:pPr>
        <w:pStyle w:val="SingleTxtGC"/>
        <w:tabs>
          <w:tab w:val="clear" w:pos="1565"/>
          <w:tab w:val="clear" w:pos="1996"/>
          <w:tab w:val="clear" w:pos="2427"/>
        </w:tabs>
      </w:pPr>
      <w:r>
        <w:rPr>
          <w:rFonts w:hint="eastAsia"/>
        </w:rPr>
        <w:t>361.</w:t>
      </w:r>
      <w:r>
        <w:rPr>
          <w:rFonts w:hint="eastAsia"/>
        </w:rPr>
        <w:tab/>
      </w:r>
      <w:r>
        <w:rPr>
          <w:rFonts w:hint="eastAsia"/>
        </w:rPr>
        <w:t>在芬兰，平等问题也与儿童的地位密切相关；芬兰《宪法》关于儿童平等待遇的第</w:t>
      </w:r>
      <w:r>
        <w:rPr>
          <w:rFonts w:hint="eastAsia"/>
        </w:rPr>
        <w:t>6</w:t>
      </w:r>
      <w:r>
        <w:rPr>
          <w:rFonts w:hint="eastAsia"/>
        </w:rPr>
        <w:t>条第</w:t>
      </w:r>
      <w:r>
        <w:rPr>
          <w:rFonts w:hint="eastAsia"/>
        </w:rPr>
        <w:t>3</w:t>
      </w:r>
      <w:r>
        <w:rPr>
          <w:rFonts w:hint="eastAsia"/>
        </w:rPr>
        <w:t>款强调，应将儿童作为与成年人平等的人对待，他们原则上享有平等的基本权利，儿童之间也应受到平等对待。关于儿童有权影响与自身相关的事务的规定相应地表明，应将每个儿童作为单独的个人对待，而不仅仅是将他们作为活动的被动对象。</w:t>
      </w:r>
    </w:p>
    <w:p w:rsidR="00342D76" w:rsidRDefault="00342D76" w:rsidP="00342D76">
      <w:pPr>
        <w:pStyle w:val="SingleTxtGC"/>
        <w:tabs>
          <w:tab w:val="clear" w:pos="1565"/>
          <w:tab w:val="clear" w:pos="1996"/>
          <w:tab w:val="clear" w:pos="2427"/>
        </w:tabs>
      </w:pPr>
      <w:r>
        <w:rPr>
          <w:rFonts w:hint="eastAsia"/>
        </w:rPr>
        <w:t>362.</w:t>
      </w:r>
      <w:r>
        <w:rPr>
          <w:rFonts w:hint="eastAsia"/>
        </w:rPr>
        <w:tab/>
      </w:r>
      <w:r>
        <w:rPr>
          <w:rFonts w:hint="eastAsia"/>
        </w:rPr>
        <w:t>芬兰《宪法》第</w:t>
      </w:r>
      <w:r>
        <w:rPr>
          <w:rFonts w:hint="eastAsia"/>
        </w:rPr>
        <w:t>6</w:t>
      </w:r>
      <w:r>
        <w:rPr>
          <w:rFonts w:hint="eastAsia"/>
        </w:rPr>
        <w:t>条第</w:t>
      </w:r>
      <w:r>
        <w:rPr>
          <w:rFonts w:hint="eastAsia"/>
        </w:rPr>
        <w:t>4</w:t>
      </w:r>
      <w:r>
        <w:rPr>
          <w:rFonts w:hint="eastAsia"/>
        </w:rPr>
        <w:t>款载有促进社会活动和工作生活中性别平等的一般义务，特别是在确定工资和其他就业条件方面，相关法案对此有更详细的规定。促进社会活动中的</w:t>
      </w:r>
      <w:proofErr w:type="gramStart"/>
      <w:r>
        <w:rPr>
          <w:rFonts w:hint="eastAsia"/>
        </w:rPr>
        <w:t>平等除</w:t>
      </w:r>
      <w:proofErr w:type="gramEnd"/>
      <w:r>
        <w:rPr>
          <w:rFonts w:hint="eastAsia"/>
        </w:rPr>
        <w:t>其他外，指的是促进不同性别在社会决策中拥有参与和开展公民行动的平等机会。该规定没有具体说明促进性别平等的手段，而是交由立法者决定。</w:t>
      </w:r>
    </w:p>
    <w:p w:rsidR="00342D76" w:rsidRDefault="00342D76" w:rsidP="00342D76">
      <w:pPr>
        <w:pStyle w:val="SingleTxtGC"/>
        <w:tabs>
          <w:tab w:val="clear" w:pos="1565"/>
          <w:tab w:val="clear" w:pos="1996"/>
          <w:tab w:val="clear" w:pos="2427"/>
        </w:tabs>
      </w:pPr>
      <w:r>
        <w:rPr>
          <w:rFonts w:hint="eastAsia"/>
        </w:rPr>
        <w:t>363.</w:t>
      </w:r>
      <w:r>
        <w:rPr>
          <w:rFonts w:hint="eastAsia"/>
        </w:rPr>
        <w:tab/>
      </w:r>
      <w:r>
        <w:rPr>
          <w:rFonts w:hint="eastAsia"/>
        </w:rPr>
        <w:t>为具体落实芬兰《宪法》第</w:t>
      </w:r>
      <w:r>
        <w:rPr>
          <w:rFonts w:hint="eastAsia"/>
        </w:rPr>
        <w:t>6</w:t>
      </w:r>
      <w:r>
        <w:rPr>
          <w:rFonts w:hint="eastAsia"/>
        </w:rPr>
        <w:t>条的规定，颁布了《不歧视法》和《平等法》两部独立的法案。</w:t>
      </w:r>
    </w:p>
    <w:p w:rsidR="00342D76" w:rsidRDefault="00342D76" w:rsidP="003D41F2">
      <w:pPr>
        <w:pStyle w:val="H1GC"/>
      </w:pPr>
      <w:r>
        <w:rPr>
          <w:rFonts w:hint="eastAsia"/>
        </w:rPr>
        <w:tab/>
        <w:t>J.</w:t>
      </w:r>
      <w:r>
        <w:rPr>
          <w:rFonts w:hint="eastAsia"/>
        </w:rPr>
        <w:tab/>
      </w:r>
      <w:r>
        <w:rPr>
          <w:rFonts w:hint="eastAsia"/>
        </w:rPr>
        <w:t>促进平等和不歧视以及防止歧视</w:t>
      </w:r>
    </w:p>
    <w:p w:rsidR="00342D76" w:rsidRDefault="00342D76" w:rsidP="00342D76">
      <w:pPr>
        <w:pStyle w:val="SingleTxtGC"/>
        <w:tabs>
          <w:tab w:val="clear" w:pos="1565"/>
          <w:tab w:val="clear" w:pos="1996"/>
          <w:tab w:val="clear" w:pos="2427"/>
        </w:tabs>
      </w:pPr>
      <w:r>
        <w:rPr>
          <w:rFonts w:hint="eastAsia"/>
        </w:rPr>
        <w:t>364.</w:t>
      </w:r>
      <w:r>
        <w:rPr>
          <w:rFonts w:hint="eastAsia"/>
        </w:rPr>
        <w:tab/>
      </w:r>
      <w:r>
        <w:rPr>
          <w:rFonts w:hint="eastAsia"/>
        </w:rPr>
        <w:t>新的《不歧视法》于</w:t>
      </w:r>
      <w:r>
        <w:rPr>
          <w:rFonts w:hint="eastAsia"/>
        </w:rPr>
        <w:t>2015</w:t>
      </w:r>
      <w:r>
        <w:rPr>
          <w:rFonts w:hint="eastAsia"/>
        </w:rPr>
        <w:t>年</w:t>
      </w:r>
      <w:r>
        <w:rPr>
          <w:rFonts w:hint="eastAsia"/>
        </w:rPr>
        <w:t>1</w:t>
      </w:r>
      <w:r>
        <w:rPr>
          <w:rFonts w:hint="eastAsia"/>
        </w:rPr>
        <w:t>月</w:t>
      </w:r>
      <w:r>
        <w:rPr>
          <w:rFonts w:hint="eastAsia"/>
        </w:rPr>
        <w:t>1</w:t>
      </w:r>
      <w:r>
        <w:rPr>
          <w:rFonts w:hint="eastAsia"/>
        </w:rPr>
        <w:t>日生效。该法案</w:t>
      </w:r>
      <w:proofErr w:type="gramStart"/>
      <w:r>
        <w:rPr>
          <w:rFonts w:hint="eastAsia"/>
        </w:rPr>
        <w:t>作出</w:t>
      </w:r>
      <w:proofErr w:type="gramEnd"/>
      <w:r>
        <w:rPr>
          <w:rFonts w:hint="eastAsia"/>
        </w:rPr>
        <w:t>了广泛的保护人们免受歧视的规定。除公共活动以外，该法案还适用于私人活动，但不包括与私生活或家庭生活以及信奉宗教有关的活动。该法案规定了同样广泛的免受歧视保护内容，无论歧视基于出身、年龄、国籍、语言、宗教、信仰、意见、健康状况、残疾、性取向或其他个人特征等何种理由。</w:t>
      </w:r>
    </w:p>
    <w:p w:rsidR="00342D76" w:rsidRDefault="00342D76" w:rsidP="00342D76">
      <w:pPr>
        <w:pStyle w:val="SingleTxtGC"/>
        <w:tabs>
          <w:tab w:val="clear" w:pos="1565"/>
          <w:tab w:val="clear" w:pos="1996"/>
          <w:tab w:val="clear" w:pos="2427"/>
        </w:tabs>
      </w:pPr>
      <w:r>
        <w:rPr>
          <w:rFonts w:hint="eastAsia"/>
        </w:rPr>
        <w:t>365.</w:t>
      </w:r>
      <w:r>
        <w:rPr>
          <w:rFonts w:hint="eastAsia"/>
        </w:rPr>
        <w:tab/>
      </w:r>
      <w:r>
        <w:rPr>
          <w:rFonts w:hint="eastAsia"/>
        </w:rPr>
        <w:t>《不歧视法》规定的促进平等的义务不仅适用于当局，也适用于教育和培训提供者、教育机构和学校以及雇主。它们有义务编制促进平等计划。编制计划的义务适用于长期雇用</w:t>
      </w:r>
      <w:r>
        <w:rPr>
          <w:rFonts w:hint="eastAsia"/>
        </w:rPr>
        <w:t>30</w:t>
      </w:r>
      <w:r>
        <w:rPr>
          <w:rFonts w:hint="eastAsia"/>
        </w:rPr>
        <w:t>人以上的雇主。该计划应涵盖《不歧视法》规定的所有歧视理由。此前，只在促进族裔平等方面要求编制该计划。</w:t>
      </w:r>
    </w:p>
    <w:p w:rsidR="00342D76" w:rsidRDefault="00342D76" w:rsidP="00342D76">
      <w:pPr>
        <w:pStyle w:val="SingleTxtGC"/>
        <w:tabs>
          <w:tab w:val="clear" w:pos="1565"/>
          <w:tab w:val="clear" w:pos="1996"/>
          <w:tab w:val="clear" w:pos="2427"/>
        </w:tabs>
      </w:pPr>
      <w:r>
        <w:rPr>
          <w:rFonts w:hint="eastAsia"/>
        </w:rPr>
        <w:t>366.</w:t>
      </w:r>
      <w:r>
        <w:rPr>
          <w:rFonts w:hint="eastAsia"/>
        </w:rPr>
        <w:tab/>
      </w:r>
      <w:r>
        <w:rPr>
          <w:rFonts w:hint="eastAsia"/>
        </w:rPr>
        <w:t>当局、教育提供者、雇主或商品和服务提供者必须在各种情况下做出合理适当的必要调整，使残疾人能够与其他人平等地与当局打交道，获得教育、工作</w:t>
      </w:r>
      <w:r>
        <w:rPr>
          <w:rFonts w:hint="eastAsia"/>
        </w:rPr>
        <w:lastRenderedPageBreak/>
        <w:t>以及一般可获得的商品和服务，并可管理其工作任务和发展职业生涯。提供的商品和服务也必须为所有人都能平等获得。服务环境必须考虑到人的残疾状况，例如，必须尽可能为任何需要的人安排无障碍路线。目前，雇主已有义务为残疾雇员做出适当调整，而这对于酒店、餐馆和超市等商品和服务提供者而言属于新的义务。</w:t>
      </w:r>
    </w:p>
    <w:p w:rsidR="00342D76" w:rsidRDefault="00342D76" w:rsidP="00342D76">
      <w:pPr>
        <w:pStyle w:val="SingleTxtGC"/>
        <w:tabs>
          <w:tab w:val="clear" w:pos="1565"/>
          <w:tab w:val="clear" w:pos="1996"/>
          <w:tab w:val="clear" w:pos="2427"/>
        </w:tabs>
      </w:pPr>
      <w:r>
        <w:rPr>
          <w:rFonts w:hint="eastAsia"/>
        </w:rPr>
        <w:t>367.</w:t>
      </w:r>
      <w:r>
        <w:rPr>
          <w:rFonts w:hint="eastAsia"/>
        </w:rPr>
        <w:tab/>
      </w:r>
      <w:r>
        <w:rPr>
          <w:rFonts w:hint="eastAsia"/>
        </w:rPr>
        <w:t>就《不歧视法》法而言，公共商品和服务提供者也属于商品和服务提供者。根据以前的《不歧视法》，做出合理适当调整的要求已经适用于雇主，但雇主现在须承担一项新的义务，即残疾人如认为他们在申请就业或在公共服务部门就业，或在就业关系或公法规定的就业关系中因得不到合理调整而受到歧视的，雇主应在接到其请求后及时向该残疾人提供书面报告，说明相关程序的理由。</w:t>
      </w:r>
    </w:p>
    <w:p w:rsidR="00342D76" w:rsidRDefault="00342D76" w:rsidP="00342D76">
      <w:pPr>
        <w:pStyle w:val="SingleTxtGC"/>
        <w:tabs>
          <w:tab w:val="clear" w:pos="1565"/>
          <w:tab w:val="clear" w:pos="1996"/>
          <w:tab w:val="clear" w:pos="2427"/>
        </w:tabs>
      </w:pPr>
      <w:r>
        <w:rPr>
          <w:rFonts w:hint="eastAsia"/>
        </w:rPr>
        <w:t>368.</w:t>
      </w:r>
      <w:r>
        <w:rPr>
          <w:rFonts w:hint="eastAsia"/>
        </w:rPr>
        <w:tab/>
      </w:r>
      <w:r>
        <w:rPr>
          <w:rFonts w:hint="eastAsia"/>
        </w:rPr>
        <w:t>遵守《不歧视法》的情况由不歧视问题监察员、国家不歧视和平等法庭以及职业安全和健康机关监督。不歧视问题监察员也承担职业生活平等方面的职责，但在事关个人的职业生活案件中，实现平等的问题仍由职业安全卫生机关监督。</w:t>
      </w:r>
    </w:p>
    <w:p w:rsidR="00342D76" w:rsidRDefault="00342D76" w:rsidP="00342D76">
      <w:pPr>
        <w:pStyle w:val="SingleTxtGC"/>
        <w:tabs>
          <w:tab w:val="clear" w:pos="1565"/>
          <w:tab w:val="clear" w:pos="1996"/>
          <w:tab w:val="clear" w:pos="2427"/>
        </w:tabs>
      </w:pPr>
      <w:r>
        <w:rPr>
          <w:rFonts w:hint="eastAsia"/>
        </w:rPr>
        <w:t>369.</w:t>
      </w:r>
      <w:r>
        <w:rPr>
          <w:rFonts w:hint="eastAsia"/>
        </w:rPr>
        <w:tab/>
      </w:r>
      <w:r>
        <w:rPr>
          <w:rFonts w:hint="eastAsia"/>
        </w:rPr>
        <w:t>禁止性别歧视和保证两性平等的规定仍载入《男女平等法》。该法的目的是防止性别歧视，促进男女平等，并且提高妇女地位，特别是工作场所中的地位。该法的目的还在于防止基于性别认同或性别表达的歧视。</w:t>
      </w:r>
    </w:p>
    <w:p w:rsidR="00342D76" w:rsidRDefault="00342D76" w:rsidP="00342D76">
      <w:pPr>
        <w:pStyle w:val="SingleTxtGC"/>
        <w:tabs>
          <w:tab w:val="clear" w:pos="1565"/>
          <w:tab w:val="clear" w:pos="1996"/>
          <w:tab w:val="clear" w:pos="2427"/>
        </w:tabs>
      </w:pPr>
      <w:r>
        <w:rPr>
          <w:rFonts w:hint="eastAsia"/>
        </w:rPr>
        <w:t>370.</w:t>
      </w:r>
      <w:r>
        <w:rPr>
          <w:rFonts w:hint="eastAsia"/>
        </w:rPr>
        <w:tab/>
      </w:r>
      <w:r>
        <w:rPr>
          <w:rFonts w:hint="eastAsia"/>
        </w:rPr>
        <w:t>《平等法》增加了禁止基于性别认同或性别表达的歧视的规定，修订了该法关于工作场所平等计划的规定，教育机构的平等计划也扩大到适用于《基础教育法》中提到的提供教育的学校。</w:t>
      </w:r>
    </w:p>
    <w:p w:rsidR="00342D76" w:rsidRDefault="00342D76" w:rsidP="00342D76">
      <w:pPr>
        <w:pStyle w:val="SingleTxtGC"/>
        <w:tabs>
          <w:tab w:val="clear" w:pos="1565"/>
          <w:tab w:val="clear" w:pos="1996"/>
          <w:tab w:val="clear" w:pos="2427"/>
        </w:tabs>
      </w:pPr>
      <w:r>
        <w:rPr>
          <w:rFonts w:hint="eastAsia"/>
        </w:rPr>
        <w:t>371.</w:t>
      </w:r>
      <w:r>
        <w:rPr>
          <w:rFonts w:hint="eastAsia"/>
        </w:rPr>
        <w:tab/>
      </w:r>
      <w:r>
        <w:rPr>
          <w:rFonts w:hint="eastAsia"/>
        </w:rPr>
        <w:t>平等问题监察员监督《平等法》的遵守情况</w:t>
      </w:r>
      <w:r>
        <w:rPr>
          <w:rFonts w:hint="eastAsia"/>
        </w:rPr>
        <w:t>(</w:t>
      </w:r>
      <w:r>
        <w:rPr>
          <w:rFonts w:hint="eastAsia"/>
        </w:rPr>
        <w:t>监察员的任务见于第</w:t>
      </w:r>
      <w:r>
        <w:rPr>
          <w:rFonts w:hint="eastAsia"/>
        </w:rPr>
        <w:t>276-279</w:t>
      </w:r>
      <w:r>
        <w:rPr>
          <w:rFonts w:hint="eastAsia"/>
        </w:rPr>
        <w:t>段</w:t>
      </w:r>
      <w:r>
        <w:rPr>
          <w:rFonts w:hint="eastAsia"/>
        </w:rPr>
        <w:t>)</w:t>
      </w:r>
      <w:r>
        <w:rPr>
          <w:rFonts w:hint="eastAsia"/>
        </w:rPr>
        <w:t>。某人如认为自己受到了《平等法》禁止的歧视，可以向平等问题监察员寻求建议、指导或推动解决。监察员如果发现未能遵守《平等法》规定的义务或违反其规定的情况，则应主要通过提供指导和建议的方式阻止这种行为。平等问题监察员有权将非法歧视个人的案件提交国家不歧视和平等法庭审理。</w:t>
      </w:r>
    </w:p>
    <w:p w:rsidR="00342D76" w:rsidRDefault="00342D76" w:rsidP="00342D76">
      <w:pPr>
        <w:pStyle w:val="SingleTxtGC"/>
        <w:tabs>
          <w:tab w:val="clear" w:pos="1565"/>
          <w:tab w:val="clear" w:pos="1996"/>
          <w:tab w:val="clear" w:pos="2427"/>
        </w:tabs>
      </w:pPr>
      <w:r>
        <w:rPr>
          <w:rFonts w:hint="eastAsia"/>
        </w:rPr>
        <w:t>372.</w:t>
      </w:r>
      <w:r>
        <w:rPr>
          <w:rFonts w:hint="eastAsia"/>
        </w:rPr>
        <w:tab/>
      </w:r>
      <w:r>
        <w:rPr>
          <w:rFonts w:hint="eastAsia"/>
        </w:rPr>
        <w:t>除平等问题监察员以外，不歧视问题监察员也促进平等并解决歧视问题</w:t>
      </w:r>
      <w:r>
        <w:rPr>
          <w:rFonts w:hint="eastAsia"/>
        </w:rPr>
        <w:t>(</w:t>
      </w:r>
      <w:r>
        <w:rPr>
          <w:rFonts w:hint="eastAsia"/>
        </w:rPr>
        <w:t>监察员的任务见于第</w:t>
      </w:r>
      <w:r>
        <w:rPr>
          <w:rFonts w:hint="eastAsia"/>
        </w:rPr>
        <w:t>272-275</w:t>
      </w:r>
      <w:r>
        <w:rPr>
          <w:rFonts w:hint="eastAsia"/>
        </w:rPr>
        <w:t>段</w:t>
      </w:r>
      <w:r>
        <w:rPr>
          <w:rFonts w:hint="eastAsia"/>
        </w:rPr>
        <w:t>)</w:t>
      </w:r>
      <w:r>
        <w:rPr>
          <w:rFonts w:hint="eastAsia"/>
        </w:rPr>
        <w:t>。个人</w:t>
      </w:r>
      <w:proofErr w:type="gramStart"/>
      <w:r>
        <w:rPr>
          <w:rFonts w:hint="eastAsia"/>
        </w:rPr>
        <w:t>如经历</w:t>
      </w:r>
      <w:proofErr w:type="gramEnd"/>
      <w:r>
        <w:rPr>
          <w:rFonts w:hint="eastAsia"/>
        </w:rPr>
        <w:t>或观察到基于年龄、出身、国籍、语言、宗教、信仰、意见、政治活动或工会活动、家庭关系、健康、残疾、性取向或其他个人特征的歧视，可与不歧视问题监察员联系，监察员负有促进面临歧视风险的群体的处境和权利的积极法定义务。</w:t>
      </w:r>
    </w:p>
    <w:p w:rsidR="00342D76" w:rsidRDefault="00342D76" w:rsidP="00342D76">
      <w:pPr>
        <w:pStyle w:val="SingleTxtGC"/>
        <w:tabs>
          <w:tab w:val="clear" w:pos="1565"/>
          <w:tab w:val="clear" w:pos="1996"/>
          <w:tab w:val="clear" w:pos="2427"/>
        </w:tabs>
      </w:pPr>
      <w:r>
        <w:rPr>
          <w:rFonts w:hint="eastAsia"/>
        </w:rPr>
        <w:t>373.</w:t>
      </w:r>
      <w:r>
        <w:rPr>
          <w:rFonts w:hint="eastAsia"/>
        </w:rPr>
        <w:tab/>
      </w:r>
      <w:r>
        <w:rPr>
          <w:rFonts w:hint="eastAsia"/>
        </w:rPr>
        <w:t>国家不歧视和平等法庭的职权范围包括对所有歧视理由进行监督。法庭可以发布禁令和命令，确认案件当事方之间的和解协议，还可为强制执行禁令或命令处以有条件的罚款。职业生活中遵守《不歧视法》的问题不属于法庭的监督范围。</w:t>
      </w:r>
    </w:p>
    <w:p w:rsidR="00342D76" w:rsidRDefault="00342D76" w:rsidP="00342D76">
      <w:pPr>
        <w:pStyle w:val="SingleTxtGC"/>
        <w:tabs>
          <w:tab w:val="clear" w:pos="1565"/>
          <w:tab w:val="clear" w:pos="1996"/>
          <w:tab w:val="clear" w:pos="2427"/>
        </w:tabs>
      </w:pPr>
      <w:r>
        <w:rPr>
          <w:rFonts w:hint="eastAsia"/>
        </w:rPr>
        <w:t>374.</w:t>
      </w:r>
      <w:r>
        <w:rPr>
          <w:rFonts w:hint="eastAsia"/>
        </w:rPr>
        <w:tab/>
      </w:r>
      <w:r>
        <w:rPr>
          <w:rFonts w:hint="eastAsia"/>
        </w:rPr>
        <w:t>国家不歧视和平等法庭是一个公正独立的司法机构。在涉及《不歧视法》的案件中，指控歧视的人或不歧视问题监察员可以向法庭提起诉讼。在涉及《平等法》的案件中，平等问题监察员可在征得当事人同意后提起诉讼。法庭无权自行立案或采取监督行动。法庭由政府任命，监督遵守《不歧视法》和《平等法》的情况。法庭的职权既涵盖私人活动，也涵盖公共行政活动和商业活动，而与私人生活和家庭生活有关的事项不在其职权范围内。有关芬兰议会的事项只有在涉及议会或其机关以公共当局或雇主身份开展的活动时，才可提交该法庭审理。共</w:t>
      </w:r>
      <w:r>
        <w:rPr>
          <w:rFonts w:hint="eastAsia"/>
        </w:rPr>
        <w:lastRenderedPageBreak/>
        <w:t>和国总统、政府全体会议、法院和其他司法机构、政府司法长官及议会监察员的活动不在该法庭的监督之内。</w:t>
      </w:r>
    </w:p>
    <w:p w:rsidR="00342D76" w:rsidRDefault="00342D76" w:rsidP="00342D76">
      <w:pPr>
        <w:pStyle w:val="SingleTxtGC"/>
        <w:tabs>
          <w:tab w:val="clear" w:pos="1565"/>
          <w:tab w:val="clear" w:pos="1996"/>
          <w:tab w:val="clear" w:pos="2427"/>
        </w:tabs>
      </w:pPr>
      <w:r>
        <w:rPr>
          <w:rFonts w:hint="eastAsia"/>
        </w:rPr>
        <w:t>375.</w:t>
      </w:r>
      <w:r>
        <w:rPr>
          <w:rFonts w:hint="eastAsia"/>
        </w:rPr>
        <w:tab/>
      </w:r>
      <w:r>
        <w:rPr>
          <w:rFonts w:hint="eastAsia"/>
        </w:rPr>
        <w:t>国家不歧视和平等法庭不会调查正在等候另一个机构处理的案件。法庭如</w:t>
      </w:r>
      <w:proofErr w:type="gramStart"/>
      <w:r>
        <w:rPr>
          <w:rFonts w:hint="eastAsia"/>
        </w:rPr>
        <w:t>作出</w:t>
      </w:r>
      <w:proofErr w:type="gramEnd"/>
      <w:r>
        <w:rPr>
          <w:rFonts w:hint="eastAsia"/>
        </w:rPr>
        <w:t>裁定，则可禁止持续或重复出现的歧视或侵害行为，为了强制执行其禁令而处以有条件的罚款，还可下令支付此类罚款。此外，法庭可以命令当事方在合理的时间内采取措施，以履行《不歧视法》规定的义务。但是，该法庭不能命令一方支付赔偿。法庭的裁决可向行政法院上诉。虽然处理起诉及</w:t>
      </w:r>
      <w:proofErr w:type="gramStart"/>
      <w:r>
        <w:rPr>
          <w:rFonts w:hint="eastAsia"/>
        </w:rPr>
        <w:t>作出</w:t>
      </w:r>
      <w:proofErr w:type="gramEnd"/>
      <w:r>
        <w:rPr>
          <w:rFonts w:hint="eastAsia"/>
        </w:rPr>
        <w:t>裁决不收取费用，但当事方自身有责任支付与诉讼有关的其他费用，例如法律顾问或律师的费用。</w:t>
      </w:r>
    </w:p>
    <w:p w:rsidR="00342D76" w:rsidRDefault="00342D76" w:rsidP="00342D76">
      <w:pPr>
        <w:pStyle w:val="SingleTxtGC"/>
        <w:tabs>
          <w:tab w:val="clear" w:pos="1565"/>
          <w:tab w:val="clear" w:pos="1996"/>
          <w:tab w:val="clear" w:pos="2427"/>
        </w:tabs>
      </w:pPr>
      <w:r>
        <w:rPr>
          <w:rFonts w:hint="eastAsia"/>
        </w:rPr>
        <w:t>376.</w:t>
      </w:r>
      <w:r>
        <w:rPr>
          <w:rFonts w:hint="eastAsia"/>
        </w:rPr>
        <w:tab/>
      </w:r>
      <w:r>
        <w:rPr>
          <w:rFonts w:hint="eastAsia"/>
        </w:rPr>
        <w:t>国家不歧视和平等法庭已经对包括歧视残疾人和基于族裔出身、性取向、居住地、语言和年龄的歧视在内的议题</w:t>
      </w:r>
      <w:proofErr w:type="gramStart"/>
      <w:r>
        <w:rPr>
          <w:rFonts w:hint="eastAsia"/>
        </w:rPr>
        <w:t>作出</w:t>
      </w:r>
      <w:proofErr w:type="gramEnd"/>
      <w:r>
        <w:rPr>
          <w:rFonts w:hint="eastAsia"/>
        </w:rPr>
        <w:t>裁决和意见。</w:t>
      </w:r>
    </w:p>
    <w:p w:rsidR="00342D76" w:rsidRDefault="00342D76" w:rsidP="00342D76">
      <w:pPr>
        <w:pStyle w:val="SingleTxtGC"/>
        <w:tabs>
          <w:tab w:val="clear" w:pos="1565"/>
          <w:tab w:val="clear" w:pos="1996"/>
          <w:tab w:val="clear" w:pos="2427"/>
        </w:tabs>
      </w:pPr>
      <w:r>
        <w:rPr>
          <w:rFonts w:hint="eastAsia"/>
        </w:rPr>
        <w:t>377.</w:t>
      </w:r>
      <w:r>
        <w:rPr>
          <w:rFonts w:hint="eastAsia"/>
        </w:rPr>
        <w:tab/>
      </w:r>
      <w:r>
        <w:rPr>
          <w:rFonts w:hint="eastAsia"/>
        </w:rPr>
        <w:t>平等问题监察员、儿童问题监察员和不歧视问题监察员的职位和办公室属于司法部的行政部门。国家不歧视和平等法庭也是如此。各专门监察员和新设立的国家不歧视和平等法庭作为司法部行政部门下的独立公正机构行事。与根据新的《不歧视法》促进不歧视和平等有关的职责和项目以及族裔关系咨询委员会已从内务部转移到司法部，而社会事务和卫生部仍负责与《平等法》有关的职责。</w:t>
      </w:r>
    </w:p>
    <w:p w:rsidR="001C00EA" w:rsidRDefault="00342D76" w:rsidP="00342D76">
      <w:pPr>
        <w:pStyle w:val="SingleTxtGC"/>
        <w:tabs>
          <w:tab w:val="clear" w:pos="1565"/>
          <w:tab w:val="clear" w:pos="1996"/>
          <w:tab w:val="clear" w:pos="2427"/>
        </w:tabs>
      </w:pPr>
      <w:r>
        <w:rPr>
          <w:rFonts w:hint="eastAsia"/>
        </w:rPr>
        <w:t>378.</w:t>
      </w:r>
      <w:r>
        <w:rPr>
          <w:rFonts w:hint="eastAsia"/>
        </w:rPr>
        <w:tab/>
      </w:r>
      <w:r>
        <w:rPr>
          <w:rFonts w:hint="eastAsia"/>
        </w:rPr>
        <w:t>政府的全国歧视监测系统除其他</w:t>
      </w:r>
      <w:proofErr w:type="gramStart"/>
      <w:r>
        <w:rPr>
          <w:rFonts w:hint="eastAsia"/>
        </w:rPr>
        <w:t>外负责</w:t>
      </w:r>
      <w:proofErr w:type="gramEnd"/>
      <w:r>
        <w:rPr>
          <w:rFonts w:hint="eastAsia"/>
        </w:rPr>
        <w:t>编写关于芬兰社会歧视发生情况的报告。监测小组收集关于</w:t>
      </w:r>
      <w:proofErr w:type="gramStart"/>
      <w:r>
        <w:rPr>
          <w:rFonts w:hint="eastAsia"/>
        </w:rPr>
        <w:t>不</w:t>
      </w:r>
      <w:proofErr w:type="gramEnd"/>
      <w:r>
        <w:rPr>
          <w:rFonts w:hint="eastAsia"/>
        </w:rPr>
        <w:t>同年龄组和少数群体歧视情况的信息，并审查性别歧视方面的情况。司法部负责维护一个汇编歧视数据的网站。</w:t>
      </w:r>
    </w:p>
    <w:p w:rsidR="001C00EA" w:rsidRDefault="001C00EA" w:rsidP="001C00EA">
      <w:pPr>
        <w:pStyle w:val="SingleTxtGC"/>
      </w:pPr>
    </w:p>
    <w:p w:rsidR="006841DD" w:rsidRPr="002D6A9C" w:rsidRDefault="006841D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C00EA" w:rsidRPr="00A4609B" w:rsidRDefault="001C00EA" w:rsidP="001C00EA">
      <w:pPr>
        <w:pStyle w:val="SingleTxtGC"/>
      </w:pPr>
    </w:p>
    <w:p w:rsidR="00047A2A" w:rsidRPr="00047A2A" w:rsidRDefault="00047A2A" w:rsidP="00047A2A">
      <w:pPr>
        <w:pStyle w:val="SingleTxtGC"/>
      </w:pPr>
    </w:p>
    <w:sectPr w:rsidR="00047A2A" w:rsidRPr="00047A2A"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E7" w:rsidRPr="000D319F" w:rsidRDefault="00714EE7" w:rsidP="000D319F">
      <w:pPr>
        <w:pStyle w:val="af0"/>
        <w:spacing w:after="240"/>
        <w:ind w:left="907"/>
        <w:rPr>
          <w:rFonts w:asciiTheme="majorBidi" w:eastAsia="宋体" w:hAnsiTheme="majorBidi" w:cstheme="majorBidi"/>
          <w:sz w:val="21"/>
          <w:szCs w:val="21"/>
          <w:lang w:val="en-US"/>
        </w:rPr>
      </w:pPr>
    </w:p>
    <w:p w:rsidR="00714EE7" w:rsidRPr="000D319F" w:rsidRDefault="00714EE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14EE7" w:rsidRPr="000D319F" w:rsidRDefault="00714EE7" w:rsidP="000D319F">
      <w:pPr>
        <w:pStyle w:val="af0"/>
      </w:pPr>
    </w:p>
  </w:endnote>
  <w:endnote w:type="continuationNotice" w:id="1">
    <w:p w:rsidR="00714EE7" w:rsidRDefault="0071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E7" w:rsidRPr="00094EC7" w:rsidRDefault="00714EE7" w:rsidP="00094EC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94EC7">
      <w:rPr>
        <w:rStyle w:val="af2"/>
        <w:b w:val="0"/>
        <w:snapToGrid w:val="0"/>
        <w:sz w:val="16"/>
      </w:rPr>
      <w:t>GE.20</w:t>
    </w:r>
    <w:proofErr w:type="spellEnd"/>
    <w:r w:rsidRPr="00094EC7">
      <w:rPr>
        <w:rStyle w:val="af2"/>
        <w:b w:val="0"/>
        <w:snapToGrid w:val="0"/>
        <w:sz w:val="16"/>
      </w:rPr>
      <w:t>-10404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E7" w:rsidRPr="00094EC7" w:rsidRDefault="00714EE7" w:rsidP="00094EC7">
    <w:pPr>
      <w:pStyle w:val="af0"/>
      <w:tabs>
        <w:tab w:val="clear" w:pos="431"/>
        <w:tab w:val="right" w:pos="9638"/>
      </w:tabs>
      <w:rPr>
        <w:rStyle w:val="af2"/>
      </w:rPr>
    </w:pPr>
    <w:proofErr w:type="spellStart"/>
    <w:r>
      <w:t>GE.20</w:t>
    </w:r>
    <w:proofErr w:type="spellEnd"/>
    <w:r>
      <w:t>-10404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E7" w:rsidRPr="0013023B" w:rsidRDefault="00714EE7" w:rsidP="004B0641">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-10404</w:t>
    </w:r>
    <w:r w:rsidRPr="00EE277A">
      <w:rPr>
        <w:sz w:val="20"/>
        <w:lang w:eastAsia="zh-CN"/>
      </w:rPr>
      <w:t xml:space="preserve"> (C)</w:t>
    </w:r>
    <w:r>
      <w:rPr>
        <w:sz w:val="20"/>
        <w:lang w:eastAsia="zh-CN"/>
      </w:rPr>
      <w:tab/>
      <w:t>021020</w:t>
    </w:r>
    <w:r>
      <w:rPr>
        <w:sz w:val="20"/>
        <w:lang w:eastAsia="zh-CN"/>
      </w:rPr>
      <w:tab/>
    </w:r>
    <w:r w:rsidR="007B4464">
      <w:rPr>
        <w:sz w:val="20"/>
        <w:lang w:eastAsia="zh-CN"/>
      </w:rPr>
      <w:t>221</w:t>
    </w:r>
    <w:r>
      <w:rPr>
        <w:sz w:val="20"/>
        <w:lang w:eastAsia="zh-CN"/>
      </w:rPr>
      <w:t>020</w:t>
    </w:r>
  </w:p>
  <w:p w:rsidR="00714EE7" w:rsidRPr="00487939" w:rsidRDefault="00714EE7" w:rsidP="00FD1D4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E7" w:rsidRPr="000157B1" w:rsidRDefault="00714EE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14EE7" w:rsidRPr="000157B1" w:rsidRDefault="00714EE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14EE7" w:rsidRDefault="00714EE7"/>
  </w:footnote>
  <w:footnote w:id="2">
    <w:p w:rsidR="00714EE7" w:rsidRPr="00B723D0" w:rsidRDefault="00714EE7" w:rsidP="00831FD4">
      <w:pPr>
        <w:pStyle w:val="a6"/>
      </w:pPr>
      <w:r>
        <w:rPr>
          <w:rFonts w:hint="eastAsia"/>
        </w:rPr>
        <w:tab/>
      </w:r>
      <w:r w:rsidRPr="00164236">
        <w:rPr>
          <w:rStyle w:val="a8"/>
          <w:rFonts w:eastAsia="宋体"/>
          <w:vertAlign w:val="baseline"/>
        </w:rPr>
        <w:t>*</w:t>
      </w:r>
      <w:r>
        <w:rPr>
          <w:rFonts w:hint="eastAsia"/>
        </w:rPr>
        <w:tab/>
      </w:r>
      <w:r w:rsidRPr="00831FD4">
        <w:rPr>
          <w:rFonts w:hint="eastAsia"/>
        </w:rPr>
        <w:t>本文件印发前未经正式编辑。</w:t>
      </w:r>
    </w:p>
  </w:footnote>
  <w:footnote w:id="3">
    <w:p w:rsidR="00714EE7" w:rsidRPr="005F6BC3" w:rsidRDefault="00714EE7" w:rsidP="00831FD4">
      <w:pPr>
        <w:pStyle w:val="a6"/>
      </w:pPr>
      <w:r w:rsidRPr="005F6BC3">
        <w:rPr>
          <w:rStyle w:val="a8"/>
          <w:rFonts w:eastAsia="宋体"/>
          <w:vertAlign w:val="baseline"/>
        </w:rPr>
        <w:tab/>
        <w:t>**</w:t>
      </w:r>
      <w:r w:rsidRPr="005F6BC3">
        <w:tab/>
      </w:r>
      <w:r w:rsidRPr="00831FD4">
        <w:rPr>
          <w:rFonts w:hint="eastAsia"/>
        </w:rPr>
        <w:t>本文件的附件可在联合国</w:t>
      </w:r>
      <w:bookmarkStart w:id="0" w:name="_GoBack"/>
      <w:bookmarkEnd w:id="0"/>
      <w:r w:rsidRPr="00831FD4">
        <w:rPr>
          <w:rFonts w:hint="eastAsia"/>
        </w:rPr>
        <w:t>人权事务高级专员办事处网站上查阅。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E7" w:rsidRDefault="00714EE7" w:rsidP="00094EC7">
    <w:pPr>
      <w:pStyle w:val="af3"/>
    </w:pPr>
    <w:proofErr w:type="spellStart"/>
    <w:r>
      <w:t>HRI</w:t>
    </w:r>
    <w:proofErr w:type="spellEnd"/>
    <w:r>
      <w:t>/CORE/FIN/2020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E7" w:rsidRPr="00202A30" w:rsidRDefault="00714EE7" w:rsidP="00094EC7">
    <w:pPr>
      <w:pStyle w:val="af3"/>
      <w:jc w:val="right"/>
    </w:pPr>
    <w:proofErr w:type="spellStart"/>
    <w:r>
      <w:t>HRI</w:t>
    </w:r>
    <w:proofErr w:type="spellEnd"/>
    <w:r>
      <w:t>/CORE/FIN/2020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C2361E"/>
    <w:multiLevelType w:val="hybridMultilevel"/>
    <w:tmpl w:val="FF029CDA"/>
    <w:lvl w:ilvl="0" w:tplc="9CF62878">
      <w:start w:val="43"/>
      <w:numFmt w:val="bullet"/>
      <w:lvlText w:val=""/>
      <w:lvlJc w:val="left"/>
      <w:pPr>
        <w:ind w:left="1650" w:hanging="360"/>
      </w:pPr>
      <w:rPr>
        <w:rFonts w:ascii="Wingdings" w:eastAsia="宋体" w:hAnsi="Wingdings" w:cs="Times New Roman" w:hint="default"/>
      </w:rPr>
    </w:lvl>
    <w:lvl w:ilvl="1" w:tplc="04090003" w:tentative="1">
      <w:start w:val="1"/>
      <w:numFmt w:val="bullet"/>
      <w:lvlText w:val=""/>
      <w:lvlJc w:val="left"/>
      <w:pPr>
        <w:ind w:left="2130" w:hanging="420"/>
      </w:pPr>
      <w:rPr>
        <w:rFonts w:ascii="Wingdings" w:hAnsi="Wingdings" w:hint="default"/>
      </w:rPr>
    </w:lvl>
    <w:lvl w:ilvl="2" w:tplc="04090005"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3" w:tentative="1">
      <w:start w:val="1"/>
      <w:numFmt w:val="bullet"/>
      <w:lvlText w:val=""/>
      <w:lvlJc w:val="left"/>
      <w:pPr>
        <w:ind w:left="3390" w:hanging="420"/>
      </w:pPr>
      <w:rPr>
        <w:rFonts w:ascii="Wingdings" w:hAnsi="Wingdings" w:hint="default"/>
      </w:rPr>
    </w:lvl>
    <w:lvl w:ilvl="5" w:tplc="04090005"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3" w:tentative="1">
      <w:start w:val="1"/>
      <w:numFmt w:val="bullet"/>
      <w:lvlText w:val=""/>
      <w:lvlJc w:val="left"/>
      <w:pPr>
        <w:ind w:left="4650" w:hanging="420"/>
      </w:pPr>
      <w:rPr>
        <w:rFonts w:ascii="Wingdings" w:hAnsi="Wingdings" w:hint="default"/>
      </w:rPr>
    </w:lvl>
    <w:lvl w:ilvl="8" w:tplc="04090005" w:tentative="1">
      <w:start w:val="1"/>
      <w:numFmt w:val="bullet"/>
      <w:lvlText w:val=""/>
      <w:lvlJc w:val="left"/>
      <w:pPr>
        <w:ind w:left="507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10"/>
    <w:rsid w:val="000069D3"/>
    <w:rsid w:val="00011483"/>
    <w:rsid w:val="00041F03"/>
    <w:rsid w:val="00047A2A"/>
    <w:rsid w:val="00067DAD"/>
    <w:rsid w:val="00073EE3"/>
    <w:rsid w:val="000824FF"/>
    <w:rsid w:val="000853A6"/>
    <w:rsid w:val="00094EC7"/>
    <w:rsid w:val="000B2431"/>
    <w:rsid w:val="000D319F"/>
    <w:rsid w:val="000E3060"/>
    <w:rsid w:val="000E4D0E"/>
    <w:rsid w:val="000F6F93"/>
    <w:rsid w:val="00125AC6"/>
    <w:rsid w:val="0013023B"/>
    <w:rsid w:val="00144B69"/>
    <w:rsid w:val="00145A4B"/>
    <w:rsid w:val="00150201"/>
    <w:rsid w:val="00153E86"/>
    <w:rsid w:val="00164236"/>
    <w:rsid w:val="00164297"/>
    <w:rsid w:val="00167E10"/>
    <w:rsid w:val="00197F40"/>
    <w:rsid w:val="001A3B58"/>
    <w:rsid w:val="001A701F"/>
    <w:rsid w:val="001B1BD1"/>
    <w:rsid w:val="001C00EA"/>
    <w:rsid w:val="001C3EF2"/>
    <w:rsid w:val="001C6960"/>
    <w:rsid w:val="001D17F6"/>
    <w:rsid w:val="001D2C3F"/>
    <w:rsid w:val="001E7D8D"/>
    <w:rsid w:val="00201EAD"/>
    <w:rsid w:val="00203BF4"/>
    <w:rsid w:val="00204B42"/>
    <w:rsid w:val="002231C3"/>
    <w:rsid w:val="0023114C"/>
    <w:rsid w:val="0024344F"/>
    <w:rsid w:val="0024417F"/>
    <w:rsid w:val="002449E1"/>
    <w:rsid w:val="00250F8D"/>
    <w:rsid w:val="00256CA5"/>
    <w:rsid w:val="002D2B10"/>
    <w:rsid w:val="002D411C"/>
    <w:rsid w:val="002E1C97"/>
    <w:rsid w:val="002E6982"/>
    <w:rsid w:val="002E74B5"/>
    <w:rsid w:val="002F2BE7"/>
    <w:rsid w:val="002F5834"/>
    <w:rsid w:val="00322F05"/>
    <w:rsid w:val="00326EBF"/>
    <w:rsid w:val="00327DF5"/>
    <w:rsid w:val="00327FE4"/>
    <w:rsid w:val="00330614"/>
    <w:rsid w:val="00342D76"/>
    <w:rsid w:val="00370A86"/>
    <w:rsid w:val="00392F6C"/>
    <w:rsid w:val="003A21D3"/>
    <w:rsid w:val="003A5D2F"/>
    <w:rsid w:val="003B2DE7"/>
    <w:rsid w:val="003B316E"/>
    <w:rsid w:val="003B6D9A"/>
    <w:rsid w:val="003C538B"/>
    <w:rsid w:val="003D20CA"/>
    <w:rsid w:val="003D41F2"/>
    <w:rsid w:val="003D7D4D"/>
    <w:rsid w:val="003F0E19"/>
    <w:rsid w:val="003F1848"/>
    <w:rsid w:val="00400F0A"/>
    <w:rsid w:val="00410055"/>
    <w:rsid w:val="00413D23"/>
    <w:rsid w:val="00427F63"/>
    <w:rsid w:val="00430AF3"/>
    <w:rsid w:val="00446645"/>
    <w:rsid w:val="004538F1"/>
    <w:rsid w:val="00457728"/>
    <w:rsid w:val="00475113"/>
    <w:rsid w:val="004A17D1"/>
    <w:rsid w:val="004A7FCE"/>
    <w:rsid w:val="004B0641"/>
    <w:rsid w:val="004C4A0A"/>
    <w:rsid w:val="004E3F9F"/>
    <w:rsid w:val="004E5086"/>
    <w:rsid w:val="00537A98"/>
    <w:rsid w:val="00543EBA"/>
    <w:rsid w:val="005453C2"/>
    <w:rsid w:val="00554D9A"/>
    <w:rsid w:val="00585E98"/>
    <w:rsid w:val="005E1F84"/>
    <w:rsid w:val="005E351B"/>
    <w:rsid w:val="005E403A"/>
    <w:rsid w:val="005F3BD7"/>
    <w:rsid w:val="005F54AA"/>
    <w:rsid w:val="005F6BC3"/>
    <w:rsid w:val="00613913"/>
    <w:rsid w:val="0062476F"/>
    <w:rsid w:val="00626832"/>
    <w:rsid w:val="006516C4"/>
    <w:rsid w:val="006527E4"/>
    <w:rsid w:val="0066073A"/>
    <w:rsid w:val="00677F42"/>
    <w:rsid w:val="00680656"/>
    <w:rsid w:val="006841DD"/>
    <w:rsid w:val="006909B5"/>
    <w:rsid w:val="006952E8"/>
    <w:rsid w:val="006A0483"/>
    <w:rsid w:val="006A2BA4"/>
    <w:rsid w:val="006A3039"/>
    <w:rsid w:val="006B1119"/>
    <w:rsid w:val="006B335C"/>
    <w:rsid w:val="006D0EA7"/>
    <w:rsid w:val="006E3E46"/>
    <w:rsid w:val="006E71B1"/>
    <w:rsid w:val="006F2829"/>
    <w:rsid w:val="006F49C1"/>
    <w:rsid w:val="00705D89"/>
    <w:rsid w:val="00714EE7"/>
    <w:rsid w:val="00731A42"/>
    <w:rsid w:val="0074650F"/>
    <w:rsid w:val="00763AB3"/>
    <w:rsid w:val="00767E69"/>
    <w:rsid w:val="0077079A"/>
    <w:rsid w:val="007830C3"/>
    <w:rsid w:val="00784816"/>
    <w:rsid w:val="007A0F5D"/>
    <w:rsid w:val="007A5599"/>
    <w:rsid w:val="007B4464"/>
    <w:rsid w:val="007C3B64"/>
    <w:rsid w:val="007E063B"/>
    <w:rsid w:val="00816936"/>
    <w:rsid w:val="00821D87"/>
    <w:rsid w:val="00831FD4"/>
    <w:rsid w:val="008333FD"/>
    <w:rsid w:val="00836FD1"/>
    <w:rsid w:val="008541F5"/>
    <w:rsid w:val="00856233"/>
    <w:rsid w:val="00860F27"/>
    <w:rsid w:val="0086126A"/>
    <w:rsid w:val="008B0560"/>
    <w:rsid w:val="008B2BFA"/>
    <w:rsid w:val="008D15E7"/>
    <w:rsid w:val="008E199F"/>
    <w:rsid w:val="0090064A"/>
    <w:rsid w:val="00902271"/>
    <w:rsid w:val="0090460E"/>
    <w:rsid w:val="009123B4"/>
    <w:rsid w:val="009269F1"/>
    <w:rsid w:val="00936F03"/>
    <w:rsid w:val="00943B69"/>
    <w:rsid w:val="00944CB3"/>
    <w:rsid w:val="009501EC"/>
    <w:rsid w:val="00983742"/>
    <w:rsid w:val="00992BB2"/>
    <w:rsid w:val="009B09D7"/>
    <w:rsid w:val="009D35ED"/>
    <w:rsid w:val="009E6C86"/>
    <w:rsid w:val="009F1339"/>
    <w:rsid w:val="00A03CB6"/>
    <w:rsid w:val="00A1364C"/>
    <w:rsid w:val="00A1534A"/>
    <w:rsid w:val="00A21076"/>
    <w:rsid w:val="00A3739A"/>
    <w:rsid w:val="00A4609B"/>
    <w:rsid w:val="00A52DAF"/>
    <w:rsid w:val="00A532D9"/>
    <w:rsid w:val="00A84072"/>
    <w:rsid w:val="00A95614"/>
    <w:rsid w:val="00AC178E"/>
    <w:rsid w:val="00AD5497"/>
    <w:rsid w:val="00AE691A"/>
    <w:rsid w:val="00B01550"/>
    <w:rsid w:val="00B16570"/>
    <w:rsid w:val="00B35CBF"/>
    <w:rsid w:val="00B44F31"/>
    <w:rsid w:val="00B453D9"/>
    <w:rsid w:val="00B53320"/>
    <w:rsid w:val="00BC6206"/>
    <w:rsid w:val="00BC6522"/>
    <w:rsid w:val="00C00759"/>
    <w:rsid w:val="00C02BD1"/>
    <w:rsid w:val="00C121D5"/>
    <w:rsid w:val="00C17349"/>
    <w:rsid w:val="00C351AA"/>
    <w:rsid w:val="00C47EF8"/>
    <w:rsid w:val="00C627C0"/>
    <w:rsid w:val="00C7253F"/>
    <w:rsid w:val="00CA51AF"/>
    <w:rsid w:val="00CA5BB3"/>
    <w:rsid w:val="00CB0EC7"/>
    <w:rsid w:val="00CD7ACE"/>
    <w:rsid w:val="00CF48EC"/>
    <w:rsid w:val="00D11C8E"/>
    <w:rsid w:val="00D26A05"/>
    <w:rsid w:val="00D37D99"/>
    <w:rsid w:val="00D407DA"/>
    <w:rsid w:val="00D56169"/>
    <w:rsid w:val="00D57AA7"/>
    <w:rsid w:val="00D6004D"/>
    <w:rsid w:val="00D914D2"/>
    <w:rsid w:val="00D97B98"/>
    <w:rsid w:val="00DA312D"/>
    <w:rsid w:val="00DC58F5"/>
    <w:rsid w:val="00DC671F"/>
    <w:rsid w:val="00DC68EC"/>
    <w:rsid w:val="00DE4DA7"/>
    <w:rsid w:val="00DF6E91"/>
    <w:rsid w:val="00E33B38"/>
    <w:rsid w:val="00E44B7B"/>
    <w:rsid w:val="00E47AAC"/>
    <w:rsid w:val="00E47FE5"/>
    <w:rsid w:val="00E50E8A"/>
    <w:rsid w:val="00E574AF"/>
    <w:rsid w:val="00E606ED"/>
    <w:rsid w:val="00EC1640"/>
    <w:rsid w:val="00ED01BD"/>
    <w:rsid w:val="00ED3115"/>
    <w:rsid w:val="00F029FD"/>
    <w:rsid w:val="00F146E9"/>
    <w:rsid w:val="00F212B2"/>
    <w:rsid w:val="00F56024"/>
    <w:rsid w:val="00F60DC2"/>
    <w:rsid w:val="00F6419E"/>
    <w:rsid w:val="00F714DA"/>
    <w:rsid w:val="00F90004"/>
    <w:rsid w:val="00F964BD"/>
    <w:rsid w:val="00FA7B2D"/>
    <w:rsid w:val="00FB456B"/>
    <w:rsid w:val="00FD1D4D"/>
    <w:rsid w:val="00FE499C"/>
    <w:rsid w:val="00FF1E74"/>
    <w:rsid w:val="00FF48B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63F4A"/>
  <w15:docId w15:val="{155565DD-AA0D-4168-A2F1-3D3508D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unhideWhenUsed/>
    <w:rsid w:val="00370A86"/>
    <w:rPr>
      <w:color w:val="0000FF" w:themeColor="hyperlink"/>
      <w:u w:val="single"/>
    </w:rPr>
  </w:style>
  <w:style w:type="character" w:styleId="afa">
    <w:name w:val="Unresolved Mention"/>
    <w:basedOn w:val="a0"/>
    <w:uiPriority w:val="99"/>
    <w:semiHidden/>
    <w:unhideWhenUsed/>
    <w:rsid w:val="0037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7936-7E80-4363-990C-6EBAA7BB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56</Pages>
  <Words>54637</Words>
  <Characters>61423</Characters>
  <Application>Microsoft Office Word</Application>
  <DocSecurity>0</DocSecurity>
  <Lines>3117</Lines>
  <Paragraphs>1760</Paragraphs>
  <ScaleCrop>false</ScaleCrop>
  <Company>DCM</Company>
  <LinksUpToDate>false</LinksUpToDate>
  <CharactersWithSpaces>62685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HRI/CORE/FIN/2020</dc:title>
  <dc:subject>2010404</dc:subject>
  <dc:creator>Xin</dc:creator>
  <cp:keywords/>
  <dc:description/>
  <cp:lastModifiedBy>Xin WANG</cp:lastModifiedBy>
  <cp:revision>2</cp:revision>
  <cp:lastPrinted>2014-05-09T11:28:00Z</cp:lastPrinted>
  <dcterms:created xsi:type="dcterms:W3CDTF">2020-10-22T14:02:00Z</dcterms:created>
  <dcterms:modified xsi:type="dcterms:W3CDTF">2020-10-22T14:02:00Z</dcterms:modified>
</cp:coreProperties>
</file>