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524693">
        <w:trPr>
          <w:cantSplit/>
          <w:trHeight w:val="851"/>
        </w:trPr>
        <w:tc>
          <w:tcPr>
            <w:tcW w:w="1276" w:type="dxa"/>
            <w:tcBorders>
              <w:top w:val="nil"/>
              <w:left w:val="nil"/>
              <w:bottom w:val="single" w:sz="4" w:space="0" w:color="auto"/>
              <w:right w:val="nil"/>
            </w:tcBorders>
          </w:tcPr>
          <w:p w:rsidR="00446DE4" w:rsidRDefault="00446DE4" w:rsidP="00524693">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524693">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E53566" w:rsidRDefault="00F92E45" w:rsidP="00524693">
            <w:pPr>
              <w:suppressAutoHyphens w:val="0"/>
              <w:spacing w:after="20"/>
              <w:jc w:val="right"/>
            </w:pPr>
            <w:r w:rsidRPr="00F92E45">
              <w:rPr>
                <w:sz w:val="40"/>
              </w:rPr>
              <w:t>HRI</w:t>
            </w:r>
            <w:r>
              <w:t>/CORE/ECU/2009/Add.1</w:t>
            </w:r>
          </w:p>
        </w:tc>
      </w:tr>
      <w:tr w:rsidR="003107FA" w:rsidTr="00524693">
        <w:trPr>
          <w:cantSplit/>
          <w:trHeight w:val="2835"/>
        </w:trPr>
        <w:tc>
          <w:tcPr>
            <w:tcW w:w="1276" w:type="dxa"/>
            <w:tcBorders>
              <w:top w:val="single" w:sz="4" w:space="0" w:color="auto"/>
              <w:left w:val="nil"/>
              <w:bottom w:val="single" w:sz="12" w:space="0" w:color="auto"/>
              <w:right w:val="nil"/>
            </w:tcBorders>
          </w:tcPr>
          <w:p w:rsidR="003107FA" w:rsidRDefault="00947927" w:rsidP="0052469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1C2E97" w:rsidRDefault="004143EA" w:rsidP="00524693">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F92E45" w:rsidRDefault="00F92E45" w:rsidP="00524693">
            <w:pPr>
              <w:suppressAutoHyphens w:val="0"/>
              <w:spacing w:before="240" w:line="240" w:lineRule="exact"/>
            </w:pPr>
            <w:r>
              <w:t>Distr.: General</w:t>
            </w:r>
          </w:p>
          <w:p w:rsidR="00F92E45" w:rsidRDefault="00F92E45" w:rsidP="00524693">
            <w:pPr>
              <w:suppressAutoHyphens w:val="0"/>
            </w:pPr>
            <w:r>
              <w:t>10 May 2012</w:t>
            </w:r>
          </w:p>
          <w:p w:rsidR="00F92E45" w:rsidRDefault="00F92E45" w:rsidP="00524693">
            <w:pPr>
              <w:suppressAutoHyphens w:val="0"/>
            </w:pPr>
            <w:r>
              <w:t>English</w:t>
            </w:r>
          </w:p>
          <w:p w:rsidR="003107FA" w:rsidRDefault="00F92E45" w:rsidP="00524693">
            <w:pPr>
              <w:suppressAutoHyphens w:val="0"/>
            </w:pPr>
            <w:r>
              <w:t>Original: Spanish</w:t>
            </w:r>
          </w:p>
        </w:tc>
      </w:tr>
    </w:tbl>
    <w:p w:rsidR="00F92E45" w:rsidRDefault="00F92E45" w:rsidP="00F92E45">
      <w:pPr>
        <w:pStyle w:val="HMG"/>
      </w:pPr>
      <w:r>
        <w:tab/>
      </w:r>
      <w:r>
        <w:tab/>
        <w:t>Core document forming part of the reports of States parties</w:t>
      </w:r>
    </w:p>
    <w:p w:rsidR="00F92E45" w:rsidRDefault="00F92E45" w:rsidP="00F92E45">
      <w:pPr>
        <w:pStyle w:val="HMG"/>
        <w:rPr>
          <w:b w:val="0"/>
          <w:sz w:val="20"/>
        </w:rPr>
      </w:pPr>
      <w:r>
        <w:tab/>
      </w:r>
      <w:r>
        <w:tab/>
      </w:r>
      <w:smartTag w:uri="urn:schemas-microsoft-com:office:smarttags" w:element="place">
        <w:smartTag w:uri="urn:schemas-microsoft-com:office:smarttags" w:element="country-region">
          <w:r>
            <w:t>Ecuador</w:t>
          </w:r>
        </w:smartTag>
      </w:smartTag>
      <w:r w:rsidRPr="00F92E45">
        <w:rPr>
          <w:rStyle w:val="FootnoteReference"/>
          <w:b w:val="0"/>
          <w:sz w:val="20"/>
          <w:vertAlign w:val="baseline"/>
        </w:rPr>
        <w:footnoteReference w:customMarkFollows="1" w:id="2"/>
        <w:t>*</w:t>
      </w:r>
    </w:p>
    <w:p w:rsidR="00F92E45" w:rsidRDefault="00F92E45" w:rsidP="00F92E45">
      <w:pPr>
        <w:pStyle w:val="H23G"/>
      </w:pPr>
      <w:r>
        <w:tab/>
      </w:r>
      <w:r>
        <w:tab/>
        <w:t>Addendum</w:t>
      </w:r>
    </w:p>
    <w:p w:rsidR="00F92E45" w:rsidRPr="00F92E45" w:rsidRDefault="00F92E45" w:rsidP="00F92E45">
      <w:pPr>
        <w:pStyle w:val="HChG"/>
      </w:pPr>
      <w:r w:rsidRPr="00F92E45">
        <w:tab/>
      </w:r>
      <w:r w:rsidRPr="00F92E45">
        <w:tab/>
        <w:t xml:space="preserve">Updating of information </w:t>
      </w:r>
      <w:r>
        <w:t xml:space="preserve">contained </w:t>
      </w:r>
      <w:r w:rsidRPr="00F92E45">
        <w:t xml:space="preserve">in the common core document of </w:t>
      </w:r>
      <w:smartTag w:uri="urn:schemas-microsoft-com:office:smarttags" w:element="country-region">
        <w:smartTag w:uri="urn:schemas-microsoft-com:office:smarttags" w:element="place">
          <w:r w:rsidRPr="00F92E45">
            <w:t>Ecuador</w:t>
          </w:r>
        </w:smartTag>
      </w:smartTag>
      <w:r w:rsidRPr="00F92E45">
        <w:t xml:space="preserve"> (HRI/CORE/ECU/2009) </w:t>
      </w:r>
    </w:p>
    <w:p w:rsidR="00F92E45" w:rsidRPr="00F92E45" w:rsidRDefault="00F92E45" w:rsidP="00F92E45">
      <w:pPr>
        <w:pStyle w:val="SingleTxtG"/>
        <w:jc w:val="right"/>
      </w:pPr>
      <w:r w:rsidRPr="00F92E45">
        <w:t>[15 February 2012]</w:t>
      </w:r>
    </w:p>
    <w:p w:rsidR="00F92E45" w:rsidRDefault="00F92E45" w:rsidP="008E6E77">
      <w:pPr>
        <w:pStyle w:val="HChG"/>
        <w:spacing w:before="220" w:after="220"/>
      </w:pPr>
      <w:r w:rsidRPr="00F92E45">
        <w:br w:type="page"/>
      </w:r>
      <w:r>
        <w:tab/>
        <w:t>A.</w:t>
      </w:r>
      <w:r>
        <w:tab/>
        <w:t>Introduction</w:t>
      </w:r>
    </w:p>
    <w:p w:rsidR="00F92E45" w:rsidRPr="00F92E45" w:rsidRDefault="00F92E45" w:rsidP="00F92E45">
      <w:pPr>
        <w:pStyle w:val="SingleTxtG"/>
      </w:pPr>
      <w:r w:rsidRPr="00F92E45">
        <w:t>1.</w:t>
      </w:r>
      <w:r w:rsidRPr="00F92E45">
        <w:tab/>
        <w:t>This document updates the information provided in chapter I</w:t>
      </w:r>
      <w:r>
        <w:t>A</w:t>
      </w:r>
      <w:r w:rsidRPr="00F92E45">
        <w:t xml:space="preserve"> of Ecuador</w:t>
      </w:r>
      <w:r w:rsidR="00534E2F">
        <w:t>’</w:t>
      </w:r>
      <w:r w:rsidRPr="00F92E45">
        <w:t>s common core document (HRI/CORE/ECU/2009).</w:t>
      </w:r>
    </w:p>
    <w:p w:rsidR="00F92E45" w:rsidRPr="00F92E45" w:rsidRDefault="00F92E45" w:rsidP="008E6E77">
      <w:pPr>
        <w:pStyle w:val="HChG"/>
        <w:spacing w:before="220" w:after="220"/>
      </w:pPr>
      <w:r w:rsidRPr="00F92E45">
        <w:tab/>
        <w:t>B.</w:t>
      </w:r>
      <w:r w:rsidRPr="00F92E45">
        <w:tab/>
        <w:t>Demographic, economic, social and cultural characteristics</w:t>
      </w:r>
    </w:p>
    <w:p w:rsidR="00F92E45" w:rsidRPr="00F92E45" w:rsidRDefault="00F92E45" w:rsidP="00C37212">
      <w:pPr>
        <w:pStyle w:val="H1G"/>
        <w:spacing w:before="220" w:after="220"/>
      </w:pPr>
      <w:r w:rsidRPr="00F92E45">
        <w:tab/>
      </w:r>
      <w:r w:rsidRPr="00F92E45">
        <w:tab/>
      </w:r>
      <w:r w:rsidRPr="00F92E45">
        <w:rPr>
          <w:lang w:val="fr-FR"/>
        </w:rPr>
        <w:t xml:space="preserve">Population census (HRI/CORE/ECU/2009, para. </w:t>
      </w:r>
      <w:r w:rsidRPr="00F92E45">
        <w:t>10)</w:t>
      </w:r>
    </w:p>
    <w:p w:rsidR="00F92E45" w:rsidRPr="00F92E45" w:rsidRDefault="00F92E45" w:rsidP="00F92E45">
      <w:pPr>
        <w:pStyle w:val="SingleTxtG"/>
      </w:pPr>
      <w:r w:rsidRPr="00F92E45">
        <w:t>2.</w:t>
      </w:r>
      <w:r w:rsidRPr="00F92E45">
        <w:tab/>
        <w:t>The national census referred to in the common core document dated from 2</w:t>
      </w:r>
      <w:r>
        <w:t>001 and covered the decade 1990–</w:t>
      </w:r>
      <w:r w:rsidRPr="00F92E45">
        <w:t xml:space="preserve">2001. According to the most recent population census </w:t>
      </w:r>
      <w:r>
        <w:t>(based on</w:t>
      </w:r>
      <w:r w:rsidRPr="00F92E45">
        <w:t xml:space="preserve"> the seventh population census and the sixth housing census conducted in 2010</w:t>
      </w:r>
      <w:r>
        <w:t>)</w:t>
      </w:r>
      <w:r w:rsidRPr="00F92E45">
        <w:t xml:space="preserve"> </w:t>
      </w:r>
      <w:smartTag w:uri="urn:schemas-microsoft-com:office:smarttags" w:element="country-region">
        <w:smartTag w:uri="urn:schemas-microsoft-com:office:smarttags" w:element="place">
          <w:r w:rsidRPr="00F92E45">
            <w:t>Ecuador</w:t>
          </w:r>
        </w:smartTag>
      </w:smartTag>
      <w:r w:rsidRPr="00F92E45">
        <w:t xml:space="preserve"> has a </w:t>
      </w:r>
      <w:r>
        <w:t xml:space="preserve">total </w:t>
      </w:r>
      <w:r w:rsidRPr="00F92E45">
        <w:t>population of 14,483,499. The ethnic composition of the population is: 71.9 per cent mestizo; 7.4 per cent Montubio; 7.2 per cent</w:t>
      </w:r>
      <w:r>
        <w:t xml:space="preserve"> Afro-</w:t>
      </w:r>
      <w:proofErr w:type="spellStart"/>
      <w:r>
        <w:t>Ecuadoria</w:t>
      </w:r>
      <w:proofErr w:type="spellEnd"/>
      <w:r w:rsidR="00A223B0">
        <w:t>;</w:t>
      </w:r>
      <w:r w:rsidRPr="00F92E45">
        <w:t xml:space="preserve"> and 7 per cent indigenous. The population grew at an annual rate of 1.95 per cent in the period between the </w:t>
      </w:r>
      <w:r>
        <w:t xml:space="preserve">2001 and 2010 </w:t>
      </w:r>
      <w:r w:rsidRPr="00F92E45">
        <w:t>censuses. The urban population accounts for 63 per cent of the total and the rural population 37 per cent.</w:t>
      </w:r>
    </w:p>
    <w:p w:rsidR="00F92E45" w:rsidRPr="00F92E45" w:rsidRDefault="00F92E45" w:rsidP="00C37212">
      <w:pPr>
        <w:pStyle w:val="H1G"/>
        <w:spacing w:before="200" w:after="200"/>
      </w:pPr>
      <w:r w:rsidRPr="00F92E45">
        <w:tab/>
      </w:r>
      <w:r w:rsidRPr="00F92E45">
        <w:tab/>
        <w:t xml:space="preserve">Statistics on births and deaths (para. 23) </w:t>
      </w:r>
    </w:p>
    <w:p w:rsidR="00F92E45" w:rsidRPr="00F92E45" w:rsidRDefault="00F92E45" w:rsidP="00AB622F">
      <w:pPr>
        <w:pStyle w:val="SingleTxtG"/>
        <w:spacing w:after="240"/>
      </w:pPr>
      <w:r w:rsidRPr="00F92E45">
        <w:t>3.</w:t>
      </w:r>
      <w:r w:rsidRPr="00F92E45">
        <w:tab/>
        <w:t xml:space="preserve">The </w:t>
      </w:r>
      <w:r w:rsidR="00375AFB">
        <w:t xml:space="preserve">statistics </w:t>
      </w:r>
      <w:r w:rsidRPr="00F92E45">
        <w:t xml:space="preserve">in the common core document dated from 2007. Current data, </w:t>
      </w:r>
      <w:r w:rsidR="00375AFB">
        <w:t>pertaining to</w:t>
      </w:r>
      <w:r w:rsidRPr="00F92E45">
        <w:t xml:space="preserve"> 2010, are provided in the following tables:</w:t>
      </w:r>
    </w:p>
    <w:p w:rsidR="00F92E45" w:rsidRPr="00F92E45" w:rsidRDefault="00F92E45" w:rsidP="00375AFB">
      <w:pPr>
        <w:pStyle w:val="Heading1"/>
      </w:pPr>
      <w:r w:rsidRPr="00F92E45">
        <w:t>Table 1</w:t>
      </w:r>
    </w:p>
    <w:p w:rsidR="00F92E45" w:rsidRPr="00375AFB" w:rsidRDefault="00F92E45" w:rsidP="008E6E77">
      <w:pPr>
        <w:pStyle w:val="SingleTxtG"/>
        <w:rPr>
          <w:b/>
        </w:rPr>
      </w:pPr>
      <w:r w:rsidRPr="00375AFB">
        <w:rPr>
          <w:b/>
        </w:rPr>
        <w:t>Actual and registered births, 2009</w:t>
      </w:r>
      <w:r w:rsidR="00375AFB">
        <w:rPr>
          <w:b/>
        </w:rPr>
        <w:t>–</w:t>
      </w:r>
      <w:r w:rsidRPr="00375AFB">
        <w:rPr>
          <w:b/>
        </w:rPr>
        <w:t>2010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258"/>
        <w:gridCol w:w="2056"/>
        <w:gridCol w:w="2056"/>
      </w:tblGrid>
      <w:tr w:rsidR="00F92E45" w:rsidRPr="00375AFB" w:rsidTr="00155A7C">
        <w:trPr>
          <w:cantSplit/>
          <w:trHeight w:val="20"/>
          <w:tblHeader/>
        </w:trPr>
        <w:tc>
          <w:tcPr>
            <w:tcW w:w="3258" w:type="dxa"/>
            <w:tcBorders>
              <w:top w:val="single" w:sz="4" w:space="0" w:color="auto"/>
              <w:bottom w:val="single" w:sz="12" w:space="0" w:color="auto"/>
            </w:tcBorders>
            <w:shd w:val="clear" w:color="auto" w:fill="auto"/>
            <w:vAlign w:val="bottom"/>
          </w:tcPr>
          <w:p w:rsidR="00F92E45" w:rsidRPr="00375AFB" w:rsidRDefault="00F92E45" w:rsidP="00F67580">
            <w:pPr>
              <w:suppressAutoHyphens w:val="0"/>
              <w:spacing w:before="80" w:after="80" w:line="200" w:lineRule="exact"/>
              <w:ind w:right="113"/>
              <w:rPr>
                <w:i/>
                <w:sz w:val="16"/>
              </w:rPr>
            </w:pPr>
          </w:p>
        </w:tc>
        <w:tc>
          <w:tcPr>
            <w:tcW w:w="2056" w:type="dxa"/>
            <w:tcBorders>
              <w:top w:val="single" w:sz="4" w:space="0" w:color="auto"/>
              <w:bottom w:val="single" w:sz="12" w:space="0" w:color="auto"/>
            </w:tcBorders>
            <w:shd w:val="clear" w:color="auto" w:fill="auto"/>
            <w:vAlign w:val="bottom"/>
          </w:tcPr>
          <w:p w:rsidR="00F92E45" w:rsidRPr="00375AFB" w:rsidRDefault="00F92E45" w:rsidP="00375AFB">
            <w:pPr>
              <w:suppressAutoHyphens w:val="0"/>
              <w:spacing w:before="80" w:after="80" w:line="200" w:lineRule="exact"/>
              <w:ind w:right="113"/>
              <w:jc w:val="right"/>
              <w:rPr>
                <w:i/>
                <w:sz w:val="16"/>
              </w:rPr>
            </w:pPr>
            <w:r w:rsidRPr="00375AFB">
              <w:rPr>
                <w:i/>
                <w:sz w:val="16"/>
              </w:rPr>
              <w:t>2009</w:t>
            </w:r>
          </w:p>
        </w:tc>
        <w:tc>
          <w:tcPr>
            <w:tcW w:w="2056" w:type="dxa"/>
            <w:tcBorders>
              <w:top w:val="single" w:sz="4" w:space="0" w:color="auto"/>
              <w:bottom w:val="single" w:sz="12" w:space="0" w:color="auto"/>
            </w:tcBorders>
            <w:shd w:val="clear" w:color="auto" w:fill="auto"/>
            <w:vAlign w:val="bottom"/>
          </w:tcPr>
          <w:p w:rsidR="00F92E45" w:rsidRPr="00375AFB" w:rsidRDefault="00F92E45" w:rsidP="00375AFB">
            <w:pPr>
              <w:suppressAutoHyphens w:val="0"/>
              <w:spacing w:before="80" w:after="80" w:line="200" w:lineRule="exact"/>
              <w:ind w:right="113"/>
              <w:jc w:val="right"/>
              <w:rPr>
                <w:i/>
                <w:sz w:val="16"/>
              </w:rPr>
            </w:pPr>
            <w:r w:rsidRPr="00375AFB">
              <w:rPr>
                <w:i/>
                <w:sz w:val="16"/>
              </w:rPr>
              <w:t>2010</w:t>
            </w:r>
          </w:p>
        </w:tc>
      </w:tr>
      <w:tr w:rsidR="00F92E45" w:rsidRPr="00375AFB" w:rsidTr="00FC35D5">
        <w:trPr>
          <w:cantSplit/>
          <w:trHeight w:val="240"/>
        </w:trPr>
        <w:tc>
          <w:tcPr>
            <w:tcW w:w="3258" w:type="dxa"/>
            <w:tcBorders>
              <w:top w:val="single" w:sz="12" w:space="0" w:color="auto"/>
              <w:bottom w:val="single" w:sz="4" w:space="0" w:color="auto"/>
            </w:tcBorders>
            <w:shd w:val="clear" w:color="auto" w:fill="auto"/>
          </w:tcPr>
          <w:p w:rsidR="00F92E45" w:rsidRPr="00C37212" w:rsidRDefault="00F92E45" w:rsidP="00C37212">
            <w:pPr>
              <w:suppressAutoHyphens w:val="0"/>
              <w:spacing w:before="80" w:after="80" w:line="220" w:lineRule="exact"/>
              <w:ind w:left="284" w:right="113"/>
              <w:rPr>
                <w:b/>
                <w:sz w:val="18"/>
              </w:rPr>
            </w:pPr>
            <w:r w:rsidRPr="00C37212">
              <w:rPr>
                <w:b/>
                <w:sz w:val="18"/>
              </w:rPr>
              <w:t>Total births registered in the year</w:t>
            </w:r>
          </w:p>
        </w:tc>
        <w:tc>
          <w:tcPr>
            <w:tcW w:w="2056" w:type="dxa"/>
            <w:tcBorders>
              <w:top w:val="single" w:sz="12" w:space="0" w:color="auto"/>
              <w:bottom w:val="single" w:sz="4" w:space="0" w:color="auto"/>
            </w:tcBorders>
            <w:shd w:val="clear" w:color="auto" w:fill="auto"/>
            <w:vAlign w:val="bottom"/>
          </w:tcPr>
          <w:p w:rsidR="00F92E45" w:rsidRPr="00C37212" w:rsidRDefault="00F92E45" w:rsidP="00C37212">
            <w:pPr>
              <w:suppressAutoHyphens w:val="0"/>
              <w:spacing w:before="80" w:after="80" w:line="220" w:lineRule="exact"/>
              <w:ind w:right="113"/>
              <w:jc w:val="right"/>
              <w:rPr>
                <w:b/>
                <w:sz w:val="18"/>
              </w:rPr>
            </w:pPr>
            <w:r w:rsidRPr="00C37212">
              <w:rPr>
                <w:b/>
                <w:sz w:val="18"/>
              </w:rPr>
              <w:t>361</w:t>
            </w:r>
            <w:r w:rsidR="00375AFB" w:rsidRPr="00C37212">
              <w:rPr>
                <w:b/>
                <w:sz w:val="18"/>
              </w:rPr>
              <w:t xml:space="preserve"> </w:t>
            </w:r>
            <w:r w:rsidRPr="00C37212">
              <w:rPr>
                <w:b/>
                <w:sz w:val="18"/>
              </w:rPr>
              <w:t>345</w:t>
            </w:r>
          </w:p>
        </w:tc>
        <w:tc>
          <w:tcPr>
            <w:tcW w:w="2056" w:type="dxa"/>
            <w:tcBorders>
              <w:top w:val="single" w:sz="12" w:space="0" w:color="auto"/>
              <w:bottom w:val="single" w:sz="4" w:space="0" w:color="auto"/>
            </w:tcBorders>
            <w:shd w:val="clear" w:color="auto" w:fill="auto"/>
            <w:vAlign w:val="bottom"/>
          </w:tcPr>
          <w:p w:rsidR="00F92E45" w:rsidRPr="00C37212" w:rsidRDefault="00F92E45" w:rsidP="00C37212">
            <w:pPr>
              <w:suppressAutoHyphens w:val="0"/>
              <w:spacing w:before="80" w:after="80" w:line="220" w:lineRule="exact"/>
              <w:ind w:right="113"/>
              <w:jc w:val="right"/>
              <w:rPr>
                <w:b/>
                <w:sz w:val="18"/>
              </w:rPr>
            </w:pPr>
            <w:r w:rsidRPr="00C37212">
              <w:rPr>
                <w:b/>
                <w:sz w:val="18"/>
              </w:rPr>
              <w:t>351</w:t>
            </w:r>
            <w:r w:rsidR="00375AFB" w:rsidRPr="00C37212">
              <w:rPr>
                <w:b/>
                <w:sz w:val="18"/>
              </w:rPr>
              <w:t xml:space="preserve"> </w:t>
            </w:r>
            <w:r w:rsidRPr="00C37212">
              <w:rPr>
                <w:b/>
                <w:sz w:val="18"/>
              </w:rPr>
              <w:t>530</w:t>
            </w:r>
          </w:p>
        </w:tc>
      </w:tr>
      <w:tr w:rsidR="00F92E45" w:rsidRPr="00375AFB" w:rsidTr="00FC35D5">
        <w:trPr>
          <w:cantSplit/>
          <w:trHeight w:val="20"/>
        </w:trPr>
        <w:tc>
          <w:tcPr>
            <w:tcW w:w="3258" w:type="dxa"/>
            <w:tcBorders>
              <w:top w:val="single" w:sz="4" w:space="0" w:color="auto"/>
            </w:tcBorders>
            <w:shd w:val="clear" w:color="auto" w:fill="auto"/>
            <w:vAlign w:val="bottom"/>
          </w:tcPr>
          <w:p w:rsidR="00F92E45" w:rsidRPr="00375AFB" w:rsidRDefault="00F92E45" w:rsidP="00375AFB">
            <w:pPr>
              <w:suppressAutoHyphens w:val="0"/>
              <w:spacing w:before="40" w:after="40" w:line="220" w:lineRule="exact"/>
              <w:ind w:right="113"/>
              <w:rPr>
                <w:sz w:val="18"/>
              </w:rPr>
            </w:pPr>
            <w:r w:rsidRPr="00375AFB">
              <w:rPr>
                <w:sz w:val="18"/>
              </w:rPr>
              <w:t>Births registered the first year</w:t>
            </w:r>
          </w:p>
        </w:tc>
        <w:tc>
          <w:tcPr>
            <w:tcW w:w="2056" w:type="dxa"/>
            <w:tcBorders>
              <w:top w:val="single" w:sz="4"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215</w:t>
            </w:r>
            <w:r w:rsidR="00375AFB">
              <w:rPr>
                <w:sz w:val="18"/>
              </w:rPr>
              <w:t xml:space="preserve"> </w:t>
            </w:r>
            <w:r w:rsidRPr="00375AFB">
              <w:rPr>
                <w:sz w:val="18"/>
              </w:rPr>
              <w:t>906</w:t>
            </w:r>
          </w:p>
        </w:tc>
        <w:tc>
          <w:tcPr>
            <w:tcW w:w="2056" w:type="dxa"/>
            <w:tcBorders>
              <w:top w:val="single" w:sz="4"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219</w:t>
            </w:r>
            <w:r w:rsidR="00375AFB">
              <w:rPr>
                <w:sz w:val="18"/>
              </w:rPr>
              <w:t xml:space="preserve"> </w:t>
            </w:r>
            <w:r w:rsidRPr="00375AFB">
              <w:rPr>
                <w:sz w:val="18"/>
              </w:rPr>
              <w:t>162</w:t>
            </w:r>
          </w:p>
        </w:tc>
      </w:tr>
      <w:tr w:rsidR="00F92E45" w:rsidRPr="00375AFB" w:rsidTr="00FC35D5">
        <w:trPr>
          <w:cantSplit/>
          <w:trHeight w:val="20"/>
        </w:trPr>
        <w:tc>
          <w:tcPr>
            <w:tcW w:w="3258" w:type="dxa"/>
            <w:shd w:val="clear" w:color="auto" w:fill="auto"/>
            <w:vAlign w:val="bottom"/>
          </w:tcPr>
          <w:p w:rsidR="00F92E45" w:rsidRPr="00375AFB" w:rsidRDefault="00F92E45" w:rsidP="00375AFB">
            <w:pPr>
              <w:suppressAutoHyphens w:val="0"/>
              <w:spacing w:before="40" w:after="40" w:line="220" w:lineRule="exact"/>
              <w:ind w:right="113"/>
              <w:rPr>
                <w:sz w:val="18"/>
              </w:rPr>
            </w:pPr>
            <w:r w:rsidRPr="00375AFB">
              <w:rPr>
                <w:sz w:val="18"/>
              </w:rPr>
              <w:t>Births registered the second year</w:t>
            </w:r>
          </w:p>
        </w:tc>
        <w:tc>
          <w:tcPr>
            <w:tcW w:w="2056"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82</w:t>
            </w:r>
            <w:r w:rsidR="00375AFB">
              <w:rPr>
                <w:sz w:val="18"/>
              </w:rPr>
              <w:t xml:space="preserve"> </w:t>
            </w:r>
            <w:r w:rsidRPr="00375AFB">
              <w:rPr>
                <w:sz w:val="18"/>
              </w:rPr>
              <w:t>431</w:t>
            </w:r>
          </w:p>
        </w:tc>
        <w:tc>
          <w:tcPr>
            <w:tcW w:w="2056" w:type="dxa"/>
            <w:shd w:val="clear" w:color="auto" w:fill="auto"/>
            <w:vAlign w:val="bottom"/>
          </w:tcPr>
          <w:p w:rsidR="00F92E45" w:rsidRPr="00375AFB" w:rsidRDefault="001F1284" w:rsidP="00375AFB">
            <w:pPr>
              <w:suppressAutoHyphens w:val="0"/>
              <w:spacing w:before="40" w:after="40" w:line="220" w:lineRule="exact"/>
              <w:ind w:right="113"/>
              <w:jc w:val="right"/>
              <w:rPr>
                <w:sz w:val="18"/>
              </w:rPr>
            </w:pPr>
            <w:r>
              <w:rPr>
                <w:sz w:val="18"/>
              </w:rPr>
              <w:t>-</w:t>
            </w:r>
          </w:p>
        </w:tc>
      </w:tr>
      <w:tr w:rsidR="00F92E45" w:rsidRPr="00375AFB" w:rsidTr="00FC35D5">
        <w:trPr>
          <w:cantSplit/>
          <w:trHeight w:val="20"/>
        </w:trPr>
        <w:tc>
          <w:tcPr>
            <w:tcW w:w="3258" w:type="dxa"/>
            <w:shd w:val="clear" w:color="auto" w:fill="auto"/>
            <w:vAlign w:val="bottom"/>
          </w:tcPr>
          <w:p w:rsidR="00F92E45" w:rsidRPr="00375AFB" w:rsidRDefault="00F92E45" w:rsidP="00375AFB">
            <w:pPr>
              <w:suppressAutoHyphens w:val="0"/>
              <w:spacing w:before="40" w:after="40" w:line="220" w:lineRule="exact"/>
              <w:ind w:right="113"/>
              <w:rPr>
                <w:sz w:val="18"/>
              </w:rPr>
            </w:pPr>
            <w:r w:rsidRPr="00375AFB">
              <w:rPr>
                <w:sz w:val="18"/>
              </w:rPr>
              <w:t>Population estimate</w:t>
            </w:r>
          </w:p>
        </w:tc>
        <w:tc>
          <w:tcPr>
            <w:tcW w:w="2056"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14</w:t>
            </w:r>
            <w:r w:rsidR="00375AFB">
              <w:rPr>
                <w:sz w:val="18"/>
              </w:rPr>
              <w:t xml:space="preserve"> </w:t>
            </w:r>
            <w:r w:rsidRPr="00375AFB">
              <w:rPr>
                <w:sz w:val="18"/>
              </w:rPr>
              <w:t>005</w:t>
            </w:r>
            <w:r w:rsidR="00375AFB">
              <w:rPr>
                <w:sz w:val="18"/>
              </w:rPr>
              <w:t xml:space="preserve"> </w:t>
            </w:r>
            <w:r w:rsidRPr="00375AFB">
              <w:rPr>
                <w:sz w:val="18"/>
              </w:rPr>
              <w:t>449</w:t>
            </w:r>
          </w:p>
        </w:tc>
        <w:tc>
          <w:tcPr>
            <w:tcW w:w="2056"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14</w:t>
            </w:r>
            <w:r w:rsidR="00375AFB">
              <w:rPr>
                <w:sz w:val="18"/>
              </w:rPr>
              <w:t xml:space="preserve"> </w:t>
            </w:r>
            <w:r w:rsidRPr="00375AFB">
              <w:rPr>
                <w:sz w:val="18"/>
              </w:rPr>
              <w:t>204</w:t>
            </w:r>
            <w:r w:rsidR="00375AFB">
              <w:rPr>
                <w:sz w:val="18"/>
              </w:rPr>
              <w:t xml:space="preserve"> </w:t>
            </w:r>
            <w:r w:rsidRPr="00375AFB">
              <w:rPr>
                <w:sz w:val="18"/>
              </w:rPr>
              <w:t>900</w:t>
            </w:r>
          </w:p>
        </w:tc>
      </w:tr>
      <w:tr w:rsidR="00F92E45" w:rsidRPr="00375AFB" w:rsidTr="00FC35D5">
        <w:trPr>
          <w:cantSplit/>
          <w:trHeight w:val="20"/>
        </w:trPr>
        <w:tc>
          <w:tcPr>
            <w:tcW w:w="3258" w:type="dxa"/>
            <w:shd w:val="clear" w:color="auto" w:fill="auto"/>
            <w:vAlign w:val="bottom"/>
          </w:tcPr>
          <w:p w:rsidR="00F92E45" w:rsidRPr="00375AFB" w:rsidRDefault="00F92E45" w:rsidP="00375AFB">
            <w:pPr>
              <w:suppressAutoHyphens w:val="0"/>
              <w:spacing w:before="40" w:after="40" w:line="220" w:lineRule="exact"/>
              <w:ind w:right="113"/>
              <w:rPr>
                <w:sz w:val="18"/>
              </w:rPr>
            </w:pPr>
            <w:r w:rsidRPr="00375AFB">
              <w:rPr>
                <w:sz w:val="18"/>
              </w:rPr>
              <w:t xml:space="preserve">Percentage of births registered in the </w:t>
            </w:r>
            <w:r w:rsidR="00375AFB">
              <w:rPr>
                <w:sz w:val="18"/>
              </w:rPr>
              <w:t>year</w:t>
            </w:r>
          </w:p>
        </w:tc>
        <w:tc>
          <w:tcPr>
            <w:tcW w:w="2056"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59.8</w:t>
            </w:r>
          </w:p>
        </w:tc>
        <w:tc>
          <w:tcPr>
            <w:tcW w:w="2056"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62.3</w:t>
            </w:r>
          </w:p>
        </w:tc>
      </w:tr>
      <w:tr w:rsidR="00F92E45" w:rsidRPr="00375AFB" w:rsidTr="00FC35D5">
        <w:trPr>
          <w:cantSplit/>
          <w:trHeight w:val="20"/>
        </w:trPr>
        <w:tc>
          <w:tcPr>
            <w:tcW w:w="3258" w:type="dxa"/>
            <w:shd w:val="clear" w:color="auto" w:fill="auto"/>
            <w:vAlign w:val="bottom"/>
          </w:tcPr>
          <w:p w:rsidR="00F92E45" w:rsidRPr="00375AFB" w:rsidRDefault="00F92E45" w:rsidP="00375AFB">
            <w:pPr>
              <w:suppressAutoHyphens w:val="0"/>
              <w:spacing w:before="40" w:after="40" w:line="220" w:lineRule="exact"/>
              <w:ind w:right="113"/>
              <w:rPr>
                <w:sz w:val="18"/>
              </w:rPr>
            </w:pPr>
            <w:r w:rsidRPr="00375AFB">
              <w:rPr>
                <w:sz w:val="18"/>
              </w:rPr>
              <w:t xml:space="preserve">Crude birth rate </w:t>
            </w:r>
          </w:p>
        </w:tc>
        <w:tc>
          <w:tcPr>
            <w:tcW w:w="2056"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21.3</w:t>
            </w:r>
          </w:p>
        </w:tc>
        <w:tc>
          <w:tcPr>
            <w:tcW w:w="2056"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15.4</w:t>
            </w:r>
          </w:p>
        </w:tc>
      </w:tr>
    </w:tbl>
    <w:p w:rsidR="00F92E45" w:rsidRPr="00375AFB" w:rsidRDefault="00F92E45" w:rsidP="008E6E77">
      <w:pPr>
        <w:spacing w:before="120" w:after="160"/>
        <w:ind w:left="1134" w:right="1134" w:firstLine="170"/>
        <w:rPr>
          <w:sz w:val="18"/>
          <w:szCs w:val="18"/>
        </w:rPr>
      </w:pPr>
      <w:r w:rsidRPr="00375AFB">
        <w:rPr>
          <w:i/>
          <w:sz w:val="18"/>
          <w:szCs w:val="18"/>
        </w:rPr>
        <w:t>Source</w:t>
      </w:r>
      <w:r w:rsidRPr="00375AFB">
        <w:rPr>
          <w:sz w:val="18"/>
          <w:szCs w:val="18"/>
        </w:rPr>
        <w:t xml:space="preserve">: </w:t>
      </w:r>
      <w:r w:rsidR="00375AFB" w:rsidRPr="00375AFB">
        <w:rPr>
          <w:sz w:val="18"/>
          <w:szCs w:val="18"/>
        </w:rPr>
        <w:t xml:space="preserve"> </w:t>
      </w:r>
      <w:r w:rsidRPr="00375AFB">
        <w:rPr>
          <w:sz w:val="18"/>
          <w:szCs w:val="18"/>
        </w:rPr>
        <w:t xml:space="preserve">National Statistics and Census Institute (INEC) (www.inec.gov.ec) and the National Secretariat </w:t>
      </w:r>
      <w:r w:rsidR="00375AFB">
        <w:rPr>
          <w:sz w:val="18"/>
          <w:szCs w:val="18"/>
        </w:rPr>
        <w:t>for</w:t>
      </w:r>
      <w:r w:rsidRPr="00375AFB">
        <w:rPr>
          <w:sz w:val="18"/>
          <w:szCs w:val="18"/>
        </w:rPr>
        <w:t xml:space="preserve"> Planning and Development (SENPLADES) (blogpnd.senplades.gob.ec).</w:t>
      </w:r>
    </w:p>
    <w:p w:rsidR="00F92E45" w:rsidRPr="00F92E45" w:rsidRDefault="00F92E45" w:rsidP="00375AFB">
      <w:pPr>
        <w:pStyle w:val="Heading1"/>
      </w:pPr>
      <w:r w:rsidRPr="00F92E45">
        <w:t>Table 2</w:t>
      </w:r>
    </w:p>
    <w:p w:rsidR="00F92E45" w:rsidRPr="008E6E77" w:rsidRDefault="00F92E45" w:rsidP="008E6E77">
      <w:pPr>
        <w:pStyle w:val="SingleTxtG"/>
        <w:rPr>
          <w:b/>
        </w:rPr>
      </w:pPr>
      <w:r w:rsidRPr="008E6E77">
        <w:rPr>
          <w:b/>
        </w:rPr>
        <w:t>Overall deaths by age group and sex, 2010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818"/>
        <w:gridCol w:w="819"/>
        <w:gridCol w:w="819"/>
        <w:gridCol w:w="819"/>
        <w:gridCol w:w="819"/>
        <w:gridCol w:w="819"/>
        <w:gridCol w:w="819"/>
        <w:gridCol w:w="819"/>
        <w:gridCol w:w="819"/>
      </w:tblGrid>
      <w:tr w:rsidR="008E6E77" w:rsidRPr="00375AFB" w:rsidTr="00A223B0">
        <w:trPr>
          <w:cantSplit/>
          <w:trHeight w:val="20"/>
          <w:tblHeader/>
        </w:trPr>
        <w:tc>
          <w:tcPr>
            <w:tcW w:w="7428" w:type="dxa"/>
            <w:tcBorders>
              <w:top w:val="single" w:sz="4" w:space="0" w:color="auto"/>
              <w:bottom w:val="single" w:sz="12" w:space="0" w:color="auto"/>
            </w:tcBorders>
            <w:shd w:val="clear" w:color="auto" w:fill="auto"/>
            <w:vAlign w:val="bottom"/>
          </w:tcPr>
          <w:p w:rsidR="00F92E45" w:rsidRPr="00375AFB" w:rsidRDefault="00F92E45" w:rsidP="00375AFB">
            <w:pPr>
              <w:suppressAutoHyphens w:val="0"/>
              <w:spacing w:before="80" w:after="80" w:line="200" w:lineRule="exact"/>
              <w:ind w:right="113"/>
              <w:rPr>
                <w:i/>
                <w:sz w:val="16"/>
              </w:rPr>
            </w:pPr>
            <w:r w:rsidRPr="00375AFB">
              <w:rPr>
                <w:i/>
                <w:sz w:val="16"/>
              </w:rPr>
              <w:t>Age groups</w:t>
            </w:r>
          </w:p>
        </w:tc>
        <w:tc>
          <w:tcPr>
            <w:tcW w:w="7428" w:type="dxa"/>
            <w:tcBorders>
              <w:top w:val="single" w:sz="4" w:space="0" w:color="auto"/>
              <w:bottom w:val="single" w:sz="12" w:space="0" w:color="auto"/>
            </w:tcBorders>
            <w:shd w:val="clear" w:color="auto" w:fill="auto"/>
            <w:vAlign w:val="bottom"/>
          </w:tcPr>
          <w:p w:rsidR="00F92E45" w:rsidRPr="00375AFB" w:rsidRDefault="00F92E45" w:rsidP="00AC5FA2">
            <w:pPr>
              <w:suppressAutoHyphens w:val="0"/>
              <w:spacing w:before="80" w:after="80" w:line="200" w:lineRule="exact"/>
              <w:ind w:right="113"/>
              <w:jc w:val="right"/>
              <w:rPr>
                <w:i/>
                <w:sz w:val="16"/>
              </w:rPr>
            </w:pPr>
            <w:r w:rsidRPr="00375AFB">
              <w:rPr>
                <w:i/>
                <w:sz w:val="16"/>
              </w:rPr>
              <w:t>Under 12 months</w:t>
            </w:r>
          </w:p>
        </w:tc>
        <w:tc>
          <w:tcPr>
            <w:tcW w:w="7428" w:type="dxa"/>
            <w:tcBorders>
              <w:top w:val="single" w:sz="4" w:space="0" w:color="auto"/>
              <w:bottom w:val="single" w:sz="12" w:space="0" w:color="auto"/>
            </w:tcBorders>
            <w:shd w:val="clear" w:color="auto" w:fill="auto"/>
            <w:vAlign w:val="bottom"/>
          </w:tcPr>
          <w:p w:rsidR="00F92E45" w:rsidRPr="00375AFB" w:rsidRDefault="00F92E45" w:rsidP="00375AFB">
            <w:pPr>
              <w:suppressAutoHyphens w:val="0"/>
              <w:spacing w:before="80" w:after="80" w:line="200" w:lineRule="exact"/>
              <w:ind w:right="113"/>
              <w:jc w:val="right"/>
              <w:rPr>
                <w:i/>
                <w:sz w:val="16"/>
              </w:rPr>
            </w:pPr>
            <w:r w:rsidRPr="00375AFB">
              <w:rPr>
                <w:i/>
                <w:sz w:val="16"/>
              </w:rPr>
              <w:t>1</w:t>
            </w:r>
            <w:r w:rsidR="008E6E77">
              <w:rPr>
                <w:i/>
                <w:sz w:val="16"/>
              </w:rPr>
              <w:t>–</w:t>
            </w:r>
            <w:r w:rsidRPr="00375AFB">
              <w:rPr>
                <w:i/>
                <w:sz w:val="16"/>
              </w:rPr>
              <w:t>4 years</w:t>
            </w:r>
          </w:p>
        </w:tc>
        <w:tc>
          <w:tcPr>
            <w:tcW w:w="7428" w:type="dxa"/>
            <w:tcBorders>
              <w:top w:val="single" w:sz="4" w:space="0" w:color="auto"/>
              <w:bottom w:val="single" w:sz="12" w:space="0" w:color="auto"/>
            </w:tcBorders>
            <w:shd w:val="clear" w:color="auto" w:fill="auto"/>
            <w:vAlign w:val="bottom"/>
          </w:tcPr>
          <w:p w:rsidR="00F92E45" w:rsidRPr="00375AFB" w:rsidRDefault="00F92E45" w:rsidP="00375AFB">
            <w:pPr>
              <w:suppressAutoHyphens w:val="0"/>
              <w:spacing w:before="80" w:after="80" w:line="200" w:lineRule="exact"/>
              <w:ind w:right="113"/>
              <w:jc w:val="right"/>
              <w:rPr>
                <w:i/>
                <w:sz w:val="16"/>
              </w:rPr>
            </w:pPr>
            <w:r w:rsidRPr="00375AFB">
              <w:rPr>
                <w:i/>
                <w:sz w:val="16"/>
              </w:rPr>
              <w:t>5</w:t>
            </w:r>
            <w:r w:rsidR="008E6E77">
              <w:rPr>
                <w:i/>
                <w:sz w:val="16"/>
              </w:rPr>
              <w:t>–</w:t>
            </w:r>
            <w:r w:rsidRPr="00375AFB">
              <w:rPr>
                <w:i/>
                <w:sz w:val="16"/>
              </w:rPr>
              <w:t>14 years</w:t>
            </w:r>
          </w:p>
        </w:tc>
        <w:tc>
          <w:tcPr>
            <w:tcW w:w="7428" w:type="dxa"/>
            <w:tcBorders>
              <w:top w:val="single" w:sz="4" w:space="0" w:color="auto"/>
              <w:bottom w:val="single" w:sz="12" w:space="0" w:color="auto"/>
            </w:tcBorders>
            <w:shd w:val="clear" w:color="auto" w:fill="auto"/>
            <w:vAlign w:val="bottom"/>
          </w:tcPr>
          <w:p w:rsidR="00F92E45" w:rsidRPr="00375AFB" w:rsidRDefault="00F92E45" w:rsidP="00375AFB">
            <w:pPr>
              <w:suppressAutoHyphens w:val="0"/>
              <w:spacing w:before="80" w:after="80" w:line="200" w:lineRule="exact"/>
              <w:ind w:right="113"/>
              <w:jc w:val="right"/>
              <w:rPr>
                <w:i/>
                <w:sz w:val="16"/>
              </w:rPr>
            </w:pPr>
            <w:r w:rsidRPr="00375AFB">
              <w:rPr>
                <w:i/>
                <w:sz w:val="16"/>
              </w:rPr>
              <w:t>15</w:t>
            </w:r>
            <w:r w:rsidR="008E6E77">
              <w:rPr>
                <w:i/>
                <w:sz w:val="16"/>
              </w:rPr>
              <w:t>–</w:t>
            </w:r>
            <w:r w:rsidRPr="00375AFB">
              <w:rPr>
                <w:i/>
                <w:sz w:val="16"/>
              </w:rPr>
              <w:t>49 years</w:t>
            </w:r>
          </w:p>
        </w:tc>
        <w:tc>
          <w:tcPr>
            <w:tcW w:w="7428" w:type="dxa"/>
            <w:tcBorders>
              <w:top w:val="single" w:sz="4" w:space="0" w:color="auto"/>
              <w:bottom w:val="single" w:sz="12" w:space="0" w:color="auto"/>
            </w:tcBorders>
            <w:shd w:val="clear" w:color="auto" w:fill="auto"/>
            <w:vAlign w:val="bottom"/>
          </w:tcPr>
          <w:p w:rsidR="00F92E45" w:rsidRPr="00375AFB" w:rsidRDefault="00F92E45" w:rsidP="00375AFB">
            <w:pPr>
              <w:suppressAutoHyphens w:val="0"/>
              <w:spacing w:before="80" w:after="80" w:line="200" w:lineRule="exact"/>
              <w:ind w:right="113"/>
              <w:jc w:val="right"/>
              <w:rPr>
                <w:i/>
                <w:sz w:val="16"/>
              </w:rPr>
            </w:pPr>
            <w:r w:rsidRPr="00375AFB">
              <w:rPr>
                <w:i/>
                <w:sz w:val="16"/>
              </w:rPr>
              <w:t>50</w:t>
            </w:r>
            <w:r w:rsidR="008E6E77">
              <w:rPr>
                <w:i/>
                <w:sz w:val="16"/>
              </w:rPr>
              <w:t>–</w:t>
            </w:r>
            <w:r w:rsidRPr="00375AFB">
              <w:rPr>
                <w:i/>
                <w:sz w:val="16"/>
              </w:rPr>
              <w:t>64</w:t>
            </w:r>
            <w:r w:rsidR="001F1284">
              <w:rPr>
                <w:i/>
                <w:sz w:val="16"/>
              </w:rPr>
              <w:br/>
            </w:r>
            <w:r w:rsidRPr="00375AFB">
              <w:rPr>
                <w:i/>
                <w:sz w:val="16"/>
              </w:rPr>
              <w:t>years</w:t>
            </w:r>
          </w:p>
        </w:tc>
        <w:tc>
          <w:tcPr>
            <w:tcW w:w="7428" w:type="dxa"/>
            <w:tcBorders>
              <w:top w:val="single" w:sz="4" w:space="0" w:color="auto"/>
              <w:bottom w:val="single" w:sz="12" w:space="0" w:color="auto"/>
            </w:tcBorders>
            <w:shd w:val="clear" w:color="auto" w:fill="auto"/>
            <w:vAlign w:val="bottom"/>
          </w:tcPr>
          <w:p w:rsidR="00F92E45" w:rsidRPr="00375AFB" w:rsidRDefault="00F92E45" w:rsidP="00375AFB">
            <w:pPr>
              <w:suppressAutoHyphens w:val="0"/>
              <w:spacing w:before="80" w:after="80" w:line="200" w:lineRule="exact"/>
              <w:ind w:right="113"/>
              <w:jc w:val="right"/>
              <w:rPr>
                <w:i/>
                <w:sz w:val="16"/>
              </w:rPr>
            </w:pPr>
            <w:r w:rsidRPr="00375AFB">
              <w:rPr>
                <w:i/>
                <w:sz w:val="16"/>
              </w:rPr>
              <w:t>65 and older</w:t>
            </w:r>
          </w:p>
        </w:tc>
        <w:tc>
          <w:tcPr>
            <w:tcW w:w="7428" w:type="dxa"/>
            <w:tcBorders>
              <w:top w:val="single" w:sz="4" w:space="0" w:color="auto"/>
              <w:bottom w:val="single" w:sz="12" w:space="0" w:color="auto"/>
            </w:tcBorders>
            <w:shd w:val="clear" w:color="auto" w:fill="auto"/>
            <w:vAlign w:val="bottom"/>
          </w:tcPr>
          <w:p w:rsidR="00F92E45" w:rsidRPr="00375AFB" w:rsidRDefault="00F92E45" w:rsidP="00375AFB">
            <w:pPr>
              <w:suppressAutoHyphens w:val="0"/>
              <w:spacing w:before="80" w:after="80" w:line="200" w:lineRule="exact"/>
              <w:ind w:right="113"/>
              <w:jc w:val="right"/>
              <w:rPr>
                <w:i/>
                <w:sz w:val="16"/>
              </w:rPr>
            </w:pPr>
            <w:r w:rsidRPr="00375AFB">
              <w:rPr>
                <w:i/>
                <w:sz w:val="16"/>
              </w:rPr>
              <w:t>Age unknown</w:t>
            </w:r>
          </w:p>
        </w:tc>
        <w:tc>
          <w:tcPr>
            <w:tcW w:w="7428" w:type="dxa"/>
            <w:tcBorders>
              <w:top w:val="single" w:sz="4" w:space="0" w:color="auto"/>
              <w:bottom w:val="single" w:sz="12" w:space="0" w:color="auto"/>
            </w:tcBorders>
            <w:shd w:val="clear" w:color="auto" w:fill="auto"/>
            <w:vAlign w:val="bottom"/>
          </w:tcPr>
          <w:p w:rsidR="00F92E45" w:rsidRPr="008E6E77" w:rsidRDefault="00F92E45" w:rsidP="00375AFB">
            <w:pPr>
              <w:suppressAutoHyphens w:val="0"/>
              <w:spacing w:before="80" w:after="80" w:line="200" w:lineRule="exact"/>
              <w:ind w:right="113"/>
              <w:jc w:val="right"/>
              <w:rPr>
                <w:b/>
                <w:i/>
                <w:sz w:val="16"/>
              </w:rPr>
            </w:pPr>
            <w:r w:rsidRPr="008E6E77">
              <w:rPr>
                <w:b/>
                <w:i/>
                <w:sz w:val="16"/>
              </w:rPr>
              <w:t>Total</w:t>
            </w:r>
          </w:p>
        </w:tc>
      </w:tr>
      <w:tr w:rsidR="00AC5FA2" w:rsidRPr="00375AFB" w:rsidTr="00FC35D5">
        <w:trPr>
          <w:cantSplit/>
          <w:trHeight w:val="20"/>
        </w:trPr>
        <w:tc>
          <w:tcPr>
            <w:tcW w:w="7428" w:type="dxa"/>
            <w:tcBorders>
              <w:top w:val="single" w:sz="12" w:space="0" w:color="auto"/>
            </w:tcBorders>
            <w:shd w:val="clear" w:color="auto" w:fill="auto"/>
            <w:vAlign w:val="bottom"/>
          </w:tcPr>
          <w:p w:rsidR="00F92E45" w:rsidRPr="00375AFB" w:rsidRDefault="00F92E45" w:rsidP="00AC5FA2">
            <w:pPr>
              <w:suppressAutoHyphens w:val="0"/>
              <w:spacing w:before="40" w:after="40" w:line="220" w:lineRule="exact"/>
              <w:ind w:right="113"/>
              <w:rPr>
                <w:sz w:val="18"/>
              </w:rPr>
            </w:pPr>
            <w:r w:rsidRPr="00375AFB">
              <w:rPr>
                <w:sz w:val="18"/>
              </w:rPr>
              <w:t>Men</w:t>
            </w:r>
          </w:p>
        </w:tc>
        <w:tc>
          <w:tcPr>
            <w:tcW w:w="7428" w:type="dxa"/>
            <w:tcBorders>
              <w:top w:val="single" w:sz="12"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1</w:t>
            </w:r>
            <w:r w:rsidR="008E6E77">
              <w:rPr>
                <w:sz w:val="18"/>
              </w:rPr>
              <w:t xml:space="preserve"> </w:t>
            </w:r>
            <w:r w:rsidRPr="00375AFB">
              <w:rPr>
                <w:sz w:val="18"/>
              </w:rPr>
              <w:t>735</w:t>
            </w:r>
          </w:p>
        </w:tc>
        <w:tc>
          <w:tcPr>
            <w:tcW w:w="7428" w:type="dxa"/>
            <w:tcBorders>
              <w:top w:val="single" w:sz="12"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623</w:t>
            </w:r>
          </w:p>
        </w:tc>
        <w:tc>
          <w:tcPr>
            <w:tcW w:w="7428" w:type="dxa"/>
            <w:tcBorders>
              <w:top w:val="single" w:sz="12"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683</w:t>
            </w:r>
          </w:p>
        </w:tc>
        <w:tc>
          <w:tcPr>
            <w:tcW w:w="7428" w:type="dxa"/>
            <w:tcBorders>
              <w:top w:val="single" w:sz="12"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9</w:t>
            </w:r>
            <w:r w:rsidR="008E6E77">
              <w:rPr>
                <w:sz w:val="18"/>
              </w:rPr>
              <w:t xml:space="preserve"> </w:t>
            </w:r>
            <w:r w:rsidRPr="00375AFB">
              <w:rPr>
                <w:sz w:val="18"/>
              </w:rPr>
              <w:t>281</w:t>
            </w:r>
          </w:p>
        </w:tc>
        <w:tc>
          <w:tcPr>
            <w:tcW w:w="7428" w:type="dxa"/>
            <w:tcBorders>
              <w:top w:val="single" w:sz="12"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5</w:t>
            </w:r>
            <w:r w:rsidR="008E6E77">
              <w:rPr>
                <w:sz w:val="18"/>
              </w:rPr>
              <w:t xml:space="preserve"> </w:t>
            </w:r>
            <w:r w:rsidRPr="00375AFB">
              <w:rPr>
                <w:sz w:val="18"/>
              </w:rPr>
              <w:t>484</w:t>
            </w:r>
          </w:p>
        </w:tc>
        <w:tc>
          <w:tcPr>
            <w:tcW w:w="7428" w:type="dxa"/>
            <w:tcBorders>
              <w:top w:val="single" w:sz="12"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17</w:t>
            </w:r>
            <w:r w:rsidR="008E6E77">
              <w:rPr>
                <w:sz w:val="18"/>
              </w:rPr>
              <w:t xml:space="preserve"> </w:t>
            </w:r>
            <w:r w:rsidRPr="00375AFB">
              <w:rPr>
                <w:sz w:val="18"/>
              </w:rPr>
              <w:t>028</w:t>
            </w:r>
          </w:p>
        </w:tc>
        <w:tc>
          <w:tcPr>
            <w:tcW w:w="7428" w:type="dxa"/>
            <w:tcBorders>
              <w:top w:val="single" w:sz="12"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61</w:t>
            </w:r>
          </w:p>
        </w:tc>
        <w:tc>
          <w:tcPr>
            <w:tcW w:w="7428" w:type="dxa"/>
            <w:tcBorders>
              <w:top w:val="single" w:sz="12" w:space="0" w:color="auto"/>
            </w:tcBorders>
            <w:shd w:val="clear" w:color="auto" w:fill="auto"/>
            <w:vAlign w:val="bottom"/>
          </w:tcPr>
          <w:p w:rsidR="00F92E45" w:rsidRPr="008E6E77" w:rsidRDefault="00F92E45" w:rsidP="00375AFB">
            <w:pPr>
              <w:suppressAutoHyphens w:val="0"/>
              <w:spacing w:before="40" w:after="40" w:line="220" w:lineRule="exact"/>
              <w:ind w:right="113"/>
              <w:jc w:val="right"/>
              <w:rPr>
                <w:b/>
                <w:sz w:val="18"/>
              </w:rPr>
            </w:pPr>
            <w:r w:rsidRPr="008E6E77">
              <w:rPr>
                <w:b/>
                <w:sz w:val="18"/>
              </w:rPr>
              <w:t>34</w:t>
            </w:r>
            <w:r w:rsidR="008E6E77" w:rsidRPr="008E6E77">
              <w:rPr>
                <w:b/>
                <w:sz w:val="18"/>
              </w:rPr>
              <w:t xml:space="preserve"> </w:t>
            </w:r>
            <w:r w:rsidRPr="008E6E77">
              <w:rPr>
                <w:b/>
                <w:sz w:val="18"/>
              </w:rPr>
              <w:t>895</w:t>
            </w:r>
          </w:p>
        </w:tc>
      </w:tr>
      <w:tr w:rsidR="00AC5FA2" w:rsidRPr="00375AFB" w:rsidTr="00FC35D5">
        <w:trPr>
          <w:cantSplit/>
          <w:trHeight w:val="240"/>
        </w:trPr>
        <w:tc>
          <w:tcPr>
            <w:tcW w:w="7428" w:type="dxa"/>
            <w:shd w:val="clear" w:color="auto" w:fill="auto"/>
            <w:vAlign w:val="bottom"/>
          </w:tcPr>
          <w:p w:rsidR="00F92E45" w:rsidRPr="00375AFB" w:rsidRDefault="008E6E77" w:rsidP="00375AFB">
            <w:pPr>
              <w:suppressAutoHyphens w:val="0"/>
              <w:spacing w:before="40" w:after="40" w:line="220" w:lineRule="exact"/>
              <w:ind w:right="113"/>
              <w:rPr>
                <w:sz w:val="18"/>
              </w:rPr>
            </w:pPr>
            <w:r>
              <w:rPr>
                <w:sz w:val="18"/>
              </w:rPr>
              <w:t>%</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5.0</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1.8</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2.0</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26.6</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15.7</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48.8</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0.2</w:t>
            </w:r>
          </w:p>
        </w:tc>
        <w:tc>
          <w:tcPr>
            <w:tcW w:w="7428" w:type="dxa"/>
            <w:shd w:val="clear" w:color="auto" w:fill="auto"/>
            <w:vAlign w:val="bottom"/>
          </w:tcPr>
          <w:p w:rsidR="00F92E45" w:rsidRPr="008E6E77" w:rsidRDefault="00F92E45" w:rsidP="00375AFB">
            <w:pPr>
              <w:suppressAutoHyphens w:val="0"/>
              <w:spacing w:before="40" w:after="40" w:line="220" w:lineRule="exact"/>
              <w:ind w:right="113"/>
              <w:jc w:val="right"/>
              <w:rPr>
                <w:b/>
                <w:sz w:val="18"/>
              </w:rPr>
            </w:pPr>
            <w:r w:rsidRPr="008E6E77">
              <w:rPr>
                <w:b/>
                <w:sz w:val="18"/>
              </w:rPr>
              <w:t>100.0</w:t>
            </w:r>
          </w:p>
        </w:tc>
      </w:tr>
      <w:tr w:rsidR="00AC5FA2" w:rsidRPr="00375AFB" w:rsidTr="00FC35D5">
        <w:trPr>
          <w:cantSplit/>
          <w:trHeight w:val="240"/>
        </w:trPr>
        <w:tc>
          <w:tcPr>
            <w:tcW w:w="7428" w:type="dxa"/>
            <w:shd w:val="clear" w:color="auto" w:fill="auto"/>
            <w:vAlign w:val="bottom"/>
          </w:tcPr>
          <w:p w:rsidR="00F92E45" w:rsidRPr="00375AFB" w:rsidRDefault="00F92E45" w:rsidP="00375AFB">
            <w:pPr>
              <w:suppressAutoHyphens w:val="0"/>
              <w:spacing w:before="40" w:after="40" w:line="220" w:lineRule="exact"/>
              <w:ind w:right="113"/>
              <w:rPr>
                <w:sz w:val="18"/>
              </w:rPr>
            </w:pPr>
            <w:r w:rsidRPr="00375AFB">
              <w:rPr>
                <w:sz w:val="18"/>
              </w:rPr>
              <w:t>Women</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1</w:t>
            </w:r>
            <w:r w:rsidR="008E6E77">
              <w:rPr>
                <w:sz w:val="18"/>
              </w:rPr>
              <w:t xml:space="preserve"> </w:t>
            </w:r>
            <w:r w:rsidRPr="00375AFB">
              <w:rPr>
                <w:sz w:val="18"/>
              </w:rPr>
              <w:t>469</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506</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466</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3</w:t>
            </w:r>
            <w:r w:rsidR="008E6E77">
              <w:rPr>
                <w:sz w:val="18"/>
              </w:rPr>
              <w:t xml:space="preserve"> </w:t>
            </w:r>
            <w:r w:rsidRPr="00375AFB">
              <w:rPr>
                <w:sz w:val="18"/>
              </w:rPr>
              <w:t>952</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3</w:t>
            </w:r>
            <w:r w:rsidR="008E6E77">
              <w:rPr>
                <w:sz w:val="18"/>
              </w:rPr>
              <w:t xml:space="preserve"> </w:t>
            </w:r>
            <w:r w:rsidRPr="00375AFB">
              <w:rPr>
                <w:sz w:val="18"/>
              </w:rPr>
              <w:t>917</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16</w:t>
            </w:r>
            <w:r w:rsidR="008E6E77">
              <w:rPr>
                <w:sz w:val="18"/>
              </w:rPr>
              <w:t xml:space="preserve"> </w:t>
            </w:r>
            <w:r w:rsidRPr="00375AFB">
              <w:rPr>
                <w:sz w:val="18"/>
              </w:rPr>
              <w:t>448</w:t>
            </w:r>
          </w:p>
        </w:tc>
        <w:tc>
          <w:tcPr>
            <w:tcW w:w="7428" w:type="dxa"/>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28</w:t>
            </w:r>
          </w:p>
        </w:tc>
        <w:tc>
          <w:tcPr>
            <w:tcW w:w="7428" w:type="dxa"/>
            <w:shd w:val="clear" w:color="auto" w:fill="auto"/>
            <w:vAlign w:val="bottom"/>
          </w:tcPr>
          <w:p w:rsidR="00F92E45" w:rsidRPr="008E6E77" w:rsidRDefault="00F92E45" w:rsidP="00375AFB">
            <w:pPr>
              <w:suppressAutoHyphens w:val="0"/>
              <w:spacing w:before="40" w:after="40" w:line="220" w:lineRule="exact"/>
              <w:ind w:right="113"/>
              <w:jc w:val="right"/>
              <w:rPr>
                <w:b/>
                <w:sz w:val="18"/>
              </w:rPr>
            </w:pPr>
            <w:r w:rsidRPr="008E6E77">
              <w:rPr>
                <w:b/>
                <w:sz w:val="18"/>
              </w:rPr>
              <w:t>26</w:t>
            </w:r>
            <w:r w:rsidR="008E6E77" w:rsidRPr="008E6E77">
              <w:rPr>
                <w:b/>
                <w:sz w:val="18"/>
              </w:rPr>
              <w:t xml:space="preserve"> </w:t>
            </w:r>
            <w:r w:rsidRPr="008E6E77">
              <w:rPr>
                <w:b/>
                <w:sz w:val="18"/>
              </w:rPr>
              <w:t>786</w:t>
            </w:r>
          </w:p>
        </w:tc>
      </w:tr>
      <w:tr w:rsidR="008E6E77" w:rsidRPr="00375AFB" w:rsidTr="00FC35D5">
        <w:trPr>
          <w:cantSplit/>
          <w:trHeight w:val="240"/>
        </w:trPr>
        <w:tc>
          <w:tcPr>
            <w:tcW w:w="7428" w:type="dxa"/>
            <w:tcBorders>
              <w:bottom w:val="single" w:sz="4" w:space="0" w:color="auto"/>
            </w:tcBorders>
            <w:shd w:val="clear" w:color="auto" w:fill="auto"/>
            <w:vAlign w:val="bottom"/>
          </w:tcPr>
          <w:p w:rsidR="00F92E45" w:rsidRPr="00375AFB" w:rsidRDefault="008E6E77" w:rsidP="00375AFB">
            <w:pPr>
              <w:suppressAutoHyphens w:val="0"/>
              <w:spacing w:before="40" w:after="40" w:line="220" w:lineRule="exact"/>
              <w:ind w:right="113"/>
              <w:rPr>
                <w:sz w:val="18"/>
              </w:rPr>
            </w:pPr>
            <w:r>
              <w:rPr>
                <w:sz w:val="18"/>
              </w:rPr>
              <w:t>%</w:t>
            </w:r>
          </w:p>
        </w:tc>
        <w:tc>
          <w:tcPr>
            <w:tcW w:w="7428" w:type="dxa"/>
            <w:tcBorders>
              <w:bottom w:val="single" w:sz="4"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5.5</w:t>
            </w:r>
          </w:p>
        </w:tc>
        <w:tc>
          <w:tcPr>
            <w:tcW w:w="7428" w:type="dxa"/>
            <w:tcBorders>
              <w:bottom w:val="single" w:sz="4" w:space="0" w:color="auto"/>
            </w:tcBorders>
            <w:shd w:val="clear" w:color="auto" w:fill="auto"/>
            <w:vAlign w:val="bottom"/>
          </w:tcPr>
          <w:p w:rsidR="00F92E45" w:rsidRPr="00375AFB" w:rsidRDefault="00F92E45" w:rsidP="001F1284">
            <w:pPr>
              <w:suppressAutoHyphens w:val="0"/>
              <w:spacing w:before="40" w:after="40" w:line="220" w:lineRule="exact"/>
              <w:ind w:right="113"/>
              <w:jc w:val="right"/>
              <w:rPr>
                <w:sz w:val="18"/>
              </w:rPr>
            </w:pPr>
            <w:r w:rsidRPr="00375AFB">
              <w:rPr>
                <w:sz w:val="18"/>
              </w:rPr>
              <w:t>1.9</w:t>
            </w:r>
          </w:p>
        </w:tc>
        <w:tc>
          <w:tcPr>
            <w:tcW w:w="7428" w:type="dxa"/>
            <w:tcBorders>
              <w:bottom w:val="single" w:sz="4"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1.7</w:t>
            </w:r>
          </w:p>
        </w:tc>
        <w:tc>
          <w:tcPr>
            <w:tcW w:w="7428" w:type="dxa"/>
            <w:tcBorders>
              <w:bottom w:val="single" w:sz="4"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14.8</w:t>
            </w:r>
          </w:p>
        </w:tc>
        <w:tc>
          <w:tcPr>
            <w:tcW w:w="7428" w:type="dxa"/>
            <w:tcBorders>
              <w:bottom w:val="single" w:sz="4"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14.6</w:t>
            </w:r>
          </w:p>
        </w:tc>
        <w:tc>
          <w:tcPr>
            <w:tcW w:w="7428" w:type="dxa"/>
            <w:tcBorders>
              <w:bottom w:val="single" w:sz="4"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61.4</w:t>
            </w:r>
          </w:p>
        </w:tc>
        <w:tc>
          <w:tcPr>
            <w:tcW w:w="7428" w:type="dxa"/>
            <w:tcBorders>
              <w:bottom w:val="single" w:sz="4" w:space="0" w:color="auto"/>
            </w:tcBorders>
            <w:shd w:val="clear" w:color="auto" w:fill="auto"/>
            <w:vAlign w:val="bottom"/>
          </w:tcPr>
          <w:p w:rsidR="00F92E45" w:rsidRPr="00375AFB" w:rsidRDefault="00F92E45" w:rsidP="00375AFB">
            <w:pPr>
              <w:suppressAutoHyphens w:val="0"/>
              <w:spacing w:before="40" w:after="40" w:line="220" w:lineRule="exact"/>
              <w:ind w:right="113"/>
              <w:jc w:val="right"/>
              <w:rPr>
                <w:sz w:val="18"/>
              </w:rPr>
            </w:pPr>
            <w:r w:rsidRPr="00375AFB">
              <w:rPr>
                <w:sz w:val="18"/>
              </w:rPr>
              <w:t>0.1</w:t>
            </w:r>
          </w:p>
        </w:tc>
        <w:tc>
          <w:tcPr>
            <w:tcW w:w="7428" w:type="dxa"/>
            <w:tcBorders>
              <w:bottom w:val="single" w:sz="4" w:space="0" w:color="auto"/>
            </w:tcBorders>
            <w:shd w:val="clear" w:color="auto" w:fill="auto"/>
            <w:vAlign w:val="bottom"/>
          </w:tcPr>
          <w:p w:rsidR="00F92E45" w:rsidRPr="008E6E77" w:rsidRDefault="00F92E45" w:rsidP="00375AFB">
            <w:pPr>
              <w:suppressAutoHyphens w:val="0"/>
              <w:spacing w:before="40" w:after="40" w:line="220" w:lineRule="exact"/>
              <w:ind w:right="113"/>
              <w:jc w:val="right"/>
              <w:rPr>
                <w:b/>
                <w:sz w:val="18"/>
              </w:rPr>
            </w:pPr>
            <w:r w:rsidRPr="008E6E77">
              <w:rPr>
                <w:b/>
                <w:sz w:val="18"/>
              </w:rPr>
              <w:t>100.0</w:t>
            </w:r>
          </w:p>
        </w:tc>
      </w:tr>
      <w:tr w:rsidR="008E6E77" w:rsidRPr="00375AFB" w:rsidTr="00F67580">
        <w:trPr>
          <w:cantSplit/>
        </w:trPr>
        <w:tc>
          <w:tcPr>
            <w:tcW w:w="7428" w:type="dxa"/>
            <w:tcBorders>
              <w:top w:val="single" w:sz="4" w:space="0" w:color="auto"/>
              <w:bottom w:val="single" w:sz="4" w:space="0" w:color="auto"/>
            </w:tcBorders>
            <w:shd w:val="clear" w:color="auto" w:fill="auto"/>
            <w:vAlign w:val="bottom"/>
          </w:tcPr>
          <w:p w:rsidR="00F92E45" w:rsidRPr="008E6E77" w:rsidRDefault="00F92E45" w:rsidP="00BC73BD">
            <w:pPr>
              <w:suppressAutoHyphens w:val="0"/>
              <w:spacing w:before="80" w:after="80" w:line="220" w:lineRule="exact"/>
              <w:ind w:left="284"/>
              <w:rPr>
                <w:b/>
                <w:sz w:val="18"/>
              </w:rPr>
            </w:pPr>
            <w:r w:rsidRPr="008E6E77">
              <w:rPr>
                <w:b/>
                <w:sz w:val="18"/>
              </w:rPr>
              <w:t>Total</w:t>
            </w:r>
          </w:p>
        </w:tc>
        <w:tc>
          <w:tcPr>
            <w:tcW w:w="7428" w:type="dxa"/>
            <w:tcBorders>
              <w:top w:val="single" w:sz="4" w:space="0" w:color="auto"/>
              <w:bottom w:val="single" w:sz="4" w:space="0" w:color="auto"/>
            </w:tcBorders>
            <w:shd w:val="clear" w:color="auto" w:fill="auto"/>
            <w:vAlign w:val="bottom"/>
          </w:tcPr>
          <w:p w:rsidR="00F92E45" w:rsidRPr="008E6E77" w:rsidRDefault="00F92E45" w:rsidP="00BC73BD">
            <w:pPr>
              <w:suppressAutoHyphens w:val="0"/>
              <w:spacing w:before="80" w:after="80" w:line="220" w:lineRule="exact"/>
              <w:ind w:right="113"/>
              <w:jc w:val="right"/>
              <w:rPr>
                <w:b/>
                <w:sz w:val="18"/>
              </w:rPr>
            </w:pPr>
            <w:r w:rsidRPr="008E6E77">
              <w:rPr>
                <w:b/>
                <w:sz w:val="18"/>
              </w:rPr>
              <w:t>3</w:t>
            </w:r>
            <w:r w:rsidR="008E6E77" w:rsidRPr="008E6E77">
              <w:rPr>
                <w:b/>
                <w:sz w:val="18"/>
              </w:rPr>
              <w:t xml:space="preserve"> </w:t>
            </w:r>
            <w:r w:rsidRPr="008E6E77">
              <w:rPr>
                <w:b/>
                <w:sz w:val="18"/>
              </w:rPr>
              <w:t>204</w:t>
            </w:r>
          </w:p>
        </w:tc>
        <w:tc>
          <w:tcPr>
            <w:tcW w:w="7428" w:type="dxa"/>
            <w:tcBorders>
              <w:top w:val="single" w:sz="4" w:space="0" w:color="auto"/>
              <w:bottom w:val="single" w:sz="4" w:space="0" w:color="auto"/>
            </w:tcBorders>
            <w:shd w:val="clear" w:color="auto" w:fill="auto"/>
            <w:vAlign w:val="bottom"/>
          </w:tcPr>
          <w:p w:rsidR="00F92E45" w:rsidRPr="008E6E77" w:rsidRDefault="00F92E45" w:rsidP="00BC73BD">
            <w:pPr>
              <w:suppressAutoHyphens w:val="0"/>
              <w:spacing w:before="80" w:after="80" w:line="220" w:lineRule="exact"/>
              <w:ind w:right="113"/>
              <w:jc w:val="right"/>
              <w:rPr>
                <w:b/>
                <w:sz w:val="18"/>
              </w:rPr>
            </w:pPr>
            <w:r w:rsidRPr="008E6E77">
              <w:rPr>
                <w:b/>
                <w:sz w:val="18"/>
              </w:rPr>
              <w:t>1</w:t>
            </w:r>
            <w:r w:rsidR="008E6E77" w:rsidRPr="008E6E77">
              <w:rPr>
                <w:b/>
                <w:sz w:val="18"/>
              </w:rPr>
              <w:t xml:space="preserve"> </w:t>
            </w:r>
            <w:r w:rsidRPr="008E6E77">
              <w:rPr>
                <w:b/>
                <w:sz w:val="18"/>
              </w:rPr>
              <w:t>129</w:t>
            </w:r>
          </w:p>
        </w:tc>
        <w:tc>
          <w:tcPr>
            <w:tcW w:w="7428" w:type="dxa"/>
            <w:tcBorders>
              <w:top w:val="single" w:sz="4" w:space="0" w:color="auto"/>
              <w:bottom w:val="single" w:sz="4" w:space="0" w:color="auto"/>
            </w:tcBorders>
            <w:shd w:val="clear" w:color="auto" w:fill="auto"/>
            <w:vAlign w:val="bottom"/>
          </w:tcPr>
          <w:p w:rsidR="00F92E45" w:rsidRPr="008E6E77" w:rsidRDefault="00F92E45" w:rsidP="00BC73BD">
            <w:pPr>
              <w:suppressAutoHyphens w:val="0"/>
              <w:spacing w:before="80" w:after="80" w:line="220" w:lineRule="exact"/>
              <w:ind w:right="113"/>
              <w:jc w:val="right"/>
              <w:rPr>
                <w:b/>
                <w:sz w:val="18"/>
              </w:rPr>
            </w:pPr>
            <w:r w:rsidRPr="008E6E77">
              <w:rPr>
                <w:b/>
                <w:sz w:val="18"/>
              </w:rPr>
              <w:t>1</w:t>
            </w:r>
            <w:r w:rsidR="008E6E77" w:rsidRPr="008E6E77">
              <w:rPr>
                <w:b/>
                <w:sz w:val="18"/>
              </w:rPr>
              <w:t xml:space="preserve"> </w:t>
            </w:r>
            <w:r w:rsidRPr="008E6E77">
              <w:rPr>
                <w:b/>
                <w:sz w:val="18"/>
              </w:rPr>
              <w:t>149</w:t>
            </w:r>
          </w:p>
        </w:tc>
        <w:tc>
          <w:tcPr>
            <w:tcW w:w="7428" w:type="dxa"/>
            <w:tcBorders>
              <w:top w:val="single" w:sz="4" w:space="0" w:color="auto"/>
              <w:bottom w:val="single" w:sz="4" w:space="0" w:color="auto"/>
            </w:tcBorders>
            <w:shd w:val="clear" w:color="auto" w:fill="auto"/>
            <w:vAlign w:val="bottom"/>
          </w:tcPr>
          <w:p w:rsidR="00F92E45" w:rsidRPr="008E6E77" w:rsidRDefault="00F92E45" w:rsidP="00BC73BD">
            <w:pPr>
              <w:suppressAutoHyphens w:val="0"/>
              <w:spacing w:before="80" w:after="80" w:line="220" w:lineRule="exact"/>
              <w:ind w:right="113"/>
              <w:jc w:val="right"/>
              <w:rPr>
                <w:b/>
                <w:sz w:val="18"/>
              </w:rPr>
            </w:pPr>
            <w:r w:rsidRPr="008E6E77">
              <w:rPr>
                <w:b/>
                <w:sz w:val="18"/>
              </w:rPr>
              <w:t>13</w:t>
            </w:r>
            <w:r w:rsidR="008E6E77" w:rsidRPr="008E6E77">
              <w:rPr>
                <w:b/>
                <w:sz w:val="18"/>
              </w:rPr>
              <w:t xml:space="preserve"> </w:t>
            </w:r>
            <w:r w:rsidRPr="008E6E77">
              <w:rPr>
                <w:b/>
                <w:sz w:val="18"/>
              </w:rPr>
              <w:t>233</w:t>
            </w:r>
          </w:p>
        </w:tc>
        <w:tc>
          <w:tcPr>
            <w:tcW w:w="7428" w:type="dxa"/>
            <w:tcBorders>
              <w:top w:val="single" w:sz="4" w:space="0" w:color="auto"/>
              <w:bottom w:val="single" w:sz="4" w:space="0" w:color="auto"/>
            </w:tcBorders>
            <w:shd w:val="clear" w:color="auto" w:fill="auto"/>
            <w:vAlign w:val="bottom"/>
          </w:tcPr>
          <w:p w:rsidR="00F92E45" w:rsidRPr="008E6E77" w:rsidRDefault="00F92E45" w:rsidP="00BC73BD">
            <w:pPr>
              <w:suppressAutoHyphens w:val="0"/>
              <w:spacing w:before="80" w:after="80" w:line="220" w:lineRule="exact"/>
              <w:ind w:right="113"/>
              <w:jc w:val="right"/>
              <w:rPr>
                <w:b/>
                <w:sz w:val="18"/>
              </w:rPr>
            </w:pPr>
            <w:r w:rsidRPr="008E6E77">
              <w:rPr>
                <w:b/>
                <w:sz w:val="18"/>
              </w:rPr>
              <w:t>9</w:t>
            </w:r>
            <w:r w:rsidR="008E6E77" w:rsidRPr="008E6E77">
              <w:rPr>
                <w:b/>
                <w:sz w:val="18"/>
              </w:rPr>
              <w:t xml:space="preserve"> </w:t>
            </w:r>
            <w:r w:rsidRPr="008E6E77">
              <w:rPr>
                <w:b/>
                <w:sz w:val="18"/>
              </w:rPr>
              <w:t>401</w:t>
            </w:r>
          </w:p>
        </w:tc>
        <w:tc>
          <w:tcPr>
            <w:tcW w:w="7428" w:type="dxa"/>
            <w:tcBorders>
              <w:top w:val="single" w:sz="4" w:space="0" w:color="auto"/>
              <w:bottom w:val="single" w:sz="4" w:space="0" w:color="auto"/>
            </w:tcBorders>
            <w:shd w:val="clear" w:color="auto" w:fill="auto"/>
            <w:vAlign w:val="bottom"/>
          </w:tcPr>
          <w:p w:rsidR="00F92E45" w:rsidRPr="008E6E77" w:rsidRDefault="00F92E45" w:rsidP="00BC73BD">
            <w:pPr>
              <w:suppressAutoHyphens w:val="0"/>
              <w:spacing w:before="80" w:after="80" w:line="220" w:lineRule="exact"/>
              <w:ind w:right="113"/>
              <w:jc w:val="right"/>
              <w:rPr>
                <w:b/>
                <w:sz w:val="18"/>
              </w:rPr>
            </w:pPr>
            <w:r w:rsidRPr="008E6E77">
              <w:rPr>
                <w:b/>
                <w:sz w:val="18"/>
              </w:rPr>
              <w:t>33</w:t>
            </w:r>
            <w:r w:rsidR="008E6E77" w:rsidRPr="008E6E77">
              <w:rPr>
                <w:b/>
                <w:sz w:val="18"/>
              </w:rPr>
              <w:t xml:space="preserve"> </w:t>
            </w:r>
            <w:r w:rsidRPr="008E6E77">
              <w:rPr>
                <w:b/>
                <w:sz w:val="18"/>
              </w:rPr>
              <w:t>476</w:t>
            </w:r>
          </w:p>
        </w:tc>
        <w:tc>
          <w:tcPr>
            <w:tcW w:w="7428" w:type="dxa"/>
            <w:tcBorders>
              <w:top w:val="single" w:sz="4" w:space="0" w:color="auto"/>
              <w:bottom w:val="single" w:sz="4" w:space="0" w:color="auto"/>
            </w:tcBorders>
            <w:shd w:val="clear" w:color="auto" w:fill="auto"/>
            <w:vAlign w:val="bottom"/>
          </w:tcPr>
          <w:p w:rsidR="00F92E45" w:rsidRPr="008E6E77" w:rsidRDefault="00F92E45" w:rsidP="00BC73BD">
            <w:pPr>
              <w:suppressAutoHyphens w:val="0"/>
              <w:spacing w:before="80" w:after="80" w:line="220" w:lineRule="exact"/>
              <w:ind w:right="113"/>
              <w:jc w:val="right"/>
              <w:rPr>
                <w:b/>
                <w:sz w:val="18"/>
              </w:rPr>
            </w:pPr>
            <w:r w:rsidRPr="008E6E77">
              <w:rPr>
                <w:b/>
                <w:sz w:val="18"/>
              </w:rPr>
              <w:t>89</w:t>
            </w:r>
          </w:p>
        </w:tc>
        <w:tc>
          <w:tcPr>
            <w:tcW w:w="7428" w:type="dxa"/>
            <w:tcBorders>
              <w:top w:val="single" w:sz="4" w:space="0" w:color="auto"/>
              <w:bottom w:val="single" w:sz="4" w:space="0" w:color="auto"/>
            </w:tcBorders>
            <w:shd w:val="clear" w:color="auto" w:fill="auto"/>
            <w:vAlign w:val="bottom"/>
          </w:tcPr>
          <w:p w:rsidR="00F92E45" w:rsidRPr="008E6E77" w:rsidRDefault="00F92E45" w:rsidP="00BC73BD">
            <w:pPr>
              <w:suppressAutoHyphens w:val="0"/>
              <w:spacing w:before="80" w:after="80" w:line="220" w:lineRule="exact"/>
              <w:ind w:right="113"/>
              <w:jc w:val="right"/>
              <w:rPr>
                <w:b/>
                <w:sz w:val="18"/>
              </w:rPr>
            </w:pPr>
            <w:r w:rsidRPr="008E6E77">
              <w:rPr>
                <w:b/>
                <w:sz w:val="18"/>
              </w:rPr>
              <w:t>61</w:t>
            </w:r>
            <w:r w:rsidR="008E6E77" w:rsidRPr="008E6E77">
              <w:rPr>
                <w:b/>
                <w:sz w:val="18"/>
              </w:rPr>
              <w:t xml:space="preserve"> </w:t>
            </w:r>
            <w:r w:rsidRPr="008E6E77">
              <w:rPr>
                <w:b/>
                <w:sz w:val="18"/>
              </w:rPr>
              <w:t>681</w:t>
            </w:r>
          </w:p>
        </w:tc>
      </w:tr>
      <w:tr w:rsidR="008E6E77" w:rsidRPr="00375AFB" w:rsidTr="00F67580">
        <w:trPr>
          <w:cantSplit/>
          <w:trHeight w:val="20"/>
        </w:trPr>
        <w:tc>
          <w:tcPr>
            <w:tcW w:w="7428" w:type="dxa"/>
            <w:tcBorders>
              <w:top w:val="single" w:sz="4" w:space="0" w:color="auto"/>
            </w:tcBorders>
            <w:shd w:val="clear" w:color="auto" w:fill="auto"/>
            <w:vAlign w:val="bottom"/>
          </w:tcPr>
          <w:p w:rsidR="008E6E77" w:rsidRPr="001F1284" w:rsidRDefault="008E6E77" w:rsidP="00BC73BD">
            <w:pPr>
              <w:suppressAutoHyphens w:val="0"/>
              <w:spacing w:before="80" w:after="80" w:line="220" w:lineRule="exact"/>
              <w:ind w:left="284"/>
              <w:rPr>
                <w:b/>
                <w:sz w:val="18"/>
              </w:rPr>
            </w:pPr>
            <w:r w:rsidRPr="001F1284">
              <w:rPr>
                <w:b/>
                <w:sz w:val="18"/>
              </w:rPr>
              <w:t>%</w:t>
            </w:r>
          </w:p>
        </w:tc>
        <w:tc>
          <w:tcPr>
            <w:tcW w:w="7428" w:type="dxa"/>
            <w:tcBorders>
              <w:top w:val="single" w:sz="4" w:space="0" w:color="auto"/>
            </w:tcBorders>
            <w:shd w:val="clear" w:color="auto" w:fill="auto"/>
            <w:vAlign w:val="bottom"/>
          </w:tcPr>
          <w:p w:rsidR="008E6E77" w:rsidRPr="001F1284" w:rsidRDefault="008E6E77" w:rsidP="00BC73BD">
            <w:pPr>
              <w:suppressAutoHyphens w:val="0"/>
              <w:spacing w:before="80" w:after="80" w:line="220" w:lineRule="exact"/>
              <w:ind w:right="113"/>
              <w:jc w:val="right"/>
              <w:rPr>
                <w:b/>
                <w:sz w:val="18"/>
              </w:rPr>
            </w:pPr>
            <w:r w:rsidRPr="001F1284">
              <w:rPr>
                <w:b/>
                <w:sz w:val="18"/>
              </w:rPr>
              <w:t>5.2</w:t>
            </w:r>
          </w:p>
        </w:tc>
        <w:tc>
          <w:tcPr>
            <w:tcW w:w="7428" w:type="dxa"/>
            <w:tcBorders>
              <w:top w:val="single" w:sz="4" w:space="0" w:color="auto"/>
            </w:tcBorders>
            <w:shd w:val="clear" w:color="auto" w:fill="auto"/>
            <w:vAlign w:val="bottom"/>
          </w:tcPr>
          <w:p w:rsidR="008E6E77" w:rsidRPr="001F1284" w:rsidRDefault="008E6E77" w:rsidP="00BC73BD">
            <w:pPr>
              <w:suppressAutoHyphens w:val="0"/>
              <w:spacing w:before="80" w:after="80" w:line="220" w:lineRule="exact"/>
              <w:ind w:right="113"/>
              <w:jc w:val="right"/>
              <w:rPr>
                <w:b/>
                <w:sz w:val="18"/>
              </w:rPr>
            </w:pPr>
            <w:r w:rsidRPr="001F1284">
              <w:rPr>
                <w:b/>
                <w:sz w:val="18"/>
              </w:rPr>
              <w:t>1.8</w:t>
            </w:r>
          </w:p>
        </w:tc>
        <w:tc>
          <w:tcPr>
            <w:tcW w:w="7428" w:type="dxa"/>
            <w:tcBorders>
              <w:top w:val="single" w:sz="4" w:space="0" w:color="auto"/>
            </w:tcBorders>
            <w:shd w:val="clear" w:color="auto" w:fill="auto"/>
            <w:vAlign w:val="bottom"/>
          </w:tcPr>
          <w:p w:rsidR="008E6E77" w:rsidRPr="001F1284" w:rsidRDefault="008E6E77" w:rsidP="00BC73BD">
            <w:pPr>
              <w:suppressAutoHyphens w:val="0"/>
              <w:spacing w:before="80" w:after="80" w:line="220" w:lineRule="exact"/>
              <w:ind w:right="113"/>
              <w:jc w:val="right"/>
              <w:rPr>
                <w:b/>
                <w:sz w:val="18"/>
              </w:rPr>
            </w:pPr>
            <w:r w:rsidRPr="001F1284">
              <w:rPr>
                <w:b/>
                <w:sz w:val="18"/>
              </w:rPr>
              <w:t>1.9</w:t>
            </w:r>
          </w:p>
        </w:tc>
        <w:tc>
          <w:tcPr>
            <w:tcW w:w="7428" w:type="dxa"/>
            <w:tcBorders>
              <w:top w:val="single" w:sz="4" w:space="0" w:color="auto"/>
            </w:tcBorders>
            <w:shd w:val="clear" w:color="auto" w:fill="auto"/>
            <w:vAlign w:val="bottom"/>
          </w:tcPr>
          <w:p w:rsidR="008E6E77" w:rsidRPr="001F1284" w:rsidRDefault="008E6E77" w:rsidP="00BC73BD">
            <w:pPr>
              <w:suppressAutoHyphens w:val="0"/>
              <w:spacing w:before="80" w:after="80" w:line="220" w:lineRule="exact"/>
              <w:ind w:right="113"/>
              <w:jc w:val="right"/>
              <w:rPr>
                <w:b/>
                <w:sz w:val="18"/>
              </w:rPr>
            </w:pPr>
            <w:r w:rsidRPr="001F1284">
              <w:rPr>
                <w:b/>
                <w:sz w:val="18"/>
              </w:rPr>
              <w:t>21.5</w:t>
            </w:r>
          </w:p>
        </w:tc>
        <w:tc>
          <w:tcPr>
            <w:tcW w:w="7428" w:type="dxa"/>
            <w:tcBorders>
              <w:top w:val="single" w:sz="4" w:space="0" w:color="auto"/>
            </w:tcBorders>
            <w:shd w:val="clear" w:color="auto" w:fill="auto"/>
            <w:vAlign w:val="bottom"/>
          </w:tcPr>
          <w:p w:rsidR="008E6E77" w:rsidRPr="001F1284" w:rsidRDefault="008E6E77" w:rsidP="00BC73BD">
            <w:pPr>
              <w:suppressAutoHyphens w:val="0"/>
              <w:spacing w:before="80" w:after="80" w:line="220" w:lineRule="exact"/>
              <w:ind w:right="113"/>
              <w:jc w:val="right"/>
              <w:rPr>
                <w:b/>
                <w:sz w:val="18"/>
              </w:rPr>
            </w:pPr>
            <w:r w:rsidRPr="001F1284">
              <w:rPr>
                <w:b/>
                <w:sz w:val="18"/>
              </w:rPr>
              <w:t>15.2</w:t>
            </w:r>
          </w:p>
        </w:tc>
        <w:tc>
          <w:tcPr>
            <w:tcW w:w="7428" w:type="dxa"/>
            <w:tcBorders>
              <w:top w:val="single" w:sz="4" w:space="0" w:color="auto"/>
            </w:tcBorders>
            <w:shd w:val="clear" w:color="auto" w:fill="auto"/>
            <w:vAlign w:val="bottom"/>
          </w:tcPr>
          <w:p w:rsidR="008E6E77" w:rsidRPr="001F1284" w:rsidRDefault="008E6E77" w:rsidP="00BC73BD">
            <w:pPr>
              <w:suppressAutoHyphens w:val="0"/>
              <w:spacing w:before="80" w:after="80" w:line="220" w:lineRule="exact"/>
              <w:ind w:right="113"/>
              <w:jc w:val="right"/>
              <w:rPr>
                <w:b/>
                <w:sz w:val="18"/>
              </w:rPr>
            </w:pPr>
            <w:r w:rsidRPr="001F1284">
              <w:rPr>
                <w:b/>
                <w:sz w:val="18"/>
              </w:rPr>
              <w:t>54.3</w:t>
            </w:r>
          </w:p>
        </w:tc>
        <w:tc>
          <w:tcPr>
            <w:tcW w:w="7428" w:type="dxa"/>
            <w:tcBorders>
              <w:top w:val="single" w:sz="4" w:space="0" w:color="auto"/>
            </w:tcBorders>
            <w:shd w:val="clear" w:color="auto" w:fill="auto"/>
            <w:vAlign w:val="bottom"/>
          </w:tcPr>
          <w:p w:rsidR="008E6E77" w:rsidRPr="001F1284" w:rsidRDefault="008E6E77" w:rsidP="00BC73BD">
            <w:pPr>
              <w:suppressAutoHyphens w:val="0"/>
              <w:spacing w:before="80" w:after="80" w:line="220" w:lineRule="exact"/>
              <w:ind w:right="113"/>
              <w:jc w:val="right"/>
              <w:rPr>
                <w:b/>
                <w:sz w:val="18"/>
              </w:rPr>
            </w:pPr>
            <w:r w:rsidRPr="001F1284">
              <w:rPr>
                <w:b/>
                <w:sz w:val="18"/>
              </w:rPr>
              <w:t>0.1</w:t>
            </w:r>
          </w:p>
        </w:tc>
        <w:tc>
          <w:tcPr>
            <w:tcW w:w="7428" w:type="dxa"/>
            <w:tcBorders>
              <w:top w:val="single" w:sz="4" w:space="0" w:color="auto"/>
            </w:tcBorders>
            <w:shd w:val="clear" w:color="auto" w:fill="auto"/>
            <w:vAlign w:val="bottom"/>
          </w:tcPr>
          <w:p w:rsidR="008E6E77" w:rsidRPr="001F1284" w:rsidRDefault="008E6E77" w:rsidP="00BC73BD">
            <w:pPr>
              <w:suppressAutoHyphens w:val="0"/>
              <w:spacing w:before="80" w:after="80" w:line="220" w:lineRule="exact"/>
              <w:ind w:right="113"/>
              <w:jc w:val="right"/>
              <w:rPr>
                <w:b/>
                <w:sz w:val="18"/>
              </w:rPr>
            </w:pPr>
            <w:r w:rsidRPr="001F1284">
              <w:rPr>
                <w:b/>
                <w:sz w:val="18"/>
              </w:rPr>
              <w:t>100.0</w:t>
            </w:r>
          </w:p>
        </w:tc>
      </w:tr>
    </w:tbl>
    <w:p w:rsidR="00F92E45" w:rsidRPr="008E6E77" w:rsidRDefault="00F92E45" w:rsidP="008E6E77">
      <w:pPr>
        <w:spacing w:before="120" w:after="240"/>
        <w:ind w:left="1134" w:right="1134" w:firstLine="170"/>
        <w:rPr>
          <w:sz w:val="18"/>
          <w:szCs w:val="18"/>
        </w:rPr>
      </w:pPr>
      <w:r w:rsidRPr="008E6E77">
        <w:rPr>
          <w:i/>
          <w:sz w:val="18"/>
          <w:szCs w:val="18"/>
        </w:rPr>
        <w:t>Source:</w:t>
      </w:r>
      <w:r w:rsidRPr="008E6E77">
        <w:rPr>
          <w:sz w:val="18"/>
          <w:szCs w:val="18"/>
        </w:rPr>
        <w:t xml:space="preserve"> </w:t>
      </w:r>
      <w:r w:rsidR="008E6E77" w:rsidRPr="008E6E77">
        <w:rPr>
          <w:sz w:val="18"/>
          <w:szCs w:val="18"/>
        </w:rPr>
        <w:t xml:space="preserve"> </w:t>
      </w:r>
      <w:r w:rsidRPr="008E6E77">
        <w:rPr>
          <w:sz w:val="18"/>
          <w:szCs w:val="18"/>
        </w:rPr>
        <w:t>INEC and SENPLADES.</w:t>
      </w:r>
    </w:p>
    <w:p w:rsidR="00F92E45" w:rsidRPr="00F92E45" w:rsidRDefault="00F92E45" w:rsidP="00AC5FA2">
      <w:pPr>
        <w:pStyle w:val="H1G"/>
      </w:pPr>
      <w:r w:rsidRPr="00F92E45">
        <w:tab/>
      </w:r>
      <w:r w:rsidRPr="00F92E45">
        <w:tab/>
        <w:t>Housing (para. 26)</w:t>
      </w:r>
    </w:p>
    <w:p w:rsidR="00F92E45" w:rsidRPr="00F92E45" w:rsidRDefault="00F92E45" w:rsidP="008E6E77">
      <w:pPr>
        <w:pStyle w:val="SingleTxtG"/>
      </w:pPr>
      <w:r w:rsidRPr="00F92E45">
        <w:t>4.</w:t>
      </w:r>
      <w:r w:rsidRPr="00F92E45">
        <w:tab/>
        <w:t xml:space="preserve">With regard to housing, the </w:t>
      </w:r>
      <w:r w:rsidR="00AC5FA2">
        <w:t xml:space="preserve">Living Conditions </w:t>
      </w:r>
      <w:r w:rsidRPr="00F92E45">
        <w:t xml:space="preserve">Survey was conducted in 2007. The data for December 2010 </w:t>
      </w:r>
      <w:r w:rsidR="00AC5FA2">
        <w:t>is shown</w:t>
      </w:r>
      <w:r w:rsidRPr="00F92E45">
        <w:t xml:space="preserve"> in the table below.</w:t>
      </w:r>
    </w:p>
    <w:p w:rsidR="00F92E45" w:rsidRPr="00F92E45" w:rsidRDefault="00AC5FA2" w:rsidP="00A2271C">
      <w:pPr>
        <w:pStyle w:val="SingleTxtG"/>
        <w:spacing w:after="240"/>
      </w:pPr>
      <w:r>
        <w:t>5.</w:t>
      </w:r>
      <w:r>
        <w:tab/>
        <w:t>The survey has two sampling formats:</w:t>
      </w:r>
      <w:r w:rsidR="00F92E45" w:rsidRPr="00F92E45">
        <w:t xml:space="preserve"> one for the nation</w:t>
      </w:r>
      <w:r>
        <w:t>al</w:t>
      </w:r>
      <w:r w:rsidR="00F92E45" w:rsidRPr="00F92E45">
        <w:t xml:space="preserve"> quarterly survey </w:t>
      </w:r>
      <w:r>
        <w:t xml:space="preserve">for </w:t>
      </w:r>
      <w:r w:rsidR="00F92E45" w:rsidRPr="00F92E45">
        <w:t>urban areas, which comprises 573 census sectors made up of 12 hous</w:t>
      </w:r>
      <w:r>
        <w:t>ing units</w:t>
      </w:r>
      <w:r w:rsidR="00F92E45" w:rsidRPr="00F92E45">
        <w:t xml:space="preserve"> per sector, giving a total of 6,873 hous</w:t>
      </w:r>
      <w:r>
        <w:t>ing units</w:t>
      </w:r>
      <w:r w:rsidR="00F92E45" w:rsidRPr="00F92E45">
        <w:t xml:space="preserve">; and another for the </w:t>
      </w:r>
      <w:r>
        <w:t>national annual</w:t>
      </w:r>
      <w:r w:rsidR="00F92E45" w:rsidRPr="00F92E45">
        <w:t xml:space="preserve"> census</w:t>
      </w:r>
      <w:r>
        <w:t xml:space="preserve"> for both urban and rural areas</w:t>
      </w:r>
      <w:r w:rsidR="00F92E45" w:rsidRPr="00F92E45">
        <w:t>, comprising 1,814 sectors and amounting to 21,768 hous</w:t>
      </w:r>
      <w:r>
        <w:t>ing units</w:t>
      </w:r>
      <w:r w:rsidR="00F92E45" w:rsidRPr="00F92E45">
        <w:t>. It should be mentioned that the Andean Community</w:t>
      </w:r>
      <w:r w:rsidR="00534E2F">
        <w:t>’</w:t>
      </w:r>
      <w:r w:rsidR="00F92E45" w:rsidRPr="00F92E45">
        <w:t xml:space="preserve">s recommended definition of urban areas </w:t>
      </w:r>
      <w:r>
        <w:t>is used, whereby</w:t>
      </w:r>
      <w:r w:rsidR="00F92E45" w:rsidRPr="00F92E45">
        <w:t xml:space="preserve"> population centres with 2,000 or more inhabitants are urban and those with less than 2,000 inhabitants or in remote areas are rural</w:t>
      </w:r>
      <w:r>
        <w:t>.</w:t>
      </w:r>
    </w:p>
    <w:p w:rsidR="00F92E45" w:rsidRPr="00F92E45" w:rsidRDefault="00F92E45" w:rsidP="00AC5FA2">
      <w:pPr>
        <w:pStyle w:val="Heading1"/>
      </w:pPr>
      <w:r w:rsidRPr="00F92E45">
        <w:t>Table 3</w:t>
      </w:r>
    </w:p>
    <w:p w:rsidR="00F92E45" w:rsidRPr="00AC5FA2" w:rsidRDefault="00F92E45" w:rsidP="00AC5FA2">
      <w:pPr>
        <w:pStyle w:val="SingleTxtG"/>
        <w:rPr>
          <w:b/>
        </w:rPr>
      </w:pPr>
      <w:r w:rsidRPr="00AC5FA2">
        <w:rPr>
          <w:b/>
        </w:rPr>
        <w:t>Geographical distribution of sampl</w:t>
      </w:r>
      <w:r w:rsidR="00A2271C">
        <w:rPr>
          <w:b/>
        </w:rPr>
        <w:t>ing</w:t>
      </w:r>
      <w:r w:rsidRPr="00AC5FA2">
        <w:rPr>
          <w:b/>
        </w:rPr>
        <w:t xml:space="preserve"> by province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456"/>
        <w:gridCol w:w="2457"/>
        <w:gridCol w:w="2457"/>
      </w:tblGrid>
      <w:tr w:rsidR="00F92E45" w:rsidRPr="00AC5FA2" w:rsidTr="00A223B0">
        <w:trPr>
          <w:cantSplit/>
          <w:trHeight w:val="20"/>
          <w:tblHeader/>
        </w:trPr>
        <w:tc>
          <w:tcPr>
            <w:tcW w:w="18881" w:type="dxa"/>
            <w:tcBorders>
              <w:top w:val="single" w:sz="4" w:space="0" w:color="auto"/>
              <w:bottom w:val="single" w:sz="12" w:space="0" w:color="auto"/>
            </w:tcBorders>
            <w:shd w:val="clear" w:color="auto" w:fill="auto"/>
            <w:vAlign w:val="bottom"/>
          </w:tcPr>
          <w:p w:rsidR="00F92E45" w:rsidRPr="00AC5FA2" w:rsidRDefault="00F92E45" w:rsidP="00AC5FA2">
            <w:pPr>
              <w:suppressAutoHyphens w:val="0"/>
              <w:spacing w:before="80" w:after="80" w:line="200" w:lineRule="exact"/>
              <w:ind w:right="113"/>
              <w:rPr>
                <w:i/>
                <w:sz w:val="16"/>
              </w:rPr>
            </w:pPr>
            <w:r w:rsidRPr="00AC5FA2">
              <w:rPr>
                <w:i/>
                <w:sz w:val="16"/>
              </w:rPr>
              <w:t>Provinces</w:t>
            </w:r>
          </w:p>
        </w:tc>
        <w:tc>
          <w:tcPr>
            <w:tcW w:w="18881" w:type="dxa"/>
            <w:tcBorders>
              <w:top w:val="single" w:sz="4" w:space="0" w:color="auto"/>
              <w:bottom w:val="single" w:sz="12" w:space="0" w:color="auto"/>
            </w:tcBorders>
            <w:shd w:val="clear" w:color="auto" w:fill="auto"/>
            <w:vAlign w:val="bottom"/>
          </w:tcPr>
          <w:p w:rsidR="00F92E45" w:rsidRPr="00AC5FA2" w:rsidRDefault="00F92E45" w:rsidP="00AC5FA2">
            <w:pPr>
              <w:suppressAutoHyphens w:val="0"/>
              <w:spacing w:before="80" w:after="80" w:line="200" w:lineRule="exact"/>
              <w:ind w:right="113"/>
              <w:jc w:val="right"/>
              <w:rPr>
                <w:i/>
                <w:sz w:val="16"/>
              </w:rPr>
            </w:pPr>
            <w:r w:rsidRPr="00AC5FA2">
              <w:rPr>
                <w:i/>
                <w:sz w:val="16"/>
              </w:rPr>
              <w:t>Sectors</w:t>
            </w:r>
            <w:r w:rsidR="00A2271C">
              <w:rPr>
                <w:i/>
                <w:sz w:val="16"/>
              </w:rPr>
              <w:t xml:space="preserve"> (December 2010)</w:t>
            </w:r>
          </w:p>
        </w:tc>
        <w:tc>
          <w:tcPr>
            <w:tcW w:w="18881" w:type="dxa"/>
            <w:tcBorders>
              <w:top w:val="single" w:sz="4" w:space="0" w:color="auto"/>
              <w:bottom w:val="single" w:sz="12" w:space="0" w:color="auto"/>
            </w:tcBorders>
            <w:shd w:val="clear" w:color="auto" w:fill="auto"/>
            <w:vAlign w:val="bottom"/>
          </w:tcPr>
          <w:p w:rsidR="00F92E45" w:rsidRPr="00AC5FA2" w:rsidRDefault="00F92E45" w:rsidP="00AC5FA2">
            <w:pPr>
              <w:suppressAutoHyphens w:val="0"/>
              <w:spacing w:before="80" w:after="80" w:line="200" w:lineRule="exact"/>
              <w:ind w:right="113"/>
              <w:jc w:val="right"/>
              <w:rPr>
                <w:i/>
                <w:sz w:val="16"/>
              </w:rPr>
            </w:pPr>
            <w:r w:rsidRPr="00AC5FA2">
              <w:rPr>
                <w:i/>
                <w:sz w:val="16"/>
              </w:rPr>
              <w:t>Hous</w:t>
            </w:r>
            <w:r w:rsidR="00A2271C">
              <w:rPr>
                <w:i/>
                <w:sz w:val="16"/>
              </w:rPr>
              <w:t>ing units</w:t>
            </w:r>
          </w:p>
        </w:tc>
      </w:tr>
      <w:tr w:rsidR="00F92E45" w:rsidRPr="00AC5FA2" w:rsidTr="00FC35D5">
        <w:trPr>
          <w:cantSplit/>
          <w:trHeight w:val="20"/>
        </w:trPr>
        <w:tc>
          <w:tcPr>
            <w:tcW w:w="18881" w:type="dxa"/>
            <w:tcBorders>
              <w:top w:val="single" w:sz="12" w:space="0" w:color="auto"/>
            </w:tcBorders>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 xml:space="preserve">Azuay </w:t>
            </w:r>
          </w:p>
        </w:tc>
        <w:tc>
          <w:tcPr>
            <w:tcW w:w="18881" w:type="dxa"/>
            <w:tcBorders>
              <w:top w:val="single" w:sz="12" w:space="0" w:color="auto"/>
            </w:tcBorders>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96</w:t>
            </w:r>
          </w:p>
        </w:tc>
        <w:tc>
          <w:tcPr>
            <w:tcW w:w="18881" w:type="dxa"/>
            <w:tcBorders>
              <w:top w:val="single" w:sz="12" w:space="0" w:color="auto"/>
            </w:tcBorders>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w:t>
            </w:r>
            <w:r w:rsidR="00A2271C">
              <w:rPr>
                <w:sz w:val="18"/>
              </w:rPr>
              <w:t xml:space="preserve"> </w:t>
            </w:r>
            <w:r w:rsidRPr="00AC5FA2">
              <w:rPr>
                <w:sz w:val="18"/>
              </w:rPr>
              <w:t>152</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 xml:space="preserve">Bolívar </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80</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960</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Cañar</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80</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960</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 xml:space="preserve">Carchi </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80</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960</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smartTag w:uri="urn:schemas-microsoft-com:office:smarttags" w:element="place">
              <w:r w:rsidRPr="00AC5FA2">
                <w:rPr>
                  <w:sz w:val="18"/>
                </w:rPr>
                <w:t>Cotopaxi</w:t>
              </w:r>
            </w:smartTag>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80</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960</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smartTag w:uri="urn:schemas-microsoft-com:office:smarttags" w:element="place">
              <w:r w:rsidRPr="00AC5FA2">
                <w:rPr>
                  <w:sz w:val="18"/>
                </w:rPr>
                <w:t>Chimborazo</w:t>
              </w:r>
            </w:smartTag>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80</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960</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El Oro</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137</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w:t>
            </w:r>
            <w:r w:rsidR="00A2271C">
              <w:rPr>
                <w:sz w:val="18"/>
              </w:rPr>
              <w:t xml:space="preserve"> </w:t>
            </w:r>
            <w:r w:rsidRPr="00AC5FA2">
              <w:rPr>
                <w:sz w:val="18"/>
              </w:rPr>
              <w:t>644</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Esmeraldas</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120</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w:t>
            </w:r>
            <w:r w:rsidR="00A2271C">
              <w:rPr>
                <w:sz w:val="18"/>
              </w:rPr>
              <w:t xml:space="preserve"> </w:t>
            </w:r>
            <w:r w:rsidRPr="00AC5FA2">
              <w:rPr>
                <w:sz w:val="18"/>
              </w:rPr>
              <w:t>440</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Guayas</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177</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2</w:t>
            </w:r>
            <w:r w:rsidR="00A2271C">
              <w:rPr>
                <w:sz w:val="18"/>
              </w:rPr>
              <w:t xml:space="preserve"> </w:t>
            </w:r>
            <w:r w:rsidRPr="00AC5FA2">
              <w:rPr>
                <w:sz w:val="18"/>
              </w:rPr>
              <w:t>124</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Imbabura</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80</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960</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Loja</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80</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960</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Los Ríos</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120</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w:t>
            </w:r>
            <w:r w:rsidR="00A2271C">
              <w:rPr>
                <w:sz w:val="18"/>
              </w:rPr>
              <w:t xml:space="preserve"> </w:t>
            </w:r>
            <w:r w:rsidRPr="00AC5FA2">
              <w:rPr>
                <w:sz w:val="18"/>
              </w:rPr>
              <w:t>440</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Manabi</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120</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w:t>
            </w:r>
            <w:r w:rsidR="00A2271C">
              <w:rPr>
                <w:sz w:val="18"/>
              </w:rPr>
              <w:t xml:space="preserve"> </w:t>
            </w:r>
            <w:r w:rsidRPr="00AC5FA2">
              <w:rPr>
                <w:sz w:val="18"/>
              </w:rPr>
              <w:t>440</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 xml:space="preserve">Pichincha </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139</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w:t>
            </w:r>
            <w:r w:rsidR="00A2271C">
              <w:rPr>
                <w:sz w:val="18"/>
              </w:rPr>
              <w:t xml:space="preserve"> </w:t>
            </w:r>
            <w:r w:rsidRPr="00AC5FA2">
              <w:rPr>
                <w:sz w:val="18"/>
              </w:rPr>
              <w:t>668</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Tunguragua</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103</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1</w:t>
            </w:r>
            <w:r w:rsidR="00A2271C">
              <w:rPr>
                <w:sz w:val="18"/>
              </w:rPr>
              <w:t xml:space="preserve"> </w:t>
            </w:r>
            <w:r w:rsidRPr="00AC5FA2">
              <w:rPr>
                <w:sz w:val="18"/>
              </w:rPr>
              <w:t>236</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Amazonía</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80</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960</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smartTag w:uri="urn:schemas-microsoft-com:office:smarttags" w:element="City">
              <w:smartTag w:uri="urn:schemas-microsoft-com:office:smarttags" w:element="place">
                <w:r w:rsidRPr="00AC5FA2">
                  <w:rPr>
                    <w:sz w:val="18"/>
                  </w:rPr>
                  <w:t>Santo Domingo</w:t>
                </w:r>
              </w:smartTag>
            </w:smartTag>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80</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960</w:t>
            </w:r>
          </w:p>
        </w:tc>
      </w:tr>
      <w:tr w:rsidR="00F92E45" w:rsidRPr="00AC5FA2" w:rsidTr="00FC35D5">
        <w:trPr>
          <w:cantSplit/>
          <w:trHeight w:val="20"/>
        </w:trPr>
        <w:tc>
          <w:tcPr>
            <w:tcW w:w="18881" w:type="dxa"/>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Santa Elena</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80</w:t>
            </w:r>
          </w:p>
        </w:tc>
        <w:tc>
          <w:tcPr>
            <w:tcW w:w="18881" w:type="dxa"/>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960</w:t>
            </w:r>
          </w:p>
        </w:tc>
      </w:tr>
      <w:tr w:rsidR="00F92E45" w:rsidRPr="00AC5FA2" w:rsidTr="00FC35D5">
        <w:trPr>
          <w:cantSplit/>
          <w:trHeight w:val="20"/>
        </w:trPr>
        <w:tc>
          <w:tcPr>
            <w:tcW w:w="18881" w:type="dxa"/>
            <w:tcBorders>
              <w:bottom w:val="single" w:sz="4" w:space="0" w:color="auto"/>
            </w:tcBorders>
            <w:shd w:val="clear" w:color="auto" w:fill="auto"/>
            <w:vAlign w:val="bottom"/>
          </w:tcPr>
          <w:p w:rsidR="00F92E45" w:rsidRPr="00AC5FA2" w:rsidRDefault="00F92E45" w:rsidP="00AC5FA2">
            <w:pPr>
              <w:suppressAutoHyphens w:val="0"/>
              <w:spacing w:before="40" w:after="40" w:line="220" w:lineRule="exact"/>
              <w:ind w:right="113"/>
              <w:rPr>
                <w:sz w:val="18"/>
              </w:rPr>
            </w:pPr>
            <w:r w:rsidRPr="00AC5FA2">
              <w:rPr>
                <w:sz w:val="18"/>
              </w:rPr>
              <w:t>Non-delimited zones</w:t>
            </w:r>
          </w:p>
        </w:tc>
        <w:tc>
          <w:tcPr>
            <w:tcW w:w="18881" w:type="dxa"/>
            <w:tcBorders>
              <w:bottom w:val="single" w:sz="4" w:space="0" w:color="auto"/>
            </w:tcBorders>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2</w:t>
            </w:r>
          </w:p>
        </w:tc>
        <w:tc>
          <w:tcPr>
            <w:tcW w:w="18881" w:type="dxa"/>
            <w:tcBorders>
              <w:bottom w:val="single" w:sz="4" w:space="0" w:color="auto"/>
            </w:tcBorders>
            <w:shd w:val="clear" w:color="auto" w:fill="auto"/>
            <w:vAlign w:val="bottom"/>
          </w:tcPr>
          <w:p w:rsidR="00F92E45" w:rsidRPr="00AC5FA2" w:rsidRDefault="00F92E45" w:rsidP="00AC5FA2">
            <w:pPr>
              <w:suppressAutoHyphens w:val="0"/>
              <w:spacing w:before="40" w:after="40" w:line="220" w:lineRule="exact"/>
              <w:ind w:right="113"/>
              <w:jc w:val="right"/>
              <w:rPr>
                <w:sz w:val="18"/>
              </w:rPr>
            </w:pPr>
            <w:r w:rsidRPr="00AC5FA2">
              <w:rPr>
                <w:sz w:val="18"/>
              </w:rPr>
              <w:t>24</w:t>
            </w:r>
          </w:p>
        </w:tc>
      </w:tr>
      <w:tr w:rsidR="00F92E45" w:rsidRPr="00AC5FA2" w:rsidTr="00FC35D5">
        <w:trPr>
          <w:cantSplit/>
          <w:trHeight w:val="240"/>
        </w:trPr>
        <w:tc>
          <w:tcPr>
            <w:tcW w:w="18881" w:type="dxa"/>
            <w:tcBorders>
              <w:top w:val="single" w:sz="4" w:space="0" w:color="auto"/>
              <w:bottom w:val="single" w:sz="12" w:space="0" w:color="auto"/>
            </w:tcBorders>
            <w:shd w:val="clear" w:color="auto" w:fill="auto"/>
            <w:vAlign w:val="bottom"/>
          </w:tcPr>
          <w:p w:rsidR="00F92E45" w:rsidRPr="00A2271C" w:rsidRDefault="00F92E45" w:rsidP="00FC35D5">
            <w:pPr>
              <w:suppressAutoHyphens w:val="0"/>
              <w:spacing w:before="80" w:after="80" w:line="220" w:lineRule="exact"/>
              <w:ind w:left="284" w:right="113"/>
              <w:rPr>
                <w:b/>
                <w:sz w:val="18"/>
              </w:rPr>
            </w:pPr>
            <w:r w:rsidRPr="00A2271C">
              <w:rPr>
                <w:b/>
                <w:sz w:val="18"/>
              </w:rPr>
              <w:t>Total</w:t>
            </w:r>
          </w:p>
        </w:tc>
        <w:tc>
          <w:tcPr>
            <w:tcW w:w="18881" w:type="dxa"/>
            <w:tcBorders>
              <w:top w:val="single" w:sz="4" w:space="0" w:color="auto"/>
              <w:bottom w:val="single" w:sz="12" w:space="0" w:color="auto"/>
            </w:tcBorders>
            <w:shd w:val="clear" w:color="auto" w:fill="auto"/>
            <w:vAlign w:val="bottom"/>
          </w:tcPr>
          <w:p w:rsidR="00F92E45" w:rsidRPr="00A2271C" w:rsidRDefault="00F92E45" w:rsidP="00FC35D5">
            <w:pPr>
              <w:suppressAutoHyphens w:val="0"/>
              <w:spacing w:before="80" w:after="80" w:line="220" w:lineRule="exact"/>
              <w:ind w:right="113"/>
              <w:jc w:val="right"/>
              <w:rPr>
                <w:b/>
                <w:sz w:val="18"/>
              </w:rPr>
            </w:pPr>
            <w:r w:rsidRPr="00A2271C">
              <w:rPr>
                <w:b/>
                <w:sz w:val="18"/>
              </w:rPr>
              <w:t>1</w:t>
            </w:r>
            <w:r w:rsidR="00A2271C" w:rsidRPr="00A2271C">
              <w:rPr>
                <w:b/>
                <w:sz w:val="18"/>
              </w:rPr>
              <w:t xml:space="preserve"> </w:t>
            </w:r>
            <w:r w:rsidRPr="00A2271C">
              <w:rPr>
                <w:b/>
                <w:sz w:val="18"/>
              </w:rPr>
              <w:t>814</w:t>
            </w:r>
          </w:p>
        </w:tc>
        <w:tc>
          <w:tcPr>
            <w:tcW w:w="18881" w:type="dxa"/>
            <w:tcBorders>
              <w:top w:val="single" w:sz="4" w:space="0" w:color="auto"/>
              <w:bottom w:val="single" w:sz="12" w:space="0" w:color="auto"/>
            </w:tcBorders>
            <w:shd w:val="clear" w:color="auto" w:fill="auto"/>
            <w:vAlign w:val="bottom"/>
          </w:tcPr>
          <w:p w:rsidR="00F92E45" w:rsidRPr="00A2271C" w:rsidRDefault="00F92E45" w:rsidP="00FC35D5">
            <w:pPr>
              <w:suppressAutoHyphens w:val="0"/>
              <w:spacing w:before="80" w:after="80" w:line="220" w:lineRule="exact"/>
              <w:ind w:right="113"/>
              <w:jc w:val="right"/>
              <w:rPr>
                <w:b/>
                <w:sz w:val="18"/>
              </w:rPr>
            </w:pPr>
            <w:r w:rsidRPr="00A2271C">
              <w:rPr>
                <w:b/>
                <w:sz w:val="18"/>
              </w:rPr>
              <w:t>21</w:t>
            </w:r>
            <w:r w:rsidR="00A2271C" w:rsidRPr="00A2271C">
              <w:rPr>
                <w:b/>
                <w:sz w:val="18"/>
              </w:rPr>
              <w:t xml:space="preserve"> </w:t>
            </w:r>
            <w:r w:rsidRPr="00A2271C">
              <w:rPr>
                <w:b/>
                <w:sz w:val="18"/>
              </w:rPr>
              <w:t>768</w:t>
            </w:r>
          </w:p>
        </w:tc>
      </w:tr>
    </w:tbl>
    <w:p w:rsidR="00F92E45" w:rsidRPr="00A2271C" w:rsidRDefault="00F92E45" w:rsidP="00FC35D5">
      <w:pPr>
        <w:spacing w:before="120" w:after="240"/>
        <w:ind w:left="1134" w:right="1134" w:firstLine="170"/>
        <w:rPr>
          <w:sz w:val="18"/>
          <w:szCs w:val="18"/>
        </w:rPr>
      </w:pPr>
      <w:r w:rsidRPr="00A2271C">
        <w:rPr>
          <w:i/>
          <w:sz w:val="18"/>
          <w:szCs w:val="18"/>
        </w:rPr>
        <w:t>Source:</w:t>
      </w:r>
      <w:r w:rsidRPr="00A2271C">
        <w:rPr>
          <w:sz w:val="18"/>
          <w:szCs w:val="18"/>
        </w:rPr>
        <w:t xml:space="preserve"> </w:t>
      </w:r>
      <w:r w:rsidR="00A2271C" w:rsidRPr="00A2271C">
        <w:rPr>
          <w:sz w:val="18"/>
          <w:szCs w:val="18"/>
        </w:rPr>
        <w:t xml:space="preserve"> </w:t>
      </w:r>
      <w:r w:rsidRPr="00A2271C">
        <w:rPr>
          <w:sz w:val="18"/>
          <w:szCs w:val="18"/>
        </w:rPr>
        <w:t>INEC and SENPLADES.</w:t>
      </w:r>
    </w:p>
    <w:p w:rsidR="00F92E45" w:rsidRPr="00F92E45" w:rsidRDefault="00F92E45" w:rsidP="00A2271C">
      <w:pPr>
        <w:pStyle w:val="H1G"/>
      </w:pPr>
      <w:r w:rsidRPr="00F92E45">
        <w:tab/>
      </w:r>
      <w:r w:rsidRPr="00F92E45">
        <w:tab/>
        <w:t>Poverty indicators (paras. 28 to 31)</w:t>
      </w:r>
    </w:p>
    <w:p w:rsidR="00F92E45" w:rsidRPr="00F92E45" w:rsidRDefault="00F92E45" w:rsidP="00A2271C">
      <w:pPr>
        <w:pStyle w:val="SingleTxtG"/>
        <w:spacing w:after="240"/>
      </w:pPr>
      <w:r w:rsidRPr="00F92E45">
        <w:t>6.</w:t>
      </w:r>
      <w:r w:rsidRPr="00F92E45">
        <w:tab/>
        <w:t>The information in the common core document was taken from the 2005</w:t>
      </w:r>
      <w:r w:rsidR="00A2271C">
        <w:t>–</w:t>
      </w:r>
      <w:r w:rsidRPr="00F92E45">
        <w:t>2006 Living Conditions</w:t>
      </w:r>
      <w:r w:rsidR="00A2271C">
        <w:t xml:space="preserve"> Survey</w:t>
      </w:r>
      <w:r w:rsidRPr="00F92E45">
        <w:t>. The following tables provide updated information.</w:t>
      </w:r>
    </w:p>
    <w:p w:rsidR="00F92E45" w:rsidRPr="00F92E45" w:rsidRDefault="00F92E45" w:rsidP="00A2271C">
      <w:pPr>
        <w:pStyle w:val="Heading1"/>
        <w:keepNext/>
      </w:pPr>
      <w:r w:rsidRPr="00F92E45">
        <w:t>Table 4</w:t>
      </w:r>
    </w:p>
    <w:p w:rsidR="00F92E45" w:rsidRPr="00A2271C" w:rsidRDefault="00F92E45" w:rsidP="00A2271C">
      <w:pPr>
        <w:pStyle w:val="SingleTxtG"/>
        <w:keepNext/>
        <w:rPr>
          <w:b/>
        </w:rPr>
      </w:pPr>
      <w:r w:rsidRPr="00A2271C">
        <w:rPr>
          <w:b/>
        </w:rPr>
        <w:t>National poverty indicators in urban and rural areas</w:t>
      </w:r>
      <w:r w:rsidR="00A2271C">
        <w:rPr>
          <w:b/>
        </w:rPr>
        <w:t xml:space="preserve"> (percentages)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474"/>
        <w:gridCol w:w="1474"/>
        <w:gridCol w:w="1474"/>
        <w:gridCol w:w="1474"/>
        <w:gridCol w:w="1474"/>
      </w:tblGrid>
      <w:tr w:rsidR="00F92E45" w:rsidRPr="00A2271C" w:rsidTr="00A223B0">
        <w:trPr>
          <w:cantSplit/>
          <w:trHeight w:val="20"/>
          <w:tblHeader/>
        </w:trPr>
        <w:tc>
          <w:tcPr>
            <w:tcW w:w="11340" w:type="dxa"/>
            <w:tcBorders>
              <w:top w:val="single" w:sz="4" w:space="0" w:color="auto"/>
              <w:bottom w:val="single" w:sz="12" w:space="0" w:color="auto"/>
            </w:tcBorders>
            <w:shd w:val="clear" w:color="auto" w:fill="auto"/>
            <w:vAlign w:val="bottom"/>
          </w:tcPr>
          <w:p w:rsidR="00F92E45" w:rsidRPr="00A2271C" w:rsidRDefault="00F92E45" w:rsidP="00A2271C">
            <w:pPr>
              <w:suppressAutoHyphens w:val="0"/>
              <w:spacing w:before="80" w:after="80" w:line="200" w:lineRule="exact"/>
              <w:ind w:right="113"/>
              <w:rPr>
                <w:i/>
                <w:sz w:val="16"/>
              </w:rPr>
            </w:pPr>
            <w:r w:rsidRPr="00A2271C">
              <w:rPr>
                <w:i/>
                <w:sz w:val="16"/>
              </w:rPr>
              <w:t>Quarter</w:t>
            </w:r>
          </w:p>
        </w:tc>
        <w:tc>
          <w:tcPr>
            <w:tcW w:w="11340" w:type="dxa"/>
            <w:tcBorders>
              <w:top w:val="single" w:sz="4" w:space="0" w:color="auto"/>
              <w:bottom w:val="single" w:sz="12" w:space="0" w:color="auto"/>
            </w:tcBorders>
            <w:shd w:val="clear" w:color="auto" w:fill="auto"/>
            <w:vAlign w:val="bottom"/>
          </w:tcPr>
          <w:p w:rsidR="00F92E45" w:rsidRPr="00A2271C" w:rsidRDefault="00F92E45" w:rsidP="00A2271C">
            <w:pPr>
              <w:suppressAutoHyphens w:val="0"/>
              <w:spacing w:before="80" w:after="80" w:line="200" w:lineRule="exact"/>
              <w:ind w:right="113"/>
              <w:jc w:val="right"/>
              <w:rPr>
                <w:i/>
                <w:sz w:val="16"/>
              </w:rPr>
            </w:pPr>
            <w:r w:rsidRPr="00A2271C">
              <w:rPr>
                <w:i/>
                <w:sz w:val="16"/>
              </w:rPr>
              <w:t>Incidence of poverty</w:t>
            </w:r>
          </w:p>
        </w:tc>
        <w:tc>
          <w:tcPr>
            <w:tcW w:w="11340" w:type="dxa"/>
            <w:tcBorders>
              <w:top w:val="single" w:sz="4" w:space="0" w:color="auto"/>
              <w:bottom w:val="single" w:sz="12" w:space="0" w:color="auto"/>
            </w:tcBorders>
            <w:shd w:val="clear" w:color="auto" w:fill="auto"/>
            <w:vAlign w:val="bottom"/>
          </w:tcPr>
          <w:p w:rsidR="00F92E45" w:rsidRPr="00A2271C" w:rsidRDefault="00F92E45" w:rsidP="00A2271C">
            <w:pPr>
              <w:suppressAutoHyphens w:val="0"/>
              <w:spacing w:before="80" w:after="80" w:line="200" w:lineRule="exact"/>
              <w:ind w:right="113"/>
              <w:jc w:val="right"/>
              <w:rPr>
                <w:i/>
                <w:sz w:val="16"/>
              </w:rPr>
            </w:pPr>
            <w:r w:rsidRPr="00A2271C">
              <w:rPr>
                <w:i/>
                <w:sz w:val="16"/>
              </w:rPr>
              <w:t>Standard error</w:t>
            </w:r>
          </w:p>
        </w:tc>
        <w:tc>
          <w:tcPr>
            <w:tcW w:w="11340" w:type="dxa"/>
            <w:tcBorders>
              <w:top w:val="single" w:sz="4" w:space="0" w:color="auto"/>
              <w:bottom w:val="single" w:sz="12" w:space="0" w:color="auto"/>
            </w:tcBorders>
            <w:shd w:val="clear" w:color="auto" w:fill="auto"/>
            <w:vAlign w:val="bottom"/>
          </w:tcPr>
          <w:p w:rsidR="00F92E45" w:rsidRPr="00A2271C" w:rsidRDefault="00F92E45" w:rsidP="00A2271C">
            <w:pPr>
              <w:suppressAutoHyphens w:val="0"/>
              <w:spacing w:before="80" w:after="80" w:line="200" w:lineRule="exact"/>
              <w:ind w:right="113"/>
              <w:jc w:val="right"/>
              <w:rPr>
                <w:i/>
                <w:sz w:val="16"/>
              </w:rPr>
            </w:pPr>
            <w:r w:rsidRPr="00A2271C">
              <w:rPr>
                <w:i/>
                <w:sz w:val="16"/>
              </w:rPr>
              <w:t>Lower limit</w:t>
            </w:r>
          </w:p>
        </w:tc>
        <w:tc>
          <w:tcPr>
            <w:tcW w:w="11340" w:type="dxa"/>
            <w:tcBorders>
              <w:top w:val="single" w:sz="4" w:space="0" w:color="auto"/>
              <w:bottom w:val="single" w:sz="12" w:space="0" w:color="auto"/>
            </w:tcBorders>
            <w:shd w:val="clear" w:color="auto" w:fill="auto"/>
            <w:vAlign w:val="bottom"/>
          </w:tcPr>
          <w:p w:rsidR="00F92E45" w:rsidRPr="00A2271C" w:rsidRDefault="00F92E45" w:rsidP="00A2271C">
            <w:pPr>
              <w:suppressAutoHyphens w:val="0"/>
              <w:spacing w:before="80" w:after="80" w:line="200" w:lineRule="exact"/>
              <w:ind w:right="113"/>
              <w:jc w:val="right"/>
              <w:rPr>
                <w:i/>
                <w:sz w:val="16"/>
              </w:rPr>
            </w:pPr>
            <w:r w:rsidRPr="00A2271C">
              <w:rPr>
                <w:i/>
                <w:sz w:val="16"/>
              </w:rPr>
              <w:t>Upper limit</w:t>
            </w:r>
          </w:p>
        </w:tc>
      </w:tr>
      <w:tr w:rsidR="00F92E45" w:rsidRPr="00A2271C" w:rsidTr="00A223B0">
        <w:trPr>
          <w:cantSplit/>
          <w:trHeight w:val="20"/>
        </w:trPr>
        <w:tc>
          <w:tcPr>
            <w:tcW w:w="11340" w:type="dxa"/>
            <w:tcBorders>
              <w:top w:val="single" w:sz="12" w:space="0" w:color="auto"/>
            </w:tcBorders>
            <w:shd w:val="clear" w:color="auto" w:fill="auto"/>
            <w:vAlign w:val="bottom"/>
          </w:tcPr>
          <w:p w:rsidR="00F92E45" w:rsidRPr="00A2271C" w:rsidRDefault="00F92E45" w:rsidP="00A2271C">
            <w:pPr>
              <w:suppressAutoHyphens w:val="0"/>
              <w:spacing w:before="40" w:after="40" w:line="220" w:lineRule="exact"/>
              <w:ind w:right="113"/>
              <w:rPr>
                <w:sz w:val="18"/>
              </w:rPr>
            </w:pPr>
            <w:r w:rsidRPr="00A2271C">
              <w:rPr>
                <w:sz w:val="18"/>
              </w:rPr>
              <w:t>June 2010</w:t>
            </w:r>
          </w:p>
        </w:tc>
        <w:tc>
          <w:tcPr>
            <w:tcW w:w="11340" w:type="dxa"/>
            <w:tcBorders>
              <w:top w:val="single" w:sz="12" w:space="0" w:color="auto"/>
            </w:tcBorders>
            <w:shd w:val="clear" w:color="auto" w:fill="auto"/>
            <w:vAlign w:val="bottom"/>
          </w:tcPr>
          <w:p w:rsidR="00F92E45" w:rsidRPr="00A2271C" w:rsidRDefault="00F92E45" w:rsidP="00A2271C">
            <w:pPr>
              <w:suppressAutoHyphens w:val="0"/>
              <w:spacing w:before="40" w:after="40" w:line="220" w:lineRule="exact"/>
              <w:ind w:right="113"/>
              <w:jc w:val="right"/>
              <w:rPr>
                <w:sz w:val="18"/>
              </w:rPr>
            </w:pPr>
            <w:r w:rsidRPr="00A2271C">
              <w:rPr>
                <w:sz w:val="18"/>
              </w:rPr>
              <w:t>33.01</w:t>
            </w:r>
          </w:p>
        </w:tc>
        <w:tc>
          <w:tcPr>
            <w:tcW w:w="11340" w:type="dxa"/>
            <w:tcBorders>
              <w:top w:val="single" w:sz="12" w:space="0" w:color="auto"/>
            </w:tcBorders>
            <w:shd w:val="clear" w:color="auto" w:fill="auto"/>
            <w:vAlign w:val="bottom"/>
          </w:tcPr>
          <w:p w:rsidR="00F92E45" w:rsidRPr="00A2271C" w:rsidRDefault="00F92E45" w:rsidP="00A2271C">
            <w:pPr>
              <w:suppressAutoHyphens w:val="0"/>
              <w:spacing w:before="40" w:after="40" w:line="220" w:lineRule="exact"/>
              <w:ind w:right="113"/>
              <w:jc w:val="right"/>
              <w:rPr>
                <w:sz w:val="18"/>
              </w:rPr>
            </w:pPr>
            <w:r w:rsidRPr="00A2271C">
              <w:rPr>
                <w:sz w:val="18"/>
              </w:rPr>
              <w:t>0.69</w:t>
            </w:r>
          </w:p>
        </w:tc>
        <w:tc>
          <w:tcPr>
            <w:tcW w:w="11340" w:type="dxa"/>
            <w:tcBorders>
              <w:top w:val="single" w:sz="12" w:space="0" w:color="auto"/>
            </w:tcBorders>
            <w:shd w:val="clear" w:color="auto" w:fill="auto"/>
            <w:vAlign w:val="bottom"/>
          </w:tcPr>
          <w:p w:rsidR="00F92E45" w:rsidRPr="00A2271C" w:rsidRDefault="00F92E45" w:rsidP="00A2271C">
            <w:pPr>
              <w:suppressAutoHyphens w:val="0"/>
              <w:spacing w:before="40" w:after="40" w:line="220" w:lineRule="exact"/>
              <w:ind w:right="113"/>
              <w:jc w:val="right"/>
              <w:rPr>
                <w:sz w:val="18"/>
              </w:rPr>
            </w:pPr>
            <w:r w:rsidRPr="00A2271C">
              <w:rPr>
                <w:sz w:val="18"/>
              </w:rPr>
              <w:t>31.66</w:t>
            </w:r>
          </w:p>
        </w:tc>
        <w:tc>
          <w:tcPr>
            <w:tcW w:w="11340" w:type="dxa"/>
            <w:tcBorders>
              <w:top w:val="single" w:sz="12" w:space="0" w:color="auto"/>
            </w:tcBorders>
            <w:shd w:val="clear" w:color="auto" w:fill="auto"/>
            <w:vAlign w:val="bottom"/>
          </w:tcPr>
          <w:p w:rsidR="00F92E45" w:rsidRPr="00A2271C" w:rsidRDefault="00F92E45" w:rsidP="00A2271C">
            <w:pPr>
              <w:suppressAutoHyphens w:val="0"/>
              <w:spacing w:before="40" w:after="40" w:line="220" w:lineRule="exact"/>
              <w:ind w:right="113"/>
              <w:jc w:val="right"/>
              <w:rPr>
                <w:sz w:val="18"/>
              </w:rPr>
            </w:pPr>
            <w:r w:rsidRPr="00A2271C">
              <w:rPr>
                <w:sz w:val="18"/>
              </w:rPr>
              <w:t>34.39</w:t>
            </w:r>
          </w:p>
        </w:tc>
      </w:tr>
      <w:tr w:rsidR="00F92E45" w:rsidRPr="00A2271C" w:rsidTr="00A223B0">
        <w:trPr>
          <w:cantSplit/>
          <w:trHeight w:val="20"/>
        </w:trPr>
        <w:tc>
          <w:tcPr>
            <w:tcW w:w="11340" w:type="dxa"/>
            <w:shd w:val="clear" w:color="auto" w:fill="auto"/>
            <w:vAlign w:val="bottom"/>
          </w:tcPr>
          <w:p w:rsidR="00F92E45" w:rsidRPr="00A2271C" w:rsidRDefault="00F92E45" w:rsidP="00A2271C">
            <w:pPr>
              <w:suppressAutoHyphens w:val="0"/>
              <w:spacing w:before="40" w:after="40" w:line="220" w:lineRule="exact"/>
              <w:ind w:right="113"/>
              <w:rPr>
                <w:sz w:val="18"/>
              </w:rPr>
            </w:pPr>
            <w:r w:rsidRPr="00A2271C">
              <w:rPr>
                <w:sz w:val="18"/>
              </w:rPr>
              <w:t>December 2010</w:t>
            </w:r>
          </w:p>
        </w:tc>
        <w:tc>
          <w:tcPr>
            <w:tcW w:w="11340" w:type="dxa"/>
            <w:shd w:val="clear" w:color="auto" w:fill="auto"/>
            <w:vAlign w:val="bottom"/>
          </w:tcPr>
          <w:p w:rsidR="00F92E45" w:rsidRPr="00A2271C" w:rsidRDefault="00F92E45" w:rsidP="00A2271C">
            <w:pPr>
              <w:suppressAutoHyphens w:val="0"/>
              <w:spacing w:before="40" w:after="40" w:line="220" w:lineRule="exact"/>
              <w:ind w:right="113"/>
              <w:jc w:val="right"/>
              <w:rPr>
                <w:sz w:val="18"/>
              </w:rPr>
            </w:pPr>
            <w:r w:rsidRPr="00A2271C">
              <w:rPr>
                <w:sz w:val="18"/>
              </w:rPr>
              <w:t>32.76</w:t>
            </w:r>
          </w:p>
        </w:tc>
        <w:tc>
          <w:tcPr>
            <w:tcW w:w="11340" w:type="dxa"/>
            <w:shd w:val="clear" w:color="auto" w:fill="auto"/>
            <w:vAlign w:val="bottom"/>
          </w:tcPr>
          <w:p w:rsidR="00F92E45" w:rsidRPr="00A2271C" w:rsidRDefault="00F92E45" w:rsidP="00A2271C">
            <w:pPr>
              <w:suppressAutoHyphens w:val="0"/>
              <w:spacing w:before="40" w:after="40" w:line="220" w:lineRule="exact"/>
              <w:ind w:right="113"/>
              <w:jc w:val="right"/>
              <w:rPr>
                <w:sz w:val="18"/>
              </w:rPr>
            </w:pPr>
            <w:r w:rsidRPr="00A2271C">
              <w:rPr>
                <w:sz w:val="18"/>
              </w:rPr>
              <w:t>0.59</w:t>
            </w:r>
          </w:p>
        </w:tc>
        <w:tc>
          <w:tcPr>
            <w:tcW w:w="11340" w:type="dxa"/>
            <w:shd w:val="clear" w:color="auto" w:fill="auto"/>
            <w:vAlign w:val="bottom"/>
          </w:tcPr>
          <w:p w:rsidR="00F92E45" w:rsidRPr="00A2271C" w:rsidRDefault="00F92E45" w:rsidP="00A2271C">
            <w:pPr>
              <w:suppressAutoHyphens w:val="0"/>
              <w:spacing w:before="40" w:after="40" w:line="220" w:lineRule="exact"/>
              <w:ind w:right="113"/>
              <w:jc w:val="right"/>
              <w:rPr>
                <w:sz w:val="18"/>
              </w:rPr>
            </w:pPr>
            <w:r w:rsidRPr="00A2271C">
              <w:rPr>
                <w:sz w:val="18"/>
              </w:rPr>
              <w:t>31.61</w:t>
            </w:r>
          </w:p>
        </w:tc>
        <w:tc>
          <w:tcPr>
            <w:tcW w:w="11340" w:type="dxa"/>
            <w:shd w:val="clear" w:color="auto" w:fill="auto"/>
            <w:vAlign w:val="bottom"/>
          </w:tcPr>
          <w:p w:rsidR="00F92E45" w:rsidRPr="00A2271C" w:rsidRDefault="00F92E45" w:rsidP="00A2271C">
            <w:pPr>
              <w:suppressAutoHyphens w:val="0"/>
              <w:spacing w:before="40" w:after="40" w:line="220" w:lineRule="exact"/>
              <w:ind w:right="113"/>
              <w:jc w:val="right"/>
              <w:rPr>
                <w:sz w:val="18"/>
              </w:rPr>
            </w:pPr>
            <w:r w:rsidRPr="00A2271C">
              <w:rPr>
                <w:sz w:val="18"/>
              </w:rPr>
              <w:t>33.94</w:t>
            </w:r>
          </w:p>
        </w:tc>
      </w:tr>
    </w:tbl>
    <w:p w:rsidR="00F92E45" w:rsidRPr="00A2271C" w:rsidRDefault="00F92E45" w:rsidP="00A2271C">
      <w:pPr>
        <w:spacing w:before="120" w:after="240"/>
        <w:ind w:left="1134" w:right="1134" w:firstLine="170"/>
        <w:rPr>
          <w:sz w:val="18"/>
          <w:szCs w:val="18"/>
        </w:rPr>
      </w:pPr>
      <w:r w:rsidRPr="00A2271C">
        <w:rPr>
          <w:i/>
          <w:sz w:val="18"/>
          <w:szCs w:val="18"/>
        </w:rPr>
        <w:t>Source:</w:t>
      </w:r>
      <w:r w:rsidR="00A2271C">
        <w:rPr>
          <w:sz w:val="18"/>
          <w:szCs w:val="18"/>
        </w:rPr>
        <w:t xml:space="preserve"> </w:t>
      </w:r>
      <w:r w:rsidRPr="00A2271C">
        <w:rPr>
          <w:sz w:val="18"/>
          <w:szCs w:val="18"/>
        </w:rPr>
        <w:t xml:space="preserve"> INEC and SENPLADES.</w:t>
      </w:r>
    </w:p>
    <w:p w:rsidR="00F92E45" w:rsidRPr="00F92E45" w:rsidRDefault="00F92E45" w:rsidP="00524693">
      <w:pPr>
        <w:pStyle w:val="Heading1"/>
        <w:keepNext/>
      </w:pPr>
      <w:r w:rsidRPr="00F92E45">
        <w:t>Table 5</w:t>
      </w:r>
    </w:p>
    <w:p w:rsidR="00F92E45" w:rsidRPr="00524693" w:rsidRDefault="00F92E45" w:rsidP="00524693">
      <w:pPr>
        <w:pStyle w:val="SingleTxtG"/>
        <w:keepNext/>
        <w:rPr>
          <w:b/>
        </w:rPr>
      </w:pPr>
      <w:r w:rsidRPr="00524693">
        <w:rPr>
          <w:b/>
        </w:rPr>
        <w:t>Poverty in urban areas</w:t>
      </w:r>
      <w:r w:rsidR="00524693">
        <w:rPr>
          <w:b/>
        </w:rPr>
        <w:t xml:space="preserve"> (percentages)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474"/>
        <w:gridCol w:w="1474"/>
        <w:gridCol w:w="1474"/>
        <w:gridCol w:w="1474"/>
        <w:gridCol w:w="1474"/>
      </w:tblGrid>
      <w:tr w:rsidR="00F92E45" w:rsidRPr="00524693" w:rsidTr="00A223B0">
        <w:trPr>
          <w:cantSplit/>
          <w:trHeight w:val="20"/>
          <w:tblHeader/>
        </w:trPr>
        <w:tc>
          <w:tcPr>
            <w:tcW w:w="11283" w:type="dxa"/>
            <w:tcBorders>
              <w:top w:val="single" w:sz="4" w:space="0" w:color="auto"/>
              <w:bottom w:val="single" w:sz="12" w:space="0" w:color="auto"/>
            </w:tcBorders>
            <w:shd w:val="clear" w:color="auto" w:fill="auto"/>
            <w:vAlign w:val="bottom"/>
          </w:tcPr>
          <w:p w:rsidR="00F92E45" w:rsidRPr="00524693" w:rsidRDefault="00F92E45" w:rsidP="00524693">
            <w:pPr>
              <w:suppressAutoHyphens w:val="0"/>
              <w:spacing w:before="80" w:after="80" w:line="200" w:lineRule="exact"/>
              <w:ind w:right="113"/>
              <w:rPr>
                <w:i/>
                <w:sz w:val="16"/>
              </w:rPr>
            </w:pPr>
            <w:r w:rsidRPr="00524693">
              <w:rPr>
                <w:i/>
                <w:sz w:val="16"/>
              </w:rPr>
              <w:t>Quarter</w:t>
            </w:r>
          </w:p>
        </w:tc>
        <w:tc>
          <w:tcPr>
            <w:tcW w:w="11283" w:type="dxa"/>
            <w:tcBorders>
              <w:top w:val="single" w:sz="4" w:space="0" w:color="auto"/>
              <w:bottom w:val="single" w:sz="12" w:space="0" w:color="auto"/>
            </w:tcBorders>
            <w:shd w:val="clear" w:color="auto" w:fill="auto"/>
            <w:vAlign w:val="bottom"/>
          </w:tcPr>
          <w:p w:rsidR="00F92E45" w:rsidRPr="00524693" w:rsidRDefault="00F92E45" w:rsidP="00524693">
            <w:pPr>
              <w:suppressAutoHyphens w:val="0"/>
              <w:spacing w:before="80" w:after="80" w:line="200" w:lineRule="exact"/>
              <w:ind w:right="113"/>
              <w:jc w:val="right"/>
              <w:rPr>
                <w:i/>
                <w:sz w:val="16"/>
              </w:rPr>
            </w:pPr>
            <w:r w:rsidRPr="00524693">
              <w:rPr>
                <w:i/>
                <w:sz w:val="16"/>
              </w:rPr>
              <w:t>Incidence of poverty</w:t>
            </w:r>
          </w:p>
        </w:tc>
        <w:tc>
          <w:tcPr>
            <w:tcW w:w="11283" w:type="dxa"/>
            <w:tcBorders>
              <w:top w:val="single" w:sz="4" w:space="0" w:color="auto"/>
              <w:bottom w:val="single" w:sz="12" w:space="0" w:color="auto"/>
            </w:tcBorders>
            <w:shd w:val="clear" w:color="auto" w:fill="auto"/>
            <w:vAlign w:val="bottom"/>
          </w:tcPr>
          <w:p w:rsidR="00F92E45" w:rsidRPr="00524693" w:rsidRDefault="00F92E45" w:rsidP="00524693">
            <w:pPr>
              <w:suppressAutoHyphens w:val="0"/>
              <w:spacing w:before="80" w:after="80" w:line="200" w:lineRule="exact"/>
              <w:ind w:right="113"/>
              <w:jc w:val="right"/>
              <w:rPr>
                <w:i/>
                <w:sz w:val="16"/>
              </w:rPr>
            </w:pPr>
            <w:r w:rsidRPr="00524693">
              <w:rPr>
                <w:i/>
                <w:sz w:val="16"/>
              </w:rPr>
              <w:t>Standard error</w:t>
            </w:r>
          </w:p>
        </w:tc>
        <w:tc>
          <w:tcPr>
            <w:tcW w:w="11283" w:type="dxa"/>
            <w:tcBorders>
              <w:top w:val="single" w:sz="4" w:space="0" w:color="auto"/>
              <w:bottom w:val="single" w:sz="12" w:space="0" w:color="auto"/>
            </w:tcBorders>
            <w:shd w:val="clear" w:color="auto" w:fill="auto"/>
            <w:vAlign w:val="bottom"/>
          </w:tcPr>
          <w:p w:rsidR="00F92E45" w:rsidRPr="00524693" w:rsidRDefault="00F92E45" w:rsidP="00524693">
            <w:pPr>
              <w:suppressAutoHyphens w:val="0"/>
              <w:spacing w:before="80" w:after="80" w:line="200" w:lineRule="exact"/>
              <w:ind w:right="113"/>
              <w:jc w:val="right"/>
              <w:rPr>
                <w:i/>
                <w:sz w:val="16"/>
              </w:rPr>
            </w:pPr>
            <w:r w:rsidRPr="00524693">
              <w:rPr>
                <w:i/>
                <w:sz w:val="16"/>
              </w:rPr>
              <w:t>Lower limit</w:t>
            </w:r>
          </w:p>
        </w:tc>
        <w:tc>
          <w:tcPr>
            <w:tcW w:w="11283" w:type="dxa"/>
            <w:tcBorders>
              <w:top w:val="single" w:sz="4" w:space="0" w:color="auto"/>
              <w:bottom w:val="single" w:sz="12" w:space="0" w:color="auto"/>
            </w:tcBorders>
            <w:shd w:val="clear" w:color="auto" w:fill="auto"/>
            <w:vAlign w:val="bottom"/>
          </w:tcPr>
          <w:p w:rsidR="00F92E45" w:rsidRPr="00524693" w:rsidRDefault="00F92E45" w:rsidP="00524693">
            <w:pPr>
              <w:suppressAutoHyphens w:val="0"/>
              <w:spacing w:before="80" w:after="80" w:line="200" w:lineRule="exact"/>
              <w:ind w:right="113"/>
              <w:jc w:val="right"/>
              <w:rPr>
                <w:i/>
                <w:sz w:val="16"/>
              </w:rPr>
            </w:pPr>
            <w:r w:rsidRPr="00524693">
              <w:rPr>
                <w:i/>
                <w:sz w:val="16"/>
              </w:rPr>
              <w:t>Upper limit</w:t>
            </w:r>
          </w:p>
        </w:tc>
      </w:tr>
      <w:tr w:rsidR="00F92E45" w:rsidRPr="00524693" w:rsidTr="00A223B0">
        <w:trPr>
          <w:cantSplit/>
          <w:trHeight w:val="20"/>
        </w:trPr>
        <w:tc>
          <w:tcPr>
            <w:tcW w:w="11283" w:type="dxa"/>
            <w:tcBorders>
              <w:top w:val="single" w:sz="12" w:space="0" w:color="auto"/>
            </w:tcBorders>
            <w:shd w:val="clear" w:color="auto" w:fill="auto"/>
            <w:vAlign w:val="bottom"/>
          </w:tcPr>
          <w:p w:rsidR="00F92E45" w:rsidRPr="00524693" w:rsidRDefault="00F92E45" w:rsidP="00524693">
            <w:pPr>
              <w:suppressAutoHyphens w:val="0"/>
              <w:spacing w:before="40" w:after="40" w:line="220" w:lineRule="exact"/>
              <w:ind w:right="113"/>
              <w:rPr>
                <w:sz w:val="18"/>
              </w:rPr>
            </w:pPr>
            <w:r w:rsidRPr="00524693">
              <w:rPr>
                <w:sz w:val="18"/>
              </w:rPr>
              <w:t>March 2010</w:t>
            </w:r>
          </w:p>
        </w:tc>
        <w:tc>
          <w:tcPr>
            <w:tcW w:w="11283" w:type="dxa"/>
            <w:tcBorders>
              <w:top w:val="single" w:sz="12" w:space="0" w:color="auto"/>
            </w:tcBorders>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22.60</w:t>
            </w:r>
          </w:p>
        </w:tc>
        <w:tc>
          <w:tcPr>
            <w:tcW w:w="11283" w:type="dxa"/>
            <w:tcBorders>
              <w:top w:val="single" w:sz="12" w:space="0" w:color="auto"/>
            </w:tcBorders>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0.92</w:t>
            </w:r>
          </w:p>
        </w:tc>
        <w:tc>
          <w:tcPr>
            <w:tcW w:w="11283" w:type="dxa"/>
            <w:tcBorders>
              <w:top w:val="single" w:sz="12" w:space="0" w:color="auto"/>
            </w:tcBorders>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20.85</w:t>
            </w:r>
          </w:p>
        </w:tc>
        <w:tc>
          <w:tcPr>
            <w:tcW w:w="11283" w:type="dxa"/>
            <w:tcBorders>
              <w:top w:val="single" w:sz="12" w:space="0" w:color="auto"/>
            </w:tcBorders>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24.45</w:t>
            </w:r>
          </w:p>
        </w:tc>
      </w:tr>
      <w:tr w:rsidR="00F92E45" w:rsidRPr="00524693" w:rsidTr="00A223B0">
        <w:trPr>
          <w:cantSplit/>
          <w:trHeight w:val="20"/>
        </w:trPr>
        <w:tc>
          <w:tcPr>
            <w:tcW w:w="11283" w:type="dxa"/>
            <w:shd w:val="clear" w:color="auto" w:fill="auto"/>
            <w:vAlign w:val="bottom"/>
          </w:tcPr>
          <w:p w:rsidR="00F92E45" w:rsidRPr="00524693" w:rsidRDefault="00F92E45" w:rsidP="00524693">
            <w:pPr>
              <w:suppressAutoHyphens w:val="0"/>
              <w:spacing w:before="40" w:after="40" w:line="220" w:lineRule="exact"/>
              <w:ind w:right="113"/>
              <w:rPr>
                <w:sz w:val="18"/>
              </w:rPr>
            </w:pPr>
            <w:r w:rsidRPr="00524693">
              <w:rPr>
                <w:sz w:val="18"/>
              </w:rPr>
              <w:t>June 2010</w:t>
            </w:r>
          </w:p>
        </w:tc>
        <w:tc>
          <w:tcPr>
            <w:tcW w:w="11283"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22.91</w:t>
            </w:r>
          </w:p>
        </w:tc>
        <w:tc>
          <w:tcPr>
            <w:tcW w:w="11283"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0.79</w:t>
            </w:r>
          </w:p>
        </w:tc>
        <w:tc>
          <w:tcPr>
            <w:tcW w:w="11283"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21.39</w:t>
            </w:r>
          </w:p>
        </w:tc>
        <w:tc>
          <w:tcPr>
            <w:tcW w:w="11283"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24.50</w:t>
            </w:r>
          </w:p>
        </w:tc>
      </w:tr>
      <w:tr w:rsidR="00F92E45" w:rsidRPr="00524693" w:rsidTr="00A223B0">
        <w:trPr>
          <w:cantSplit/>
          <w:trHeight w:val="20"/>
        </w:trPr>
        <w:tc>
          <w:tcPr>
            <w:tcW w:w="11283" w:type="dxa"/>
            <w:shd w:val="clear" w:color="auto" w:fill="auto"/>
            <w:vAlign w:val="bottom"/>
          </w:tcPr>
          <w:p w:rsidR="00F92E45" w:rsidRPr="00524693" w:rsidRDefault="00F92E45" w:rsidP="00524693">
            <w:pPr>
              <w:suppressAutoHyphens w:val="0"/>
              <w:spacing w:before="40" w:after="40" w:line="220" w:lineRule="exact"/>
              <w:ind w:right="113"/>
              <w:rPr>
                <w:sz w:val="18"/>
              </w:rPr>
            </w:pPr>
            <w:r w:rsidRPr="00524693">
              <w:rPr>
                <w:sz w:val="18"/>
              </w:rPr>
              <w:t>September 2010</w:t>
            </w:r>
          </w:p>
        </w:tc>
        <w:tc>
          <w:tcPr>
            <w:tcW w:w="11283"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22.71</w:t>
            </w:r>
          </w:p>
        </w:tc>
        <w:tc>
          <w:tcPr>
            <w:tcW w:w="11283"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0.81</w:t>
            </w:r>
          </w:p>
        </w:tc>
        <w:tc>
          <w:tcPr>
            <w:tcW w:w="11283"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21.16</w:t>
            </w:r>
          </w:p>
        </w:tc>
        <w:tc>
          <w:tcPr>
            <w:tcW w:w="11283"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24.34</w:t>
            </w:r>
          </w:p>
        </w:tc>
      </w:tr>
      <w:tr w:rsidR="00F92E45" w:rsidRPr="00524693" w:rsidTr="00A223B0">
        <w:trPr>
          <w:cantSplit/>
          <w:trHeight w:val="20"/>
        </w:trPr>
        <w:tc>
          <w:tcPr>
            <w:tcW w:w="11283" w:type="dxa"/>
            <w:shd w:val="clear" w:color="auto" w:fill="auto"/>
            <w:vAlign w:val="bottom"/>
          </w:tcPr>
          <w:p w:rsidR="00F92E45" w:rsidRPr="00524693" w:rsidRDefault="00F92E45" w:rsidP="00524693">
            <w:pPr>
              <w:suppressAutoHyphens w:val="0"/>
              <w:spacing w:before="40" w:after="40" w:line="220" w:lineRule="exact"/>
              <w:ind w:right="113"/>
              <w:rPr>
                <w:sz w:val="18"/>
              </w:rPr>
            </w:pPr>
            <w:r w:rsidRPr="00524693">
              <w:rPr>
                <w:sz w:val="18"/>
              </w:rPr>
              <w:t>December 2010</w:t>
            </w:r>
          </w:p>
        </w:tc>
        <w:tc>
          <w:tcPr>
            <w:tcW w:w="11283"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22.45</w:t>
            </w:r>
          </w:p>
        </w:tc>
        <w:tc>
          <w:tcPr>
            <w:tcW w:w="11283"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0.70</w:t>
            </w:r>
          </w:p>
        </w:tc>
        <w:tc>
          <w:tcPr>
            <w:tcW w:w="11283"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21.10</w:t>
            </w:r>
          </w:p>
        </w:tc>
        <w:tc>
          <w:tcPr>
            <w:tcW w:w="11283"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23.86</w:t>
            </w:r>
          </w:p>
        </w:tc>
      </w:tr>
    </w:tbl>
    <w:p w:rsidR="00F92E45" w:rsidRPr="00524693" w:rsidRDefault="00F92E45" w:rsidP="00524693">
      <w:pPr>
        <w:spacing w:before="120" w:after="240"/>
        <w:ind w:left="1134" w:right="1134" w:firstLine="170"/>
        <w:rPr>
          <w:sz w:val="18"/>
          <w:szCs w:val="18"/>
        </w:rPr>
      </w:pPr>
      <w:r w:rsidRPr="00524693">
        <w:rPr>
          <w:i/>
          <w:sz w:val="18"/>
          <w:szCs w:val="18"/>
        </w:rPr>
        <w:t>Source:</w:t>
      </w:r>
      <w:r w:rsidR="00524693">
        <w:rPr>
          <w:sz w:val="18"/>
          <w:szCs w:val="18"/>
        </w:rPr>
        <w:t xml:space="preserve"> </w:t>
      </w:r>
      <w:r w:rsidRPr="00524693">
        <w:rPr>
          <w:sz w:val="18"/>
          <w:szCs w:val="18"/>
        </w:rPr>
        <w:t xml:space="preserve"> INEC and SENPLADES.</w:t>
      </w:r>
    </w:p>
    <w:p w:rsidR="00F92E45" w:rsidRPr="00F92E45" w:rsidRDefault="00F92E45" w:rsidP="00524693">
      <w:pPr>
        <w:pStyle w:val="Heading1"/>
        <w:keepNext/>
      </w:pPr>
      <w:r w:rsidRPr="00F92E45">
        <w:t>Table 6</w:t>
      </w:r>
    </w:p>
    <w:p w:rsidR="00F92E45" w:rsidRPr="00524693" w:rsidRDefault="00F92E45" w:rsidP="00524693">
      <w:pPr>
        <w:pStyle w:val="SingleTxtG"/>
        <w:keepNext/>
        <w:rPr>
          <w:b/>
        </w:rPr>
      </w:pPr>
      <w:r w:rsidRPr="00524693">
        <w:rPr>
          <w:b/>
        </w:rPr>
        <w:t>Poverty in rural areas</w:t>
      </w:r>
      <w:r w:rsidR="00524693">
        <w:rPr>
          <w:b/>
        </w:rPr>
        <w:t xml:space="preserve"> (percentages)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474"/>
        <w:gridCol w:w="1474"/>
        <w:gridCol w:w="1474"/>
        <w:gridCol w:w="1474"/>
        <w:gridCol w:w="1474"/>
      </w:tblGrid>
      <w:tr w:rsidR="00F92E45" w:rsidRPr="00524693" w:rsidTr="00A223B0">
        <w:trPr>
          <w:cantSplit/>
          <w:trHeight w:val="20"/>
          <w:tblHeader/>
        </w:trPr>
        <w:tc>
          <w:tcPr>
            <w:tcW w:w="11340" w:type="dxa"/>
            <w:tcBorders>
              <w:top w:val="single" w:sz="4" w:space="0" w:color="auto"/>
              <w:bottom w:val="single" w:sz="12" w:space="0" w:color="auto"/>
            </w:tcBorders>
            <w:shd w:val="clear" w:color="auto" w:fill="auto"/>
            <w:vAlign w:val="bottom"/>
          </w:tcPr>
          <w:p w:rsidR="00F92E45" w:rsidRPr="00524693" w:rsidRDefault="00F92E45" w:rsidP="00524693">
            <w:pPr>
              <w:suppressAutoHyphens w:val="0"/>
              <w:spacing w:before="80" w:after="80" w:line="200" w:lineRule="exact"/>
              <w:ind w:right="113"/>
              <w:rPr>
                <w:i/>
                <w:sz w:val="16"/>
              </w:rPr>
            </w:pPr>
            <w:r w:rsidRPr="00524693">
              <w:rPr>
                <w:i/>
                <w:sz w:val="16"/>
              </w:rPr>
              <w:t>Quarter</w:t>
            </w:r>
          </w:p>
        </w:tc>
        <w:tc>
          <w:tcPr>
            <w:tcW w:w="11340" w:type="dxa"/>
            <w:tcBorders>
              <w:top w:val="single" w:sz="4" w:space="0" w:color="auto"/>
              <w:bottom w:val="single" w:sz="12" w:space="0" w:color="auto"/>
            </w:tcBorders>
            <w:shd w:val="clear" w:color="auto" w:fill="auto"/>
            <w:vAlign w:val="bottom"/>
          </w:tcPr>
          <w:p w:rsidR="00F92E45" w:rsidRPr="00524693" w:rsidRDefault="00F92E45" w:rsidP="00524693">
            <w:pPr>
              <w:suppressAutoHyphens w:val="0"/>
              <w:spacing w:before="80" w:after="80" w:line="200" w:lineRule="exact"/>
              <w:ind w:right="113"/>
              <w:jc w:val="right"/>
              <w:rPr>
                <w:i/>
                <w:sz w:val="16"/>
              </w:rPr>
            </w:pPr>
            <w:r w:rsidRPr="00524693">
              <w:rPr>
                <w:i/>
                <w:sz w:val="16"/>
              </w:rPr>
              <w:t xml:space="preserve">Incidence of poverty </w:t>
            </w:r>
          </w:p>
        </w:tc>
        <w:tc>
          <w:tcPr>
            <w:tcW w:w="11340" w:type="dxa"/>
            <w:tcBorders>
              <w:top w:val="single" w:sz="4" w:space="0" w:color="auto"/>
              <w:bottom w:val="single" w:sz="12" w:space="0" w:color="auto"/>
            </w:tcBorders>
            <w:shd w:val="clear" w:color="auto" w:fill="auto"/>
            <w:vAlign w:val="bottom"/>
          </w:tcPr>
          <w:p w:rsidR="00F92E45" w:rsidRPr="00524693" w:rsidRDefault="00F92E45" w:rsidP="00524693">
            <w:pPr>
              <w:suppressAutoHyphens w:val="0"/>
              <w:spacing w:before="80" w:after="80" w:line="200" w:lineRule="exact"/>
              <w:ind w:right="113"/>
              <w:jc w:val="right"/>
              <w:rPr>
                <w:i/>
                <w:sz w:val="16"/>
              </w:rPr>
            </w:pPr>
            <w:r w:rsidRPr="00524693">
              <w:rPr>
                <w:i/>
                <w:sz w:val="16"/>
              </w:rPr>
              <w:t>Standard error</w:t>
            </w:r>
          </w:p>
        </w:tc>
        <w:tc>
          <w:tcPr>
            <w:tcW w:w="11340" w:type="dxa"/>
            <w:tcBorders>
              <w:top w:val="single" w:sz="4" w:space="0" w:color="auto"/>
              <w:bottom w:val="single" w:sz="12" w:space="0" w:color="auto"/>
            </w:tcBorders>
            <w:shd w:val="clear" w:color="auto" w:fill="auto"/>
            <w:vAlign w:val="bottom"/>
          </w:tcPr>
          <w:p w:rsidR="00F92E45" w:rsidRPr="00524693" w:rsidRDefault="00F92E45" w:rsidP="00524693">
            <w:pPr>
              <w:suppressAutoHyphens w:val="0"/>
              <w:spacing w:before="80" w:after="80" w:line="200" w:lineRule="exact"/>
              <w:ind w:right="113"/>
              <w:jc w:val="right"/>
              <w:rPr>
                <w:i/>
                <w:sz w:val="16"/>
              </w:rPr>
            </w:pPr>
            <w:r w:rsidRPr="00524693">
              <w:rPr>
                <w:i/>
                <w:sz w:val="16"/>
              </w:rPr>
              <w:t xml:space="preserve">Lower limit </w:t>
            </w:r>
          </w:p>
        </w:tc>
        <w:tc>
          <w:tcPr>
            <w:tcW w:w="11340" w:type="dxa"/>
            <w:tcBorders>
              <w:top w:val="single" w:sz="4" w:space="0" w:color="auto"/>
              <w:bottom w:val="single" w:sz="12" w:space="0" w:color="auto"/>
            </w:tcBorders>
            <w:shd w:val="clear" w:color="auto" w:fill="auto"/>
            <w:vAlign w:val="bottom"/>
          </w:tcPr>
          <w:p w:rsidR="00F92E45" w:rsidRPr="00524693" w:rsidRDefault="00F92E45" w:rsidP="00524693">
            <w:pPr>
              <w:suppressAutoHyphens w:val="0"/>
              <w:spacing w:before="80" w:after="80" w:line="200" w:lineRule="exact"/>
              <w:ind w:right="113"/>
              <w:jc w:val="right"/>
              <w:rPr>
                <w:i/>
                <w:sz w:val="16"/>
              </w:rPr>
            </w:pPr>
            <w:r w:rsidRPr="00524693">
              <w:rPr>
                <w:i/>
                <w:sz w:val="16"/>
              </w:rPr>
              <w:t>Upper limit</w:t>
            </w:r>
          </w:p>
        </w:tc>
      </w:tr>
      <w:tr w:rsidR="00F92E45" w:rsidRPr="00524693" w:rsidTr="00A223B0">
        <w:trPr>
          <w:cantSplit/>
          <w:trHeight w:val="20"/>
        </w:trPr>
        <w:tc>
          <w:tcPr>
            <w:tcW w:w="11340" w:type="dxa"/>
            <w:tcBorders>
              <w:top w:val="single" w:sz="12" w:space="0" w:color="auto"/>
            </w:tcBorders>
            <w:shd w:val="clear" w:color="auto" w:fill="auto"/>
            <w:vAlign w:val="bottom"/>
          </w:tcPr>
          <w:p w:rsidR="00F92E45" w:rsidRPr="00524693" w:rsidRDefault="00F92E45" w:rsidP="00524693">
            <w:pPr>
              <w:suppressAutoHyphens w:val="0"/>
              <w:spacing w:before="40" w:after="40" w:line="220" w:lineRule="exact"/>
              <w:ind w:right="113"/>
              <w:rPr>
                <w:sz w:val="18"/>
              </w:rPr>
            </w:pPr>
            <w:r w:rsidRPr="00524693">
              <w:rPr>
                <w:sz w:val="18"/>
              </w:rPr>
              <w:t>June 2010</w:t>
            </w:r>
          </w:p>
        </w:tc>
        <w:tc>
          <w:tcPr>
            <w:tcW w:w="11340" w:type="dxa"/>
            <w:tcBorders>
              <w:top w:val="single" w:sz="12" w:space="0" w:color="auto"/>
            </w:tcBorders>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52.89</w:t>
            </w:r>
          </w:p>
        </w:tc>
        <w:tc>
          <w:tcPr>
            <w:tcW w:w="11340" w:type="dxa"/>
            <w:tcBorders>
              <w:top w:val="single" w:sz="12" w:space="0" w:color="auto"/>
            </w:tcBorders>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1.09</w:t>
            </w:r>
          </w:p>
        </w:tc>
        <w:tc>
          <w:tcPr>
            <w:tcW w:w="11340" w:type="dxa"/>
            <w:tcBorders>
              <w:top w:val="single" w:sz="12" w:space="0" w:color="auto"/>
            </w:tcBorders>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50.75</w:t>
            </w:r>
          </w:p>
        </w:tc>
        <w:tc>
          <w:tcPr>
            <w:tcW w:w="11340" w:type="dxa"/>
            <w:tcBorders>
              <w:top w:val="single" w:sz="12" w:space="0" w:color="auto"/>
            </w:tcBorders>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55.02</w:t>
            </w:r>
          </w:p>
        </w:tc>
      </w:tr>
      <w:tr w:rsidR="00F92E45" w:rsidRPr="00524693" w:rsidTr="00A223B0">
        <w:trPr>
          <w:cantSplit/>
          <w:trHeight w:val="20"/>
        </w:trPr>
        <w:tc>
          <w:tcPr>
            <w:tcW w:w="11340" w:type="dxa"/>
            <w:shd w:val="clear" w:color="auto" w:fill="auto"/>
            <w:vAlign w:val="bottom"/>
          </w:tcPr>
          <w:p w:rsidR="00F92E45" w:rsidRPr="00524693" w:rsidRDefault="00F92E45" w:rsidP="00524693">
            <w:pPr>
              <w:suppressAutoHyphens w:val="0"/>
              <w:spacing w:before="40" w:after="40" w:line="220" w:lineRule="exact"/>
              <w:ind w:right="113"/>
              <w:rPr>
                <w:sz w:val="18"/>
              </w:rPr>
            </w:pPr>
            <w:r w:rsidRPr="00524693">
              <w:rPr>
                <w:sz w:val="18"/>
              </w:rPr>
              <w:t>December 2010</w:t>
            </w:r>
          </w:p>
        </w:tc>
        <w:tc>
          <w:tcPr>
            <w:tcW w:w="11340"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52.96</w:t>
            </w:r>
          </w:p>
        </w:tc>
        <w:tc>
          <w:tcPr>
            <w:tcW w:w="11340"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1.01</w:t>
            </w:r>
          </w:p>
        </w:tc>
        <w:tc>
          <w:tcPr>
            <w:tcW w:w="11340"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50.96</w:t>
            </w:r>
          </w:p>
        </w:tc>
        <w:tc>
          <w:tcPr>
            <w:tcW w:w="11340" w:type="dxa"/>
            <w:shd w:val="clear" w:color="auto" w:fill="auto"/>
            <w:vAlign w:val="bottom"/>
          </w:tcPr>
          <w:p w:rsidR="00F92E45" w:rsidRPr="00524693" w:rsidRDefault="00F92E45" w:rsidP="00524693">
            <w:pPr>
              <w:suppressAutoHyphens w:val="0"/>
              <w:spacing w:before="40" w:after="40" w:line="220" w:lineRule="exact"/>
              <w:ind w:right="113"/>
              <w:jc w:val="right"/>
              <w:rPr>
                <w:sz w:val="18"/>
              </w:rPr>
            </w:pPr>
            <w:r w:rsidRPr="00524693">
              <w:rPr>
                <w:sz w:val="18"/>
              </w:rPr>
              <w:t>54.94</w:t>
            </w:r>
          </w:p>
        </w:tc>
      </w:tr>
    </w:tbl>
    <w:p w:rsidR="00F92E45" w:rsidRPr="00F92E45" w:rsidRDefault="00F92E45" w:rsidP="00524693">
      <w:pPr>
        <w:spacing w:before="120" w:after="240"/>
        <w:ind w:left="1134" w:right="1134" w:firstLine="170"/>
      </w:pPr>
      <w:r w:rsidRPr="00524693">
        <w:rPr>
          <w:i/>
          <w:sz w:val="18"/>
          <w:szCs w:val="18"/>
        </w:rPr>
        <w:t>Source</w:t>
      </w:r>
      <w:r w:rsidRPr="00F92E45">
        <w:t xml:space="preserve">: </w:t>
      </w:r>
      <w:r w:rsidR="001F1284">
        <w:t xml:space="preserve"> </w:t>
      </w:r>
      <w:r w:rsidRPr="00524693">
        <w:rPr>
          <w:sz w:val="18"/>
          <w:szCs w:val="18"/>
        </w:rPr>
        <w:t>INEC and SENPLADES.</w:t>
      </w:r>
    </w:p>
    <w:p w:rsidR="00F92E45" w:rsidRPr="00F92E45" w:rsidRDefault="00F92E45" w:rsidP="00524693">
      <w:pPr>
        <w:pStyle w:val="H1G"/>
      </w:pPr>
      <w:r w:rsidRPr="00F92E45">
        <w:tab/>
      </w:r>
      <w:r w:rsidRPr="00F92E45">
        <w:tab/>
        <w:t xml:space="preserve">Unemployment, employment and </w:t>
      </w:r>
      <w:r w:rsidR="00524693">
        <w:t xml:space="preserve">wages </w:t>
      </w:r>
      <w:r w:rsidRPr="00F92E45">
        <w:t>(paras. 39 to 41)</w:t>
      </w:r>
    </w:p>
    <w:p w:rsidR="00F92E45" w:rsidRPr="00F92E45" w:rsidRDefault="00F92E45" w:rsidP="00524693">
      <w:pPr>
        <w:pStyle w:val="SingleTxtG"/>
      </w:pPr>
      <w:r w:rsidRPr="00F92E45">
        <w:t>7.</w:t>
      </w:r>
      <w:r w:rsidRPr="00F92E45">
        <w:tab/>
        <w:t xml:space="preserve">According to surveys conducted by INEC, as at March 2010, unemployment affected 9.1 per cent of the economically active population in </w:t>
      </w:r>
      <w:smartTag w:uri="urn:schemas-microsoft-com:office:smarttags" w:element="country-region">
        <w:smartTag w:uri="urn:schemas-microsoft-com:office:smarttags" w:element="place">
          <w:r w:rsidRPr="00F92E45">
            <w:t>Ecuador</w:t>
          </w:r>
        </w:smartTag>
      </w:smartTag>
      <w:r w:rsidRPr="00F92E45">
        <w:t xml:space="preserve"> </w:t>
      </w:r>
      <w:r w:rsidR="001F1284">
        <w:t>–</w:t>
      </w:r>
      <w:r w:rsidRPr="00F92E45">
        <w:t xml:space="preserve"> 0.5 per cent more than the previous year. Breaking down the unemployment rate by gender shows that femal</w:t>
      </w:r>
      <w:r w:rsidR="00524693">
        <w:t>e unemployment (11.6 per cent) wa</w:t>
      </w:r>
      <w:r w:rsidRPr="00F92E45">
        <w:t xml:space="preserve">s much higher than male unemployment (7.2 per cent). In addition, 51.3 per cent of the economically active population </w:t>
      </w:r>
      <w:r w:rsidR="00524693">
        <w:t xml:space="preserve">were </w:t>
      </w:r>
      <w:r w:rsidRPr="00F92E45">
        <w:t xml:space="preserve">underemployed, </w:t>
      </w:r>
      <w:r w:rsidR="00524693">
        <w:t>compared with</w:t>
      </w:r>
      <w:r w:rsidRPr="00F92E45">
        <w:t xml:space="preserve"> 37.6 per cent in full-time employment. These two indicators did however decrease between March 2009 and </w:t>
      </w:r>
      <w:r w:rsidR="00524693">
        <w:t xml:space="preserve">March </w:t>
      </w:r>
      <w:r w:rsidRPr="00F92E45">
        <w:t>2010.</w:t>
      </w:r>
    </w:p>
    <w:p w:rsidR="00F92E45" w:rsidRPr="00F92E45" w:rsidRDefault="00F92E45" w:rsidP="00524693">
      <w:pPr>
        <w:pStyle w:val="SingleTxtG"/>
      </w:pPr>
      <w:r w:rsidRPr="00F92E45">
        <w:t>8.</w:t>
      </w:r>
      <w:r w:rsidRPr="00F92E45">
        <w:tab/>
        <w:t>Of the total population in employment (full-time and</w:t>
      </w:r>
      <w:r w:rsidR="00524693">
        <w:t xml:space="preserve"> underemployed</w:t>
      </w:r>
      <w:r w:rsidRPr="00F92E45">
        <w:t>),</w:t>
      </w:r>
      <w:r w:rsidR="00524693">
        <w:t xml:space="preserve"> a larger percentage still worked</w:t>
      </w:r>
      <w:r w:rsidRPr="00F92E45">
        <w:t xml:space="preserve"> in the informal sector (43.4 per cent) than in the formal sector (39.4 per cent). The two most common branches of activity </w:t>
      </w:r>
      <w:r w:rsidR="00524693">
        <w:t xml:space="preserve">were </w:t>
      </w:r>
      <w:r w:rsidRPr="00F92E45">
        <w:t xml:space="preserve">retail (26.6 per cent) and industry (13.9 per cent). The following cities posted a full-time employment rate above the national average (37.6 per cent): </w:t>
      </w:r>
      <w:smartTag w:uri="urn:schemas-microsoft-com:office:smarttags" w:element="City">
        <w:r w:rsidRPr="00F92E45">
          <w:t>Cuenca</w:t>
        </w:r>
      </w:smartTag>
      <w:r w:rsidRPr="00F92E45">
        <w:t xml:space="preserve"> (50.1 per cent), </w:t>
      </w:r>
      <w:smartTag w:uri="urn:schemas-microsoft-com:office:smarttags" w:element="City">
        <w:r w:rsidRPr="00F92E45">
          <w:t>Quito</w:t>
        </w:r>
      </w:smartTag>
      <w:r w:rsidRPr="00F92E45">
        <w:t xml:space="preserve"> (49.2 per cent), </w:t>
      </w:r>
      <w:smartTag w:uri="urn:schemas-microsoft-com:office:smarttags" w:element="City">
        <w:r w:rsidRPr="00F92E45">
          <w:t>Ambato</w:t>
        </w:r>
      </w:smartTag>
      <w:r w:rsidRPr="00F92E45">
        <w:t xml:space="preserve"> (44.7 per cent) and </w:t>
      </w:r>
      <w:smartTag w:uri="urn:schemas-microsoft-com:office:smarttags" w:element="City">
        <w:smartTag w:uri="urn:schemas-microsoft-com:office:smarttags" w:element="place">
          <w:r w:rsidRPr="00F92E45">
            <w:t>Guayaquil</w:t>
          </w:r>
        </w:smartTag>
      </w:smartTag>
      <w:r w:rsidRPr="00F92E45">
        <w:t xml:space="preserve"> (38.4 per cent). </w:t>
      </w:r>
      <w:smartTag w:uri="urn:schemas-microsoft-com:office:smarttags" w:element="City">
        <w:smartTag w:uri="urn:schemas-microsoft-com:office:smarttags" w:element="place">
          <w:r w:rsidRPr="00F92E45">
            <w:t>Machala</w:t>
          </w:r>
        </w:smartTag>
      </w:smartTag>
      <w:r w:rsidRPr="00F92E45">
        <w:t xml:space="preserve"> (37 per cent) </w:t>
      </w:r>
      <w:r w:rsidR="00524693">
        <w:t>wa</w:t>
      </w:r>
      <w:r w:rsidRPr="00F92E45">
        <w:t xml:space="preserve">s the only city with a full-time employment rate below the national average, </w:t>
      </w:r>
      <w:r w:rsidR="00524693">
        <w:t>and it had</w:t>
      </w:r>
      <w:r w:rsidRPr="00F92E45">
        <w:t xml:space="preserve"> the highest underemployment rate (53.4 per cent). The unemployment rate in </w:t>
      </w:r>
      <w:smartTag w:uri="urn:schemas-microsoft-com:office:smarttags" w:element="City">
        <w:smartTag w:uri="urn:schemas-microsoft-com:office:smarttags" w:element="place">
          <w:r w:rsidRPr="00F92E45">
            <w:t>Guayaquil</w:t>
          </w:r>
        </w:smartTag>
      </w:smartTag>
      <w:r w:rsidRPr="00F92E45">
        <w:t xml:space="preserve"> (12.3 per cent) was higher than in any other city and above the national average.</w:t>
      </w:r>
    </w:p>
    <w:p w:rsidR="00F92E45" w:rsidRPr="00F92E45" w:rsidRDefault="00F92E45" w:rsidP="00524693">
      <w:pPr>
        <w:pStyle w:val="SingleTxtG"/>
      </w:pPr>
      <w:r w:rsidRPr="00F92E45">
        <w:t>9.</w:t>
      </w:r>
      <w:r w:rsidRPr="00F92E45">
        <w:tab/>
        <w:t xml:space="preserve">Since 1 January 2010, the general legal minimum wage is considered to be </w:t>
      </w:r>
      <w:r w:rsidR="00524693">
        <w:t>US</w:t>
      </w:r>
      <w:r w:rsidRPr="00F92E45">
        <w:t>$</w:t>
      </w:r>
      <w:r w:rsidR="00524693">
        <w:t xml:space="preserve"> </w:t>
      </w:r>
      <w:r w:rsidRPr="00F92E45">
        <w:t xml:space="preserve">240, </w:t>
      </w:r>
      <w:r w:rsidR="00524693">
        <w:t xml:space="preserve">which </w:t>
      </w:r>
      <w:r w:rsidRPr="00F92E45">
        <w:t xml:space="preserve">is 10.09 per cent higher than the minimum wage </w:t>
      </w:r>
      <w:r w:rsidR="00524693">
        <w:t>for the previous year</w:t>
      </w:r>
      <w:r w:rsidRPr="00F92E45">
        <w:t xml:space="preserve"> and 20 per cent higher </w:t>
      </w:r>
      <w:r w:rsidR="00524693">
        <w:t xml:space="preserve">in the case of </w:t>
      </w:r>
      <w:r w:rsidRPr="00F92E45">
        <w:t xml:space="preserve">domestic workers. If categories XIII and XIV of supplementary pay are taken into consideration, the average nominal minimum wage is </w:t>
      </w:r>
      <w:r w:rsidR="00524693">
        <w:t>US</w:t>
      </w:r>
      <w:r w:rsidRPr="00F92E45">
        <w:t>$</w:t>
      </w:r>
      <w:r w:rsidR="00524693">
        <w:t xml:space="preserve"> </w:t>
      </w:r>
      <w:r w:rsidRPr="00F92E45">
        <w:t>279.85.</w:t>
      </w:r>
    </w:p>
    <w:p w:rsidR="00F92E45" w:rsidRDefault="00F92E45" w:rsidP="00524693">
      <w:pPr>
        <w:pStyle w:val="SingleTxtG"/>
      </w:pPr>
      <w:r w:rsidRPr="00F92E45">
        <w:t>10.</w:t>
      </w:r>
      <w:r w:rsidRPr="00F92E45">
        <w:tab/>
      </w:r>
      <w:r w:rsidR="00524693">
        <w:t xml:space="preserve">With regard to </w:t>
      </w:r>
      <w:r w:rsidRPr="00F92E45">
        <w:t xml:space="preserve">labour policies, in April 2010 the Sectoral Production Council launched the Agenda for Production Change through the Ministry for the Coordination of Production, Employment and Competitiveness. The Agenda highlights objectives, policies, strategies, programmes and projects in </w:t>
      </w:r>
      <w:r w:rsidR="00524693">
        <w:t xml:space="preserve">terms of </w:t>
      </w:r>
      <w:r w:rsidRPr="00F92E45">
        <w:t>both production and labour. It also establishes 14 priority areas in the country</w:t>
      </w:r>
      <w:r w:rsidR="00534E2F">
        <w:t>’</w:t>
      </w:r>
      <w:r w:rsidRPr="00F92E45">
        <w:t>s productive development, which are included in the Production Development Strategy and the Plan</w:t>
      </w:r>
      <w:r w:rsidR="00524693">
        <w:t xml:space="preserve"> for Good Living</w:t>
      </w:r>
      <w:r w:rsidRPr="00F92E45">
        <w:t xml:space="preserve">. State authorities </w:t>
      </w:r>
      <w:r w:rsidR="00524693">
        <w:t xml:space="preserve">expect </w:t>
      </w:r>
      <w:r w:rsidRPr="00F92E45">
        <w:t>that domestic production will improve and that</w:t>
      </w:r>
      <w:r w:rsidR="00524693">
        <w:t>,</w:t>
      </w:r>
      <w:r w:rsidRPr="00F92E45">
        <w:t xml:space="preserve"> as programmes and projects are implemented, the unemployment rate </w:t>
      </w:r>
      <w:r w:rsidR="00524693">
        <w:t>is likely to fall</w:t>
      </w:r>
      <w:r w:rsidRPr="00F92E45">
        <w:t xml:space="preserve"> over the next few quarters </w:t>
      </w:r>
      <w:r w:rsidR="00524693">
        <w:t xml:space="preserve">of the year </w:t>
      </w:r>
      <w:r w:rsidRPr="00F92E45">
        <w:t xml:space="preserve">and the number of people in full employment </w:t>
      </w:r>
      <w:r w:rsidR="00524693">
        <w:t xml:space="preserve">should </w:t>
      </w:r>
      <w:r w:rsidRPr="00F92E45">
        <w:t>therefore increase.</w:t>
      </w:r>
    </w:p>
    <w:p w:rsidR="00524693" w:rsidRPr="00106A43" w:rsidRDefault="00524693">
      <w:pPr>
        <w:spacing w:before="240"/>
        <w:jc w:val="center"/>
        <w:rPr>
          <w:u w:val="single"/>
        </w:rPr>
      </w:pPr>
      <w:r>
        <w:rPr>
          <w:u w:val="single"/>
        </w:rPr>
        <w:tab/>
      </w:r>
      <w:r>
        <w:rPr>
          <w:u w:val="single"/>
        </w:rPr>
        <w:tab/>
      </w:r>
      <w:r>
        <w:rPr>
          <w:u w:val="single"/>
        </w:rPr>
        <w:tab/>
      </w:r>
    </w:p>
    <w:sectPr w:rsidR="00524693" w:rsidRPr="00106A43" w:rsidSect="00F92E4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8A" w:rsidRDefault="00E02F8A"/>
  </w:endnote>
  <w:endnote w:type="continuationSeparator" w:id="0">
    <w:p w:rsidR="00E02F8A" w:rsidRDefault="00E02F8A"/>
  </w:endnote>
  <w:endnote w:type="continuationNotice" w:id="1">
    <w:p w:rsidR="00E02F8A" w:rsidRDefault="00E02F8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BD" w:rsidRPr="00F92E45" w:rsidRDefault="00BC73BD" w:rsidP="00F92E45">
    <w:pPr>
      <w:pStyle w:val="Footer"/>
      <w:tabs>
        <w:tab w:val="right" w:pos="9598"/>
      </w:tabs>
    </w:pPr>
    <w:r w:rsidRPr="00F92E45">
      <w:rPr>
        <w:b/>
        <w:sz w:val="18"/>
      </w:rPr>
      <w:fldChar w:fldCharType="begin"/>
    </w:r>
    <w:r w:rsidRPr="00F92E45">
      <w:rPr>
        <w:b/>
        <w:sz w:val="18"/>
      </w:rPr>
      <w:instrText xml:space="preserve"> PAGE  \* MERGEFORMAT </w:instrText>
    </w:r>
    <w:r w:rsidRPr="00F92E45">
      <w:rPr>
        <w:b/>
        <w:sz w:val="18"/>
      </w:rPr>
      <w:fldChar w:fldCharType="separate"/>
    </w:r>
    <w:r w:rsidR="00DC251A">
      <w:rPr>
        <w:b/>
        <w:noProof/>
        <w:sz w:val="18"/>
      </w:rPr>
      <w:t>2</w:t>
    </w:r>
    <w:r w:rsidRPr="00F92E45">
      <w:rPr>
        <w:b/>
        <w:sz w:val="18"/>
      </w:rPr>
      <w:fldChar w:fldCharType="end"/>
    </w:r>
    <w:r>
      <w:rPr>
        <w:sz w:val="18"/>
      </w:rPr>
      <w:tab/>
    </w:r>
    <w:r>
      <w:t>GE.12-42579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BD" w:rsidRPr="00F92E45" w:rsidRDefault="00BC73BD" w:rsidP="00F92E45">
    <w:pPr>
      <w:pStyle w:val="Footer"/>
      <w:tabs>
        <w:tab w:val="right" w:pos="9598"/>
      </w:tabs>
      <w:rPr>
        <w:b/>
        <w:sz w:val="18"/>
      </w:rPr>
    </w:pPr>
    <w:r>
      <w:t>GE.12-42579</w:t>
    </w:r>
    <w:r>
      <w:tab/>
    </w:r>
    <w:r w:rsidRPr="00F92E45">
      <w:rPr>
        <w:b/>
        <w:sz w:val="18"/>
      </w:rPr>
      <w:fldChar w:fldCharType="begin"/>
    </w:r>
    <w:r w:rsidRPr="00F92E45">
      <w:rPr>
        <w:b/>
        <w:sz w:val="18"/>
      </w:rPr>
      <w:instrText xml:space="preserve"> PAGE  \* MERGEFORMAT </w:instrText>
    </w:r>
    <w:r w:rsidRPr="00F92E45">
      <w:rPr>
        <w:b/>
        <w:sz w:val="18"/>
      </w:rPr>
      <w:fldChar w:fldCharType="separate"/>
    </w:r>
    <w:r w:rsidR="00DC251A">
      <w:rPr>
        <w:b/>
        <w:noProof/>
        <w:sz w:val="18"/>
      </w:rPr>
      <w:t>5</w:t>
    </w:r>
    <w:r w:rsidRPr="00F92E4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BD" w:rsidRDefault="00BC73BD">
    <w:pPr>
      <w:pStyle w:val="Footer"/>
    </w:pPr>
    <w:r>
      <w:rPr>
        <w:sz w:val="20"/>
      </w:rPr>
      <w:t>GE.12-42579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534E2F">
      <w:rPr>
        <w:sz w:val="20"/>
      </w:rPr>
      <w:t xml:space="preserve">    140612    150612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8A" w:rsidRPr="000B175B" w:rsidRDefault="00E02F8A" w:rsidP="000B175B">
      <w:pPr>
        <w:tabs>
          <w:tab w:val="right" w:pos="2155"/>
        </w:tabs>
        <w:spacing w:after="80"/>
        <w:ind w:left="680"/>
        <w:rPr>
          <w:u w:val="single"/>
        </w:rPr>
      </w:pPr>
      <w:r>
        <w:rPr>
          <w:u w:val="single"/>
        </w:rPr>
        <w:tab/>
      </w:r>
    </w:p>
  </w:footnote>
  <w:footnote w:type="continuationSeparator" w:id="0">
    <w:p w:rsidR="00E02F8A" w:rsidRPr="00FC68B7" w:rsidRDefault="00E02F8A" w:rsidP="00FC68B7">
      <w:pPr>
        <w:tabs>
          <w:tab w:val="left" w:pos="2155"/>
        </w:tabs>
        <w:spacing w:after="80"/>
        <w:ind w:left="680"/>
        <w:rPr>
          <w:u w:val="single"/>
        </w:rPr>
      </w:pPr>
      <w:r>
        <w:rPr>
          <w:u w:val="single"/>
        </w:rPr>
        <w:tab/>
      </w:r>
    </w:p>
  </w:footnote>
  <w:footnote w:type="continuationNotice" w:id="1">
    <w:p w:rsidR="00E02F8A" w:rsidRDefault="00E02F8A"/>
  </w:footnote>
  <w:footnote w:id="2">
    <w:p w:rsidR="00BC73BD" w:rsidRPr="00F92E45" w:rsidRDefault="00BC73BD">
      <w:pPr>
        <w:pStyle w:val="FootnoteText"/>
      </w:pPr>
      <w:r>
        <w:tab/>
      </w:r>
      <w:r w:rsidRPr="00F92E45">
        <w:rPr>
          <w:rStyle w:val="FootnoteReference"/>
          <w:sz w:val="20"/>
          <w:vertAlign w:val="baseline"/>
        </w:rPr>
        <w:t>*</w:t>
      </w:r>
      <w:r>
        <w:rPr>
          <w:sz w:val="20"/>
        </w:rPr>
        <w:tab/>
      </w:r>
      <w:r>
        <w:t>In accordance with the information transmitted to States parties regarding the processing of their reports, the present document was not edited before being sent to the United Nations translation services.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BD" w:rsidRPr="00F92E45" w:rsidRDefault="00BC73BD" w:rsidP="00F92E45">
    <w:pPr>
      <w:pStyle w:val="Header"/>
    </w:pPr>
    <w:r w:rsidRPr="00F92E45">
      <w:t>HRI/CORE/ECU/2009/Add.1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BD" w:rsidRPr="00F92E45" w:rsidRDefault="00BC73BD" w:rsidP="00F92E45">
    <w:pPr>
      <w:pStyle w:val="Header"/>
      <w:jc w:val="right"/>
    </w:pPr>
    <w:r w:rsidRPr="00F92E45">
      <w:t>HRI/CORE/ECU/2009/Add.1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274D"/>
    <w:rsid w:val="000024AD"/>
    <w:rsid w:val="00050F6B"/>
    <w:rsid w:val="00072C8C"/>
    <w:rsid w:val="00091419"/>
    <w:rsid w:val="000931C0"/>
    <w:rsid w:val="000B175B"/>
    <w:rsid w:val="000B3A0F"/>
    <w:rsid w:val="000C11CF"/>
    <w:rsid w:val="000E0415"/>
    <w:rsid w:val="0014195E"/>
    <w:rsid w:val="00155A7C"/>
    <w:rsid w:val="00172EF0"/>
    <w:rsid w:val="00177B85"/>
    <w:rsid w:val="001A274D"/>
    <w:rsid w:val="001B4B04"/>
    <w:rsid w:val="001C2E97"/>
    <w:rsid w:val="001C6663"/>
    <w:rsid w:val="001C7895"/>
    <w:rsid w:val="001D26DF"/>
    <w:rsid w:val="001D2FDC"/>
    <w:rsid w:val="001E3807"/>
    <w:rsid w:val="001F1284"/>
    <w:rsid w:val="00211E0B"/>
    <w:rsid w:val="00237785"/>
    <w:rsid w:val="00241466"/>
    <w:rsid w:val="002A77AC"/>
    <w:rsid w:val="00306BCA"/>
    <w:rsid w:val="003107FA"/>
    <w:rsid w:val="003229D8"/>
    <w:rsid w:val="00375AFB"/>
    <w:rsid w:val="0039277A"/>
    <w:rsid w:val="003972E0"/>
    <w:rsid w:val="003C2CC4"/>
    <w:rsid w:val="003D4B23"/>
    <w:rsid w:val="004143EA"/>
    <w:rsid w:val="004325CB"/>
    <w:rsid w:val="00446DE4"/>
    <w:rsid w:val="00473FF8"/>
    <w:rsid w:val="004C3CA3"/>
    <w:rsid w:val="004F1C5E"/>
    <w:rsid w:val="00524693"/>
    <w:rsid w:val="00534E2F"/>
    <w:rsid w:val="005420F2"/>
    <w:rsid w:val="005467AD"/>
    <w:rsid w:val="00565E60"/>
    <w:rsid w:val="005A0DB2"/>
    <w:rsid w:val="005B3274"/>
    <w:rsid w:val="005B3DB3"/>
    <w:rsid w:val="00611FC4"/>
    <w:rsid w:val="006176FB"/>
    <w:rsid w:val="00640B26"/>
    <w:rsid w:val="00670903"/>
    <w:rsid w:val="006A7392"/>
    <w:rsid w:val="006C0D34"/>
    <w:rsid w:val="006E564B"/>
    <w:rsid w:val="0072632A"/>
    <w:rsid w:val="007970F7"/>
    <w:rsid w:val="007B6BA5"/>
    <w:rsid w:val="007C3390"/>
    <w:rsid w:val="007C4F4B"/>
    <w:rsid w:val="007F6611"/>
    <w:rsid w:val="008175E9"/>
    <w:rsid w:val="008242D7"/>
    <w:rsid w:val="00871FD5"/>
    <w:rsid w:val="008979B1"/>
    <w:rsid w:val="008A6B25"/>
    <w:rsid w:val="008A6C4F"/>
    <w:rsid w:val="008E0E46"/>
    <w:rsid w:val="008E6E77"/>
    <w:rsid w:val="008F003B"/>
    <w:rsid w:val="00947927"/>
    <w:rsid w:val="00963CBA"/>
    <w:rsid w:val="00991261"/>
    <w:rsid w:val="009B641A"/>
    <w:rsid w:val="009F027E"/>
    <w:rsid w:val="009F1F9A"/>
    <w:rsid w:val="00A1427D"/>
    <w:rsid w:val="00A14D35"/>
    <w:rsid w:val="00A16544"/>
    <w:rsid w:val="00A16993"/>
    <w:rsid w:val="00A223B0"/>
    <w:rsid w:val="00A2271C"/>
    <w:rsid w:val="00A72F22"/>
    <w:rsid w:val="00A748A6"/>
    <w:rsid w:val="00A81FC9"/>
    <w:rsid w:val="00A879A4"/>
    <w:rsid w:val="00AB622F"/>
    <w:rsid w:val="00AC5FA2"/>
    <w:rsid w:val="00B30179"/>
    <w:rsid w:val="00B3317B"/>
    <w:rsid w:val="00B577C4"/>
    <w:rsid w:val="00B81E12"/>
    <w:rsid w:val="00B93068"/>
    <w:rsid w:val="00BB41D6"/>
    <w:rsid w:val="00BC73BD"/>
    <w:rsid w:val="00BC74E9"/>
    <w:rsid w:val="00BE4751"/>
    <w:rsid w:val="00BE618E"/>
    <w:rsid w:val="00C37212"/>
    <w:rsid w:val="00C463DD"/>
    <w:rsid w:val="00C63658"/>
    <w:rsid w:val="00C745C3"/>
    <w:rsid w:val="00C7679C"/>
    <w:rsid w:val="00CE4A8F"/>
    <w:rsid w:val="00D2031B"/>
    <w:rsid w:val="00D25FE2"/>
    <w:rsid w:val="00D43252"/>
    <w:rsid w:val="00D75627"/>
    <w:rsid w:val="00D978C6"/>
    <w:rsid w:val="00DA67AD"/>
    <w:rsid w:val="00DC251A"/>
    <w:rsid w:val="00E02F8A"/>
    <w:rsid w:val="00E130AB"/>
    <w:rsid w:val="00E53566"/>
    <w:rsid w:val="00E5644E"/>
    <w:rsid w:val="00E7260F"/>
    <w:rsid w:val="00E96630"/>
    <w:rsid w:val="00ED7A2A"/>
    <w:rsid w:val="00EF1D7F"/>
    <w:rsid w:val="00F40E75"/>
    <w:rsid w:val="00F67580"/>
    <w:rsid w:val="00F92E45"/>
    <w:rsid w:val="00FC35D5"/>
    <w:rsid w:val="00FC68B7"/>
    <w:rsid w:val="00FF78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2</TotalTime>
  <Pages>5</Pages>
  <Words>1164</Words>
  <Characters>5891</Characters>
  <Application>Microsoft Office Outlook</Application>
  <DocSecurity>4</DocSecurity>
  <Lines>310</Lines>
  <Paragraphs>293</Paragraphs>
  <ScaleCrop>false</ScaleCrop>
  <HeadingPairs>
    <vt:vector size="2" baseType="variant">
      <vt:variant>
        <vt:lpstr>Title</vt:lpstr>
      </vt:variant>
      <vt:variant>
        <vt:i4>1</vt:i4>
      </vt:variant>
    </vt:vector>
  </HeadingPairs>
  <TitlesOfParts>
    <vt:vector size="1" baseType="lpstr">
      <vt:lpstr>1242579S1</vt:lpstr>
    </vt:vector>
  </TitlesOfParts>
  <Company>CSD</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1242579S1</dc:title>
  <dc:subject>HRI/CORE/ECU/2009/Add.1</dc:subject>
  <dc:creator>Giltsoff</dc:creator>
  <cp:keywords/>
  <dc:description>Semi</dc:description>
  <cp:lastModifiedBy>Giltsoff</cp:lastModifiedBy>
  <cp:revision>2</cp:revision>
  <cp:lastPrinted>2012-06-14T13:15:00Z</cp:lastPrinted>
  <dcterms:created xsi:type="dcterms:W3CDTF">2012-06-15T11:49:00Z</dcterms:created>
  <dcterms:modified xsi:type="dcterms:W3CDTF">2012-06-15T11:49:00Z</dcterms:modified>
</cp:coreProperties>
</file>